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3.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7.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8.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9.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0.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1.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2.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8242" behindDoc="0" locked="0" layoutInCell="1" allowOverlap="1" wp14:anchorId="3F0A51DA" wp14:editId="6CA3A2C3">
            <wp:simplePos x="0" y="0"/>
            <wp:positionH relativeFrom="margin">
              <wp:align>center</wp:align>
            </wp:positionH>
            <wp:positionV relativeFrom="paragraph">
              <wp:posOffset>276860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6" behindDoc="0" locked="0" layoutInCell="1" allowOverlap="1" wp14:anchorId="49B1C421" wp14:editId="5F4452C7">
                <wp:simplePos x="0" y="0"/>
                <wp:positionH relativeFrom="margin">
                  <wp:align>center</wp:align>
                </wp:positionH>
                <wp:positionV relativeFrom="paragraph">
                  <wp:posOffset>3810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3pt;width:148.4pt;height:13.95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6B1D383D" w:rsidR="004F2DD5" w:rsidRPr="003A47C9" w:rsidRDefault="00CC3FE7" w:rsidP="004F2DD5">
      <w:r>
        <w:rPr>
          <w:noProof/>
        </w:rPr>
        <w:drawing>
          <wp:anchor distT="0" distB="0" distL="114300" distR="114300" simplePos="0" relativeHeight="251658262" behindDoc="0" locked="0" layoutInCell="1" allowOverlap="1" wp14:anchorId="3FB227F9" wp14:editId="323C1197">
            <wp:simplePos x="0" y="0"/>
            <wp:positionH relativeFrom="margin">
              <wp:posOffset>3748405</wp:posOffset>
            </wp:positionH>
            <wp:positionV relativeFrom="paragraph">
              <wp:posOffset>4816475</wp:posOffset>
            </wp:positionV>
            <wp:extent cx="1847850" cy="789305"/>
            <wp:effectExtent l="0" t="0" r="0" b="0"/>
            <wp:wrapNone/>
            <wp:docPr id="25" name="Picture 25" descr="A picture containing text, font, businesscard,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font, businesscard, graphic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47850" cy="789305"/>
                    </a:xfrm>
                    <a:prstGeom prst="rect">
                      <a:avLst/>
                    </a:prstGeom>
                  </pic:spPr>
                </pic:pic>
              </a:graphicData>
            </a:graphic>
          </wp:anchor>
        </w:drawing>
      </w:r>
      <w:r w:rsidR="00CD2766">
        <w:rPr>
          <w:noProof/>
        </w:rPr>
        <mc:AlternateContent>
          <mc:Choice Requires="wpg">
            <w:drawing>
              <wp:anchor distT="0" distB="0" distL="114300" distR="114300" simplePos="0" relativeHeight="251670564" behindDoc="0" locked="0" layoutInCell="1" allowOverlap="1" wp14:anchorId="34509AE8" wp14:editId="75C6D1F0">
                <wp:simplePos x="0" y="0"/>
                <wp:positionH relativeFrom="column">
                  <wp:posOffset>-514350</wp:posOffset>
                </wp:positionH>
                <wp:positionV relativeFrom="paragraph">
                  <wp:posOffset>4593590</wp:posOffset>
                </wp:positionV>
                <wp:extent cx="2527300" cy="1005840"/>
                <wp:effectExtent l="0" t="0" r="0" b="3810"/>
                <wp:wrapNone/>
                <wp:docPr id="1883196255" name="Group 1883196255"/>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730919485" name="Text Box 730919485"/>
                        <wps:cNvSpPr txBox="1">
                          <a:spLocks/>
                        </wps:cNvSpPr>
                        <wps:spPr>
                          <a:xfrm>
                            <a:off x="0" y="600075"/>
                            <a:ext cx="2527539" cy="371475"/>
                          </a:xfrm>
                          <a:prstGeom prst="rect">
                            <a:avLst/>
                          </a:prstGeom>
                        </wps:spPr>
                        <wps:txbx>
                          <w:txbxContent>
                            <w:p w14:paraId="3F343A8C" w14:textId="77777777" w:rsidR="00CD2766" w:rsidRPr="003A00CC" w:rsidRDefault="00CD2766" w:rsidP="00CD2766">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1B6E2E0" w14:textId="77777777" w:rsidR="00CD2766" w:rsidRDefault="00CD2766" w:rsidP="00CD2766">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1013129426" name="Group 1013129426"/>
                        <wpg:cNvGrpSpPr/>
                        <wpg:grpSpPr>
                          <a:xfrm>
                            <a:off x="0" y="0"/>
                            <a:ext cx="612775" cy="1005840"/>
                            <a:chOff x="0" y="0"/>
                            <a:chExt cx="612775" cy="1005840"/>
                          </a:xfrm>
                        </wpg:grpSpPr>
                        <wps:wsp>
                          <wps:cNvPr id="102724196" name="Freeform: Shape 102724196"/>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620090040" name="Picture 620090040"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34509AE8" id="Group 1883196255" o:spid="_x0000_s1027" style="position:absolute;margin-left:-40.5pt;margin-top:361.7pt;width:199pt;height:79.2pt;z-index:251670564;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">
                <v:shape id="Text Box 730919485" o:spid="_x0000_s102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" filled="f" stroked="f">
                  <v:textbox inset="0,1.2pt,0,0">
                    <w:txbxContent>
                      <w:p w14:paraId="3F343A8C" w14:textId="77777777" w:rsidR="00CD2766" w:rsidRPr="003A00CC" w:rsidRDefault="00CD2766" w:rsidP="00CD2766">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1B6E2E0" w14:textId="77777777" w:rsidR="00CD2766" w:rsidRDefault="00CD2766" w:rsidP="00CD2766">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1013129426"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">
                  <v:shape id="Freeform: Shape 102724196"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0090040"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">
                    <v:imagedata r:id="rId14" o:title="Icon&#10;&#10;Description automatically generated"/>
                  </v:shape>
                </v:group>
              </v:group>
            </w:pict>
          </mc:Fallback>
        </mc:AlternateContent>
      </w:r>
      <w:r w:rsidR="001E0D49" w:rsidRPr="002B4451">
        <w:rPr>
          <w:noProof/>
        </w:rPr>
        <mc:AlternateContent>
          <mc:Choice Requires="wps">
            <w:drawing>
              <wp:anchor distT="0" distB="0" distL="114300" distR="114300" simplePos="0" relativeHeight="251658245" behindDoc="0" locked="0" layoutInCell="1" allowOverlap="1" wp14:anchorId="6B2EB822" wp14:editId="0F57EF05">
                <wp:simplePos x="0" y="0"/>
                <wp:positionH relativeFrom="margin">
                  <wp:align>center</wp:align>
                </wp:positionH>
                <wp:positionV relativeFrom="paragraph">
                  <wp:posOffset>2543810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AACAC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0025D4">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2" type="#_x0000_t202" style="position:absolute;margin-left:0;margin-top:200.3pt;width:95.35pt;height:24.3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" filled="f" stroked="f">
                <v:textbox inset="0,1pt,0,0">
                  <w:txbxContent>
                    <w:p w14:paraId="50ABDE0F" w14:textId="77AACAC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0025D4">
                        <w:rPr>
                          <w:b/>
                          <w:bCs/>
                          <w:color w:val="D5B788"/>
                          <w:spacing w:val="68"/>
                          <w:kern w:val="24"/>
                          <w:sz w:val="28"/>
                          <w:szCs w:val="28"/>
                        </w:rPr>
                        <w:t>4</w:t>
                      </w:r>
                      <w:r w:rsidRPr="00F36012">
                        <w:rPr>
                          <w:b/>
                          <w:bCs/>
                          <w:color w:val="D5B788"/>
                          <w:spacing w:val="-21"/>
                          <w:kern w:val="24"/>
                          <w:sz w:val="28"/>
                          <w:szCs w:val="28"/>
                        </w:rPr>
                        <w:t xml:space="preserve"> </w:t>
                      </w:r>
                    </w:p>
                  </w:txbxContent>
                </v:textbox>
                <w10:wrap anchorx="margin"/>
              </v:shape>
            </w:pict>
          </mc:Fallback>
        </mc:AlternateContent>
      </w:r>
      <w:r w:rsidR="001E0D49">
        <w:rPr>
          <w:noProof/>
        </w:rPr>
        <mc:AlternateContent>
          <mc:Choice Requires="wps">
            <w:drawing>
              <wp:anchor distT="4294967295" distB="4294967295" distL="114300" distR="114300" simplePos="0" relativeHeight="251658251" behindDoc="0" locked="0" layoutInCell="1" allowOverlap="1" wp14:anchorId="209AF3DE" wp14:editId="6BC02F34">
                <wp:simplePos x="0" y="0"/>
                <wp:positionH relativeFrom="margin">
                  <wp:align>center</wp:align>
                </wp:positionH>
                <wp:positionV relativeFrom="paragraph">
                  <wp:posOffset>2141855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ED9B1B" id="Straight Connector 9" o:spid="_x0000_s1026" style="position:absolute;z-index:251658251;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8.65pt" to="36.5pt,1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" strokecolor="#c8b688" strokeweight="2.25pt">
                <v:stroke joinstyle="miter"/>
                <o:lock v:ext="edit" shapetype="f"/>
                <w10:wrap anchorx="margin"/>
              </v:line>
            </w:pict>
          </mc:Fallback>
        </mc:AlternateContent>
      </w:r>
      <w:r w:rsidR="001E0D49" w:rsidRPr="002B4451">
        <w:rPr>
          <w:noProof/>
        </w:rPr>
        <mc:AlternateContent>
          <mc:Choice Requires="wps">
            <w:drawing>
              <wp:anchor distT="0" distB="0" distL="114300" distR="114300" simplePos="0" relativeHeight="251658243" behindDoc="0" locked="0" layoutInCell="1" allowOverlap="1" wp14:anchorId="0C109D41" wp14:editId="4D772B0C">
                <wp:simplePos x="0" y="0"/>
                <wp:positionH relativeFrom="margin">
                  <wp:align>center</wp:align>
                </wp:positionH>
                <wp:positionV relativeFrom="paragraph">
                  <wp:posOffset>1002030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margin-left:0;margin-top:78.9pt;width:453.45pt;height:77.6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w10:wrap anchorx="margin"/>
              </v:shape>
            </w:pict>
          </mc:Fallback>
        </mc:AlternateContent>
      </w:r>
      <w:r w:rsidR="006160B6">
        <w:rPr>
          <w:noProof/>
        </w:rPr>
        <mc:AlternateContent>
          <mc:Choice Requires="wps">
            <w:drawing>
              <wp:anchor distT="0" distB="0" distL="114300" distR="114300" simplePos="0" relativeHeight="251658250" behindDoc="0" locked="0" layoutInCell="1" allowOverlap="1" wp14:anchorId="4B9C2ACC" wp14:editId="1F9849E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xmlns:arto="http://schemas.microsoft.com/office/word/2006/arto">
            <w:pict w14:anchorId="6AEF2DA5">
              <v:shape id="Freeform: Shape 44"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spid="_x0000_s1026" fillcolor="#d5b788" stroked="f"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w14:anchorId="64CDA8F2">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29DF7AE" w:rsidR="004F2DD5" w:rsidRPr="003A47C9" w:rsidRDefault="004F2DD5" w:rsidP="004F2DD5"/>
    <w:p w14:paraId="17B5E9DF" w14:textId="7890F551" w:rsidR="008D7F4E" w:rsidRPr="002B4451" w:rsidRDefault="008D7F4E" w:rsidP="008D7F4E">
      <w:pPr>
        <w:rPr>
          <w:lang w:val="es-DO"/>
        </w:rPr>
      </w:pPr>
      <w:r w:rsidRPr="002B4451">
        <w:rPr>
          <w:lang w:val="es-DO"/>
        </w:rPr>
        <w:lastRenderedPageBreak/>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118B01A5"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3C9E19AE" w:rsidR="008D7F4E" w:rsidRPr="002B4451" w:rsidRDefault="004945BF" w:rsidP="008D7F4E">
      <w:pPr>
        <w:rPr>
          <w:lang w:val="es-DO"/>
        </w:rPr>
      </w:pPr>
      <w:r w:rsidRPr="002B4451">
        <w:rPr>
          <w:noProof/>
        </w:rPr>
        <mc:AlternateContent>
          <mc:Choice Requires="wps">
            <w:drawing>
              <wp:anchor distT="0" distB="0" distL="114300" distR="114300" simplePos="0" relativeHeight="251658241" behindDoc="0" locked="0" layoutInCell="1" allowOverlap="1" wp14:anchorId="611EEDAC" wp14:editId="356B604B">
                <wp:simplePos x="0" y="0"/>
                <wp:positionH relativeFrom="margin">
                  <wp:align>center</wp:align>
                </wp:positionH>
                <wp:positionV relativeFrom="paragraph">
                  <wp:posOffset>217170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0;margin-top:17.1pt;width:453.45pt;height:77.6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w10:wrap anchorx="margin"/>
              </v:shape>
            </w:pict>
          </mc:Fallback>
        </mc:AlternateContent>
      </w:r>
    </w:p>
    <w:p w14:paraId="38D6C8AE" w14:textId="0C3AB746" w:rsidR="008D7F4E" w:rsidRPr="002B4451" w:rsidRDefault="008D7F4E" w:rsidP="008D7F4E">
      <w:pPr>
        <w:rPr>
          <w:lang w:val="es-DO"/>
        </w:rPr>
      </w:pPr>
    </w:p>
    <w:p w14:paraId="22DD7F53" w14:textId="38F1DA9C" w:rsidR="008D7F4E" w:rsidRPr="002B4451" w:rsidRDefault="008D7F4E" w:rsidP="008D7F4E">
      <w:pPr>
        <w:rPr>
          <w:lang w:val="es-DO"/>
        </w:rPr>
      </w:pPr>
    </w:p>
    <w:p w14:paraId="266A4AE7" w14:textId="5D666784" w:rsidR="008D7F4E" w:rsidRPr="002B4451" w:rsidRDefault="008D7F4E" w:rsidP="008D7F4E">
      <w:pPr>
        <w:rPr>
          <w:lang w:val="es-DO"/>
        </w:rPr>
      </w:pPr>
    </w:p>
    <w:p w14:paraId="56C838CA" w14:textId="2DDF9386" w:rsidR="008D7F4E" w:rsidRPr="002B4451" w:rsidRDefault="00157831" w:rsidP="008D7F4E">
      <w:pPr>
        <w:rPr>
          <w:lang w:val="es-DO"/>
        </w:rPr>
      </w:pPr>
      <w:r>
        <w:rPr>
          <w:noProof/>
        </w:rPr>
        <mc:AlternateContent>
          <mc:Choice Requires="wps">
            <w:drawing>
              <wp:anchor distT="4294967295" distB="4294967295" distL="114300" distR="114300" simplePos="0" relativeHeight="251658252" behindDoc="0" locked="0" layoutInCell="1" allowOverlap="1" wp14:anchorId="4E0C23B7" wp14:editId="752B4C00">
                <wp:simplePos x="0" y="0"/>
                <wp:positionH relativeFrom="margin">
                  <wp:align>center</wp:align>
                </wp:positionH>
                <wp:positionV relativeFrom="paragraph">
                  <wp:posOffset>130175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E821E65" id="Straight Connector 22" o:spid="_x0000_s1026" style="position:absolute;z-index:2516582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0.25pt" to="36.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" strokecolor="#c8b688" strokeweight="2.25pt">
                <v:stroke joinstyle="miter"/>
                <o:lock v:ext="edit" shapetype="f"/>
                <w10:wrap anchorx="margin"/>
              </v:line>
            </w:pict>
          </mc:Fallback>
        </mc:AlternateContent>
      </w:r>
    </w:p>
    <w:p w14:paraId="5A37720D" w14:textId="64D3D6AD" w:rsidR="008D7F4E" w:rsidRPr="002B4451" w:rsidRDefault="008D7F4E" w:rsidP="008D7F4E">
      <w:pPr>
        <w:rPr>
          <w:lang w:val="es-DO"/>
        </w:rPr>
      </w:pPr>
    </w:p>
    <w:p w14:paraId="1C1F404E" w14:textId="1F8753AE" w:rsidR="008D7F4E" w:rsidRPr="002B4451" w:rsidRDefault="00157831" w:rsidP="008D7F4E">
      <w:pPr>
        <w:rPr>
          <w:lang w:val="es-DO"/>
        </w:rPr>
      </w:pPr>
      <w:r w:rsidRPr="002B4451">
        <w:rPr>
          <w:noProof/>
        </w:rPr>
        <mc:AlternateContent>
          <mc:Choice Requires="wps">
            <w:drawing>
              <wp:anchor distT="0" distB="0" distL="114300" distR="114300" simplePos="0" relativeHeight="251658248" behindDoc="0" locked="0" layoutInCell="1" allowOverlap="1" wp14:anchorId="65361376" wp14:editId="25A1F871">
                <wp:simplePos x="0" y="0"/>
                <wp:positionH relativeFrom="margin">
                  <wp:align>center</wp:align>
                </wp:positionH>
                <wp:positionV relativeFrom="paragraph">
                  <wp:posOffset>5715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6F6543"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0025D4">
                              <w:rPr>
                                <w:b/>
                                <w:bCs/>
                                <w:color w:val="D5B788"/>
                                <w:spacing w:val="6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0;margin-top:.45pt;width:95.65pt;height:24.3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" filled="f" stroked="f">
                <v:textbox inset="0,1pt,0,0">
                  <w:txbxContent>
                    <w:p w14:paraId="6B362718" w14:textId="7D6F6543"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0025D4">
                        <w:rPr>
                          <w:b/>
                          <w:bCs/>
                          <w:color w:val="D5B788"/>
                          <w:spacing w:val="68"/>
                          <w:kern w:val="24"/>
                          <w:sz w:val="28"/>
                          <w:szCs w:val="28"/>
                        </w:rPr>
                        <w:t>4</w:t>
                      </w:r>
                      <w:r w:rsidRPr="005805BA">
                        <w:rPr>
                          <w:b/>
                          <w:bCs/>
                          <w:color w:val="D5B788"/>
                          <w:spacing w:val="-21"/>
                          <w:kern w:val="24"/>
                          <w:sz w:val="28"/>
                          <w:szCs w:val="28"/>
                        </w:rPr>
                        <w:t xml:space="preserve"> </w:t>
                      </w:r>
                    </w:p>
                  </w:txbxContent>
                </v:textbox>
                <w10:wrap anchorx="margin"/>
              </v:shape>
            </w:pict>
          </mc:Fallback>
        </mc:AlternateContent>
      </w:r>
    </w:p>
    <w:p w14:paraId="75F2B32B" w14:textId="14B2843A" w:rsidR="008D7F4E" w:rsidRPr="002B4451" w:rsidRDefault="008D7F4E" w:rsidP="008D7F4E">
      <w:pPr>
        <w:rPr>
          <w:b/>
          <w:bCs/>
          <w:lang w:val="es-DO"/>
        </w:rPr>
      </w:pPr>
    </w:p>
    <w:p w14:paraId="7AD079B8" w14:textId="0858FED9" w:rsidR="008D7F4E" w:rsidRPr="002B4451" w:rsidRDefault="008D7F4E" w:rsidP="008D7F4E">
      <w:pPr>
        <w:rPr>
          <w:lang w:val="es-DO"/>
        </w:rPr>
      </w:pPr>
    </w:p>
    <w:p w14:paraId="2ADA86D9" w14:textId="3F0A12A5" w:rsidR="008D7F4E" w:rsidRPr="002B4451" w:rsidRDefault="008D7F4E" w:rsidP="008D7F4E">
      <w:pPr>
        <w:rPr>
          <w:b/>
          <w:bCs/>
          <w:lang w:val="es-DO"/>
        </w:rPr>
      </w:pPr>
    </w:p>
    <w:p w14:paraId="163CEF29" w14:textId="62191160" w:rsidR="00E739F8" w:rsidRPr="002B4451" w:rsidRDefault="00E739F8" w:rsidP="008D7F4E">
      <w:pPr>
        <w:rPr>
          <w:b/>
          <w:bCs/>
          <w:lang w:val="es-DO"/>
        </w:rPr>
      </w:pPr>
    </w:p>
    <w:p w14:paraId="3A86A8D9" w14:textId="4768359D" w:rsidR="00E739F8" w:rsidRPr="002B4451" w:rsidRDefault="00E739F8" w:rsidP="008D7F4E">
      <w:pPr>
        <w:rPr>
          <w:b/>
          <w:bCs/>
          <w:lang w:val="es-DO"/>
        </w:rPr>
      </w:pP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4D465291" w14:textId="77777777" w:rsidR="00ED09EE" w:rsidRDefault="00ED09EE" w:rsidP="03B8D929">
      <w:pPr>
        <w:tabs>
          <w:tab w:val="left" w:pos="5229"/>
        </w:tabs>
        <w:rPr>
          <w:lang w:val="es-DO"/>
        </w:rPr>
      </w:pPr>
    </w:p>
    <w:p w14:paraId="17523CE0" w14:textId="631F5043" w:rsidR="261A79E1" w:rsidRPr="00B50281" w:rsidRDefault="00ED09EE" w:rsidP="03B8D929">
      <w:pPr>
        <w:tabs>
          <w:tab w:val="left" w:pos="5229"/>
        </w:tabs>
        <w:rPr>
          <w:lang w:val="es-ES"/>
        </w:rPr>
      </w:pPr>
      <w:r w:rsidRPr="00B50281">
        <w:rPr>
          <w:noProof/>
          <w:lang w:val="es-ES"/>
        </w:rPr>
        <w:t xml:space="preserve">                      </w:t>
      </w:r>
    </w:p>
    <w:p w14:paraId="786F7F10" w14:textId="4A55EE84" w:rsidR="004465B7" w:rsidRPr="00B50281" w:rsidRDefault="00CD2766" w:rsidP="03B8D929">
      <w:pPr>
        <w:tabs>
          <w:tab w:val="left" w:pos="5229"/>
        </w:tabs>
        <w:rPr>
          <w:lang w:val="es-ES"/>
        </w:rPr>
      </w:pPr>
      <w:r>
        <w:rPr>
          <w:noProof/>
        </w:rPr>
        <mc:AlternateContent>
          <mc:Choice Requires="wpg">
            <w:drawing>
              <wp:anchor distT="0" distB="0" distL="114300" distR="114300" simplePos="0" relativeHeight="251668516" behindDoc="0" locked="0" layoutInCell="1" allowOverlap="1" wp14:anchorId="6B80F4FD" wp14:editId="0387C1BB">
                <wp:simplePos x="0" y="0"/>
                <wp:positionH relativeFrom="column">
                  <wp:posOffset>-542925</wp:posOffset>
                </wp:positionH>
                <wp:positionV relativeFrom="paragraph">
                  <wp:posOffset>297180</wp:posOffset>
                </wp:positionV>
                <wp:extent cx="2695575" cy="996315"/>
                <wp:effectExtent l="0" t="0" r="0" b="0"/>
                <wp:wrapNone/>
                <wp:docPr id="37" name="Group 37"/>
                <wp:cNvGraphicFramePr/>
                <a:graphic xmlns:a="http://schemas.openxmlformats.org/drawingml/2006/main">
                  <a:graphicData uri="http://schemas.microsoft.com/office/word/2010/wordprocessingGroup">
                    <wpg:wgp>
                      <wpg:cNvGrpSpPr/>
                      <wpg:grpSpPr>
                        <a:xfrm>
                          <a:off x="0" y="0"/>
                          <a:ext cx="2695575" cy="996315"/>
                          <a:chOff x="0" y="0"/>
                          <a:chExt cx="2527539" cy="1005840"/>
                        </a:xfrm>
                      </wpg:grpSpPr>
                      <wps:wsp>
                        <wps:cNvPr id="38" name="Text Box 38"/>
                        <wps:cNvSpPr txBox="1">
                          <a:spLocks/>
                        </wps:cNvSpPr>
                        <wps:spPr>
                          <a:xfrm>
                            <a:off x="0" y="600075"/>
                            <a:ext cx="2527539" cy="371475"/>
                          </a:xfrm>
                          <a:prstGeom prst="rect">
                            <a:avLst/>
                          </a:prstGeom>
                        </wps:spPr>
                        <wps:txbx>
                          <w:txbxContent>
                            <w:p w14:paraId="7767B958" w14:textId="77777777" w:rsidR="00CD2766" w:rsidRPr="003A00CC" w:rsidRDefault="00CD2766" w:rsidP="00CD2766">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613E52F6" w14:textId="77777777" w:rsidR="00CD2766" w:rsidRDefault="00CD2766" w:rsidP="00CD2766">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B80F4FD" id="Group 37" o:spid="_x0000_s1036" style="position:absolute;margin-left:-42.75pt;margin-top:23.4pt;width:212.25pt;height:78.45pt;z-index:251668516;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">
                <v:shape id="Text Box 38" o:spid="_x0000_s103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767B958" w14:textId="77777777" w:rsidR="00CD2766" w:rsidRPr="003A00CC" w:rsidRDefault="00CD2766" w:rsidP="00CD2766">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613E52F6" w14:textId="77777777" w:rsidR="00CD2766" w:rsidRDefault="00CD2766" w:rsidP="00CD2766">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 id="Picture 41"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4" o:title="Icon&#10;&#10;Description automatically generated"/>
                  </v:shape>
                </v:group>
              </v:group>
            </w:pict>
          </mc:Fallback>
        </mc:AlternateContent>
      </w:r>
    </w:p>
    <w:p w14:paraId="1710A47C" w14:textId="49367C93" w:rsidR="261A79E1" w:rsidRDefault="00157831" w:rsidP="03B8D929">
      <w:pPr>
        <w:tabs>
          <w:tab w:val="left" w:pos="5229"/>
        </w:tabs>
        <w:rPr>
          <w:lang w:val="es-DO"/>
        </w:rPr>
      </w:pPr>
      <w:r>
        <w:rPr>
          <w:noProof/>
        </w:rPr>
        <w:drawing>
          <wp:anchor distT="0" distB="0" distL="114300" distR="114300" simplePos="0" relativeHeight="251660324" behindDoc="0" locked="0" layoutInCell="1" allowOverlap="1" wp14:anchorId="132EA5E7" wp14:editId="78DC7CF0">
            <wp:simplePos x="0" y="0"/>
            <wp:positionH relativeFrom="margin">
              <wp:posOffset>3846830</wp:posOffset>
            </wp:positionH>
            <wp:positionV relativeFrom="paragraph">
              <wp:posOffset>213995</wp:posOffset>
            </wp:positionV>
            <wp:extent cx="1847850" cy="789305"/>
            <wp:effectExtent l="0" t="0" r="0" b="0"/>
            <wp:wrapNone/>
            <wp:docPr id="1209127369" name="Picture 1209127369" descr="A picture containing text, font, businesscard,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font, businesscard, graphic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47850" cy="789305"/>
                    </a:xfrm>
                    <a:prstGeom prst="rect">
                      <a:avLst/>
                    </a:prstGeom>
                  </pic:spPr>
                </pic:pic>
              </a:graphicData>
            </a:graphic>
          </wp:anchor>
        </w:drawing>
      </w:r>
    </w:p>
    <w:p w14:paraId="40372391" w14:textId="6E7DE27C" w:rsidR="03B8D929" w:rsidRDefault="03B8D929" w:rsidP="03B8D929">
      <w:pPr>
        <w:tabs>
          <w:tab w:val="left" w:pos="5229"/>
        </w:tabs>
        <w:rPr>
          <w:lang w:val="es-DO"/>
        </w:rPr>
      </w:pPr>
    </w:p>
    <w:p w14:paraId="182A4D77" w14:textId="2430E1DF" w:rsidR="03B8D929" w:rsidRDefault="03B8D929" w:rsidP="03B8D929">
      <w:pPr>
        <w:tabs>
          <w:tab w:val="left" w:pos="5229"/>
        </w:tabs>
        <w:rPr>
          <w:lang w:val="es-DO"/>
        </w:rPr>
      </w:pPr>
    </w:p>
    <w:p w14:paraId="31E2FE32" w14:textId="2317FF3C" w:rsidR="00545797" w:rsidRPr="0082260F" w:rsidRDefault="00545797" w:rsidP="00545797">
      <w:pPr>
        <w:jc w:val="center"/>
        <w:rPr>
          <w:b/>
          <w:bCs/>
          <w:color w:val="4C4747"/>
          <w:sz w:val="28"/>
          <w:lang w:val="es-DO"/>
        </w:rPr>
      </w:pPr>
      <w:r w:rsidRPr="0082260F">
        <w:rPr>
          <w:b/>
          <w:bCs/>
          <w:color w:val="4C4747"/>
          <w:sz w:val="28"/>
          <w:lang w:val="es-DO"/>
        </w:rPr>
        <w:lastRenderedPageBreak/>
        <w:t>TABLA DE CONTENIDOS</w:t>
      </w:r>
    </w:p>
    <w:p w14:paraId="6C3E8713" w14:textId="043AA35F" w:rsidR="00545797" w:rsidRPr="0082260F" w:rsidRDefault="00545797" w:rsidP="00545797">
      <w:pPr>
        <w:rPr>
          <w:color w:val="4C4747"/>
          <w:lang w:val="es-DO"/>
        </w:rPr>
      </w:pPr>
      <w:r w:rsidRPr="0082260F">
        <w:rPr>
          <w:noProof/>
          <w:color w:val="4C4747"/>
        </w:rPr>
        <mc:AlternateContent>
          <mc:Choice Requires="wps">
            <w:drawing>
              <wp:anchor distT="0" distB="0" distL="114300" distR="114300" simplePos="0" relativeHeight="251658249" behindDoc="0" locked="0" layoutInCell="1" allowOverlap="1" wp14:anchorId="1E07F231" wp14:editId="6E025B42">
                <wp:simplePos x="0" y="0"/>
                <wp:positionH relativeFrom="margin">
                  <wp:posOffset>2151304</wp:posOffset>
                </wp:positionH>
                <wp:positionV relativeFrom="paragraph">
                  <wp:posOffset>65049</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xmlns:arto="http://schemas.microsoft.com/office/word/2006/arto">
            <w:pict w14:anchorId="543721E8">
              <v:line id="Straight Connector 18"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69.4pt,5.1pt" to="205.9pt,5.1pt" w14:anchorId="510E4C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">
                <v:stroke joinstyle="miter"/>
                <w10:wrap anchorx="margin"/>
              </v:line>
            </w:pict>
          </mc:Fallback>
        </mc:AlternateContent>
      </w:r>
    </w:p>
    <w:p w14:paraId="2539C61E" w14:textId="6B73F75F" w:rsidR="00545797" w:rsidRPr="0082260F" w:rsidRDefault="00654164" w:rsidP="004945BF">
      <w:pPr>
        <w:jc w:val="center"/>
        <w:rPr>
          <w:color w:val="4C4747"/>
          <w:lang w:val="es-DO"/>
        </w:rPr>
      </w:pPr>
      <w:r w:rsidRPr="0082260F">
        <w:rPr>
          <w:color w:val="4C4747"/>
          <w:lang w:val="es-DO"/>
        </w:rPr>
        <w:t xml:space="preserve">Memoria </w:t>
      </w:r>
      <w:r w:rsidR="00D837AC" w:rsidRPr="0082260F">
        <w:rPr>
          <w:color w:val="4C4747"/>
          <w:lang w:val="es-DO"/>
        </w:rPr>
        <w:t>I</w:t>
      </w:r>
      <w:r w:rsidRPr="0082260F">
        <w:rPr>
          <w:color w:val="4C4747"/>
          <w:lang w:val="es-DO"/>
        </w:rPr>
        <w:t>nstitucional</w:t>
      </w:r>
      <w:r w:rsidR="00545797" w:rsidRPr="0082260F">
        <w:rPr>
          <w:color w:val="4C4747"/>
          <w:lang w:val="es-DO"/>
        </w:rPr>
        <w:t xml:space="preserve"> </w:t>
      </w:r>
      <w:r w:rsidR="000025D4">
        <w:rPr>
          <w:color w:val="4C4747"/>
          <w:lang w:val="es-DO"/>
        </w:rPr>
        <w:t>2024</w:t>
      </w:r>
    </w:p>
    <w:sdt>
      <w:sdtPr>
        <w:rPr>
          <w:rFonts w:ascii="Times New Roman" w:eastAsiaTheme="minorEastAsia"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4B4173" w:rsidRDefault="00A630BC">
          <w:pPr>
            <w:pStyle w:val="TOCHeading"/>
            <w:rPr>
              <w:color w:val="4C4747"/>
            </w:rPr>
          </w:pPr>
        </w:p>
        <w:p w14:paraId="784A30CE" w14:textId="4DFCB330" w:rsidR="004B4173" w:rsidRPr="004B4173" w:rsidRDefault="00A630BC">
          <w:pPr>
            <w:pStyle w:val="TOC1"/>
            <w:rPr>
              <w:rFonts w:asciiTheme="minorHAnsi" w:eastAsiaTheme="minorEastAsia" w:hAnsiTheme="minorHAnsi" w:cstheme="minorBidi"/>
              <w:b w:val="0"/>
              <w:bCs w:val="0"/>
              <w:color w:val="auto"/>
              <w:spacing w:val="0"/>
              <w:kern w:val="2"/>
              <w:lang w:val="en-US"/>
              <w14:ligatures w14:val="standardContextual"/>
            </w:rPr>
          </w:pPr>
          <w:r w:rsidRPr="004B4173">
            <w:rPr>
              <w:b w:val="0"/>
              <w:bCs w:val="0"/>
              <w:noProof w:val="0"/>
              <w:color w:val="4C4747"/>
            </w:rPr>
            <w:fldChar w:fldCharType="begin"/>
          </w:r>
          <w:r w:rsidRPr="004B4173">
            <w:rPr>
              <w:b w:val="0"/>
              <w:bCs w:val="0"/>
              <w:color w:val="4C4747"/>
            </w:rPr>
            <w:instrText xml:space="preserve"> TOC \o "1-3" \h \z \u </w:instrText>
          </w:r>
          <w:r w:rsidRPr="004B4173">
            <w:rPr>
              <w:b w:val="0"/>
              <w:bCs w:val="0"/>
              <w:noProof w:val="0"/>
              <w:color w:val="4C4747"/>
            </w:rPr>
            <w:fldChar w:fldCharType="separate"/>
          </w:r>
          <w:hyperlink w:anchor="_Toc185245084" w:history="1">
            <w:r w:rsidR="004B4173" w:rsidRPr="004B4173">
              <w:rPr>
                <w:rStyle w:val="Hyperlink"/>
                <w:b w:val="0"/>
                <w:bCs w:val="0"/>
                <w:lang w:val="es-ES"/>
              </w:rPr>
              <w:t>PRESENTACIÓN</w:t>
            </w:r>
            <w:r w:rsidR="004B4173" w:rsidRPr="004B4173">
              <w:rPr>
                <w:b w:val="0"/>
                <w:bCs w:val="0"/>
                <w:webHidden/>
              </w:rPr>
              <w:tab/>
            </w:r>
            <w:r w:rsidR="004B4173" w:rsidRPr="004B4173">
              <w:rPr>
                <w:b w:val="0"/>
                <w:bCs w:val="0"/>
                <w:webHidden/>
              </w:rPr>
              <w:fldChar w:fldCharType="begin"/>
            </w:r>
            <w:r w:rsidR="004B4173" w:rsidRPr="004B4173">
              <w:rPr>
                <w:b w:val="0"/>
                <w:bCs w:val="0"/>
                <w:webHidden/>
              </w:rPr>
              <w:instrText xml:space="preserve"> PAGEREF _Toc185245084 \h </w:instrText>
            </w:r>
            <w:r w:rsidR="004B4173" w:rsidRPr="004B4173">
              <w:rPr>
                <w:b w:val="0"/>
                <w:bCs w:val="0"/>
                <w:webHidden/>
              </w:rPr>
            </w:r>
            <w:r w:rsidR="004B4173" w:rsidRPr="004B4173">
              <w:rPr>
                <w:b w:val="0"/>
                <w:bCs w:val="0"/>
                <w:webHidden/>
              </w:rPr>
              <w:fldChar w:fldCharType="separate"/>
            </w:r>
            <w:r w:rsidR="004B4173" w:rsidRPr="004B4173">
              <w:rPr>
                <w:b w:val="0"/>
                <w:bCs w:val="0"/>
                <w:webHidden/>
              </w:rPr>
              <w:t>5</w:t>
            </w:r>
            <w:r w:rsidR="004B4173" w:rsidRPr="004B4173">
              <w:rPr>
                <w:b w:val="0"/>
                <w:bCs w:val="0"/>
                <w:webHidden/>
              </w:rPr>
              <w:fldChar w:fldCharType="end"/>
            </w:r>
          </w:hyperlink>
        </w:p>
        <w:p w14:paraId="513F3869" w14:textId="428A0754"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085" w:history="1">
            <w:r w:rsidRPr="004B4173">
              <w:rPr>
                <w:rStyle w:val="Hyperlink"/>
                <w:rFonts w:eastAsia="Calibri" w:cs="Times New Roman"/>
                <w:b w:val="0"/>
                <w:bCs w:val="0"/>
              </w:rPr>
              <w:t>I. RESUMEN EJECUTIVO</w:t>
            </w:r>
            <w:r w:rsidRPr="004B4173">
              <w:rPr>
                <w:b w:val="0"/>
                <w:bCs w:val="0"/>
                <w:webHidden/>
              </w:rPr>
              <w:tab/>
            </w:r>
            <w:r w:rsidRPr="004B4173">
              <w:rPr>
                <w:b w:val="0"/>
                <w:bCs w:val="0"/>
                <w:webHidden/>
              </w:rPr>
              <w:fldChar w:fldCharType="begin"/>
            </w:r>
            <w:r w:rsidRPr="004B4173">
              <w:rPr>
                <w:b w:val="0"/>
                <w:bCs w:val="0"/>
                <w:webHidden/>
              </w:rPr>
              <w:instrText xml:space="preserve"> PAGEREF _Toc185245085 \h </w:instrText>
            </w:r>
            <w:r w:rsidRPr="004B4173">
              <w:rPr>
                <w:b w:val="0"/>
                <w:bCs w:val="0"/>
                <w:webHidden/>
              </w:rPr>
            </w:r>
            <w:r w:rsidRPr="004B4173">
              <w:rPr>
                <w:b w:val="0"/>
                <w:bCs w:val="0"/>
                <w:webHidden/>
              </w:rPr>
              <w:fldChar w:fldCharType="separate"/>
            </w:r>
            <w:r w:rsidRPr="004B4173">
              <w:rPr>
                <w:b w:val="0"/>
                <w:bCs w:val="0"/>
                <w:webHidden/>
              </w:rPr>
              <w:t>1</w:t>
            </w:r>
            <w:r w:rsidRPr="004B4173">
              <w:rPr>
                <w:b w:val="0"/>
                <w:bCs w:val="0"/>
                <w:webHidden/>
              </w:rPr>
              <w:fldChar w:fldCharType="end"/>
            </w:r>
          </w:hyperlink>
        </w:p>
        <w:p w14:paraId="0163EB71" w14:textId="3BA23CBE"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086" w:history="1">
            <w:r w:rsidRPr="004B4173">
              <w:rPr>
                <w:rStyle w:val="Hyperlink"/>
                <w:b w:val="0"/>
                <w:bCs w:val="0"/>
              </w:rPr>
              <w:t>II. INFORMACIÓN INSTITUCIONAL</w:t>
            </w:r>
            <w:r w:rsidRPr="004B4173">
              <w:rPr>
                <w:b w:val="0"/>
                <w:bCs w:val="0"/>
                <w:webHidden/>
              </w:rPr>
              <w:tab/>
            </w:r>
            <w:r w:rsidRPr="004B4173">
              <w:rPr>
                <w:b w:val="0"/>
                <w:bCs w:val="0"/>
                <w:webHidden/>
              </w:rPr>
              <w:fldChar w:fldCharType="begin"/>
            </w:r>
            <w:r w:rsidRPr="004B4173">
              <w:rPr>
                <w:b w:val="0"/>
                <w:bCs w:val="0"/>
                <w:webHidden/>
              </w:rPr>
              <w:instrText xml:space="preserve"> PAGEREF _Toc185245086 \h </w:instrText>
            </w:r>
            <w:r w:rsidRPr="004B4173">
              <w:rPr>
                <w:b w:val="0"/>
                <w:bCs w:val="0"/>
                <w:webHidden/>
              </w:rPr>
            </w:r>
            <w:r w:rsidRPr="004B4173">
              <w:rPr>
                <w:b w:val="0"/>
                <w:bCs w:val="0"/>
                <w:webHidden/>
              </w:rPr>
              <w:fldChar w:fldCharType="separate"/>
            </w:r>
            <w:r w:rsidRPr="004B4173">
              <w:rPr>
                <w:b w:val="0"/>
                <w:bCs w:val="0"/>
                <w:webHidden/>
              </w:rPr>
              <w:t>8</w:t>
            </w:r>
            <w:r w:rsidRPr="004B4173">
              <w:rPr>
                <w:b w:val="0"/>
                <w:bCs w:val="0"/>
                <w:webHidden/>
              </w:rPr>
              <w:fldChar w:fldCharType="end"/>
            </w:r>
          </w:hyperlink>
        </w:p>
        <w:p w14:paraId="714BF29D" w14:textId="1CAE5C75"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087" w:history="1">
            <w:r w:rsidRPr="004B4173">
              <w:rPr>
                <w:rStyle w:val="Hyperlink"/>
                <w:b w:val="0"/>
                <w:bCs w:val="0"/>
              </w:rPr>
              <w:t>2.1 Marco Filosófico Institucional</w:t>
            </w:r>
            <w:r w:rsidRPr="004B4173">
              <w:rPr>
                <w:b w:val="0"/>
                <w:bCs w:val="0"/>
                <w:webHidden/>
              </w:rPr>
              <w:tab/>
            </w:r>
            <w:r w:rsidRPr="004B4173">
              <w:rPr>
                <w:b w:val="0"/>
                <w:bCs w:val="0"/>
                <w:webHidden/>
              </w:rPr>
              <w:fldChar w:fldCharType="begin"/>
            </w:r>
            <w:r w:rsidRPr="004B4173">
              <w:rPr>
                <w:b w:val="0"/>
                <w:bCs w:val="0"/>
                <w:webHidden/>
              </w:rPr>
              <w:instrText xml:space="preserve"> PAGEREF _Toc185245087 \h </w:instrText>
            </w:r>
            <w:r w:rsidRPr="004B4173">
              <w:rPr>
                <w:b w:val="0"/>
                <w:bCs w:val="0"/>
                <w:webHidden/>
              </w:rPr>
            </w:r>
            <w:r w:rsidRPr="004B4173">
              <w:rPr>
                <w:b w:val="0"/>
                <w:bCs w:val="0"/>
                <w:webHidden/>
              </w:rPr>
              <w:fldChar w:fldCharType="separate"/>
            </w:r>
            <w:r w:rsidRPr="004B4173">
              <w:rPr>
                <w:b w:val="0"/>
                <w:bCs w:val="0"/>
                <w:webHidden/>
              </w:rPr>
              <w:t>8</w:t>
            </w:r>
            <w:r w:rsidRPr="004B4173">
              <w:rPr>
                <w:b w:val="0"/>
                <w:bCs w:val="0"/>
                <w:webHidden/>
              </w:rPr>
              <w:fldChar w:fldCharType="end"/>
            </w:r>
          </w:hyperlink>
        </w:p>
        <w:p w14:paraId="09A76375" w14:textId="1D5CEC1D"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088" w:history="1">
            <w:r w:rsidRPr="004B4173">
              <w:rPr>
                <w:rStyle w:val="Hyperlink"/>
                <w:b w:val="0"/>
                <w:bCs w:val="0"/>
              </w:rPr>
              <w:t>Misión</w:t>
            </w:r>
            <w:r w:rsidRPr="004B4173">
              <w:rPr>
                <w:b w:val="0"/>
                <w:bCs w:val="0"/>
                <w:webHidden/>
              </w:rPr>
              <w:tab/>
            </w:r>
            <w:r w:rsidRPr="004B4173">
              <w:rPr>
                <w:b w:val="0"/>
                <w:bCs w:val="0"/>
                <w:webHidden/>
              </w:rPr>
              <w:fldChar w:fldCharType="begin"/>
            </w:r>
            <w:r w:rsidRPr="004B4173">
              <w:rPr>
                <w:b w:val="0"/>
                <w:bCs w:val="0"/>
                <w:webHidden/>
              </w:rPr>
              <w:instrText xml:space="preserve"> PAGEREF _Toc185245088 \h </w:instrText>
            </w:r>
            <w:r w:rsidRPr="004B4173">
              <w:rPr>
                <w:b w:val="0"/>
                <w:bCs w:val="0"/>
                <w:webHidden/>
              </w:rPr>
            </w:r>
            <w:r w:rsidRPr="004B4173">
              <w:rPr>
                <w:b w:val="0"/>
                <w:bCs w:val="0"/>
                <w:webHidden/>
              </w:rPr>
              <w:fldChar w:fldCharType="separate"/>
            </w:r>
            <w:r w:rsidRPr="004B4173">
              <w:rPr>
                <w:b w:val="0"/>
                <w:bCs w:val="0"/>
                <w:webHidden/>
              </w:rPr>
              <w:t>8</w:t>
            </w:r>
            <w:r w:rsidRPr="004B4173">
              <w:rPr>
                <w:b w:val="0"/>
                <w:bCs w:val="0"/>
                <w:webHidden/>
              </w:rPr>
              <w:fldChar w:fldCharType="end"/>
            </w:r>
          </w:hyperlink>
        </w:p>
        <w:p w14:paraId="759F263D" w14:textId="16DBC5FC"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089" w:history="1">
            <w:r w:rsidRPr="004B4173">
              <w:rPr>
                <w:rStyle w:val="Hyperlink"/>
                <w:b w:val="0"/>
                <w:bCs w:val="0"/>
              </w:rPr>
              <w:t>Visión</w:t>
            </w:r>
            <w:r w:rsidRPr="004B4173">
              <w:rPr>
                <w:b w:val="0"/>
                <w:bCs w:val="0"/>
                <w:webHidden/>
              </w:rPr>
              <w:tab/>
            </w:r>
            <w:r w:rsidRPr="004B4173">
              <w:rPr>
                <w:b w:val="0"/>
                <w:bCs w:val="0"/>
                <w:webHidden/>
              </w:rPr>
              <w:fldChar w:fldCharType="begin"/>
            </w:r>
            <w:r w:rsidRPr="004B4173">
              <w:rPr>
                <w:b w:val="0"/>
                <w:bCs w:val="0"/>
                <w:webHidden/>
              </w:rPr>
              <w:instrText xml:space="preserve"> PAGEREF _Toc185245089 \h </w:instrText>
            </w:r>
            <w:r w:rsidRPr="004B4173">
              <w:rPr>
                <w:b w:val="0"/>
                <w:bCs w:val="0"/>
                <w:webHidden/>
              </w:rPr>
            </w:r>
            <w:r w:rsidRPr="004B4173">
              <w:rPr>
                <w:b w:val="0"/>
                <w:bCs w:val="0"/>
                <w:webHidden/>
              </w:rPr>
              <w:fldChar w:fldCharType="separate"/>
            </w:r>
            <w:r w:rsidRPr="004B4173">
              <w:rPr>
                <w:b w:val="0"/>
                <w:bCs w:val="0"/>
                <w:webHidden/>
              </w:rPr>
              <w:t>8</w:t>
            </w:r>
            <w:r w:rsidRPr="004B4173">
              <w:rPr>
                <w:b w:val="0"/>
                <w:bCs w:val="0"/>
                <w:webHidden/>
              </w:rPr>
              <w:fldChar w:fldCharType="end"/>
            </w:r>
          </w:hyperlink>
        </w:p>
        <w:p w14:paraId="758AEED6" w14:textId="78CBE134"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090" w:history="1">
            <w:r w:rsidRPr="004B4173">
              <w:rPr>
                <w:rStyle w:val="Hyperlink"/>
                <w:b w:val="0"/>
                <w:bCs w:val="0"/>
              </w:rPr>
              <w:t>Valores</w:t>
            </w:r>
            <w:r w:rsidRPr="004B4173">
              <w:rPr>
                <w:b w:val="0"/>
                <w:bCs w:val="0"/>
                <w:webHidden/>
              </w:rPr>
              <w:tab/>
            </w:r>
            <w:r w:rsidRPr="004B4173">
              <w:rPr>
                <w:b w:val="0"/>
                <w:bCs w:val="0"/>
                <w:webHidden/>
              </w:rPr>
              <w:fldChar w:fldCharType="begin"/>
            </w:r>
            <w:r w:rsidRPr="004B4173">
              <w:rPr>
                <w:b w:val="0"/>
                <w:bCs w:val="0"/>
                <w:webHidden/>
              </w:rPr>
              <w:instrText xml:space="preserve"> PAGEREF _Toc185245090 \h </w:instrText>
            </w:r>
            <w:r w:rsidRPr="004B4173">
              <w:rPr>
                <w:b w:val="0"/>
                <w:bCs w:val="0"/>
                <w:webHidden/>
              </w:rPr>
            </w:r>
            <w:r w:rsidRPr="004B4173">
              <w:rPr>
                <w:b w:val="0"/>
                <w:bCs w:val="0"/>
                <w:webHidden/>
              </w:rPr>
              <w:fldChar w:fldCharType="separate"/>
            </w:r>
            <w:r w:rsidRPr="004B4173">
              <w:rPr>
                <w:b w:val="0"/>
                <w:bCs w:val="0"/>
                <w:webHidden/>
              </w:rPr>
              <w:t>8</w:t>
            </w:r>
            <w:r w:rsidRPr="004B4173">
              <w:rPr>
                <w:b w:val="0"/>
                <w:bCs w:val="0"/>
                <w:webHidden/>
              </w:rPr>
              <w:fldChar w:fldCharType="end"/>
            </w:r>
          </w:hyperlink>
        </w:p>
        <w:p w14:paraId="6DF99188" w14:textId="47EFCACB"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091" w:history="1">
            <w:r w:rsidRPr="004B4173">
              <w:rPr>
                <w:rStyle w:val="Hyperlink"/>
                <w:b w:val="0"/>
                <w:bCs w:val="0"/>
              </w:rPr>
              <w:t>2.2 Normativa Reguladora</w:t>
            </w:r>
            <w:r w:rsidRPr="004B4173">
              <w:rPr>
                <w:b w:val="0"/>
                <w:bCs w:val="0"/>
                <w:webHidden/>
              </w:rPr>
              <w:tab/>
            </w:r>
            <w:r w:rsidRPr="004B4173">
              <w:rPr>
                <w:b w:val="0"/>
                <w:bCs w:val="0"/>
                <w:webHidden/>
              </w:rPr>
              <w:fldChar w:fldCharType="begin"/>
            </w:r>
            <w:r w:rsidRPr="004B4173">
              <w:rPr>
                <w:b w:val="0"/>
                <w:bCs w:val="0"/>
                <w:webHidden/>
              </w:rPr>
              <w:instrText xml:space="preserve"> PAGEREF _Toc185245091 \h </w:instrText>
            </w:r>
            <w:r w:rsidRPr="004B4173">
              <w:rPr>
                <w:b w:val="0"/>
                <w:bCs w:val="0"/>
                <w:webHidden/>
              </w:rPr>
            </w:r>
            <w:r w:rsidRPr="004B4173">
              <w:rPr>
                <w:b w:val="0"/>
                <w:bCs w:val="0"/>
                <w:webHidden/>
              </w:rPr>
              <w:fldChar w:fldCharType="separate"/>
            </w:r>
            <w:r w:rsidRPr="004B4173">
              <w:rPr>
                <w:b w:val="0"/>
                <w:bCs w:val="0"/>
                <w:webHidden/>
              </w:rPr>
              <w:t>10</w:t>
            </w:r>
            <w:r w:rsidRPr="004B4173">
              <w:rPr>
                <w:b w:val="0"/>
                <w:bCs w:val="0"/>
                <w:webHidden/>
              </w:rPr>
              <w:fldChar w:fldCharType="end"/>
            </w:r>
          </w:hyperlink>
        </w:p>
        <w:p w14:paraId="1A51101C" w14:textId="35A2E1FD"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092" w:history="1">
            <w:r w:rsidRPr="004B4173">
              <w:rPr>
                <w:rStyle w:val="Hyperlink"/>
                <w:b w:val="0"/>
                <w:bCs w:val="0"/>
              </w:rPr>
              <w:t>2.4 Listado de los Principales Funcionarios</w:t>
            </w:r>
            <w:r w:rsidRPr="004B4173">
              <w:rPr>
                <w:b w:val="0"/>
                <w:bCs w:val="0"/>
                <w:webHidden/>
              </w:rPr>
              <w:tab/>
            </w:r>
            <w:r w:rsidRPr="004B4173">
              <w:rPr>
                <w:b w:val="0"/>
                <w:bCs w:val="0"/>
                <w:webHidden/>
              </w:rPr>
              <w:fldChar w:fldCharType="begin"/>
            </w:r>
            <w:r w:rsidRPr="004B4173">
              <w:rPr>
                <w:b w:val="0"/>
                <w:bCs w:val="0"/>
                <w:webHidden/>
              </w:rPr>
              <w:instrText xml:space="preserve"> PAGEREF _Toc185245092 \h </w:instrText>
            </w:r>
            <w:r w:rsidRPr="004B4173">
              <w:rPr>
                <w:b w:val="0"/>
                <w:bCs w:val="0"/>
                <w:webHidden/>
              </w:rPr>
            </w:r>
            <w:r w:rsidRPr="004B4173">
              <w:rPr>
                <w:b w:val="0"/>
                <w:bCs w:val="0"/>
                <w:webHidden/>
              </w:rPr>
              <w:fldChar w:fldCharType="separate"/>
            </w:r>
            <w:r w:rsidRPr="004B4173">
              <w:rPr>
                <w:b w:val="0"/>
                <w:bCs w:val="0"/>
                <w:webHidden/>
              </w:rPr>
              <w:t>16</w:t>
            </w:r>
            <w:r w:rsidRPr="004B4173">
              <w:rPr>
                <w:b w:val="0"/>
                <w:bCs w:val="0"/>
                <w:webHidden/>
              </w:rPr>
              <w:fldChar w:fldCharType="end"/>
            </w:r>
          </w:hyperlink>
        </w:p>
        <w:p w14:paraId="32E3C5D5" w14:textId="12D91A4D"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093" w:history="1">
            <w:r w:rsidRPr="004B4173">
              <w:rPr>
                <w:rStyle w:val="Hyperlink"/>
                <w:b w:val="0"/>
                <w:bCs w:val="0"/>
              </w:rPr>
              <w:t>2.5 Planificación Estratégica Institucional</w:t>
            </w:r>
            <w:r w:rsidRPr="004B4173">
              <w:rPr>
                <w:b w:val="0"/>
                <w:bCs w:val="0"/>
                <w:webHidden/>
              </w:rPr>
              <w:tab/>
            </w:r>
            <w:r w:rsidRPr="004B4173">
              <w:rPr>
                <w:b w:val="0"/>
                <w:bCs w:val="0"/>
                <w:webHidden/>
              </w:rPr>
              <w:fldChar w:fldCharType="begin"/>
            </w:r>
            <w:r w:rsidRPr="004B4173">
              <w:rPr>
                <w:b w:val="0"/>
                <w:bCs w:val="0"/>
                <w:webHidden/>
              </w:rPr>
              <w:instrText xml:space="preserve"> PAGEREF _Toc185245093 \h </w:instrText>
            </w:r>
            <w:r w:rsidRPr="004B4173">
              <w:rPr>
                <w:b w:val="0"/>
                <w:bCs w:val="0"/>
                <w:webHidden/>
              </w:rPr>
            </w:r>
            <w:r w:rsidRPr="004B4173">
              <w:rPr>
                <w:b w:val="0"/>
                <w:bCs w:val="0"/>
                <w:webHidden/>
              </w:rPr>
              <w:fldChar w:fldCharType="separate"/>
            </w:r>
            <w:r w:rsidRPr="004B4173">
              <w:rPr>
                <w:b w:val="0"/>
                <w:bCs w:val="0"/>
                <w:webHidden/>
              </w:rPr>
              <w:t>17</w:t>
            </w:r>
            <w:r w:rsidRPr="004B4173">
              <w:rPr>
                <w:b w:val="0"/>
                <w:bCs w:val="0"/>
                <w:webHidden/>
              </w:rPr>
              <w:fldChar w:fldCharType="end"/>
            </w:r>
          </w:hyperlink>
        </w:p>
        <w:p w14:paraId="6729570A" w14:textId="0B17A97D"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094" w:history="1">
            <w:r w:rsidRPr="004B4173">
              <w:rPr>
                <w:rStyle w:val="Hyperlink"/>
                <w:b w:val="0"/>
                <w:bCs w:val="0"/>
              </w:rPr>
              <w:t>III. RESULTADOS MISIONALES</w:t>
            </w:r>
            <w:r w:rsidRPr="004B4173">
              <w:rPr>
                <w:b w:val="0"/>
                <w:bCs w:val="0"/>
                <w:webHidden/>
              </w:rPr>
              <w:tab/>
            </w:r>
            <w:r w:rsidRPr="004B4173">
              <w:rPr>
                <w:b w:val="0"/>
                <w:bCs w:val="0"/>
                <w:webHidden/>
              </w:rPr>
              <w:fldChar w:fldCharType="begin"/>
            </w:r>
            <w:r w:rsidRPr="004B4173">
              <w:rPr>
                <w:b w:val="0"/>
                <w:bCs w:val="0"/>
                <w:webHidden/>
              </w:rPr>
              <w:instrText xml:space="preserve"> PAGEREF _Toc185245094 \h </w:instrText>
            </w:r>
            <w:r w:rsidRPr="004B4173">
              <w:rPr>
                <w:b w:val="0"/>
                <w:bCs w:val="0"/>
                <w:webHidden/>
              </w:rPr>
            </w:r>
            <w:r w:rsidRPr="004B4173">
              <w:rPr>
                <w:b w:val="0"/>
                <w:bCs w:val="0"/>
                <w:webHidden/>
              </w:rPr>
              <w:fldChar w:fldCharType="separate"/>
            </w:r>
            <w:r w:rsidRPr="004B4173">
              <w:rPr>
                <w:b w:val="0"/>
                <w:bCs w:val="0"/>
                <w:webHidden/>
              </w:rPr>
              <w:t>22</w:t>
            </w:r>
            <w:r w:rsidRPr="004B4173">
              <w:rPr>
                <w:b w:val="0"/>
                <w:bCs w:val="0"/>
                <w:webHidden/>
              </w:rPr>
              <w:fldChar w:fldCharType="end"/>
            </w:r>
          </w:hyperlink>
        </w:p>
        <w:p w14:paraId="37FD1298" w14:textId="5D51E1A1"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095" w:history="1">
            <w:r w:rsidRPr="004B4173">
              <w:rPr>
                <w:rStyle w:val="Hyperlink"/>
                <w:b w:val="0"/>
                <w:bCs w:val="0"/>
              </w:rPr>
              <w:t>3.1 Información Cuantitativa, Cualitativa e Indicadores de los Procesos Misionales</w:t>
            </w:r>
            <w:r w:rsidRPr="004B4173">
              <w:rPr>
                <w:b w:val="0"/>
                <w:bCs w:val="0"/>
                <w:webHidden/>
              </w:rPr>
              <w:tab/>
            </w:r>
            <w:r w:rsidRPr="004B4173">
              <w:rPr>
                <w:b w:val="0"/>
                <w:bCs w:val="0"/>
                <w:webHidden/>
              </w:rPr>
              <w:fldChar w:fldCharType="begin"/>
            </w:r>
            <w:r w:rsidRPr="004B4173">
              <w:rPr>
                <w:b w:val="0"/>
                <w:bCs w:val="0"/>
                <w:webHidden/>
              </w:rPr>
              <w:instrText xml:space="preserve"> PAGEREF _Toc185245095 \h </w:instrText>
            </w:r>
            <w:r w:rsidRPr="004B4173">
              <w:rPr>
                <w:b w:val="0"/>
                <w:bCs w:val="0"/>
                <w:webHidden/>
              </w:rPr>
            </w:r>
            <w:r w:rsidRPr="004B4173">
              <w:rPr>
                <w:b w:val="0"/>
                <w:bCs w:val="0"/>
                <w:webHidden/>
              </w:rPr>
              <w:fldChar w:fldCharType="separate"/>
            </w:r>
            <w:r w:rsidRPr="004B4173">
              <w:rPr>
                <w:b w:val="0"/>
                <w:bCs w:val="0"/>
                <w:webHidden/>
              </w:rPr>
              <w:t>22</w:t>
            </w:r>
            <w:r w:rsidRPr="004B4173">
              <w:rPr>
                <w:b w:val="0"/>
                <w:bCs w:val="0"/>
                <w:webHidden/>
              </w:rPr>
              <w:fldChar w:fldCharType="end"/>
            </w:r>
          </w:hyperlink>
        </w:p>
        <w:p w14:paraId="02BF23A5" w14:textId="10E0B75C"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096" w:history="1">
            <w:r w:rsidRPr="004B4173">
              <w:rPr>
                <w:rStyle w:val="Hyperlink"/>
                <w:rFonts w:eastAsia="Calibri"/>
                <w:b w:val="0"/>
                <w:bCs w:val="0"/>
                <w:lang w:val="es-ES"/>
              </w:rPr>
              <w:t>Régimen Subsidiado</w:t>
            </w:r>
            <w:r w:rsidRPr="004B4173">
              <w:rPr>
                <w:b w:val="0"/>
                <w:bCs w:val="0"/>
                <w:webHidden/>
              </w:rPr>
              <w:tab/>
            </w:r>
            <w:r w:rsidRPr="004B4173">
              <w:rPr>
                <w:b w:val="0"/>
                <w:bCs w:val="0"/>
                <w:webHidden/>
              </w:rPr>
              <w:fldChar w:fldCharType="begin"/>
            </w:r>
            <w:r w:rsidRPr="004B4173">
              <w:rPr>
                <w:b w:val="0"/>
                <w:bCs w:val="0"/>
                <w:webHidden/>
              </w:rPr>
              <w:instrText xml:space="preserve"> PAGEREF _Toc185245096 \h </w:instrText>
            </w:r>
            <w:r w:rsidRPr="004B4173">
              <w:rPr>
                <w:b w:val="0"/>
                <w:bCs w:val="0"/>
                <w:webHidden/>
              </w:rPr>
            </w:r>
            <w:r w:rsidRPr="004B4173">
              <w:rPr>
                <w:b w:val="0"/>
                <w:bCs w:val="0"/>
                <w:webHidden/>
              </w:rPr>
              <w:fldChar w:fldCharType="separate"/>
            </w:r>
            <w:r w:rsidRPr="004B4173">
              <w:rPr>
                <w:b w:val="0"/>
                <w:bCs w:val="0"/>
                <w:webHidden/>
              </w:rPr>
              <w:t>25</w:t>
            </w:r>
            <w:r w:rsidRPr="004B4173">
              <w:rPr>
                <w:b w:val="0"/>
                <w:bCs w:val="0"/>
                <w:webHidden/>
              </w:rPr>
              <w:fldChar w:fldCharType="end"/>
            </w:r>
          </w:hyperlink>
        </w:p>
        <w:p w14:paraId="79C71CEC" w14:textId="32BCB515"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097" w:history="1">
            <w:r w:rsidRPr="004B4173">
              <w:rPr>
                <w:rStyle w:val="Hyperlink"/>
                <w:rFonts w:eastAsia="Calibri"/>
                <w:b w:val="0"/>
                <w:bCs w:val="0"/>
                <w:lang w:val="es-ES"/>
              </w:rPr>
              <w:t>Aportes del Estado</w:t>
            </w:r>
            <w:r w:rsidRPr="004B4173">
              <w:rPr>
                <w:b w:val="0"/>
                <w:bCs w:val="0"/>
                <w:webHidden/>
              </w:rPr>
              <w:tab/>
            </w:r>
            <w:r w:rsidRPr="004B4173">
              <w:rPr>
                <w:b w:val="0"/>
                <w:bCs w:val="0"/>
                <w:webHidden/>
              </w:rPr>
              <w:fldChar w:fldCharType="begin"/>
            </w:r>
            <w:r w:rsidRPr="004B4173">
              <w:rPr>
                <w:b w:val="0"/>
                <w:bCs w:val="0"/>
                <w:webHidden/>
              </w:rPr>
              <w:instrText xml:space="preserve"> PAGEREF _Toc185245097 \h </w:instrText>
            </w:r>
            <w:r w:rsidRPr="004B4173">
              <w:rPr>
                <w:b w:val="0"/>
                <w:bCs w:val="0"/>
                <w:webHidden/>
              </w:rPr>
            </w:r>
            <w:r w:rsidRPr="004B4173">
              <w:rPr>
                <w:b w:val="0"/>
                <w:bCs w:val="0"/>
                <w:webHidden/>
              </w:rPr>
              <w:fldChar w:fldCharType="separate"/>
            </w:r>
            <w:r w:rsidRPr="004B4173">
              <w:rPr>
                <w:b w:val="0"/>
                <w:bCs w:val="0"/>
                <w:webHidden/>
              </w:rPr>
              <w:t>25</w:t>
            </w:r>
            <w:r w:rsidRPr="004B4173">
              <w:rPr>
                <w:b w:val="0"/>
                <w:bCs w:val="0"/>
                <w:webHidden/>
              </w:rPr>
              <w:fldChar w:fldCharType="end"/>
            </w:r>
          </w:hyperlink>
        </w:p>
        <w:p w14:paraId="66AD7B7A" w14:textId="2B355F16"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098" w:history="1">
            <w:r w:rsidRPr="004B4173">
              <w:rPr>
                <w:rStyle w:val="Hyperlink"/>
                <w:rFonts w:eastAsia="Calibri"/>
                <w:b w:val="0"/>
                <w:bCs w:val="0"/>
                <w:lang w:val="es-ES"/>
              </w:rPr>
              <w:t>Pagos Realizados a SENASA</w:t>
            </w:r>
            <w:r w:rsidRPr="004B4173">
              <w:rPr>
                <w:b w:val="0"/>
                <w:bCs w:val="0"/>
                <w:webHidden/>
              </w:rPr>
              <w:tab/>
            </w:r>
            <w:r w:rsidRPr="004B4173">
              <w:rPr>
                <w:b w:val="0"/>
                <w:bCs w:val="0"/>
                <w:webHidden/>
              </w:rPr>
              <w:fldChar w:fldCharType="begin"/>
            </w:r>
            <w:r w:rsidRPr="004B4173">
              <w:rPr>
                <w:b w:val="0"/>
                <w:bCs w:val="0"/>
                <w:webHidden/>
              </w:rPr>
              <w:instrText xml:space="preserve"> PAGEREF _Toc185245098 \h </w:instrText>
            </w:r>
            <w:r w:rsidRPr="004B4173">
              <w:rPr>
                <w:b w:val="0"/>
                <w:bCs w:val="0"/>
                <w:webHidden/>
              </w:rPr>
            </w:r>
            <w:r w:rsidRPr="004B4173">
              <w:rPr>
                <w:b w:val="0"/>
                <w:bCs w:val="0"/>
                <w:webHidden/>
              </w:rPr>
              <w:fldChar w:fldCharType="separate"/>
            </w:r>
            <w:r w:rsidRPr="004B4173">
              <w:rPr>
                <w:b w:val="0"/>
                <w:bCs w:val="0"/>
                <w:webHidden/>
              </w:rPr>
              <w:t>25</w:t>
            </w:r>
            <w:r w:rsidRPr="004B4173">
              <w:rPr>
                <w:b w:val="0"/>
                <w:bCs w:val="0"/>
                <w:webHidden/>
              </w:rPr>
              <w:fldChar w:fldCharType="end"/>
            </w:r>
          </w:hyperlink>
        </w:p>
        <w:p w14:paraId="2866DDE6" w14:textId="1ED8C5F1"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099" w:history="1">
            <w:r w:rsidRPr="004B4173">
              <w:rPr>
                <w:rStyle w:val="Hyperlink"/>
                <w:b w:val="0"/>
                <w:bCs w:val="0"/>
              </w:rPr>
              <w:t>IV. RESULTADOS DE LAS ÁREAS TRANSVERSALES Y DE APOYO</w:t>
            </w:r>
            <w:r w:rsidRPr="004B4173">
              <w:rPr>
                <w:b w:val="0"/>
                <w:bCs w:val="0"/>
                <w:webHidden/>
              </w:rPr>
              <w:tab/>
            </w:r>
            <w:r w:rsidRPr="004B4173">
              <w:rPr>
                <w:b w:val="0"/>
                <w:bCs w:val="0"/>
                <w:webHidden/>
              </w:rPr>
              <w:fldChar w:fldCharType="begin"/>
            </w:r>
            <w:r w:rsidRPr="004B4173">
              <w:rPr>
                <w:b w:val="0"/>
                <w:bCs w:val="0"/>
                <w:webHidden/>
              </w:rPr>
              <w:instrText xml:space="preserve"> PAGEREF _Toc185245099 \h </w:instrText>
            </w:r>
            <w:r w:rsidRPr="004B4173">
              <w:rPr>
                <w:b w:val="0"/>
                <w:bCs w:val="0"/>
                <w:webHidden/>
              </w:rPr>
            </w:r>
            <w:r w:rsidRPr="004B4173">
              <w:rPr>
                <w:b w:val="0"/>
                <w:bCs w:val="0"/>
                <w:webHidden/>
              </w:rPr>
              <w:fldChar w:fldCharType="separate"/>
            </w:r>
            <w:r w:rsidRPr="004B4173">
              <w:rPr>
                <w:b w:val="0"/>
                <w:bCs w:val="0"/>
                <w:webHidden/>
              </w:rPr>
              <w:t>38</w:t>
            </w:r>
            <w:r w:rsidRPr="004B4173">
              <w:rPr>
                <w:b w:val="0"/>
                <w:bCs w:val="0"/>
                <w:webHidden/>
              </w:rPr>
              <w:fldChar w:fldCharType="end"/>
            </w:r>
          </w:hyperlink>
        </w:p>
        <w:p w14:paraId="0D5B8D96" w14:textId="0F7C86A2"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00" w:history="1">
            <w:r w:rsidRPr="004B4173">
              <w:rPr>
                <w:rStyle w:val="Hyperlink"/>
                <w:b w:val="0"/>
                <w:bCs w:val="0"/>
              </w:rPr>
              <w:t>4.1 Desempeño Área Administrativa y Financiera</w:t>
            </w:r>
            <w:r w:rsidRPr="004B4173">
              <w:rPr>
                <w:b w:val="0"/>
                <w:bCs w:val="0"/>
                <w:webHidden/>
              </w:rPr>
              <w:tab/>
            </w:r>
            <w:r w:rsidRPr="004B4173">
              <w:rPr>
                <w:b w:val="0"/>
                <w:bCs w:val="0"/>
                <w:webHidden/>
              </w:rPr>
              <w:fldChar w:fldCharType="begin"/>
            </w:r>
            <w:r w:rsidRPr="004B4173">
              <w:rPr>
                <w:b w:val="0"/>
                <w:bCs w:val="0"/>
                <w:webHidden/>
              </w:rPr>
              <w:instrText xml:space="preserve"> PAGEREF _Toc185245100 \h </w:instrText>
            </w:r>
            <w:r w:rsidRPr="004B4173">
              <w:rPr>
                <w:b w:val="0"/>
                <w:bCs w:val="0"/>
                <w:webHidden/>
              </w:rPr>
            </w:r>
            <w:r w:rsidRPr="004B4173">
              <w:rPr>
                <w:b w:val="0"/>
                <w:bCs w:val="0"/>
                <w:webHidden/>
              </w:rPr>
              <w:fldChar w:fldCharType="separate"/>
            </w:r>
            <w:r w:rsidRPr="004B4173">
              <w:rPr>
                <w:b w:val="0"/>
                <w:bCs w:val="0"/>
                <w:webHidden/>
              </w:rPr>
              <w:t>38</w:t>
            </w:r>
            <w:r w:rsidRPr="004B4173">
              <w:rPr>
                <w:b w:val="0"/>
                <w:bCs w:val="0"/>
                <w:webHidden/>
              </w:rPr>
              <w:fldChar w:fldCharType="end"/>
            </w:r>
          </w:hyperlink>
        </w:p>
        <w:p w14:paraId="0C535C7B" w14:textId="106D5B5E"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01" w:history="1">
            <w:r w:rsidRPr="004B4173">
              <w:rPr>
                <w:rStyle w:val="Hyperlink"/>
                <w:b w:val="0"/>
                <w:bCs w:val="0"/>
              </w:rPr>
              <w:t>4.2 Desempeño de los Recursos Humanos</w:t>
            </w:r>
            <w:r w:rsidRPr="004B4173">
              <w:rPr>
                <w:b w:val="0"/>
                <w:bCs w:val="0"/>
                <w:webHidden/>
              </w:rPr>
              <w:tab/>
            </w:r>
            <w:r w:rsidRPr="004B4173">
              <w:rPr>
                <w:b w:val="0"/>
                <w:bCs w:val="0"/>
                <w:webHidden/>
              </w:rPr>
              <w:fldChar w:fldCharType="begin"/>
            </w:r>
            <w:r w:rsidRPr="004B4173">
              <w:rPr>
                <w:b w:val="0"/>
                <w:bCs w:val="0"/>
                <w:webHidden/>
              </w:rPr>
              <w:instrText xml:space="preserve"> PAGEREF _Toc185245101 \h </w:instrText>
            </w:r>
            <w:r w:rsidRPr="004B4173">
              <w:rPr>
                <w:b w:val="0"/>
                <w:bCs w:val="0"/>
                <w:webHidden/>
              </w:rPr>
            </w:r>
            <w:r w:rsidRPr="004B4173">
              <w:rPr>
                <w:b w:val="0"/>
                <w:bCs w:val="0"/>
                <w:webHidden/>
              </w:rPr>
              <w:fldChar w:fldCharType="separate"/>
            </w:r>
            <w:r w:rsidRPr="004B4173">
              <w:rPr>
                <w:b w:val="0"/>
                <w:bCs w:val="0"/>
                <w:webHidden/>
              </w:rPr>
              <w:t>50</w:t>
            </w:r>
            <w:r w:rsidRPr="004B4173">
              <w:rPr>
                <w:b w:val="0"/>
                <w:bCs w:val="0"/>
                <w:webHidden/>
              </w:rPr>
              <w:fldChar w:fldCharType="end"/>
            </w:r>
          </w:hyperlink>
        </w:p>
        <w:p w14:paraId="750F9BDE" w14:textId="44A9001E"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02" w:history="1">
            <w:r w:rsidRPr="004B4173">
              <w:rPr>
                <w:rStyle w:val="Hyperlink"/>
                <w:b w:val="0"/>
                <w:bCs w:val="0"/>
              </w:rPr>
              <w:t xml:space="preserve">Tabla 20: </w:t>
            </w:r>
            <w:r w:rsidRPr="004B4173">
              <w:rPr>
                <w:rStyle w:val="Hyperlink"/>
                <w:b w:val="0"/>
                <w:bCs w:val="0"/>
                <w:lang w:val="es-ES"/>
              </w:rPr>
              <w:t>Evaluación de Liderazgo por supervisor por área.</w:t>
            </w:r>
            <w:r w:rsidRPr="004B4173">
              <w:rPr>
                <w:b w:val="0"/>
                <w:bCs w:val="0"/>
                <w:webHidden/>
              </w:rPr>
              <w:tab/>
            </w:r>
            <w:r w:rsidRPr="004B4173">
              <w:rPr>
                <w:b w:val="0"/>
                <w:bCs w:val="0"/>
                <w:webHidden/>
              </w:rPr>
              <w:fldChar w:fldCharType="begin"/>
            </w:r>
            <w:r w:rsidRPr="004B4173">
              <w:rPr>
                <w:b w:val="0"/>
                <w:bCs w:val="0"/>
                <w:webHidden/>
              </w:rPr>
              <w:instrText xml:space="preserve"> PAGEREF _Toc185245102 \h </w:instrText>
            </w:r>
            <w:r w:rsidRPr="004B4173">
              <w:rPr>
                <w:b w:val="0"/>
                <w:bCs w:val="0"/>
                <w:webHidden/>
              </w:rPr>
            </w:r>
            <w:r w:rsidRPr="004B4173">
              <w:rPr>
                <w:b w:val="0"/>
                <w:bCs w:val="0"/>
                <w:webHidden/>
              </w:rPr>
              <w:fldChar w:fldCharType="separate"/>
            </w:r>
            <w:r w:rsidRPr="004B4173">
              <w:rPr>
                <w:b w:val="0"/>
                <w:bCs w:val="0"/>
                <w:webHidden/>
              </w:rPr>
              <w:t>69</w:t>
            </w:r>
            <w:r w:rsidRPr="004B4173">
              <w:rPr>
                <w:b w:val="0"/>
                <w:bCs w:val="0"/>
                <w:webHidden/>
              </w:rPr>
              <w:fldChar w:fldCharType="end"/>
            </w:r>
          </w:hyperlink>
        </w:p>
        <w:p w14:paraId="72DB94E6" w14:textId="18AC4945"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03" w:history="1">
            <w:r w:rsidRPr="004B4173">
              <w:rPr>
                <w:rStyle w:val="Hyperlink"/>
                <w:b w:val="0"/>
                <w:bCs w:val="0"/>
              </w:rPr>
              <w:t>Presentación PEI 2025-2028</w:t>
            </w:r>
            <w:r w:rsidRPr="004B4173">
              <w:rPr>
                <w:b w:val="0"/>
                <w:bCs w:val="0"/>
                <w:webHidden/>
              </w:rPr>
              <w:tab/>
            </w:r>
            <w:r w:rsidRPr="004B4173">
              <w:rPr>
                <w:b w:val="0"/>
                <w:bCs w:val="0"/>
                <w:webHidden/>
              </w:rPr>
              <w:fldChar w:fldCharType="begin"/>
            </w:r>
            <w:r w:rsidRPr="004B4173">
              <w:rPr>
                <w:b w:val="0"/>
                <w:bCs w:val="0"/>
                <w:webHidden/>
              </w:rPr>
              <w:instrText xml:space="preserve"> PAGEREF _Toc185245103 \h </w:instrText>
            </w:r>
            <w:r w:rsidRPr="004B4173">
              <w:rPr>
                <w:b w:val="0"/>
                <w:bCs w:val="0"/>
                <w:webHidden/>
              </w:rPr>
            </w:r>
            <w:r w:rsidRPr="004B4173">
              <w:rPr>
                <w:b w:val="0"/>
                <w:bCs w:val="0"/>
                <w:webHidden/>
              </w:rPr>
              <w:fldChar w:fldCharType="separate"/>
            </w:r>
            <w:r w:rsidRPr="004B4173">
              <w:rPr>
                <w:b w:val="0"/>
                <w:bCs w:val="0"/>
                <w:webHidden/>
              </w:rPr>
              <w:t>70</w:t>
            </w:r>
            <w:r w:rsidRPr="004B4173">
              <w:rPr>
                <w:b w:val="0"/>
                <w:bCs w:val="0"/>
                <w:webHidden/>
              </w:rPr>
              <w:fldChar w:fldCharType="end"/>
            </w:r>
          </w:hyperlink>
        </w:p>
        <w:p w14:paraId="6CEC2221" w14:textId="61FC2DF7"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04" w:history="1">
            <w:r w:rsidRPr="004B4173">
              <w:rPr>
                <w:rStyle w:val="Hyperlink"/>
                <w:b w:val="0"/>
                <w:bCs w:val="0"/>
              </w:rPr>
              <w:t>Tabla 21: Resultados de Limpieza de Costas</w:t>
            </w:r>
            <w:r w:rsidRPr="004B4173">
              <w:rPr>
                <w:b w:val="0"/>
                <w:bCs w:val="0"/>
                <w:webHidden/>
              </w:rPr>
              <w:tab/>
            </w:r>
            <w:r w:rsidRPr="004B4173">
              <w:rPr>
                <w:b w:val="0"/>
                <w:bCs w:val="0"/>
                <w:webHidden/>
              </w:rPr>
              <w:fldChar w:fldCharType="begin"/>
            </w:r>
            <w:r w:rsidRPr="004B4173">
              <w:rPr>
                <w:b w:val="0"/>
                <w:bCs w:val="0"/>
                <w:webHidden/>
              </w:rPr>
              <w:instrText xml:space="preserve"> PAGEREF _Toc185245104 \h </w:instrText>
            </w:r>
            <w:r w:rsidRPr="004B4173">
              <w:rPr>
                <w:b w:val="0"/>
                <w:bCs w:val="0"/>
                <w:webHidden/>
              </w:rPr>
            </w:r>
            <w:r w:rsidRPr="004B4173">
              <w:rPr>
                <w:b w:val="0"/>
                <w:bCs w:val="0"/>
                <w:webHidden/>
              </w:rPr>
              <w:fldChar w:fldCharType="separate"/>
            </w:r>
            <w:r w:rsidRPr="004B4173">
              <w:rPr>
                <w:b w:val="0"/>
                <w:bCs w:val="0"/>
                <w:webHidden/>
              </w:rPr>
              <w:t>72</w:t>
            </w:r>
            <w:r w:rsidRPr="004B4173">
              <w:rPr>
                <w:b w:val="0"/>
                <w:bCs w:val="0"/>
                <w:webHidden/>
              </w:rPr>
              <w:fldChar w:fldCharType="end"/>
            </w:r>
          </w:hyperlink>
        </w:p>
        <w:p w14:paraId="39E63F74" w14:textId="1AD3983B"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05" w:history="1">
            <w:r w:rsidRPr="004B4173">
              <w:rPr>
                <w:rStyle w:val="Hyperlink"/>
                <w:b w:val="0"/>
                <w:bCs w:val="0"/>
              </w:rPr>
              <w:t>4.3 Desempeño de los Procesos Jurídicos</w:t>
            </w:r>
            <w:r w:rsidRPr="004B4173">
              <w:rPr>
                <w:b w:val="0"/>
                <w:bCs w:val="0"/>
                <w:webHidden/>
              </w:rPr>
              <w:tab/>
            </w:r>
            <w:r w:rsidRPr="004B4173">
              <w:rPr>
                <w:b w:val="0"/>
                <w:bCs w:val="0"/>
                <w:webHidden/>
              </w:rPr>
              <w:fldChar w:fldCharType="begin"/>
            </w:r>
            <w:r w:rsidRPr="004B4173">
              <w:rPr>
                <w:b w:val="0"/>
                <w:bCs w:val="0"/>
                <w:webHidden/>
              </w:rPr>
              <w:instrText xml:space="preserve"> PAGEREF _Toc185245105 \h </w:instrText>
            </w:r>
            <w:r w:rsidRPr="004B4173">
              <w:rPr>
                <w:b w:val="0"/>
                <w:bCs w:val="0"/>
                <w:webHidden/>
              </w:rPr>
            </w:r>
            <w:r w:rsidRPr="004B4173">
              <w:rPr>
                <w:b w:val="0"/>
                <w:bCs w:val="0"/>
                <w:webHidden/>
              </w:rPr>
              <w:fldChar w:fldCharType="separate"/>
            </w:r>
            <w:r w:rsidRPr="004B4173">
              <w:rPr>
                <w:b w:val="0"/>
                <w:bCs w:val="0"/>
                <w:webHidden/>
              </w:rPr>
              <w:t>75</w:t>
            </w:r>
            <w:r w:rsidRPr="004B4173">
              <w:rPr>
                <w:b w:val="0"/>
                <w:bCs w:val="0"/>
                <w:webHidden/>
              </w:rPr>
              <w:fldChar w:fldCharType="end"/>
            </w:r>
          </w:hyperlink>
        </w:p>
        <w:p w14:paraId="511D1B88" w14:textId="27A5895D"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06" w:history="1">
            <w:r w:rsidRPr="004B4173">
              <w:rPr>
                <w:rStyle w:val="Hyperlink"/>
                <w:b w:val="0"/>
                <w:bCs w:val="0"/>
              </w:rPr>
              <w:t>4.4 Desempeño de la Tecnología</w:t>
            </w:r>
            <w:r w:rsidRPr="004B4173">
              <w:rPr>
                <w:b w:val="0"/>
                <w:bCs w:val="0"/>
                <w:webHidden/>
              </w:rPr>
              <w:tab/>
            </w:r>
            <w:r w:rsidRPr="004B4173">
              <w:rPr>
                <w:b w:val="0"/>
                <w:bCs w:val="0"/>
                <w:webHidden/>
              </w:rPr>
              <w:fldChar w:fldCharType="begin"/>
            </w:r>
            <w:r w:rsidRPr="004B4173">
              <w:rPr>
                <w:b w:val="0"/>
                <w:bCs w:val="0"/>
                <w:webHidden/>
              </w:rPr>
              <w:instrText xml:space="preserve"> PAGEREF _Toc185245106 \h </w:instrText>
            </w:r>
            <w:r w:rsidRPr="004B4173">
              <w:rPr>
                <w:b w:val="0"/>
                <w:bCs w:val="0"/>
                <w:webHidden/>
              </w:rPr>
            </w:r>
            <w:r w:rsidRPr="004B4173">
              <w:rPr>
                <w:b w:val="0"/>
                <w:bCs w:val="0"/>
                <w:webHidden/>
              </w:rPr>
              <w:fldChar w:fldCharType="separate"/>
            </w:r>
            <w:r w:rsidRPr="004B4173">
              <w:rPr>
                <w:b w:val="0"/>
                <w:bCs w:val="0"/>
                <w:webHidden/>
              </w:rPr>
              <w:t>79</w:t>
            </w:r>
            <w:r w:rsidRPr="004B4173">
              <w:rPr>
                <w:b w:val="0"/>
                <w:bCs w:val="0"/>
                <w:webHidden/>
              </w:rPr>
              <w:fldChar w:fldCharType="end"/>
            </w:r>
          </w:hyperlink>
        </w:p>
        <w:p w14:paraId="64B61ACD" w14:textId="6DD9342D"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07" w:history="1">
            <w:r w:rsidRPr="004B4173">
              <w:rPr>
                <w:rStyle w:val="Hyperlink"/>
                <w:b w:val="0"/>
                <w:bCs w:val="0"/>
              </w:rPr>
              <w:t>Resultados obtenidos en el Índice de Uso de TIC e Implementación de Gobierno Electrónico (ITICGE) durante el año y justificación en caso de incumplimiento.</w:t>
            </w:r>
            <w:r w:rsidRPr="004B4173">
              <w:rPr>
                <w:b w:val="0"/>
                <w:bCs w:val="0"/>
                <w:webHidden/>
              </w:rPr>
              <w:tab/>
            </w:r>
            <w:r w:rsidRPr="004B4173">
              <w:rPr>
                <w:b w:val="0"/>
                <w:bCs w:val="0"/>
                <w:webHidden/>
              </w:rPr>
              <w:fldChar w:fldCharType="begin"/>
            </w:r>
            <w:r w:rsidRPr="004B4173">
              <w:rPr>
                <w:b w:val="0"/>
                <w:bCs w:val="0"/>
                <w:webHidden/>
              </w:rPr>
              <w:instrText xml:space="preserve"> PAGEREF _Toc185245107 \h </w:instrText>
            </w:r>
            <w:r w:rsidRPr="004B4173">
              <w:rPr>
                <w:b w:val="0"/>
                <w:bCs w:val="0"/>
                <w:webHidden/>
              </w:rPr>
            </w:r>
            <w:r w:rsidRPr="004B4173">
              <w:rPr>
                <w:b w:val="0"/>
                <w:bCs w:val="0"/>
                <w:webHidden/>
              </w:rPr>
              <w:fldChar w:fldCharType="separate"/>
            </w:r>
            <w:r w:rsidRPr="004B4173">
              <w:rPr>
                <w:b w:val="0"/>
                <w:bCs w:val="0"/>
                <w:webHidden/>
              </w:rPr>
              <w:t>80</w:t>
            </w:r>
            <w:r w:rsidRPr="004B4173">
              <w:rPr>
                <w:b w:val="0"/>
                <w:bCs w:val="0"/>
                <w:webHidden/>
              </w:rPr>
              <w:fldChar w:fldCharType="end"/>
            </w:r>
          </w:hyperlink>
        </w:p>
        <w:p w14:paraId="392F27FA" w14:textId="5DD6BDBB"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08" w:history="1">
            <w:r w:rsidRPr="004B4173">
              <w:rPr>
                <w:rStyle w:val="Hyperlink"/>
                <w:rFonts w:eastAsia="Calibri" w:cs="Times New Roman"/>
                <w:b w:val="0"/>
                <w:bCs w:val="0"/>
                <w:lang w:val="es-ES"/>
              </w:rPr>
              <w:t>Departamento de Ciberseguridad</w:t>
            </w:r>
            <w:r w:rsidRPr="004B4173">
              <w:rPr>
                <w:b w:val="0"/>
                <w:bCs w:val="0"/>
                <w:webHidden/>
              </w:rPr>
              <w:tab/>
            </w:r>
            <w:r w:rsidRPr="004B4173">
              <w:rPr>
                <w:b w:val="0"/>
                <w:bCs w:val="0"/>
                <w:webHidden/>
              </w:rPr>
              <w:fldChar w:fldCharType="begin"/>
            </w:r>
            <w:r w:rsidRPr="004B4173">
              <w:rPr>
                <w:b w:val="0"/>
                <w:bCs w:val="0"/>
                <w:webHidden/>
              </w:rPr>
              <w:instrText xml:space="preserve"> PAGEREF _Toc185245108 \h </w:instrText>
            </w:r>
            <w:r w:rsidRPr="004B4173">
              <w:rPr>
                <w:b w:val="0"/>
                <w:bCs w:val="0"/>
                <w:webHidden/>
              </w:rPr>
            </w:r>
            <w:r w:rsidRPr="004B4173">
              <w:rPr>
                <w:b w:val="0"/>
                <w:bCs w:val="0"/>
                <w:webHidden/>
              </w:rPr>
              <w:fldChar w:fldCharType="separate"/>
            </w:r>
            <w:r w:rsidRPr="004B4173">
              <w:rPr>
                <w:b w:val="0"/>
                <w:bCs w:val="0"/>
                <w:webHidden/>
              </w:rPr>
              <w:t>88</w:t>
            </w:r>
            <w:r w:rsidRPr="004B4173">
              <w:rPr>
                <w:b w:val="0"/>
                <w:bCs w:val="0"/>
                <w:webHidden/>
              </w:rPr>
              <w:fldChar w:fldCharType="end"/>
            </w:r>
          </w:hyperlink>
        </w:p>
        <w:p w14:paraId="611D852C" w14:textId="0283FDB8"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09" w:history="1">
            <w:r w:rsidRPr="004B4173">
              <w:rPr>
                <w:rStyle w:val="Hyperlink"/>
                <w:b w:val="0"/>
                <w:bCs w:val="0"/>
              </w:rPr>
              <w:t>Departamento de Gestión Integral de Riesgos</w:t>
            </w:r>
            <w:r w:rsidRPr="004B4173">
              <w:rPr>
                <w:b w:val="0"/>
                <w:bCs w:val="0"/>
                <w:webHidden/>
              </w:rPr>
              <w:tab/>
            </w:r>
            <w:r w:rsidRPr="004B4173">
              <w:rPr>
                <w:b w:val="0"/>
                <w:bCs w:val="0"/>
                <w:webHidden/>
              </w:rPr>
              <w:fldChar w:fldCharType="begin"/>
            </w:r>
            <w:r w:rsidRPr="004B4173">
              <w:rPr>
                <w:b w:val="0"/>
                <w:bCs w:val="0"/>
                <w:webHidden/>
              </w:rPr>
              <w:instrText xml:space="preserve"> PAGEREF _Toc185245109 \h </w:instrText>
            </w:r>
            <w:r w:rsidRPr="004B4173">
              <w:rPr>
                <w:b w:val="0"/>
                <w:bCs w:val="0"/>
                <w:webHidden/>
              </w:rPr>
            </w:r>
            <w:r w:rsidRPr="004B4173">
              <w:rPr>
                <w:b w:val="0"/>
                <w:bCs w:val="0"/>
                <w:webHidden/>
              </w:rPr>
              <w:fldChar w:fldCharType="separate"/>
            </w:r>
            <w:r w:rsidRPr="004B4173">
              <w:rPr>
                <w:b w:val="0"/>
                <w:bCs w:val="0"/>
                <w:webHidden/>
              </w:rPr>
              <w:t>90</w:t>
            </w:r>
            <w:r w:rsidRPr="004B4173">
              <w:rPr>
                <w:b w:val="0"/>
                <w:bCs w:val="0"/>
                <w:webHidden/>
              </w:rPr>
              <w:fldChar w:fldCharType="end"/>
            </w:r>
          </w:hyperlink>
        </w:p>
        <w:p w14:paraId="448AE3A4" w14:textId="365CCD18"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10" w:history="1">
            <w:r w:rsidRPr="004B4173">
              <w:rPr>
                <w:rStyle w:val="Hyperlink"/>
                <w:b w:val="0"/>
                <w:bCs w:val="0"/>
                <w:lang w:val="es-ES"/>
              </w:rPr>
              <w:t>Gestión de Riesgos</w:t>
            </w:r>
            <w:r w:rsidRPr="004B4173">
              <w:rPr>
                <w:b w:val="0"/>
                <w:bCs w:val="0"/>
                <w:webHidden/>
              </w:rPr>
              <w:tab/>
            </w:r>
            <w:r w:rsidRPr="004B4173">
              <w:rPr>
                <w:b w:val="0"/>
                <w:bCs w:val="0"/>
                <w:webHidden/>
              </w:rPr>
              <w:fldChar w:fldCharType="begin"/>
            </w:r>
            <w:r w:rsidRPr="004B4173">
              <w:rPr>
                <w:b w:val="0"/>
                <w:bCs w:val="0"/>
                <w:webHidden/>
              </w:rPr>
              <w:instrText xml:space="preserve"> PAGEREF _Toc185245110 \h </w:instrText>
            </w:r>
            <w:r w:rsidRPr="004B4173">
              <w:rPr>
                <w:b w:val="0"/>
                <w:bCs w:val="0"/>
                <w:webHidden/>
              </w:rPr>
            </w:r>
            <w:r w:rsidRPr="004B4173">
              <w:rPr>
                <w:b w:val="0"/>
                <w:bCs w:val="0"/>
                <w:webHidden/>
              </w:rPr>
              <w:fldChar w:fldCharType="separate"/>
            </w:r>
            <w:r w:rsidRPr="004B4173">
              <w:rPr>
                <w:b w:val="0"/>
                <w:bCs w:val="0"/>
                <w:webHidden/>
              </w:rPr>
              <w:t>91</w:t>
            </w:r>
            <w:r w:rsidRPr="004B4173">
              <w:rPr>
                <w:b w:val="0"/>
                <w:bCs w:val="0"/>
                <w:webHidden/>
              </w:rPr>
              <w:fldChar w:fldCharType="end"/>
            </w:r>
          </w:hyperlink>
        </w:p>
        <w:p w14:paraId="1F4BF1AF" w14:textId="62237877"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11" w:history="1">
            <w:r w:rsidRPr="004B4173">
              <w:rPr>
                <w:rStyle w:val="Hyperlink"/>
                <w:b w:val="0"/>
                <w:bCs w:val="0"/>
              </w:rPr>
              <w:t>Resultados de las Normas Básicas de Control Interno (NOBACI) T3.</w:t>
            </w:r>
            <w:r w:rsidRPr="004B4173">
              <w:rPr>
                <w:b w:val="0"/>
                <w:bCs w:val="0"/>
                <w:webHidden/>
              </w:rPr>
              <w:tab/>
            </w:r>
            <w:r w:rsidRPr="004B4173">
              <w:rPr>
                <w:b w:val="0"/>
                <w:bCs w:val="0"/>
                <w:webHidden/>
              </w:rPr>
              <w:fldChar w:fldCharType="begin"/>
            </w:r>
            <w:r w:rsidRPr="004B4173">
              <w:rPr>
                <w:b w:val="0"/>
                <w:bCs w:val="0"/>
                <w:webHidden/>
              </w:rPr>
              <w:instrText xml:space="preserve"> PAGEREF _Toc185245111 \h </w:instrText>
            </w:r>
            <w:r w:rsidRPr="004B4173">
              <w:rPr>
                <w:b w:val="0"/>
                <w:bCs w:val="0"/>
                <w:webHidden/>
              </w:rPr>
            </w:r>
            <w:r w:rsidRPr="004B4173">
              <w:rPr>
                <w:b w:val="0"/>
                <w:bCs w:val="0"/>
                <w:webHidden/>
              </w:rPr>
              <w:fldChar w:fldCharType="separate"/>
            </w:r>
            <w:r w:rsidRPr="004B4173">
              <w:rPr>
                <w:b w:val="0"/>
                <w:bCs w:val="0"/>
                <w:webHidden/>
              </w:rPr>
              <w:t>93</w:t>
            </w:r>
            <w:r w:rsidRPr="004B4173">
              <w:rPr>
                <w:b w:val="0"/>
                <w:bCs w:val="0"/>
                <w:webHidden/>
              </w:rPr>
              <w:fldChar w:fldCharType="end"/>
            </w:r>
          </w:hyperlink>
        </w:p>
        <w:p w14:paraId="3F8377A7" w14:textId="0CF519E9"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12" w:history="1">
            <w:r w:rsidRPr="004B4173">
              <w:rPr>
                <w:rStyle w:val="Hyperlink"/>
                <w:b w:val="0"/>
                <w:bCs w:val="0"/>
              </w:rPr>
              <w:t>4.5. Desempeño del Sistema de Planificación y Desarrollo Institucional</w:t>
            </w:r>
            <w:r w:rsidRPr="004B4173">
              <w:rPr>
                <w:b w:val="0"/>
                <w:bCs w:val="0"/>
                <w:webHidden/>
              </w:rPr>
              <w:tab/>
            </w:r>
            <w:r w:rsidRPr="004B4173">
              <w:rPr>
                <w:b w:val="0"/>
                <w:bCs w:val="0"/>
                <w:webHidden/>
              </w:rPr>
              <w:fldChar w:fldCharType="begin"/>
            </w:r>
            <w:r w:rsidRPr="004B4173">
              <w:rPr>
                <w:b w:val="0"/>
                <w:bCs w:val="0"/>
                <w:webHidden/>
              </w:rPr>
              <w:instrText xml:space="preserve"> PAGEREF _Toc185245112 \h </w:instrText>
            </w:r>
            <w:r w:rsidRPr="004B4173">
              <w:rPr>
                <w:b w:val="0"/>
                <w:bCs w:val="0"/>
                <w:webHidden/>
              </w:rPr>
            </w:r>
            <w:r w:rsidRPr="004B4173">
              <w:rPr>
                <w:b w:val="0"/>
                <w:bCs w:val="0"/>
                <w:webHidden/>
              </w:rPr>
              <w:fldChar w:fldCharType="separate"/>
            </w:r>
            <w:r w:rsidRPr="004B4173">
              <w:rPr>
                <w:b w:val="0"/>
                <w:bCs w:val="0"/>
                <w:webHidden/>
              </w:rPr>
              <w:t>97</w:t>
            </w:r>
            <w:r w:rsidRPr="004B4173">
              <w:rPr>
                <w:b w:val="0"/>
                <w:bCs w:val="0"/>
                <w:webHidden/>
              </w:rPr>
              <w:fldChar w:fldCharType="end"/>
            </w:r>
          </w:hyperlink>
        </w:p>
        <w:p w14:paraId="31921A89" w14:textId="6276E6F0"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13" w:history="1">
            <w:r w:rsidRPr="004B4173">
              <w:rPr>
                <w:rStyle w:val="Hyperlink"/>
                <w:b w:val="0"/>
                <w:bCs w:val="0"/>
              </w:rPr>
              <w:t>4.6 Desempeño del Área de Comunicaciones</w:t>
            </w:r>
            <w:r w:rsidRPr="004B4173">
              <w:rPr>
                <w:b w:val="0"/>
                <w:bCs w:val="0"/>
                <w:webHidden/>
              </w:rPr>
              <w:tab/>
            </w:r>
            <w:r w:rsidRPr="004B4173">
              <w:rPr>
                <w:b w:val="0"/>
                <w:bCs w:val="0"/>
                <w:webHidden/>
              </w:rPr>
              <w:fldChar w:fldCharType="begin"/>
            </w:r>
            <w:r w:rsidRPr="004B4173">
              <w:rPr>
                <w:b w:val="0"/>
                <w:bCs w:val="0"/>
                <w:webHidden/>
              </w:rPr>
              <w:instrText xml:space="preserve"> PAGEREF _Toc185245113 \h </w:instrText>
            </w:r>
            <w:r w:rsidRPr="004B4173">
              <w:rPr>
                <w:b w:val="0"/>
                <w:bCs w:val="0"/>
                <w:webHidden/>
              </w:rPr>
            </w:r>
            <w:r w:rsidRPr="004B4173">
              <w:rPr>
                <w:b w:val="0"/>
                <w:bCs w:val="0"/>
                <w:webHidden/>
              </w:rPr>
              <w:fldChar w:fldCharType="separate"/>
            </w:r>
            <w:r w:rsidRPr="004B4173">
              <w:rPr>
                <w:b w:val="0"/>
                <w:bCs w:val="0"/>
                <w:webHidden/>
              </w:rPr>
              <w:t>102</w:t>
            </w:r>
            <w:r w:rsidRPr="004B4173">
              <w:rPr>
                <w:b w:val="0"/>
                <w:bCs w:val="0"/>
                <w:webHidden/>
              </w:rPr>
              <w:fldChar w:fldCharType="end"/>
            </w:r>
          </w:hyperlink>
        </w:p>
        <w:p w14:paraId="4D10BD94" w14:textId="068F91F0"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14" w:history="1">
            <w:r w:rsidRPr="004B4173">
              <w:rPr>
                <w:rStyle w:val="Hyperlink"/>
                <w:rFonts w:cs="Times New Roman"/>
                <w:b w:val="0"/>
                <w:bCs w:val="0"/>
              </w:rPr>
              <w:t>V. SERVICIO AL CIUDADANO Y TRANSPARENCIA INSTITUCIONAL</w:t>
            </w:r>
            <w:r w:rsidRPr="004B4173">
              <w:rPr>
                <w:b w:val="0"/>
                <w:bCs w:val="0"/>
                <w:webHidden/>
              </w:rPr>
              <w:tab/>
            </w:r>
            <w:r w:rsidRPr="004B4173">
              <w:rPr>
                <w:b w:val="0"/>
                <w:bCs w:val="0"/>
                <w:webHidden/>
              </w:rPr>
              <w:fldChar w:fldCharType="begin"/>
            </w:r>
            <w:r w:rsidRPr="004B4173">
              <w:rPr>
                <w:b w:val="0"/>
                <w:bCs w:val="0"/>
                <w:webHidden/>
              </w:rPr>
              <w:instrText xml:space="preserve"> PAGEREF _Toc185245114 \h </w:instrText>
            </w:r>
            <w:r w:rsidRPr="004B4173">
              <w:rPr>
                <w:b w:val="0"/>
                <w:bCs w:val="0"/>
                <w:webHidden/>
              </w:rPr>
            </w:r>
            <w:r w:rsidRPr="004B4173">
              <w:rPr>
                <w:b w:val="0"/>
                <w:bCs w:val="0"/>
                <w:webHidden/>
              </w:rPr>
              <w:fldChar w:fldCharType="separate"/>
            </w:r>
            <w:r w:rsidRPr="004B4173">
              <w:rPr>
                <w:b w:val="0"/>
                <w:bCs w:val="0"/>
                <w:webHidden/>
              </w:rPr>
              <w:t>109</w:t>
            </w:r>
            <w:r w:rsidRPr="004B4173">
              <w:rPr>
                <w:b w:val="0"/>
                <w:bCs w:val="0"/>
                <w:webHidden/>
              </w:rPr>
              <w:fldChar w:fldCharType="end"/>
            </w:r>
          </w:hyperlink>
        </w:p>
        <w:p w14:paraId="1645BF5E" w14:textId="3C42DA0A"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15" w:history="1">
            <w:r w:rsidRPr="004B4173">
              <w:rPr>
                <w:rStyle w:val="Hyperlink"/>
                <w:b w:val="0"/>
                <w:bCs w:val="0"/>
              </w:rPr>
              <w:t>5.1 Nivel de la Satisfacción con el Servicio</w:t>
            </w:r>
            <w:r w:rsidRPr="004B4173">
              <w:rPr>
                <w:b w:val="0"/>
                <w:bCs w:val="0"/>
                <w:webHidden/>
              </w:rPr>
              <w:tab/>
            </w:r>
            <w:r w:rsidRPr="004B4173">
              <w:rPr>
                <w:b w:val="0"/>
                <w:bCs w:val="0"/>
                <w:webHidden/>
              </w:rPr>
              <w:fldChar w:fldCharType="begin"/>
            </w:r>
            <w:r w:rsidRPr="004B4173">
              <w:rPr>
                <w:b w:val="0"/>
                <w:bCs w:val="0"/>
                <w:webHidden/>
              </w:rPr>
              <w:instrText xml:space="preserve"> PAGEREF _Toc185245115 \h </w:instrText>
            </w:r>
            <w:r w:rsidRPr="004B4173">
              <w:rPr>
                <w:b w:val="0"/>
                <w:bCs w:val="0"/>
                <w:webHidden/>
              </w:rPr>
            </w:r>
            <w:r w:rsidRPr="004B4173">
              <w:rPr>
                <w:b w:val="0"/>
                <w:bCs w:val="0"/>
                <w:webHidden/>
              </w:rPr>
              <w:fldChar w:fldCharType="separate"/>
            </w:r>
            <w:r w:rsidRPr="004B4173">
              <w:rPr>
                <w:b w:val="0"/>
                <w:bCs w:val="0"/>
                <w:webHidden/>
              </w:rPr>
              <w:t>109</w:t>
            </w:r>
            <w:r w:rsidRPr="004B4173">
              <w:rPr>
                <w:b w:val="0"/>
                <w:bCs w:val="0"/>
                <w:webHidden/>
              </w:rPr>
              <w:fldChar w:fldCharType="end"/>
            </w:r>
          </w:hyperlink>
        </w:p>
        <w:p w14:paraId="0CCB4282" w14:textId="73EB1856"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16" w:history="1">
            <w:r w:rsidRPr="004B4173">
              <w:rPr>
                <w:rStyle w:val="Hyperlink"/>
                <w:b w:val="0"/>
                <w:bCs w:val="0"/>
              </w:rPr>
              <w:t>5.2 Nivel de Cumplimiento Acceso a la Información</w:t>
            </w:r>
            <w:r w:rsidRPr="004B4173">
              <w:rPr>
                <w:b w:val="0"/>
                <w:bCs w:val="0"/>
                <w:webHidden/>
              </w:rPr>
              <w:tab/>
            </w:r>
            <w:r w:rsidRPr="004B4173">
              <w:rPr>
                <w:b w:val="0"/>
                <w:bCs w:val="0"/>
                <w:webHidden/>
              </w:rPr>
              <w:fldChar w:fldCharType="begin"/>
            </w:r>
            <w:r w:rsidRPr="004B4173">
              <w:rPr>
                <w:b w:val="0"/>
                <w:bCs w:val="0"/>
                <w:webHidden/>
              </w:rPr>
              <w:instrText xml:space="preserve"> PAGEREF _Toc185245116 \h </w:instrText>
            </w:r>
            <w:r w:rsidRPr="004B4173">
              <w:rPr>
                <w:b w:val="0"/>
                <w:bCs w:val="0"/>
                <w:webHidden/>
              </w:rPr>
            </w:r>
            <w:r w:rsidRPr="004B4173">
              <w:rPr>
                <w:b w:val="0"/>
                <w:bCs w:val="0"/>
                <w:webHidden/>
              </w:rPr>
              <w:fldChar w:fldCharType="separate"/>
            </w:r>
            <w:r w:rsidRPr="004B4173">
              <w:rPr>
                <w:b w:val="0"/>
                <w:bCs w:val="0"/>
                <w:webHidden/>
              </w:rPr>
              <w:t>112</w:t>
            </w:r>
            <w:r w:rsidRPr="004B4173">
              <w:rPr>
                <w:b w:val="0"/>
                <w:bCs w:val="0"/>
                <w:webHidden/>
              </w:rPr>
              <w:fldChar w:fldCharType="end"/>
            </w:r>
          </w:hyperlink>
        </w:p>
        <w:p w14:paraId="6CC32208" w14:textId="179E2BDC"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17" w:history="1">
            <w:r w:rsidRPr="004B4173">
              <w:rPr>
                <w:rStyle w:val="Hyperlink"/>
                <w:b w:val="0"/>
                <w:bCs w:val="0"/>
              </w:rPr>
              <w:t>5.3 Resultados Sistema de Quejas, Reclamos y Sugerencias</w:t>
            </w:r>
            <w:r w:rsidRPr="004B4173">
              <w:rPr>
                <w:b w:val="0"/>
                <w:bCs w:val="0"/>
                <w:webHidden/>
              </w:rPr>
              <w:tab/>
            </w:r>
            <w:r w:rsidRPr="004B4173">
              <w:rPr>
                <w:b w:val="0"/>
                <w:bCs w:val="0"/>
                <w:webHidden/>
              </w:rPr>
              <w:fldChar w:fldCharType="begin"/>
            </w:r>
            <w:r w:rsidRPr="004B4173">
              <w:rPr>
                <w:b w:val="0"/>
                <w:bCs w:val="0"/>
                <w:webHidden/>
              </w:rPr>
              <w:instrText xml:space="preserve"> PAGEREF _Toc185245117 \h </w:instrText>
            </w:r>
            <w:r w:rsidRPr="004B4173">
              <w:rPr>
                <w:b w:val="0"/>
                <w:bCs w:val="0"/>
                <w:webHidden/>
              </w:rPr>
            </w:r>
            <w:r w:rsidRPr="004B4173">
              <w:rPr>
                <w:b w:val="0"/>
                <w:bCs w:val="0"/>
                <w:webHidden/>
              </w:rPr>
              <w:fldChar w:fldCharType="separate"/>
            </w:r>
            <w:r w:rsidRPr="004B4173">
              <w:rPr>
                <w:b w:val="0"/>
                <w:bCs w:val="0"/>
                <w:webHidden/>
              </w:rPr>
              <w:t>114</w:t>
            </w:r>
            <w:r w:rsidRPr="004B4173">
              <w:rPr>
                <w:b w:val="0"/>
                <w:bCs w:val="0"/>
                <w:webHidden/>
              </w:rPr>
              <w:fldChar w:fldCharType="end"/>
            </w:r>
          </w:hyperlink>
        </w:p>
        <w:p w14:paraId="14FD7E93" w14:textId="4991BB9F"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18" w:history="1">
            <w:r w:rsidRPr="004B4173">
              <w:rPr>
                <w:rStyle w:val="Hyperlink"/>
                <w:b w:val="0"/>
                <w:bCs w:val="0"/>
              </w:rPr>
              <w:t>5.4 Resultados, Mediciones del Portal de Transparencia</w:t>
            </w:r>
            <w:r w:rsidRPr="004B4173">
              <w:rPr>
                <w:b w:val="0"/>
                <w:bCs w:val="0"/>
                <w:webHidden/>
              </w:rPr>
              <w:tab/>
            </w:r>
            <w:r w:rsidRPr="004B4173">
              <w:rPr>
                <w:b w:val="0"/>
                <w:bCs w:val="0"/>
                <w:webHidden/>
              </w:rPr>
              <w:fldChar w:fldCharType="begin"/>
            </w:r>
            <w:r w:rsidRPr="004B4173">
              <w:rPr>
                <w:b w:val="0"/>
                <w:bCs w:val="0"/>
                <w:webHidden/>
              </w:rPr>
              <w:instrText xml:space="preserve"> PAGEREF _Toc185245118 \h </w:instrText>
            </w:r>
            <w:r w:rsidRPr="004B4173">
              <w:rPr>
                <w:b w:val="0"/>
                <w:bCs w:val="0"/>
                <w:webHidden/>
              </w:rPr>
            </w:r>
            <w:r w:rsidRPr="004B4173">
              <w:rPr>
                <w:b w:val="0"/>
                <w:bCs w:val="0"/>
                <w:webHidden/>
              </w:rPr>
              <w:fldChar w:fldCharType="separate"/>
            </w:r>
            <w:r w:rsidRPr="004B4173">
              <w:rPr>
                <w:b w:val="0"/>
                <w:bCs w:val="0"/>
                <w:webHidden/>
              </w:rPr>
              <w:t>118</w:t>
            </w:r>
            <w:r w:rsidRPr="004B4173">
              <w:rPr>
                <w:b w:val="0"/>
                <w:bCs w:val="0"/>
                <w:webHidden/>
              </w:rPr>
              <w:fldChar w:fldCharType="end"/>
            </w:r>
          </w:hyperlink>
        </w:p>
        <w:p w14:paraId="5BED9602" w14:textId="1EF4A019"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19" w:history="1">
            <w:r w:rsidRPr="004B4173">
              <w:rPr>
                <w:rStyle w:val="Hyperlink"/>
                <w:b w:val="0"/>
                <w:bCs w:val="0"/>
              </w:rPr>
              <w:t>Participación en Actividades Externas</w:t>
            </w:r>
            <w:r w:rsidRPr="004B4173">
              <w:rPr>
                <w:b w:val="0"/>
                <w:bCs w:val="0"/>
                <w:webHidden/>
              </w:rPr>
              <w:tab/>
            </w:r>
            <w:r w:rsidRPr="004B4173">
              <w:rPr>
                <w:b w:val="0"/>
                <w:bCs w:val="0"/>
                <w:webHidden/>
              </w:rPr>
              <w:fldChar w:fldCharType="begin"/>
            </w:r>
            <w:r w:rsidRPr="004B4173">
              <w:rPr>
                <w:b w:val="0"/>
                <w:bCs w:val="0"/>
                <w:webHidden/>
              </w:rPr>
              <w:instrText xml:space="preserve"> PAGEREF _Toc185245119 \h </w:instrText>
            </w:r>
            <w:r w:rsidRPr="004B4173">
              <w:rPr>
                <w:b w:val="0"/>
                <w:bCs w:val="0"/>
                <w:webHidden/>
              </w:rPr>
            </w:r>
            <w:r w:rsidRPr="004B4173">
              <w:rPr>
                <w:b w:val="0"/>
                <w:bCs w:val="0"/>
                <w:webHidden/>
              </w:rPr>
              <w:fldChar w:fldCharType="separate"/>
            </w:r>
            <w:r w:rsidRPr="004B4173">
              <w:rPr>
                <w:b w:val="0"/>
                <w:bCs w:val="0"/>
                <w:webHidden/>
              </w:rPr>
              <w:t>119</w:t>
            </w:r>
            <w:r w:rsidRPr="004B4173">
              <w:rPr>
                <w:b w:val="0"/>
                <w:bCs w:val="0"/>
                <w:webHidden/>
              </w:rPr>
              <w:fldChar w:fldCharType="end"/>
            </w:r>
          </w:hyperlink>
        </w:p>
        <w:p w14:paraId="44A0A4F1" w14:textId="292C721D"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20" w:history="1">
            <w:r w:rsidRPr="004B4173">
              <w:rPr>
                <w:rStyle w:val="Hyperlink"/>
                <w:b w:val="0"/>
                <w:bCs w:val="0"/>
              </w:rPr>
              <w:t>VI. PROYECCIONES AL PRÓXIMO AÑO</w:t>
            </w:r>
            <w:r w:rsidRPr="004B4173">
              <w:rPr>
                <w:b w:val="0"/>
                <w:bCs w:val="0"/>
                <w:webHidden/>
              </w:rPr>
              <w:tab/>
            </w:r>
            <w:r w:rsidRPr="004B4173">
              <w:rPr>
                <w:b w:val="0"/>
                <w:bCs w:val="0"/>
                <w:webHidden/>
              </w:rPr>
              <w:fldChar w:fldCharType="begin"/>
            </w:r>
            <w:r w:rsidRPr="004B4173">
              <w:rPr>
                <w:b w:val="0"/>
                <w:bCs w:val="0"/>
                <w:webHidden/>
              </w:rPr>
              <w:instrText xml:space="preserve"> PAGEREF _Toc185245120 \h </w:instrText>
            </w:r>
            <w:r w:rsidRPr="004B4173">
              <w:rPr>
                <w:b w:val="0"/>
                <w:bCs w:val="0"/>
                <w:webHidden/>
              </w:rPr>
            </w:r>
            <w:r w:rsidRPr="004B4173">
              <w:rPr>
                <w:b w:val="0"/>
                <w:bCs w:val="0"/>
                <w:webHidden/>
              </w:rPr>
              <w:fldChar w:fldCharType="separate"/>
            </w:r>
            <w:r w:rsidRPr="004B4173">
              <w:rPr>
                <w:b w:val="0"/>
                <w:bCs w:val="0"/>
                <w:webHidden/>
              </w:rPr>
              <w:t>121</w:t>
            </w:r>
            <w:r w:rsidRPr="004B4173">
              <w:rPr>
                <w:b w:val="0"/>
                <w:bCs w:val="0"/>
                <w:webHidden/>
              </w:rPr>
              <w:fldChar w:fldCharType="end"/>
            </w:r>
          </w:hyperlink>
        </w:p>
        <w:p w14:paraId="61E47FB3" w14:textId="3DB5C6F4"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21" w:history="1">
            <w:r w:rsidRPr="004B4173">
              <w:rPr>
                <w:rStyle w:val="Hyperlink"/>
                <w:b w:val="0"/>
                <w:bCs w:val="0"/>
              </w:rPr>
              <w:t>Memoria Institucional 2024</w:t>
            </w:r>
            <w:r w:rsidRPr="004B4173">
              <w:rPr>
                <w:b w:val="0"/>
                <w:bCs w:val="0"/>
                <w:webHidden/>
              </w:rPr>
              <w:tab/>
            </w:r>
            <w:r w:rsidRPr="004B4173">
              <w:rPr>
                <w:b w:val="0"/>
                <w:bCs w:val="0"/>
                <w:webHidden/>
              </w:rPr>
              <w:fldChar w:fldCharType="begin"/>
            </w:r>
            <w:r w:rsidRPr="004B4173">
              <w:rPr>
                <w:b w:val="0"/>
                <w:bCs w:val="0"/>
                <w:webHidden/>
              </w:rPr>
              <w:instrText xml:space="preserve"> PAGEREF _Toc185245121 \h </w:instrText>
            </w:r>
            <w:r w:rsidRPr="004B4173">
              <w:rPr>
                <w:b w:val="0"/>
                <w:bCs w:val="0"/>
                <w:webHidden/>
              </w:rPr>
            </w:r>
            <w:r w:rsidRPr="004B4173">
              <w:rPr>
                <w:b w:val="0"/>
                <w:bCs w:val="0"/>
                <w:webHidden/>
              </w:rPr>
              <w:fldChar w:fldCharType="separate"/>
            </w:r>
            <w:r w:rsidRPr="004B4173">
              <w:rPr>
                <w:b w:val="0"/>
                <w:bCs w:val="0"/>
                <w:webHidden/>
              </w:rPr>
              <w:t>121</w:t>
            </w:r>
            <w:r w:rsidRPr="004B4173">
              <w:rPr>
                <w:b w:val="0"/>
                <w:bCs w:val="0"/>
                <w:webHidden/>
              </w:rPr>
              <w:fldChar w:fldCharType="end"/>
            </w:r>
          </w:hyperlink>
        </w:p>
        <w:p w14:paraId="1603E12D" w14:textId="6914B500"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22" w:history="1">
            <w:r w:rsidRPr="004B4173">
              <w:rPr>
                <w:rStyle w:val="Hyperlink"/>
                <w:rFonts w:cs="Times New Roman"/>
                <w:b w:val="0"/>
                <w:bCs w:val="0"/>
              </w:rPr>
              <w:t>VII. ANEXOS</w:t>
            </w:r>
            <w:r w:rsidRPr="004B4173">
              <w:rPr>
                <w:b w:val="0"/>
                <w:bCs w:val="0"/>
                <w:webHidden/>
              </w:rPr>
              <w:tab/>
            </w:r>
            <w:r w:rsidRPr="004B4173">
              <w:rPr>
                <w:b w:val="0"/>
                <w:bCs w:val="0"/>
                <w:webHidden/>
              </w:rPr>
              <w:fldChar w:fldCharType="begin"/>
            </w:r>
            <w:r w:rsidRPr="004B4173">
              <w:rPr>
                <w:b w:val="0"/>
                <w:bCs w:val="0"/>
                <w:webHidden/>
              </w:rPr>
              <w:instrText xml:space="preserve"> PAGEREF _Toc185245122 \h </w:instrText>
            </w:r>
            <w:r w:rsidRPr="004B4173">
              <w:rPr>
                <w:b w:val="0"/>
                <w:bCs w:val="0"/>
                <w:webHidden/>
              </w:rPr>
            </w:r>
            <w:r w:rsidRPr="004B4173">
              <w:rPr>
                <w:b w:val="0"/>
                <w:bCs w:val="0"/>
                <w:webHidden/>
              </w:rPr>
              <w:fldChar w:fldCharType="separate"/>
            </w:r>
            <w:r w:rsidRPr="004B4173">
              <w:rPr>
                <w:b w:val="0"/>
                <w:bCs w:val="0"/>
                <w:webHidden/>
              </w:rPr>
              <w:t>123</w:t>
            </w:r>
            <w:r w:rsidRPr="004B4173">
              <w:rPr>
                <w:b w:val="0"/>
                <w:bCs w:val="0"/>
                <w:webHidden/>
              </w:rPr>
              <w:fldChar w:fldCharType="end"/>
            </w:r>
          </w:hyperlink>
        </w:p>
        <w:p w14:paraId="2DE24B73" w14:textId="6CE44685"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23" w:history="1">
            <w:r w:rsidRPr="004B4173">
              <w:rPr>
                <w:rStyle w:val="Hyperlink"/>
                <w:b w:val="0"/>
                <w:bCs w:val="0"/>
              </w:rPr>
              <w:t>7.1 Anexo 1: Matriz Logros Relevantes – Datos Cuantitativos (RD$)</w:t>
            </w:r>
            <w:r w:rsidRPr="004B4173">
              <w:rPr>
                <w:b w:val="0"/>
                <w:bCs w:val="0"/>
                <w:webHidden/>
              </w:rPr>
              <w:tab/>
            </w:r>
            <w:r w:rsidRPr="004B4173">
              <w:rPr>
                <w:b w:val="0"/>
                <w:bCs w:val="0"/>
                <w:webHidden/>
              </w:rPr>
              <w:fldChar w:fldCharType="begin"/>
            </w:r>
            <w:r w:rsidRPr="004B4173">
              <w:rPr>
                <w:b w:val="0"/>
                <w:bCs w:val="0"/>
                <w:webHidden/>
              </w:rPr>
              <w:instrText xml:space="preserve"> PAGEREF _Toc185245123 \h </w:instrText>
            </w:r>
            <w:r w:rsidRPr="004B4173">
              <w:rPr>
                <w:b w:val="0"/>
                <w:bCs w:val="0"/>
                <w:webHidden/>
              </w:rPr>
            </w:r>
            <w:r w:rsidRPr="004B4173">
              <w:rPr>
                <w:b w:val="0"/>
                <w:bCs w:val="0"/>
                <w:webHidden/>
              </w:rPr>
              <w:fldChar w:fldCharType="separate"/>
            </w:r>
            <w:r w:rsidRPr="004B4173">
              <w:rPr>
                <w:b w:val="0"/>
                <w:bCs w:val="0"/>
                <w:webHidden/>
              </w:rPr>
              <w:t>123</w:t>
            </w:r>
            <w:r w:rsidRPr="004B4173">
              <w:rPr>
                <w:b w:val="0"/>
                <w:bCs w:val="0"/>
                <w:webHidden/>
              </w:rPr>
              <w:fldChar w:fldCharType="end"/>
            </w:r>
          </w:hyperlink>
        </w:p>
        <w:p w14:paraId="5D7534EC" w14:textId="564F24BC"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24" w:history="1">
            <w:r w:rsidRPr="004B4173">
              <w:rPr>
                <w:rStyle w:val="Hyperlink"/>
                <w:b w:val="0"/>
                <w:bCs w:val="0"/>
              </w:rPr>
              <w:t>7.1 Anexo 1: Matriz Logros Relevantes – Datos Cuantitativos (RD$)</w:t>
            </w:r>
            <w:r w:rsidRPr="004B4173">
              <w:rPr>
                <w:b w:val="0"/>
                <w:bCs w:val="0"/>
                <w:webHidden/>
              </w:rPr>
              <w:tab/>
            </w:r>
            <w:r w:rsidRPr="004B4173">
              <w:rPr>
                <w:b w:val="0"/>
                <w:bCs w:val="0"/>
                <w:webHidden/>
              </w:rPr>
              <w:fldChar w:fldCharType="begin"/>
            </w:r>
            <w:r w:rsidRPr="004B4173">
              <w:rPr>
                <w:b w:val="0"/>
                <w:bCs w:val="0"/>
                <w:webHidden/>
              </w:rPr>
              <w:instrText xml:space="preserve"> PAGEREF _Toc185245124 \h </w:instrText>
            </w:r>
            <w:r w:rsidRPr="004B4173">
              <w:rPr>
                <w:b w:val="0"/>
                <w:bCs w:val="0"/>
                <w:webHidden/>
              </w:rPr>
            </w:r>
            <w:r w:rsidRPr="004B4173">
              <w:rPr>
                <w:b w:val="0"/>
                <w:bCs w:val="0"/>
                <w:webHidden/>
              </w:rPr>
              <w:fldChar w:fldCharType="separate"/>
            </w:r>
            <w:r w:rsidRPr="004B4173">
              <w:rPr>
                <w:b w:val="0"/>
                <w:bCs w:val="0"/>
                <w:webHidden/>
              </w:rPr>
              <w:t>124</w:t>
            </w:r>
            <w:r w:rsidRPr="004B4173">
              <w:rPr>
                <w:b w:val="0"/>
                <w:bCs w:val="0"/>
                <w:webHidden/>
              </w:rPr>
              <w:fldChar w:fldCharType="end"/>
            </w:r>
          </w:hyperlink>
        </w:p>
        <w:p w14:paraId="747C19C6" w14:textId="3D9D8095"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25" w:history="1">
            <w:r w:rsidRPr="004B4173">
              <w:rPr>
                <w:rStyle w:val="Hyperlink"/>
                <w:b w:val="0"/>
                <w:bCs w:val="0"/>
              </w:rPr>
              <w:t>7.2 Anexo 2: Matriz de los Principales Indicadores de la Gestión por Procesos</w:t>
            </w:r>
            <w:r w:rsidRPr="004B4173">
              <w:rPr>
                <w:b w:val="0"/>
                <w:bCs w:val="0"/>
                <w:webHidden/>
              </w:rPr>
              <w:tab/>
            </w:r>
            <w:r w:rsidRPr="004B4173">
              <w:rPr>
                <w:b w:val="0"/>
                <w:bCs w:val="0"/>
                <w:webHidden/>
              </w:rPr>
              <w:fldChar w:fldCharType="begin"/>
            </w:r>
            <w:r w:rsidRPr="004B4173">
              <w:rPr>
                <w:b w:val="0"/>
                <w:bCs w:val="0"/>
                <w:webHidden/>
              </w:rPr>
              <w:instrText xml:space="preserve"> PAGEREF _Toc185245125 \h </w:instrText>
            </w:r>
            <w:r w:rsidRPr="004B4173">
              <w:rPr>
                <w:b w:val="0"/>
                <w:bCs w:val="0"/>
                <w:webHidden/>
              </w:rPr>
            </w:r>
            <w:r w:rsidRPr="004B4173">
              <w:rPr>
                <w:b w:val="0"/>
                <w:bCs w:val="0"/>
                <w:webHidden/>
              </w:rPr>
              <w:fldChar w:fldCharType="separate"/>
            </w:r>
            <w:r w:rsidRPr="004B4173">
              <w:rPr>
                <w:b w:val="0"/>
                <w:bCs w:val="0"/>
                <w:webHidden/>
              </w:rPr>
              <w:t>125</w:t>
            </w:r>
            <w:r w:rsidRPr="004B4173">
              <w:rPr>
                <w:b w:val="0"/>
                <w:bCs w:val="0"/>
                <w:webHidden/>
              </w:rPr>
              <w:fldChar w:fldCharType="end"/>
            </w:r>
          </w:hyperlink>
        </w:p>
        <w:p w14:paraId="57F5AB2D" w14:textId="5C8283A1"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26" w:history="1">
            <w:r w:rsidRPr="004B4173">
              <w:rPr>
                <w:rStyle w:val="Hyperlink"/>
                <w:b w:val="0"/>
                <w:bCs w:val="0"/>
              </w:rPr>
              <w:t>7.3 Anexo 3: Matriz Índice de Gestión Presupuestaria Anual (IGP)</w:t>
            </w:r>
            <w:r w:rsidRPr="004B4173">
              <w:rPr>
                <w:b w:val="0"/>
                <w:bCs w:val="0"/>
                <w:webHidden/>
              </w:rPr>
              <w:tab/>
            </w:r>
            <w:r w:rsidRPr="004B4173">
              <w:rPr>
                <w:b w:val="0"/>
                <w:bCs w:val="0"/>
                <w:webHidden/>
              </w:rPr>
              <w:fldChar w:fldCharType="begin"/>
            </w:r>
            <w:r w:rsidRPr="004B4173">
              <w:rPr>
                <w:b w:val="0"/>
                <w:bCs w:val="0"/>
                <w:webHidden/>
              </w:rPr>
              <w:instrText xml:space="preserve"> PAGEREF _Toc185245126 \h </w:instrText>
            </w:r>
            <w:r w:rsidRPr="004B4173">
              <w:rPr>
                <w:b w:val="0"/>
                <w:bCs w:val="0"/>
                <w:webHidden/>
              </w:rPr>
            </w:r>
            <w:r w:rsidRPr="004B4173">
              <w:rPr>
                <w:b w:val="0"/>
                <w:bCs w:val="0"/>
                <w:webHidden/>
              </w:rPr>
              <w:fldChar w:fldCharType="separate"/>
            </w:r>
            <w:r w:rsidRPr="004B4173">
              <w:rPr>
                <w:b w:val="0"/>
                <w:bCs w:val="0"/>
                <w:webHidden/>
              </w:rPr>
              <w:t>126</w:t>
            </w:r>
            <w:r w:rsidRPr="004B4173">
              <w:rPr>
                <w:b w:val="0"/>
                <w:bCs w:val="0"/>
                <w:webHidden/>
              </w:rPr>
              <w:fldChar w:fldCharType="end"/>
            </w:r>
          </w:hyperlink>
        </w:p>
        <w:p w14:paraId="06B4CD12" w14:textId="42274A06"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27" w:history="1">
            <w:r w:rsidRPr="004B4173">
              <w:rPr>
                <w:rStyle w:val="Hyperlink"/>
                <w:b w:val="0"/>
                <w:bCs w:val="0"/>
              </w:rPr>
              <w:t>7.4 Anexo 4: Matriz Ejecución Presupuestaria por Objeto del Gasto</w:t>
            </w:r>
            <w:r w:rsidRPr="004B4173">
              <w:rPr>
                <w:b w:val="0"/>
                <w:bCs w:val="0"/>
                <w:webHidden/>
              </w:rPr>
              <w:tab/>
            </w:r>
            <w:r w:rsidRPr="004B4173">
              <w:rPr>
                <w:b w:val="0"/>
                <w:bCs w:val="0"/>
                <w:webHidden/>
              </w:rPr>
              <w:fldChar w:fldCharType="begin"/>
            </w:r>
            <w:r w:rsidRPr="004B4173">
              <w:rPr>
                <w:b w:val="0"/>
                <w:bCs w:val="0"/>
                <w:webHidden/>
              </w:rPr>
              <w:instrText xml:space="preserve"> PAGEREF _Toc185245127 \h </w:instrText>
            </w:r>
            <w:r w:rsidRPr="004B4173">
              <w:rPr>
                <w:b w:val="0"/>
                <w:bCs w:val="0"/>
                <w:webHidden/>
              </w:rPr>
            </w:r>
            <w:r w:rsidRPr="004B4173">
              <w:rPr>
                <w:b w:val="0"/>
                <w:bCs w:val="0"/>
                <w:webHidden/>
              </w:rPr>
              <w:fldChar w:fldCharType="separate"/>
            </w:r>
            <w:r w:rsidRPr="004B4173">
              <w:rPr>
                <w:b w:val="0"/>
                <w:bCs w:val="0"/>
                <w:webHidden/>
              </w:rPr>
              <w:t>127</w:t>
            </w:r>
            <w:r w:rsidRPr="004B4173">
              <w:rPr>
                <w:b w:val="0"/>
                <w:bCs w:val="0"/>
                <w:webHidden/>
              </w:rPr>
              <w:fldChar w:fldCharType="end"/>
            </w:r>
          </w:hyperlink>
        </w:p>
        <w:p w14:paraId="612BD858" w14:textId="7FF9DDC3" w:rsidR="004B4173" w:rsidRPr="004B4173" w:rsidRDefault="004B4173">
          <w:pPr>
            <w:pStyle w:val="TOC1"/>
            <w:rPr>
              <w:rFonts w:asciiTheme="minorHAnsi" w:eastAsiaTheme="minorEastAsia" w:hAnsiTheme="minorHAnsi" w:cstheme="minorBidi"/>
              <w:b w:val="0"/>
              <w:bCs w:val="0"/>
              <w:color w:val="auto"/>
              <w:spacing w:val="0"/>
              <w:kern w:val="2"/>
              <w:lang w:val="en-US"/>
              <w14:ligatures w14:val="standardContextual"/>
            </w:rPr>
          </w:pPr>
          <w:hyperlink w:anchor="_Toc185245128" w:history="1">
            <w:r w:rsidRPr="004B4173">
              <w:rPr>
                <w:rStyle w:val="Hyperlink"/>
                <w:b w:val="0"/>
                <w:bCs w:val="0"/>
              </w:rPr>
              <w:t>7.5 Anexo 5: Resumen Plan Anual de Compras</w:t>
            </w:r>
            <w:r w:rsidRPr="004B4173">
              <w:rPr>
                <w:b w:val="0"/>
                <w:bCs w:val="0"/>
                <w:webHidden/>
              </w:rPr>
              <w:tab/>
            </w:r>
            <w:r w:rsidRPr="004B4173">
              <w:rPr>
                <w:b w:val="0"/>
                <w:bCs w:val="0"/>
                <w:webHidden/>
              </w:rPr>
              <w:fldChar w:fldCharType="begin"/>
            </w:r>
            <w:r w:rsidRPr="004B4173">
              <w:rPr>
                <w:b w:val="0"/>
                <w:bCs w:val="0"/>
                <w:webHidden/>
              </w:rPr>
              <w:instrText xml:space="preserve"> PAGEREF _Toc185245128 \h </w:instrText>
            </w:r>
            <w:r w:rsidRPr="004B4173">
              <w:rPr>
                <w:b w:val="0"/>
                <w:bCs w:val="0"/>
                <w:webHidden/>
              </w:rPr>
            </w:r>
            <w:r w:rsidRPr="004B4173">
              <w:rPr>
                <w:b w:val="0"/>
                <w:bCs w:val="0"/>
                <w:webHidden/>
              </w:rPr>
              <w:fldChar w:fldCharType="separate"/>
            </w:r>
            <w:r w:rsidRPr="004B4173">
              <w:rPr>
                <w:b w:val="0"/>
                <w:bCs w:val="0"/>
                <w:webHidden/>
              </w:rPr>
              <w:t>128</w:t>
            </w:r>
            <w:r w:rsidRPr="004B4173">
              <w:rPr>
                <w:b w:val="0"/>
                <w:bCs w:val="0"/>
                <w:webHidden/>
              </w:rPr>
              <w:fldChar w:fldCharType="end"/>
            </w:r>
          </w:hyperlink>
        </w:p>
        <w:p w14:paraId="48DD30ED" w14:textId="6A1799A2" w:rsidR="00A630BC" w:rsidRPr="0082260F" w:rsidRDefault="00A630BC">
          <w:pPr>
            <w:rPr>
              <w:color w:val="4C4747"/>
            </w:rPr>
          </w:pPr>
          <w:r w:rsidRPr="004B4173">
            <w:rPr>
              <w:noProof/>
              <w:color w:val="4C4747"/>
            </w:rPr>
            <w:fldChar w:fldCharType="end"/>
          </w:r>
        </w:p>
      </w:sdtContent>
    </w:sdt>
    <w:p w14:paraId="4394B0A8" w14:textId="77777777" w:rsidR="001240D0" w:rsidRDefault="001240D0" w:rsidP="00B45B38">
      <w:pPr>
        <w:ind w:left="567"/>
        <w:rPr>
          <w:b/>
          <w:bCs/>
          <w:noProof/>
          <w:color w:val="4C4747"/>
          <w:lang w:val="es-DO"/>
        </w:rPr>
      </w:pPr>
    </w:p>
    <w:p w14:paraId="5156C8F9" w14:textId="77777777" w:rsidR="00BA45A8" w:rsidRPr="0082260F" w:rsidRDefault="00BA45A8" w:rsidP="00B45B38">
      <w:pPr>
        <w:ind w:left="567"/>
        <w:rPr>
          <w:b/>
          <w:bCs/>
          <w:noProof/>
          <w:color w:val="4C4747"/>
          <w:lang w:val="es-DO"/>
        </w:rPr>
      </w:pPr>
    </w:p>
    <w:p w14:paraId="4242FE2D" w14:textId="77777777" w:rsidR="001240D0" w:rsidRPr="0082260F" w:rsidRDefault="001240D0" w:rsidP="00B45B38">
      <w:pPr>
        <w:ind w:left="567"/>
        <w:rPr>
          <w:b/>
          <w:bCs/>
          <w:noProof/>
          <w:color w:val="4C4747"/>
          <w:lang w:val="es-DO"/>
        </w:rPr>
      </w:pPr>
    </w:p>
    <w:bookmarkStart w:id="1" w:name="_Toc154736671"/>
    <w:bookmarkStart w:id="2" w:name="_Toc185245084"/>
    <w:p w14:paraId="1AABEC87" w14:textId="77777777" w:rsidR="000946F8" w:rsidRPr="005F5168" w:rsidRDefault="000946F8" w:rsidP="000946F8">
      <w:pPr>
        <w:pStyle w:val="Heading1"/>
        <w:spacing w:after="240"/>
        <w:rPr>
          <w:b w:val="0"/>
          <w:lang w:val="es-ES"/>
        </w:rPr>
      </w:pPr>
      <w:r w:rsidRPr="002B4451">
        <w:rPr>
          <w:rFonts w:eastAsia="Calibri" w:cs="Times New Roman"/>
          <w:noProof/>
          <w:color w:val="767171"/>
          <w:sz w:val="18"/>
          <w:lang w:val="es-DO" w:eastAsia="es-DO"/>
        </w:rPr>
        <w:lastRenderedPageBreak/>
        <mc:AlternateContent>
          <mc:Choice Requires="wps">
            <w:drawing>
              <wp:anchor distT="0" distB="0" distL="114300" distR="114300" simplePos="0" relativeHeight="251658259" behindDoc="0" locked="0" layoutInCell="1" allowOverlap="1" wp14:anchorId="612B1DF3" wp14:editId="4E28EBC3">
                <wp:simplePos x="0" y="0"/>
                <wp:positionH relativeFrom="margin">
                  <wp:align>center</wp:align>
                </wp:positionH>
                <wp:positionV relativeFrom="paragraph">
                  <wp:posOffset>372745</wp:posOffset>
                </wp:positionV>
                <wp:extent cx="463550" cy="0"/>
                <wp:effectExtent l="0" t="19050" r="31750" b="19050"/>
                <wp:wrapNone/>
                <wp:docPr id="991846603" name="Straight Connector 991846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xmlns:arto="http://schemas.microsoft.com/office/word/2006/arto">
            <w:pict w14:anchorId="269131F7">
              <v:line id="Straight Connector 991846603" style="position:absolute;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ee2a24" strokeweight="2.25pt" from="0,29.35pt" to="36.5pt,29.35pt" w14:anchorId="344D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">
                <v:stroke joinstyle="miter"/>
                <w10:wrap anchorx="margin"/>
              </v:line>
            </w:pict>
          </mc:Fallback>
        </mc:AlternateContent>
      </w:r>
      <w:r w:rsidRPr="005F5168">
        <w:rPr>
          <w:lang w:val="es-ES"/>
        </w:rPr>
        <w:t>PRESENTACIÓN</w:t>
      </w:r>
      <w:bookmarkEnd w:id="1"/>
      <w:bookmarkEnd w:id="2"/>
      <w:r w:rsidRPr="005F5168">
        <w:rPr>
          <w:lang w:val="es-ES"/>
        </w:rPr>
        <w:t xml:space="preserve"> </w:t>
      </w:r>
    </w:p>
    <w:p w14:paraId="509DC471" w14:textId="73E2EC1B" w:rsidR="000946F8" w:rsidRDefault="000946F8" w:rsidP="000946F8">
      <w:pPr>
        <w:jc w:val="center"/>
        <w:rPr>
          <w:rFonts w:cstheme="minorBidi"/>
          <w:lang w:val="es-DO"/>
        </w:rPr>
      </w:pPr>
      <w:r w:rsidRPr="00007976">
        <w:rPr>
          <w:rFonts w:cstheme="minorBidi"/>
          <w:lang w:val="es-DO"/>
        </w:rPr>
        <w:t>Memoria Institucional 2024</w:t>
      </w:r>
    </w:p>
    <w:p w14:paraId="47C0DB0B" w14:textId="77777777" w:rsidR="00FE325A" w:rsidRPr="00007976" w:rsidRDefault="00FE325A" w:rsidP="000946F8">
      <w:pPr>
        <w:jc w:val="center"/>
        <w:rPr>
          <w:rFonts w:cstheme="minorBidi"/>
          <w:lang w:val="es-DO"/>
        </w:rPr>
      </w:pPr>
    </w:p>
    <w:p w14:paraId="4F86153E" w14:textId="11346F6D" w:rsidR="000946F8" w:rsidRPr="00FE325A" w:rsidRDefault="000946F8" w:rsidP="00FE325A">
      <w:pPr>
        <w:spacing w:line="360" w:lineRule="auto"/>
        <w:jc w:val="both"/>
        <w:rPr>
          <w:rFonts w:eastAsia="Calibri"/>
          <w:noProof/>
          <w:lang w:val="es-DO"/>
        </w:rPr>
      </w:pPr>
      <w:r w:rsidRPr="00FE325A">
        <w:rPr>
          <w:rFonts w:eastAsia="Calibri"/>
          <w:noProof/>
          <w:lang w:val="es-DO"/>
        </w:rPr>
        <w:t>A través de la siguiente memoria, se realiza un recorrido por los logros, desafíos y avances significativos que ha presentado la Tesorería de la Seguridad Social (TSS) durante el año 2024, como la institución responsable de administrar el Sistema Único de Información y Recaudo (SUIR), la distribución y pago de los recursos del Sistema Dominicano de Seguridad Social (SDSS).</w:t>
      </w:r>
    </w:p>
    <w:p w14:paraId="65E9BE78" w14:textId="77777777" w:rsidR="000946F8" w:rsidRPr="00FE325A" w:rsidRDefault="000946F8" w:rsidP="00FE325A">
      <w:pPr>
        <w:spacing w:line="360" w:lineRule="auto"/>
        <w:jc w:val="both"/>
        <w:rPr>
          <w:rFonts w:eastAsia="Calibri"/>
          <w:noProof/>
          <w:lang w:val="es-DO"/>
        </w:rPr>
      </w:pPr>
      <w:r w:rsidRPr="00FE325A">
        <w:rPr>
          <w:rFonts w:eastAsia="Calibri"/>
          <w:noProof/>
          <w:lang w:val="es-DO"/>
        </w:rPr>
        <w:t>La Tesorería de la Seguridad Social (TSS) ha considerado para esta memoria el logro de los productos con sus respectivas metas para el cumplimiento de lo establecido en el Plan Estratégico Institucional 2020-2024, así como el Plan Operativo Anual, los cuales están alineados con la Estrategia Nacional de Desarrollo 2030, el Plan Nacional Plurianual del Sector Público, los Objetivos de Desarrollo Sostenible (ODS) y el Plan Estratégico Sectorial, adicional a esto se identificaron las iniciativas y actividades de impacto asociadas a la gestión.</w:t>
      </w:r>
    </w:p>
    <w:p w14:paraId="533CDE5B" w14:textId="4EE4A17E" w:rsidR="000946F8" w:rsidRPr="00FE325A" w:rsidRDefault="000946F8" w:rsidP="00FE325A">
      <w:pPr>
        <w:spacing w:line="360" w:lineRule="auto"/>
        <w:jc w:val="both"/>
        <w:rPr>
          <w:rFonts w:eastAsia="Calibri"/>
          <w:noProof/>
          <w:lang w:val="es-DO"/>
        </w:rPr>
      </w:pPr>
      <w:r w:rsidRPr="00FE325A">
        <w:rPr>
          <w:rFonts w:eastAsia="Calibri"/>
          <w:noProof/>
          <w:lang w:val="es-DO"/>
        </w:rPr>
        <w:t>Invitamos cordialmente a adentrarse en esta memoria para compartir el orgullo de formar parte de una institución que trabaja incansablemente en construir un futuro más seguro y próspero para todos. Cada logro y desafío enfrentado en el año 2024 fortalece nuestro compromiso con el bienestar social y nos impulsa a seguir contribuyendo al desarrollo sostenible de esta nación.</w:t>
      </w:r>
    </w:p>
    <w:p w14:paraId="1DBDA006" w14:textId="4D806799" w:rsidR="000946F8" w:rsidRPr="0082260F" w:rsidRDefault="000946F8">
      <w:pPr>
        <w:rPr>
          <w:color w:val="4C4747"/>
          <w:lang w:val="es-DO"/>
        </w:rPr>
        <w:sectPr w:rsidR="000946F8" w:rsidRPr="0082260F" w:rsidSect="00C44B5A">
          <w:footerReference w:type="first" r:id="rId15"/>
          <w:pgSz w:w="12240" w:h="15840"/>
          <w:pgMar w:top="1440" w:right="2160" w:bottom="1440" w:left="2160" w:header="720" w:footer="720" w:gutter="0"/>
          <w:cols w:space="720"/>
          <w:docGrid w:linePitch="360"/>
        </w:sectPr>
      </w:pPr>
    </w:p>
    <w:p w14:paraId="649D29AD" w14:textId="0E3656F9" w:rsidR="001240D0" w:rsidRPr="00007976" w:rsidRDefault="00CC305A" w:rsidP="00654164">
      <w:pPr>
        <w:pStyle w:val="Heading1"/>
        <w:rPr>
          <w:color w:val="4C4747"/>
          <w:sz w:val="32"/>
          <w:szCs w:val="36"/>
          <w:lang w:val="es-ES"/>
        </w:rPr>
      </w:pPr>
      <w:bookmarkStart w:id="3" w:name="_Toc185245085"/>
      <w:bookmarkStart w:id="4" w:name="_Hlk86403204"/>
      <w:r w:rsidRPr="00ED147E">
        <w:rPr>
          <w:rFonts w:eastAsia="Calibri" w:cs="Times New Roman"/>
          <w:bCs/>
          <w:color w:val="767171"/>
          <w:szCs w:val="28"/>
          <w:lang w:val="es-DO"/>
        </w:rPr>
        <w:lastRenderedPageBreak/>
        <w:t>I.</w:t>
      </w:r>
      <w:r w:rsidRPr="00007976">
        <w:rPr>
          <w:rFonts w:eastAsia="Calibri" w:cs="Times New Roman"/>
          <w:bCs/>
          <w:color w:val="767171"/>
          <w:sz w:val="24"/>
          <w:szCs w:val="24"/>
          <w:lang w:val="es-DO"/>
        </w:rPr>
        <w:t xml:space="preserve"> </w:t>
      </w:r>
      <w:r w:rsidR="001240D0" w:rsidRPr="00007976">
        <w:rPr>
          <w:rFonts w:eastAsia="Calibri" w:cs="Times New Roman"/>
          <w:bCs/>
          <w:color w:val="767171"/>
          <w:szCs w:val="28"/>
          <w:lang w:val="es-DO"/>
        </w:rPr>
        <w:t>RESUMEN EJECUTIVO</w:t>
      </w:r>
      <w:bookmarkEnd w:id="3"/>
    </w:p>
    <w:p w14:paraId="7C54AF21" w14:textId="26B7214D" w:rsidR="001240D0" w:rsidRPr="000946F8" w:rsidRDefault="00125D46" w:rsidP="006C48BC">
      <w:pPr>
        <w:spacing w:line="360" w:lineRule="auto"/>
        <w:jc w:val="both"/>
        <w:rPr>
          <w:rFonts w:eastAsia="Calibri"/>
          <w:color w:val="4C4747"/>
          <w:sz w:val="18"/>
          <w:lang w:val="es-ES"/>
        </w:rPr>
      </w:pPr>
      <w:r w:rsidRPr="0082260F">
        <w:rPr>
          <w:rFonts w:eastAsia="Calibri"/>
          <w:noProof/>
          <w:color w:val="4C4747"/>
          <w:sz w:val="18"/>
        </w:rPr>
        <mc:AlternateContent>
          <mc:Choice Requires="wps">
            <w:drawing>
              <wp:anchor distT="0" distB="0" distL="114300" distR="114300" simplePos="0" relativeHeight="251658240" behindDoc="0" locked="0" layoutInCell="1" allowOverlap="1" wp14:anchorId="5383067F" wp14:editId="7129D335">
                <wp:simplePos x="0" y="0"/>
                <wp:positionH relativeFrom="margin">
                  <wp:posOffset>2239620</wp:posOffset>
                </wp:positionH>
                <wp:positionV relativeFrom="paragraph">
                  <wp:posOffset>49124</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xmlns:arto="http://schemas.microsoft.com/office/word/2006/arto">
            <w:pict w14:anchorId="08515D69">
              <v:line id="Straight Connector 21"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6.35pt,3.85pt" to="212.85pt,3.85pt" w14:anchorId="1E5BDE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">
                <v:stroke joinstyle="miter"/>
                <w10:wrap anchorx="margin"/>
              </v:line>
            </w:pict>
          </mc:Fallback>
        </mc:AlternateContent>
      </w:r>
    </w:p>
    <w:p w14:paraId="57CF8AA9" w14:textId="0B811169" w:rsidR="001240D0" w:rsidRPr="000946F8" w:rsidRDefault="00654164" w:rsidP="006C48BC">
      <w:pPr>
        <w:spacing w:line="360" w:lineRule="auto"/>
        <w:jc w:val="center"/>
        <w:rPr>
          <w:lang w:val="es-DO"/>
        </w:rPr>
      </w:pPr>
      <w:r w:rsidRPr="000946F8">
        <w:rPr>
          <w:lang w:val="es-DO"/>
        </w:rPr>
        <w:t xml:space="preserve">Memoria </w:t>
      </w:r>
      <w:r w:rsidR="00D837AC" w:rsidRPr="000946F8">
        <w:rPr>
          <w:lang w:val="es-DO"/>
        </w:rPr>
        <w:t>I</w:t>
      </w:r>
      <w:r w:rsidRPr="000946F8">
        <w:rPr>
          <w:lang w:val="es-DO"/>
        </w:rPr>
        <w:t>nstitucional</w:t>
      </w:r>
      <w:r w:rsidR="001240D0" w:rsidRPr="000946F8">
        <w:rPr>
          <w:lang w:val="es-DO"/>
        </w:rPr>
        <w:t xml:space="preserve"> </w:t>
      </w:r>
      <w:r w:rsidR="000025D4" w:rsidRPr="000946F8">
        <w:rPr>
          <w:lang w:val="es-DO"/>
        </w:rPr>
        <w:t>2024</w:t>
      </w:r>
    </w:p>
    <w:bookmarkEnd w:id="4"/>
    <w:p w14:paraId="0D18DA2F" w14:textId="1E239580" w:rsidR="00090B56" w:rsidRPr="00090B56" w:rsidRDefault="28A56D01" w:rsidP="006C48BC">
      <w:pPr>
        <w:spacing w:line="360" w:lineRule="auto"/>
        <w:jc w:val="both"/>
        <w:rPr>
          <w:rFonts w:eastAsia="Calibri"/>
          <w:noProof/>
          <w:lang w:val="es-DO"/>
        </w:rPr>
      </w:pPr>
      <w:r w:rsidRPr="03B8D929">
        <w:rPr>
          <w:rFonts w:eastAsia="Calibri"/>
          <w:noProof/>
          <w:lang w:val="es-DO"/>
        </w:rPr>
        <w:t xml:space="preserve">La Tesorería de la Seguridad Social (TSS) informó que, al cierre de 2024, las recaudaciones del Sistema Dominicano de Seguridad Social (SDSS) habrán registrado un crecimiento del 11.2% respecto a 2023, alcanzando un monto superior a RD$210 mil millones, fortaleciendo así la sostenibilidad </w:t>
      </w:r>
      <w:r w:rsidR="1D20B414" w:rsidRPr="03B8D929">
        <w:rPr>
          <w:rFonts w:eastAsia="Calibri"/>
          <w:noProof/>
          <w:lang w:val="es-DO"/>
        </w:rPr>
        <w:t xml:space="preserve">financiera </w:t>
      </w:r>
      <w:r w:rsidRPr="03B8D929">
        <w:rPr>
          <w:rFonts w:eastAsia="Calibri"/>
          <w:noProof/>
          <w:lang w:val="es-DO"/>
        </w:rPr>
        <w:t>del Sistema y garantizando la cobertura de los seguros que benefician a millones de dominicanos.</w:t>
      </w:r>
    </w:p>
    <w:p w14:paraId="009DFDC6" w14:textId="75C27556" w:rsidR="00090B56" w:rsidRPr="00090B56" w:rsidRDefault="00090B56" w:rsidP="00090B56">
      <w:pPr>
        <w:spacing w:line="360" w:lineRule="auto"/>
        <w:jc w:val="both"/>
        <w:rPr>
          <w:rFonts w:eastAsia="Calibri"/>
          <w:noProof/>
          <w:lang w:val="es-DO"/>
        </w:rPr>
      </w:pPr>
      <w:r w:rsidRPr="004F6774">
        <w:rPr>
          <w:rFonts w:eastAsia="Calibri"/>
          <w:noProof/>
          <w:lang w:val="es-DO"/>
        </w:rPr>
        <w:t xml:space="preserve">Al </w:t>
      </w:r>
      <w:r w:rsidR="004F6774" w:rsidRPr="004F6774">
        <w:rPr>
          <w:rFonts w:eastAsia="Calibri"/>
          <w:noProof/>
          <w:lang w:val="es-DO"/>
        </w:rPr>
        <w:t>cierre del año</w:t>
      </w:r>
      <w:r w:rsidRPr="004F6774">
        <w:rPr>
          <w:rFonts w:eastAsia="Calibri"/>
          <w:noProof/>
          <w:lang w:val="es-DO"/>
        </w:rPr>
        <w:t xml:space="preserve"> 2024</w:t>
      </w:r>
      <w:r w:rsidRPr="00090B56">
        <w:rPr>
          <w:rFonts w:eastAsia="Calibri"/>
          <w:noProof/>
          <w:lang w:val="es-DO"/>
        </w:rPr>
        <w:t>, el sistema cuenta con 10 millones 5</w:t>
      </w:r>
      <w:r w:rsidR="004F6774">
        <w:rPr>
          <w:rFonts w:eastAsia="Calibri"/>
          <w:noProof/>
          <w:lang w:val="es-DO"/>
        </w:rPr>
        <w:t>24</w:t>
      </w:r>
      <w:r w:rsidRPr="00090B56">
        <w:rPr>
          <w:rFonts w:eastAsia="Calibri"/>
          <w:noProof/>
          <w:lang w:val="es-DO"/>
        </w:rPr>
        <w:t xml:space="preserve"> mil </w:t>
      </w:r>
      <w:r w:rsidR="004F6774">
        <w:rPr>
          <w:rFonts w:eastAsia="Calibri"/>
          <w:noProof/>
          <w:lang w:val="es-DO"/>
        </w:rPr>
        <w:t>211</w:t>
      </w:r>
      <w:r w:rsidRPr="00090B56">
        <w:rPr>
          <w:rFonts w:eastAsia="Calibri"/>
          <w:noProof/>
          <w:lang w:val="es-DO"/>
        </w:rPr>
        <w:t xml:space="preserve"> afiliados al seguro de salud, divididos entre los regímenes Contributivo y Subsidiado.</w:t>
      </w:r>
    </w:p>
    <w:p w14:paraId="082F9B23" w14:textId="77777777" w:rsidR="00090B56" w:rsidRDefault="00090B56" w:rsidP="00090B56">
      <w:pPr>
        <w:spacing w:line="360" w:lineRule="auto"/>
        <w:jc w:val="both"/>
        <w:rPr>
          <w:rFonts w:eastAsia="Calibri"/>
          <w:noProof/>
          <w:lang w:val="es-DO"/>
        </w:rPr>
      </w:pPr>
      <w:r w:rsidRPr="00090B56">
        <w:rPr>
          <w:rFonts w:eastAsia="Calibri"/>
          <w:noProof/>
          <w:lang w:val="es-DO"/>
        </w:rPr>
        <w:t>En 2024, la TSS suscribió más de 700 acuerdos de pago con empleadores en mora, generando ingresos adicionales de RD$230 millones. Estas gestiones permitieron que cientos de trabajadores recuperaran su acceso a los beneficios del Seguro Familiar de Salud, garantizando así la continuidad de sus derechos y la protección de sus familiares.</w:t>
      </w:r>
    </w:p>
    <w:p w14:paraId="3A78014F" w14:textId="45411FB2" w:rsidR="00090B56" w:rsidRPr="00090B56" w:rsidRDefault="28A56D01" w:rsidP="00090B56">
      <w:pPr>
        <w:spacing w:line="360" w:lineRule="auto"/>
        <w:jc w:val="both"/>
        <w:rPr>
          <w:rFonts w:eastAsia="Calibri"/>
          <w:noProof/>
          <w:lang w:val="es-DO"/>
        </w:rPr>
      </w:pPr>
      <w:r w:rsidRPr="03B8D929">
        <w:rPr>
          <w:rFonts w:eastAsia="Calibri"/>
          <w:noProof/>
          <w:lang w:val="es-DO"/>
        </w:rPr>
        <w:t>En cumplimiento de la Ley 13-20, que faculta a la TSS para denunciar ante la justicia a los infractores del sistema, en 2024 se presentaron 54 denuncias ante la Procuraduría General de la República, por presuntos fraudes cometidos por empleadores en perjuicio de los afiliados al Seguro Familiar de Salud del régimen contributivo.</w:t>
      </w:r>
    </w:p>
    <w:p w14:paraId="741DA85B" w14:textId="556E6E24" w:rsidR="00090B56" w:rsidRDefault="00090B56" w:rsidP="00090B56">
      <w:pPr>
        <w:spacing w:line="360" w:lineRule="auto"/>
        <w:jc w:val="both"/>
        <w:rPr>
          <w:rFonts w:eastAsia="Calibri"/>
          <w:noProof/>
          <w:lang w:val="es-DO"/>
        </w:rPr>
      </w:pPr>
      <w:r w:rsidRPr="00090B56">
        <w:rPr>
          <w:rFonts w:eastAsia="Calibri"/>
          <w:noProof/>
          <w:lang w:val="es-DO"/>
        </w:rPr>
        <w:t xml:space="preserve">Desde la promulgación de esta ley, se han depositado 333 querellas ante el Ministerio Público, en las que se detectó el registro de 168,982 personas como supuestos trabajadores, lo cual ha significado un perjuicio económico de </w:t>
      </w:r>
      <w:r w:rsidR="00410A94">
        <w:rPr>
          <w:rFonts w:eastAsia="Calibri"/>
          <w:noProof/>
          <w:lang w:val="es-DO"/>
        </w:rPr>
        <w:t>aproximadamente</w:t>
      </w:r>
      <w:r w:rsidRPr="00090B56">
        <w:rPr>
          <w:rFonts w:eastAsia="Calibri"/>
          <w:noProof/>
          <w:lang w:val="es-DO"/>
        </w:rPr>
        <w:t xml:space="preserve"> de RD$560 millones, </w:t>
      </w:r>
      <w:r w:rsidRPr="00090B56">
        <w:rPr>
          <w:rFonts w:eastAsia="Calibri"/>
          <w:noProof/>
          <w:lang w:val="es-DO"/>
        </w:rPr>
        <w:lastRenderedPageBreak/>
        <w:t>solamente en los meses en que fueron detectadas dichas actividades sospechosas</w:t>
      </w:r>
      <w:r>
        <w:rPr>
          <w:rFonts w:eastAsia="Calibri"/>
          <w:noProof/>
          <w:lang w:val="es-DO"/>
        </w:rPr>
        <w:t>.</w:t>
      </w:r>
    </w:p>
    <w:p w14:paraId="2CE6A323" w14:textId="6BBD3F5D" w:rsidR="000946F8" w:rsidRDefault="00090B56" w:rsidP="00090B56">
      <w:pPr>
        <w:spacing w:line="360" w:lineRule="auto"/>
        <w:jc w:val="both"/>
        <w:rPr>
          <w:rFonts w:eastAsia="Calibri"/>
          <w:noProof/>
          <w:lang w:val="es-DO"/>
        </w:rPr>
      </w:pPr>
      <w:r w:rsidRPr="00090B56">
        <w:rPr>
          <w:rFonts w:eastAsia="Calibri"/>
          <w:noProof/>
          <w:lang w:val="es-DO"/>
        </w:rPr>
        <w:t xml:space="preserve">Además, la institución destaca la inclusión </w:t>
      </w:r>
      <w:r w:rsidRPr="00C50277">
        <w:rPr>
          <w:rFonts w:eastAsia="Calibri"/>
          <w:noProof/>
          <w:lang w:val="es-DO"/>
        </w:rPr>
        <w:t>de 265,608</w:t>
      </w:r>
      <w:r w:rsidRPr="00090B56">
        <w:rPr>
          <w:rFonts w:eastAsia="Calibri"/>
          <w:noProof/>
          <w:lang w:val="es-DO"/>
        </w:rPr>
        <w:t xml:space="preserve"> dependientes adicionales, entre los que se encuentran padres, suegros y mayores de 21 años sin discapacidad. Este grupo, cuyos seguros son financiados por sus familiares, recibe acceso a cobertura médica en las etapas de su vida donde más lo necesitan.</w:t>
      </w:r>
      <w:r w:rsidR="005835DE">
        <w:rPr>
          <w:rFonts w:eastAsia="Calibri"/>
          <w:noProof/>
          <w:lang w:val="es-DO"/>
        </w:rPr>
        <w:t xml:space="preserve"> </w:t>
      </w:r>
      <w:r w:rsidRPr="00090B56">
        <w:rPr>
          <w:rFonts w:eastAsia="Calibri"/>
          <w:noProof/>
          <w:lang w:val="es-DO"/>
        </w:rPr>
        <w:t xml:space="preserve">Desde la creación del Sistema Dominicano de Seguridad Social a la fecha, la Tesorería de la Seguridad Social ha recaudado más de RD$1.75 billones, un logro histórico que refleja el compromiso con la seguridad y bienestar de la población afiliada. </w:t>
      </w:r>
    </w:p>
    <w:p w14:paraId="270D3448" w14:textId="3F0F585E" w:rsidR="000946F8" w:rsidRDefault="000946F8" w:rsidP="000946F8">
      <w:pPr>
        <w:spacing w:line="360" w:lineRule="auto"/>
        <w:jc w:val="both"/>
        <w:rPr>
          <w:rFonts w:eastAsia="Calibri"/>
          <w:noProof/>
          <w:lang w:val="es-DO"/>
        </w:rPr>
      </w:pPr>
      <w:r w:rsidRPr="00C96D34">
        <w:rPr>
          <w:rFonts w:eastAsia="Calibri"/>
          <w:noProof/>
          <w:lang w:val="es-DO"/>
        </w:rPr>
        <w:t xml:space="preserve">La </w:t>
      </w:r>
      <w:r>
        <w:rPr>
          <w:rFonts w:eastAsia="Calibri"/>
          <w:noProof/>
          <w:lang w:val="es-DO"/>
        </w:rPr>
        <w:t>TSS</w:t>
      </w:r>
      <w:r w:rsidRPr="00C96D34">
        <w:rPr>
          <w:rFonts w:eastAsia="Calibri"/>
          <w:noProof/>
          <w:lang w:val="es-DO"/>
        </w:rPr>
        <w:t xml:space="preserve"> mantiene un nivel de eficiencia en las recaudaciones de un  </w:t>
      </w:r>
      <w:r w:rsidR="00E90367">
        <w:rPr>
          <w:rFonts w:eastAsia="Calibri"/>
          <w:noProof/>
          <w:lang w:val="es-DO"/>
        </w:rPr>
        <w:t>96</w:t>
      </w:r>
      <w:r w:rsidRPr="00CA11C2">
        <w:rPr>
          <w:rFonts w:eastAsia="Calibri"/>
          <w:noProof/>
          <w:lang w:val="es-DO"/>
        </w:rPr>
        <w:t>.</w:t>
      </w:r>
      <w:r w:rsidR="00826E67">
        <w:rPr>
          <w:rFonts w:eastAsia="Calibri"/>
          <w:noProof/>
          <w:lang w:val="es-DO"/>
        </w:rPr>
        <w:t>4</w:t>
      </w:r>
      <w:r w:rsidRPr="00CA11C2">
        <w:rPr>
          <w:rFonts w:eastAsia="Calibri"/>
          <w:noProof/>
          <w:lang w:val="es-DO"/>
        </w:rPr>
        <w:t>6%</w:t>
      </w:r>
      <w:r w:rsidRPr="00C96D34">
        <w:rPr>
          <w:rFonts w:eastAsia="Calibri"/>
          <w:noProof/>
          <w:lang w:val="es-DO"/>
        </w:rPr>
        <w:t xml:space="preserve"> que se obtiene al comparar las notificaciones de pago generadas en el período versus las notificaciones pagadas, el cual se ha logrado mediante la gestión oportuna de las cobranzas y la sensibilización a tráves de los diferentes canales de difusión de información disponibles para que los empleadores puedan dar cumplimiento de sus obligaciones.</w:t>
      </w:r>
    </w:p>
    <w:p w14:paraId="27D7492B" w14:textId="5493930C" w:rsidR="000946F8" w:rsidRPr="00FC47F7" w:rsidRDefault="00007976" w:rsidP="000946F8">
      <w:pPr>
        <w:spacing w:line="360" w:lineRule="auto"/>
        <w:jc w:val="both"/>
        <w:rPr>
          <w:rFonts w:eastAsia="Calibri"/>
          <w:noProof/>
          <w:lang w:val="es-DO"/>
        </w:rPr>
      </w:pPr>
      <w:r>
        <w:rPr>
          <w:rFonts w:eastAsia="Calibri"/>
          <w:noProof/>
          <w:lang w:val="es-DO"/>
        </w:rPr>
        <w:t>Al corte de este informe</w:t>
      </w:r>
      <w:r w:rsidR="000946F8" w:rsidRPr="00FC47F7">
        <w:rPr>
          <w:rFonts w:eastAsia="Calibri"/>
          <w:noProof/>
          <w:lang w:val="es-DO"/>
        </w:rPr>
        <w:t xml:space="preserve">, se encuentran registrados en el Sistema Dominicano de Seguridad Social </w:t>
      </w:r>
      <w:r w:rsidR="00410A94">
        <w:rPr>
          <w:rFonts w:eastAsia="Calibri"/>
          <w:noProof/>
          <w:lang w:val="es-DO"/>
        </w:rPr>
        <w:t>los</w:t>
      </w:r>
      <w:r w:rsidR="000946F8">
        <w:rPr>
          <w:rFonts w:eastAsia="Calibri"/>
          <w:noProof/>
          <w:lang w:val="es-DO"/>
        </w:rPr>
        <w:t xml:space="preserve"> </w:t>
      </w:r>
      <w:r w:rsidR="000946F8" w:rsidRPr="00FC47F7">
        <w:rPr>
          <w:rFonts w:eastAsia="Calibri"/>
          <w:noProof/>
          <w:lang w:val="es-DO"/>
        </w:rPr>
        <w:t xml:space="preserve"> trabajadores cotizantes con un salario promedio de RD</w:t>
      </w:r>
      <w:r w:rsidR="000946F8" w:rsidRPr="00C50277">
        <w:rPr>
          <w:rFonts w:eastAsia="Calibri"/>
          <w:noProof/>
          <w:lang w:val="es-DO"/>
        </w:rPr>
        <w:t>$ 35,001.</w:t>
      </w:r>
      <w:r w:rsidR="000946F8" w:rsidRPr="00FC47F7">
        <w:rPr>
          <w:rFonts w:eastAsia="Calibri"/>
          <w:noProof/>
          <w:lang w:val="es-DO"/>
        </w:rPr>
        <w:t xml:space="preserve"> Respecto al período 202</w:t>
      </w:r>
      <w:r w:rsidR="000946F8">
        <w:rPr>
          <w:rFonts w:eastAsia="Calibri"/>
          <w:noProof/>
          <w:lang w:val="es-DO"/>
        </w:rPr>
        <w:t>3</w:t>
      </w:r>
      <w:r w:rsidR="000946F8" w:rsidRPr="00FC47F7">
        <w:rPr>
          <w:rFonts w:eastAsia="Calibri"/>
          <w:noProof/>
          <w:lang w:val="es-DO"/>
        </w:rPr>
        <w:t xml:space="preserve">, se observa un </w:t>
      </w:r>
      <w:r w:rsidR="000946F8">
        <w:rPr>
          <w:rFonts w:eastAsia="Calibri"/>
          <w:noProof/>
          <w:lang w:val="es-DO"/>
        </w:rPr>
        <w:t xml:space="preserve">ligero </w:t>
      </w:r>
      <w:r w:rsidR="000946F8" w:rsidRPr="00FC47F7">
        <w:rPr>
          <w:rFonts w:eastAsia="Calibri"/>
          <w:noProof/>
          <w:lang w:val="es-DO"/>
        </w:rPr>
        <w:t xml:space="preserve">crecimiento de los trabajadores cotizantes en el SUIR y </w:t>
      </w:r>
      <w:r w:rsidR="000946F8">
        <w:rPr>
          <w:rFonts w:eastAsia="Calibri"/>
          <w:noProof/>
          <w:lang w:val="es-DO"/>
        </w:rPr>
        <w:t>un 9.3% de incremento</w:t>
      </w:r>
      <w:r w:rsidR="000946F8" w:rsidRPr="00FC47F7">
        <w:rPr>
          <w:rFonts w:eastAsia="Calibri"/>
          <w:noProof/>
          <w:lang w:val="es-DO"/>
        </w:rPr>
        <w:t xml:space="preserve"> en el salario pomedio.</w:t>
      </w:r>
      <w:r w:rsidR="000946F8">
        <w:rPr>
          <w:rFonts w:eastAsia="Calibri"/>
          <w:noProof/>
          <w:lang w:val="es-DO"/>
        </w:rPr>
        <w:t xml:space="preserve"> </w:t>
      </w:r>
      <w:r w:rsidR="000946F8" w:rsidRPr="00280997">
        <w:rPr>
          <w:rFonts w:eastAsia="Calibri"/>
          <w:noProof/>
          <w:lang w:val="es-DO"/>
        </w:rPr>
        <w:t xml:space="preserve">La cobertura de salud en la última factura </w:t>
      </w:r>
      <w:r w:rsidR="000946F8" w:rsidRPr="00410A94">
        <w:rPr>
          <w:rFonts w:eastAsia="Calibri"/>
          <w:noProof/>
          <w:lang w:val="es-DO"/>
        </w:rPr>
        <w:t xml:space="preserve">incluía </w:t>
      </w:r>
      <w:r w:rsidR="00410A94" w:rsidRPr="00410A94">
        <w:rPr>
          <w:rFonts w:eastAsia="Calibri"/>
          <w:noProof/>
          <w:lang w:val="es-DO"/>
        </w:rPr>
        <w:t>4,765</w:t>
      </w:r>
      <w:r w:rsidR="00410A94">
        <w:rPr>
          <w:rFonts w:eastAsia="Calibri"/>
          <w:noProof/>
          <w:lang w:val="es-DO"/>
        </w:rPr>
        <w:t>,263</w:t>
      </w:r>
      <w:r w:rsidR="000946F8" w:rsidRPr="00280997">
        <w:rPr>
          <w:rFonts w:eastAsia="Calibri"/>
          <w:noProof/>
          <w:lang w:val="es-DO"/>
        </w:rPr>
        <w:t xml:space="preserve"> afiliados de los cuales </w:t>
      </w:r>
      <w:r w:rsidR="00410A94">
        <w:rPr>
          <w:rFonts w:eastAsia="Calibri"/>
          <w:noProof/>
          <w:lang w:val="es-DO"/>
        </w:rPr>
        <w:t>2,180,595</w:t>
      </w:r>
      <w:r w:rsidR="000946F8" w:rsidRPr="00280997">
        <w:rPr>
          <w:rFonts w:eastAsia="Calibri"/>
          <w:noProof/>
          <w:lang w:val="es-DO"/>
        </w:rPr>
        <w:t xml:space="preserve"> eran titulares y </w:t>
      </w:r>
      <w:r w:rsidR="00410A94">
        <w:rPr>
          <w:rFonts w:eastAsia="Calibri"/>
          <w:noProof/>
          <w:lang w:val="es-DO"/>
        </w:rPr>
        <w:t>2,319,060</w:t>
      </w:r>
      <w:r w:rsidR="000946F8" w:rsidRPr="00280997">
        <w:rPr>
          <w:rFonts w:eastAsia="Calibri"/>
          <w:noProof/>
          <w:lang w:val="es-DO"/>
        </w:rPr>
        <w:t xml:space="preserve"> dependientes </w:t>
      </w:r>
      <w:r w:rsidR="000946F8">
        <w:rPr>
          <w:rFonts w:eastAsia="Calibri"/>
          <w:noProof/>
          <w:lang w:val="es-DO"/>
        </w:rPr>
        <w:t>al incio del cuarto trimestre</w:t>
      </w:r>
      <w:r w:rsidR="000946F8" w:rsidRPr="00280997">
        <w:rPr>
          <w:rFonts w:eastAsia="Calibri"/>
          <w:noProof/>
          <w:lang w:val="es-DO"/>
        </w:rPr>
        <w:t xml:space="preserve"> 2024.  </w:t>
      </w:r>
    </w:p>
    <w:p w14:paraId="7A37C185" w14:textId="34C50EBC" w:rsidR="000946F8" w:rsidRPr="00FC47F7" w:rsidRDefault="73DAFCE8" w:rsidP="03B8D929">
      <w:pPr>
        <w:spacing w:line="360" w:lineRule="auto"/>
        <w:jc w:val="both"/>
        <w:rPr>
          <w:rFonts w:eastAsia="Calibri"/>
          <w:noProof/>
          <w:lang w:val="es-DO"/>
        </w:rPr>
      </w:pPr>
      <w:r w:rsidRPr="03B8D929">
        <w:rPr>
          <w:rFonts w:eastAsia="Calibri"/>
          <w:noProof/>
          <w:lang w:val="es-DO"/>
        </w:rPr>
        <w:t>En cuanto al producto de Disponibilidad del Sistema Único de Información y Recaudo SUIR, la disponibilidad mantuvo un resultado de un 9</w:t>
      </w:r>
      <w:r w:rsidR="21C9D693" w:rsidRPr="03B8D929">
        <w:rPr>
          <w:rFonts w:eastAsia="Calibri"/>
          <w:noProof/>
          <w:lang w:val="es-DO"/>
        </w:rPr>
        <w:t>8.18</w:t>
      </w:r>
      <w:r w:rsidRPr="03B8D929">
        <w:rPr>
          <w:rFonts w:eastAsia="Calibri"/>
          <w:noProof/>
          <w:lang w:val="es-DO"/>
        </w:rPr>
        <w:t xml:space="preserve">%, lo que garantizó a los empleadores y partes interesadas </w:t>
      </w:r>
      <w:r w:rsidRPr="03B8D929">
        <w:rPr>
          <w:rFonts w:eastAsia="Calibri"/>
          <w:noProof/>
          <w:lang w:val="es-DO"/>
        </w:rPr>
        <w:lastRenderedPageBreak/>
        <w:t xml:space="preserve">poder tener accesibilidad en todo momento para realizar novedades y carga de nóminas al sistema o realizar consultas. </w:t>
      </w:r>
    </w:p>
    <w:p w14:paraId="4807F50A" w14:textId="4A878F29" w:rsidR="000946F8" w:rsidRDefault="005135FE" w:rsidP="000946F8">
      <w:pPr>
        <w:spacing w:line="360" w:lineRule="auto"/>
        <w:jc w:val="both"/>
        <w:rPr>
          <w:rFonts w:eastAsia="Calibri"/>
          <w:noProof/>
          <w:lang w:val="es-DO"/>
        </w:rPr>
      </w:pPr>
      <w:r w:rsidRPr="005135FE">
        <w:rPr>
          <w:rFonts w:eastAsia="Calibri"/>
          <w:noProof/>
          <w:lang w:val="es-DO"/>
        </w:rPr>
        <w:t>A través de nuestros Centros de Servicios ubicados en Distrito Nacional, Bávaro, Puerto Plata, San Francisco de Macorís y los Punto GOB Santiago, Sambil, Mega Centro y Occidental Mall</w:t>
      </w:r>
      <w:r w:rsidR="005E6195">
        <w:rPr>
          <w:rFonts w:eastAsia="Calibri"/>
          <w:noProof/>
          <w:lang w:val="es-DO"/>
        </w:rPr>
        <w:t>, colina centro,</w:t>
      </w:r>
      <w:r w:rsidRPr="005135FE">
        <w:rPr>
          <w:rFonts w:eastAsia="Calibri"/>
          <w:noProof/>
          <w:lang w:val="es-DO"/>
        </w:rPr>
        <w:t xml:space="preserve"> hemos recibido un total </w:t>
      </w:r>
      <w:r w:rsidR="00410A94">
        <w:rPr>
          <w:rFonts w:eastAsia="Calibri"/>
          <w:noProof/>
          <w:lang w:val="es-DO"/>
        </w:rPr>
        <w:t xml:space="preserve">de ochenta y nueve mil </w:t>
      </w:r>
      <w:r w:rsidR="00CB13B9">
        <w:rPr>
          <w:rFonts w:eastAsia="Calibri"/>
          <w:noProof/>
          <w:lang w:val="es-DO"/>
        </w:rPr>
        <w:t xml:space="preserve">trecientos </w:t>
      </w:r>
      <w:r w:rsidR="00410A94">
        <w:rPr>
          <w:rFonts w:eastAsia="Calibri"/>
          <w:noProof/>
          <w:lang w:val="es-DO"/>
        </w:rPr>
        <w:t xml:space="preserve">veinte y dos </w:t>
      </w:r>
      <w:r w:rsidR="00410A94" w:rsidRPr="009E3ED4">
        <w:rPr>
          <w:rFonts w:eastAsia="Calibri"/>
          <w:noProof/>
          <w:lang w:val="es-DO"/>
        </w:rPr>
        <w:t>(89,322</w:t>
      </w:r>
      <w:r w:rsidR="00410A94">
        <w:rPr>
          <w:rFonts w:eastAsia="Calibri"/>
          <w:noProof/>
          <w:lang w:val="es-DO"/>
        </w:rPr>
        <w:t>)</w:t>
      </w:r>
      <w:r w:rsidRPr="005135FE">
        <w:rPr>
          <w:rFonts w:eastAsia="Calibri"/>
          <w:noProof/>
          <w:lang w:val="es-DO"/>
        </w:rPr>
        <w:t xml:space="preserve"> en los diferentes procesos de nuestra cartera de servicios institucionales</w:t>
      </w:r>
      <w:r w:rsidR="000946F8" w:rsidRPr="00486404">
        <w:rPr>
          <w:rFonts w:eastAsia="Calibri"/>
          <w:noProof/>
          <w:lang w:val="es-DO"/>
        </w:rPr>
        <w:t>, lo que demuestra el compromiso de la institución en alineación con el eje de acercamiento al usuario y la creciente conciencia entre los sectores sobre la importancia del pago de aportes y contribuciones a los trabajadores en cumplimiento con el R</w:t>
      </w:r>
      <w:r w:rsidR="000946F8">
        <w:rPr>
          <w:rFonts w:eastAsia="Calibri"/>
          <w:noProof/>
          <w:lang w:val="es-DO"/>
        </w:rPr>
        <w:t>é</w:t>
      </w:r>
      <w:r w:rsidR="000946F8" w:rsidRPr="00486404">
        <w:rPr>
          <w:rFonts w:eastAsia="Calibri"/>
          <w:noProof/>
          <w:lang w:val="es-DO"/>
        </w:rPr>
        <w:t xml:space="preserve">gimen Contributivo. </w:t>
      </w:r>
    </w:p>
    <w:p w14:paraId="1517A71C" w14:textId="77777777" w:rsidR="009E3ED4" w:rsidRPr="009E3ED4" w:rsidRDefault="009E3ED4" w:rsidP="009E3ED4">
      <w:pPr>
        <w:spacing w:line="360" w:lineRule="auto"/>
        <w:jc w:val="both"/>
        <w:rPr>
          <w:rFonts w:eastAsia="Calibri"/>
          <w:noProof/>
          <w:lang w:val="es-DO"/>
        </w:rPr>
      </w:pPr>
      <w:r w:rsidRPr="009E3ED4">
        <w:rPr>
          <w:rFonts w:eastAsia="Calibri"/>
          <w:noProof/>
          <w:lang w:val="es-DO"/>
        </w:rPr>
        <w:t>De los servicios tramitados y procesados a nuestros usuarios durante este año 2024, hemos gestionado un total de once mil novecientos setenta y cuatro (11,974) solicitudes de registro de empleadores vía los distintos canales de comunicación, logrando un impresionante porcentaje de cumplimiento del 99.99% de respuesta en menos de 3 días laborables reduciendo los tiempos antes comprometidos de 10 días y hemos entregado al 31 de diciembre un millón trescientos cuarenta y siete mil seiscientos treinta y cinco (1,347,635) certificaciones automáticas y manuales sobre aportes empleador/ trabajadores, aporte personal, balance al día, NSS a extranjeros y a la Dirección General de Información y Defensa de los Afiliados (DIDA), registro de empleadores sin nómina, entre otras con un porcentaje de cumplimiento sostenible del 100% dentro del plazo comprometido.</w:t>
      </w:r>
    </w:p>
    <w:p w14:paraId="745065DC" w14:textId="0D32669F" w:rsidR="000946F8" w:rsidRDefault="000946F8" w:rsidP="000946F8">
      <w:pPr>
        <w:spacing w:line="360" w:lineRule="auto"/>
        <w:jc w:val="both"/>
        <w:rPr>
          <w:rFonts w:eastAsia="Calibri"/>
          <w:noProof/>
          <w:lang w:val="es-DO"/>
        </w:rPr>
      </w:pPr>
    </w:p>
    <w:p w14:paraId="1997F6F0" w14:textId="77777777" w:rsidR="00606C31" w:rsidRDefault="00606C31" w:rsidP="00E06A41">
      <w:pPr>
        <w:spacing w:before="240" w:after="240" w:line="360" w:lineRule="auto"/>
        <w:jc w:val="center"/>
        <w:rPr>
          <w:rFonts w:eastAsia="Calibri"/>
          <w:b/>
          <w:bCs/>
          <w:lang w:val="es-DO"/>
        </w:rPr>
      </w:pPr>
    </w:p>
    <w:p w14:paraId="0C062501" w14:textId="77777777" w:rsidR="00606C31" w:rsidRDefault="00606C31" w:rsidP="00E06A41">
      <w:pPr>
        <w:spacing w:before="240" w:after="240" w:line="360" w:lineRule="auto"/>
        <w:jc w:val="center"/>
        <w:rPr>
          <w:rFonts w:eastAsia="Calibri"/>
          <w:b/>
          <w:bCs/>
          <w:lang w:val="es-DO"/>
        </w:rPr>
      </w:pPr>
    </w:p>
    <w:p w14:paraId="5FE63079" w14:textId="62C65B2C" w:rsidR="00E06A41" w:rsidRPr="00E06A41" w:rsidRDefault="00E06A41" w:rsidP="00865274">
      <w:pPr>
        <w:spacing w:before="240" w:after="240" w:line="360" w:lineRule="auto"/>
        <w:rPr>
          <w:rFonts w:eastAsia="Calibri"/>
          <w:b/>
          <w:bCs/>
          <w:lang w:val="es-DO"/>
        </w:rPr>
      </w:pPr>
      <w:r w:rsidRPr="00E06A41">
        <w:rPr>
          <w:rFonts w:eastAsia="Calibri"/>
          <w:b/>
          <w:bCs/>
          <w:lang w:val="es-DO"/>
        </w:rPr>
        <w:lastRenderedPageBreak/>
        <w:t>Logros Acumulados de la Gestión</w:t>
      </w:r>
    </w:p>
    <w:p w14:paraId="0B1BF78A" w14:textId="1C1F0968" w:rsidR="00D17C5C" w:rsidRPr="003614B4" w:rsidRDefault="47E66058" w:rsidP="00E958D6">
      <w:pPr>
        <w:pStyle w:val="ListParagraph"/>
        <w:numPr>
          <w:ilvl w:val="0"/>
          <w:numId w:val="2"/>
        </w:numPr>
        <w:spacing w:before="240" w:line="360" w:lineRule="auto"/>
        <w:ind w:left="432"/>
        <w:rPr>
          <w:rFonts w:ascii="Times New Roman" w:hAnsi="Times New Roman"/>
          <w:noProof/>
          <w:color w:val="767171"/>
          <w:spacing w:val="20"/>
          <w:sz w:val="24"/>
          <w:szCs w:val="24"/>
        </w:rPr>
      </w:pPr>
      <w:r w:rsidRPr="003614B4">
        <w:rPr>
          <w:rFonts w:ascii="Times New Roman" w:hAnsi="Times New Roman"/>
          <w:noProof/>
          <w:color w:val="767171"/>
          <w:spacing w:val="20"/>
          <w:sz w:val="24"/>
          <w:szCs w:val="24"/>
        </w:rPr>
        <w:t>A</w:t>
      </w:r>
      <w:r w:rsidR="2B7FA86C" w:rsidRPr="003614B4">
        <w:rPr>
          <w:rFonts w:ascii="Times New Roman" w:hAnsi="Times New Roman"/>
          <w:noProof/>
          <w:color w:val="767171"/>
          <w:spacing w:val="20"/>
          <w:sz w:val="24"/>
          <w:szCs w:val="24"/>
        </w:rPr>
        <w:t>l cierre de 2024, las recaudaciones del Sistema Dominicano de Seguridad Social (SDSS) habrán registrado un crecimiento del 11.2% respecto a</w:t>
      </w:r>
      <w:r w:rsidR="4BFBBF81" w:rsidRPr="003614B4">
        <w:rPr>
          <w:rFonts w:ascii="Times New Roman" w:hAnsi="Times New Roman"/>
          <w:noProof/>
          <w:color w:val="767171"/>
          <w:spacing w:val="20"/>
          <w:sz w:val="24"/>
          <w:szCs w:val="24"/>
        </w:rPr>
        <w:t>l periodo</w:t>
      </w:r>
      <w:r w:rsidR="2B7FA86C" w:rsidRPr="003614B4">
        <w:rPr>
          <w:rFonts w:ascii="Times New Roman" w:hAnsi="Times New Roman"/>
          <w:noProof/>
          <w:color w:val="767171"/>
          <w:spacing w:val="20"/>
          <w:sz w:val="24"/>
          <w:szCs w:val="24"/>
        </w:rPr>
        <w:t xml:space="preserve"> 2023, alcanzando un monto superior a RD$210 mil millones, fortaleciendo así la sostenibilidad del Sistema y garantizando la cobertura de los seguros que benefician a millones de dominicanos.</w:t>
      </w:r>
    </w:p>
    <w:p w14:paraId="4AF41018" w14:textId="1EF58E73" w:rsidR="00D17C5C" w:rsidRPr="003614B4" w:rsidRDefault="00D17C5C" w:rsidP="00E958D6">
      <w:pPr>
        <w:pStyle w:val="ListParagraph"/>
        <w:numPr>
          <w:ilvl w:val="0"/>
          <w:numId w:val="2"/>
        </w:numPr>
        <w:spacing w:before="240" w:line="360" w:lineRule="auto"/>
        <w:ind w:left="432"/>
        <w:rPr>
          <w:rFonts w:ascii="Times New Roman" w:hAnsi="Times New Roman"/>
          <w:noProof/>
          <w:color w:val="767171"/>
          <w:spacing w:val="20"/>
          <w:sz w:val="24"/>
          <w:szCs w:val="24"/>
        </w:rPr>
      </w:pPr>
      <w:r w:rsidRPr="003614B4">
        <w:rPr>
          <w:rFonts w:ascii="Times New Roman" w:hAnsi="Times New Roman"/>
          <w:noProof/>
          <w:color w:val="767171"/>
          <w:spacing w:val="20"/>
          <w:sz w:val="24"/>
          <w:szCs w:val="24"/>
        </w:rPr>
        <w:t xml:space="preserve">Disponibilidad de la plataforma Sistema Único de Información y Recaudo (SUIR) para el </w:t>
      </w:r>
      <w:r w:rsidR="00444FB5">
        <w:rPr>
          <w:rFonts w:ascii="Times New Roman" w:hAnsi="Times New Roman"/>
          <w:noProof/>
          <w:color w:val="767171"/>
          <w:spacing w:val="20"/>
          <w:sz w:val="24"/>
          <w:szCs w:val="24"/>
        </w:rPr>
        <w:t>periodo</w:t>
      </w:r>
      <w:r w:rsidRPr="003614B4">
        <w:rPr>
          <w:rFonts w:ascii="Times New Roman" w:hAnsi="Times New Roman"/>
          <w:noProof/>
          <w:color w:val="767171"/>
          <w:spacing w:val="20"/>
          <w:sz w:val="24"/>
          <w:szCs w:val="24"/>
        </w:rPr>
        <w:t xml:space="preserve"> 2024 ha sido un 9</w:t>
      </w:r>
      <w:r w:rsidR="00ED147E" w:rsidRPr="003614B4">
        <w:rPr>
          <w:rFonts w:ascii="Times New Roman" w:hAnsi="Times New Roman"/>
          <w:noProof/>
          <w:color w:val="767171"/>
          <w:spacing w:val="20"/>
          <w:sz w:val="24"/>
          <w:szCs w:val="24"/>
        </w:rPr>
        <w:t>8.18</w:t>
      </w:r>
      <w:r w:rsidRPr="003614B4">
        <w:rPr>
          <w:rFonts w:ascii="Times New Roman" w:hAnsi="Times New Roman"/>
          <w:noProof/>
          <w:color w:val="767171"/>
          <w:spacing w:val="20"/>
          <w:sz w:val="24"/>
          <w:szCs w:val="24"/>
        </w:rPr>
        <w:t>% permitiendo que los empleadores realicen las diferentes gestiones.</w:t>
      </w:r>
    </w:p>
    <w:p w14:paraId="0D93B7C3" w14:textId="5EA7553F" w:rsidR="00ED147E" w:rsidRPr="003614B4" w:rsidRDefault="00ED147E" w:rsidP="0022728D">
      <w:pPr>
        <w:pStyle w:val="ListParagraph"/>
        <w:numPr>
          <w:ilvl w:val="0"/>
          <w:numId w:val="2"/>
        </w:numPr>
        <w:spacing w:line="360" w:lineRule="auto"/>
        <w:ind w:left="432"/>
        <w:rPr>
          <w:rFonts w:ascii="Times New Roman" w:hAnsi="Times New Roman"/>
          <w:noProof/>
          <w:color w:val="767171"/>
          <w:spacing w:val="20"/>
          <w:sz w:val="24"/>
          <w:szCs w:val="24"/>
        </w:rPr>
      </w:pPr>
      <w:r w:rsidRPr="00C50277">
        <w:rPr>
          <w:rFonts w:ascii="Times New Roman" w:hAnsi="Times New Roman"/>
          <w:noProof/>
          <w:color w:val="767171"/>
          <w:spacing w:val="20"/>
          <w:sz w:val="24"/>
          <w:szCs w:val="24"/>
        </w:rPr>
        <w:t>Al 3</w:t>
      </w:r>
      <w:r w:rsidR="00C50277" w:rsidRPr="00C50277">
        <w:rPr>
          <w:rFonts w:ascii="Times New Roman" w:hAnsi="Times New Roman"/>
          <w:noProof/>
          <w:color w:val="767171"/>
          <w:spacing w:val="20"/>
          <w:sz w:val="24"/>
          <w:szCs w:val="24"/>
        </w:rPr>
        <w:t>1</w:t>
      </w:r>
      <w:r w:rsidRPr="00C50277">
        <w:rPr>
          <w:rFonts w:ascii="Times New Roman" w:hAnsi="Times New Roman"/>
          <w:noProof/>
          <w:color w:val="767171"/>
          <w:spacing w:val="20"/>
          <w:sz w:val="24"/>
          <w:szCs w:val="24"/>
        </w:rPr>
        <w:t xml:space="preserve"> de </w:t>
      </w:r>
      <w:r w:rsidR="00C50277" w:rsidRPr="00C50277">
        <w:rPr>
          <w:rFonts w:ascii="Times New Roman" w:hAnsi="Times New Roman"/>
          <w:noProof/>
          <w:color w:val="767171"/>
          <w:spacing w:val="20"/>
          <w:sz w:val="24"/>
          <w:szCs w:val="24"/>
        </w:rPr>
        <w:t>dici</w:t>
      </w:r>
      <w:r w:rsidRPr="00C50277">
        <w:rPr>
          <w:rFonts w:ascii="Times New Roman" w:hAnsi="Times New Roman"/>
          <w:noProof/>
          <w:color w:val="767171"/>
          <w:spacing w:val="20"/>
          <w:sz w:val="24"/>
          <w:szCs w:val="24"/>
        </w:rPr>
        <w:t>embre de 2024, el</w:t>
      </w:r>
      <w:r w:rsidRPr="003614B4">
        <w:rPr>
          <w:rFonts w:ascii="Times New Roman" w:hAnsi="Times New Roman"/>
          <w:noProof/>
          <w:color w:val="767171"/>
          <w:spacing w:val="20"/>
          <w:sz w:val="24"/>
          <w:szCs w:val="24"/>
        </w:rPr>
        <w:t xml:space="preserve"> sistema cuenta con 10 millones 517 mil 174 afiliados al seguro de salud, divididos entre los regímenes Contributivo y Subsidiado.</w:t>
      </w:r>
    </w:p>
    <w:p w14:paraId="086C6DBC" w14:textId="77777777" w:rsidR="007726D3" w:rsidRPr="003614B4" w:rsidRDefault="007726D3" w:rsidP="007726D3">
      <w:pPr>
        <w:pStyle w:val="ListParagraph"/>
        <w:numPr>
          <w:ilvl w:val="0"/>
          <w:numId w:val="2"/>
        </w:numPr>
        <w:spacing w:before="240" w:line="360" w:lineRule="auto"/>
        <w:ind w:left="432"/>
        <w:rPr>
          <w:rFonts w:ascii="Times New Roman" w:hAnsi="Times New Roman"/>
          <w:noProof/>
          <w:color w:val="767171"/>
          <w:spacing w:val="20"/>
          <w:sz w:val="24"/>
          <w:szCs w:val="24"/>
        </w:rPr>
      </w:pPr>
      <w:bookmarkStart w:id="5" w:name="_Hlk184985671"/>
      <w:r w:rsidRPr="003614B4">
        <w:rPr>
          <w:rFonts w:ascii="Times New Roman" w:hAnsi="Times New Roman"/>
          <w:noProof/>
          <w:color w:val="767171"/>
          <w:spacing w:val="20"/>
          <w:sz w:val="24"/>
          <w:szCs w:val="24"/>
        </w:rPr>
        <w:t xml:space="preserve">La cobertura de salud en la última factura incluía 4,765,263 afiliados de los cuales 2,180,595 eran titulares y 2,319,060 dependientes al incio del </w:t>
      </w:r>
      <w:r w:rsidRPr="00C50277">
        <w:rPr>
          <w:rFonts w:ascii="Times New Roman" w:hAnsi="Times New Roman"/>
          <w:noProof/>
          <w:color w:val="767171"/>
          <w:spacing w:val="20"/>
          <w:sz w:val="24"/>
          <w:szCs w:val="24"/>
        </w:rPr>
        <w:t>cuarto trimestre 2024.</w:t>
      </w:r>
      <w:r w:rsidRPr="003614B4">
        <w:rPr>
          <w:rFonts w:ascii="Times New Roman" w:hAnsi="Times New Roman"/>
          <w:noProof/>
          <w:color w:val="767171"/>
          <w:spacing w:val="20"/>
          <w:sz w:val="24"/>
          <w:szCs w:val="24"/>
        </w:rPr>
        <w:t>  </w:t>
      </w:r>
    </w:p>
    <w:bookmarkEnd w:id="5"/>
    <w:p w14:paraId="1D28E5FA" w14:textId="77777777" w:rsidR="00ED147E" w:rsidRPr="00C50277" w:rsidRDefault="00ED147E" w:rsidP="00E958D6">
      <w:pPr>
        <w:pStyle w:val="ListParagraph"/>
        <w:numPr>
          <w:ilvl w:val="0"/>
          <w:numId w:val="2"/>
        </w:numPr>
        <w:spacing w:before="240" w:line="360" w:lineRule="auto"/>
        <w:ind w:left="432"/>
        <w:rPr>
          <w:rFonts w:ascii="Times New Roman" w:hAnsi="Times New Roman"/>
          <w:noProof/>
          <w:color w:val="767171"/>
          <w:spacing w:val="20"/>
          <w:sz w:val="24"/>
          <w:szCs w:val="24"/>
        </w:rPr>
      </w:pPr>
      <w:r w:rsidRPr="003614B4">
        <w:rPr>
          <w:rFonts w:ascii="Times New Roman" w:hAnsi="Times New Roman"/>
          <w:noProof/>
          <w:color w:val="767171"/>
          <w:spacing w:val="20"/>
          <w:sz w:val="24"/>
          <w:szCs w:val="24"/>
        </w:rPr>
        <w:t xml:space="preserve">La institución destaca la inclusión de </w:t>
      </w:r>
      <w:r w:rsidRPr="00C50277">
        <w:rPr>
          <w:rFonts w:ascii="Times New Roman" w:hAnsi="Times New Roman"/>
          <w:noProof/>
          <w:color w:val="767171"/>
          <w:spacing w:val="20"/>
          <w:sz w:val="24"/>
          <w:szCs w:val="24"/>
        </w:rPr>
        <w:t>265,608</w:t>
      </w:r>
      <w:r w:rsidRPr="003614B4">
        <w:rPr>
          <w:rFonts w:ascii="Times New Roman" w:hAnsi="Times New Roman"/>
          <w:noProof/>
          <w:color w:val="767171"/>
          <w:spacing w:val="20"/>
          <w:sz w:val="24"/>
          <w:szCs w:val="24"/>
        </w:rPr>
        <w:t xml:space="preserve"> dependientes adicionales, entre los que se encuentran padres, suegros y mayores de 21 años sin discapacidad. Este grupo, cuyos seguros son financiados por sus familiares, recibe acceso a cobertura médica en las etapas de su </w:t>
      </w:r>
      <w:r w:rsidRPr="00C50277">
        <w:rPr>
          <w:rFonts w:ascii="Times New Roman" w:hAnsi="Times New Roman"/>
          <w:noProof/>
          <w:color w:val="767171"/>
          <w:spacing w:val="20"/>
          <w:sz w:val="24"/>
          <w:szCs w:val="24"/>
        </w:rPr>
        <w:t>vida donde más lo necesitan.</w:t>
      </w:r>
    </w:p>
    <w:p w14:paraId="5D131B9E" w14:textId="7B08603C" w:rsidR="00D17C5C" w:rsidRPr="003614B4" w:rsidRDefault="00D17C5C" w:rsidP="00E958D6">
      <w:pPr>
        <w:pStyle w:val="ListParagraph"/>
        <w:numPr>
          <w:ilvl w:val="0"/>
          <w:numId w:val="2"/>
        </w:numPr>
        <w:spacing w:before="240" w:line="360" w:lineRule="auto"/>
        <w:ind w:left="432"/>
        <w:rPr>
          <w:rFonts w:ascii="Times New Roman" w:hAnsi="Times New Roman"/>
          <w:noProof/>
          <w:color w:val="767171"/>
          <w:spacing w:val="20"/>
          <w:sz w:val="24"/>
          <w:szCs w:val="24"/>
        </w:rPr>
      </w:pPr>
      <w:r w:rsidRPr="00C50277">
        <w:rPr>
          <w:rFonts w:ascii="Times New Roman" w:hAnsi="Times New Roman"/>
          <w:noProof/>
          <w:color w:val="767171"/>
          <w:spacing w:val="20"/>
          <w:sz w:val="24"/>
          <w:szCs w:val="24"/>
        </w:rPr>
        <w:t xml:space="preserve">En 2024, la TSS ha generado </w:t>
      </w:r>
      <w:r w:rsidR="00C50277">
        <w:rPr>
          <w:rFonts w:ascii="Times New Roman" w:hAnsi="Times New Roman"/>
          <w:noProof/>
          <w:color w:val="767171"/>
          <w:spacing w:val="20"/>
          <w:sz w:val="24"/>
          <w:szCs w:val="24"/>
        </w:rPr>
        <w:t>1,347,635</w:t>
      </w:r>
      <w:r w:rsidRPr="003614B4">
        <w:rPr>
          <w:rFonts w:ascii="Times New Roman" w:hAnsi="Times New Roman"/>
          <w:noProof/>
          <w:color w:val="767171"/>
          <w:spacing w:val="20"/>
          <w:sz w:val="24"/>
          <w:szCs w:val="24"/>
        </w:rPr>
        <w:t xml:space="preserve"> certificaciones, </w:t>
      </w:r>
      <w:r w:rsidR="004462C3" w:rsidRPr="003614B4">
        <w:rPr>
          <w:rFonts w:ascii="Times New Roman" w:hAnsi="Times New Roman"/>
          <w:noProof/>
          <w:color w:val="767171"/>
          <w:spacing w:val="20"/>
          <w:sz w:val="24"/>
          <w:szCs w:val="24"/>
        </w:rPr>
        <w:t>en este proceso</w:t>
      </w:r>
      <w:r w:rsidRPr="003614B4">
        <w:rPr>
          <w:rFonts w:ascii="Times New Roman" w:hAnsi="Times New Roman"/>
          <w:noProof/>
          <w:color w:val="767171"/>
          <w:spacing w:val="20"/>
          <w:sz w:val="24"/>
          <w:szCs w:val="24"/>
        </w:rPr>
        <w:t xml:space="preserve"> se destaca las cifras y resultados de satisfacción de los usuarios que supera el</w:t>
      </w:r>
      <w:r w:rsidR="00ED147E" w:rsidRPr="003614B4">
        <w:rPr>
          <w:rFonts w:ascii="Times New Roman" w:hAnsi="Times New Roman"/>
          <w:noProof/>
          <w:color w:val="767171"/>
          <w:spacing w:val="20"/>
          <w:sz w:val="24"/>
          <w:szCs w:val="24"/>
        </w:rPr>
        <w:t xml:space="preserve"> 100</w:t>
      </w:r>
      <w:r w:rsidRPr="003614B4">
        <w:rPr>
          <w:rFonts w:ascii="Times New Roman" w:hAnsi="Times New Roman"/>
          <w:noProof/>
          <w:color w:val="767171"/>
          <w:spacing w:val="20"/>
          <w:sz w:val="24"/>
          <w:szCs w:val="24"/>
        </w:rPr>
        <w:t xml:space="preserve">%, gracias a la eficiencia del servicio, la facilidad de uso del portal en línea, la </w:t>
      </w:r>
      <w:bookmarkStart w:id="6" w:name="_Hlk172098640"/>
      <w:r w:rsidRPr="003614B4">
        <w:rPr>
          <w:rFonts w:ascii="Times New Roman" w:hAnsi="Times New Roman"/>
          <w:noProof/>
          <w:color w:val="767171"/>
          <w:spacing w:val="20"/>
          <w:sz w:val="24"/>
          <w:szCs w:val="24"/>
        </w:rPr>
        <w:t>rapidez</w:t>
      </w:r>
      <w:bookmarkEnd w:id="6"/>
      <w:r w:rsidRPr="003614B4">
        <w:rPr>
          <w:rFonts w:ascii="Times New Roman" w:hAnsi="Times New Roman"/>
          <w:noProof/>
          <w:color w:val="767171"/>
          <w:spacing w:val="20"/>
          <w:sz w:val="24"/>
          <w:szCs w:val="24"/>
        </w:rPr>
        <w:t xml:space="preserve"> en la emisión, la disponibilidad a través de cualquier dispositivo tecnológico y la minimización de posibilidad de errores en la información por intervención humana.</w:t>
      </w:r>
    </w:p>
    <w:p w14:paraId="411758C9" w14:textId="0D2DBE98" w:rsidR="00D17C5C" w:rsidRPr="003614B4" w:rsidRDefault="00D17C5C" w:rsidP="00E958D6">
      <w:pPr>
        <w:pStyle w:val="ListParagraph"/>
        <w:numPr>
          <w:ilvl w:val="0"/>
          <w:numId w:val="2"/>
        </w:numPr>
        <w:spacing w:before="240" w:line="360" w:lineRule="auto"/>
        <w:ind w:left="432"/>
        <w:rPr>
          <w:rFonts w:ascii="Times New Roman" w:hAnsi="Times New Roman"/>
          <w:noProof/>
          <w:color w:val="767171"/>
          <w:spacing w:val="20"/>
          <w:sz w:val="24"/>
          <w:szCs w:val="24"/>
        </w:rPr>
      </w:pPr>
      <w:r w:rsidRPr="003614B4">
        <w:rPr>
          <w:rFonts w:ascii="Times New Roman" w:hAnsi="Times New Roman"/>
          <w:noProof/>
          <w:color w:val="767171"/>
          <w:spacing w:val="20"/>
          <w:sz w:val="24"/>
          <w:szCs w:val="24"/>
        </w:rPr>
        <w:lastRenderedPageBreak/>
        <w:t xml:space="preserve">Reducción de las brechas en el reporte y pago de aportes a la seguridad social, capacitando a </w:t>
      </w:r>
      <w:r w:rsidR="005135FE" w:rsidRPr="00C50277">
        <w:rPr>
          <w:rFonts w:ascii="Times New Roman" w:hAnsi="Times New Roman"/>
          <w:noProof/>
          <w:color w:val="767171"/>
          <w:spacing w:val="20"/>
          <w:sz w:val="24"/>
          <w:szCs w:val="24"/>
        </w:rPr>
        <w:t>3,912</w:t>
      </w:r>
      <w:r w:rsidRPr="003614B4">
        <w:rPr>
          <w:rFonts w:ascii="Times New Roman" w:hAnsi="Times New Roman"/>
          <w:noProof/>
          <w:color w:val="767171"/>
          <w:spacing w:val="20"/>
          <w:sz w:val="24"/>
          <w:szCs w:val="24"/>
        </w:rPr>
        <w:t xml:space="preserve"> representantes de empleadores, dedicando un total de </w:t>
      </w:r>
      <w:r w:rsidR="005135FE" w:rsidRPr="003614B4">
        <w:rPr>
          <w:rFonts w:ascii="Times New Roman" w:hAnsi="Times New Roman"/>
          <w:noProof/>
          <w:color w:val="767171"/>
          <w:spacing w:val="20"/>
          <w:sz w:val="24"/>
          <w:szCs w:val="24"/>
        </w:rPr>
        <w:t>14,070</w:t>
      </w:r>
      <w:r w:rsidRPr="003614B4">
        <w:rPr>
          <w:rFonts w:ascii="Times New Roman" w:hAnsi="Times New Roman"/>
          <w:noProof/>
          <w:color w:val="767171"/>
          <w:spacing w:val="20"/>
          <w:sz w:val="24"/>
          <w:szCs w:val="24"/>
        </w:rPr>
        <w:t xml:space="preserve"> horas/hombre para mejorar sus conocimientos en el manejo del Sistema Único de Información y Recaudo (SUIR) y sus deberes con el Sistema Dominicano de Seguridad Socia</w:t>
      </w:r>
      <w:r w:rsidR="004462C3" w:rsidRPr="003614B4">
        <w:rPr>
          <w:rFonts w:ascii="Times New Roman" w:hAnsi="Times New Roman"/>
          <w:noProof/>
          <w:color w:val="767171"/>
          <w:spacing w:val="20"/>
          <w:sz w:val="24"/>
          <w:szCs w:val="24"/>
        </w:rPr>
        <w:t>l</w:t>
      </w:r>
      <w:r w:rsidRPr="003614B4">
        <w:rPr>
          <w:rFonts w:ascii="Times New Roman" w:hAnsi="Times New Roman"/>
          <w:noProof/>
          <w:color w:val="767171"/>
          <w:spacing w:val="20"/>
          <w:sz w:val="24"/>
          <w:szCs w:val="24"/>
        </w:rPr>
        <w:t>.</w:t>
      </w:r>
    </w:p>
    <w:p w14:paraId="21F9631E" w14:textId="2EF58471" w:rsidR="00376549" w:rsidRPr="003614B4" w:rsidRDefault="00D17C5C" w:rsidP="00E958D6">
      <w:pPr>
        <w:pStyle w:val="ListParagraph"/>
        <w:numPr>
          <w:ilvl w:val="0"/>
          <w:numId w:val="2"/>
        </w:numPr>
        <w:spacing w:before="240" w:line="360" w:lineRule="auto"/>
        <w:ind w:left="432"/>
        <w:rPr>
          <w:rFonts w:ascii="Times New Roman" w:hAnsi="Times New Roman"/>
          <w:noProof/>
          <w:color w:val="767171"/>
          <w:spacing w:val="20"/>
          <w:sz w:val="24"/>
          <w:szCs w:val="24"/>
        </w:rPr>
      </w:pPr>
      <w:r w:rsidRPr="003614B4">
        <w:rPr>
          <w:rFonts w:ascii="Times New Roman" w:hAnsi="Times New Roman"/>
          <w:noProof/>
          <w:color w:val="767171"/>
          <w:spacing w:val="20"/>
          <w:sz w:val="24"/>
          <w:szCs w:val="24"/>
        </w:rPr>
        <w:t xml:space="preserve"> </w:t>
      </w:r>
      <w:r w:rsidR="00376549" w:rsidRPr="003614B4">
        <w:rPr>
          <w:rFonts w:ascii="Times New Roman" w:hAnsi="Times New Roman"/>
          <w:noProof/>
          <w:color w:val="767171"/>
          <w:spacing w:val="20"/>
          <w:sz w:val="24"/>
          <w:szCs w:val="24"/>
        </w:rPr>
        <w:t>La TSS suscribió más de 700 acuerdos de pago con empleadores en mora, generando ingresos adicionales de RD$230 millones. Estas gestiones permitieron que cientos de trabajadores recuperaran su acceso a los beneficios del Seguro Familiar de Salud, garantizando así la continuidad de sus derechos y la protección de sus familiares</w:t>
      </w:r>
      <w:r w:rsidR="004462C3" w:rsidRPr="003614B4">
        <w:rPr>
          <w:rFonts w:ascii="Times New Roman" w:hAnsi="Times New Roman"/>
          <w:noProof/>
          <w:color w:val="767171"/>
          <w:spacing w:val="20"/>
          <w:sz w:val="24"/>
          <w:szCs w:val="24"/>
        </w:rPr>
        <w:t>.</w:t>
      </w:r>
    </w:p>
    <w:p w14:paraId="7D28B129" w14:textId="601BA4F4" w:rsidR="004462C3" w:rsidRPr="003614B4" w:rsidRDefault="004462C3" w:rsidP="00E958D6">
      <w:pPr>
        <w:pStyle w:val="ListParagraph"/>
        <w:numPr>
          <w:ilvl w:val="0"/>
          <w:numId w:val="2"/>
        </w:numPr>
        <w:spacing w:before="240" w:line="360" w:lineRule="auto"/>
        <w:ind w:left="432"/>
        <w:rPr>
          <w:rFonts w:ascii="Times New Roman" w:hAnsi="Times New Roman"/>
          <w:noProof/>
          <w:color w:val="767171"/>
          <w:spacing w:val="20"/>
          <w:sz w:val="24"/>
          <w:szCs w:val="24"/>
        </w:rPr>
      </w:pPr>
      <w:r w:rsidRPr="003614B4">
        <w:rPr>
          <w:rFonts w:ascii="Times New Roman" w:hAnsi="Times New Roman"/>
          <w:noProof/>
          <w:color w:val="767171"/>
          <w:spacing w:val="20"/>
          <w:sz w:val="24"/>
          <w:szCs w:val="24"/>
        </w:rPr>
        <w:t xml:space="preserve">Reducción de la elusión, por medio del </w:t>
      </w:r>
      <w:r w:rsidR="00DC1299" w:rsidRPr="003614B4">
        <w:rPr>
          <w:rFonts w:ascii="Times New Roman" w:hAnsi="Times New Roman"/>
          <w:noProof/>
          <w:color w:val="767171"/>
          <w:spacing w:val="20"/>
          <w:sz w:val="24"/>
          <w:szCs w:val="24"/>
        </w:rPr>
        <w:t xml:space="preserve">levantamiento </w:t>
      </w:r>
      <w:r w:rsidRPr="003614B4">
        <w:rPr>
          <w:rFonts w:ascii="Times New Roman" w:hAnsi="Times New Roman"/>
          <w:noProof/>
          <w:color w:val="767171"/>
          <w:spacing w:val="20"/>
          <w:sz w:val="24"/>
          <w:szCs w:val="24"/>
        </w:rPr>
        <w:t>masivo de dispensas a 333 y n</w:t>
      </w:r>
      <w:r w:rsidR="00900C53" w:rsidRPr="003614B4">
        <w:rPr>
          <w:rFonts w:ascii="Times New Roman" w:hAnsi="Times New Roman"/>
          <w:noProof/>
          <w:color w:val="767171"/>
          <w:spacing w:val="20"/>
          <w:sz w:val="24"/>
          <w:szCs w:val="24"/>
        </w:rPr>
        <w:t>ó</w:t>
      </w:r>
      <w:r w:rsidRPr="003614B4">
        <w:rPr>
          <w:rFonts w:ascii="Times New Roman" w:hAnsi="Times New Roman"/>
          <w:noProof/>
          <w:color w:val="767171"/>
          <w:spacing w:val="20"/>
          <w:sz w:val="24"/>
          <w:szCs w:val="24"/>
        </w:rPr>
        <w:t>minas de empleadores.</w:t>
      </w:r>
    </w:p>
    <w:p w14:paraId="0CDC510A" w14:textId="76B8BE99" w:rsidR="004462C3" w:rsidRPr="003614B4" w:rsidRDefault="004462C3" w:rsidP="00E958D6">
      <w:pPr>
        <w:pStyle w:val="ListParagraph"/>
        <w:numPr>
          <w:ilvl w:val="0"/>
          <w:numId w:val="2"/>
        </w:numPr>
        <w:spacing w:before="240" w:line="360" w:lineRule="auto"/>
        <w:ind w:left="432"/>
        <w:rPr>
          <w:rFonts w:ascii="Times New Roman" w:hAnsi="Times New Roman"/>
          <w:noProof/>
          <w:color w:val="767171"/>
          <w:spacing w:val="20"/>
          <w:sz w:val="24"/>
          <w:szCs w:val="24"/>
        </w:rPr>
      </w:pPr>
      <w:r w:rsidRPr="003614B4">
        <w:rPr>
          <w:rFonts w:ascii="Times New Roman" w:hAnsi="Times New Roman"/>
          <w:noProof/>
          <w:color w:val="767171"/>
          <w:spacing w:val="20"/>
          <w:sz w:val="24"/>
          <w:szCs w:val="24"/>
        </w:rPr>
        <w:t xml:space="preserve">Por otra parte, verificamos la integridad de la cartera de </w:t>
      </w:r>
      <w:r w:rsidR="00DC1299" w:rsidRPr="003614B4">
        <w:rPr>
          <w:rFonts w:ascii="Times New Roman" w:hAnsi="Times New Roman"/>
          <w:noProof/>
          <w:color w:val="767171"/>
          <w:spacing w:val="20"/>
          <w:sz w:val="24"/>
          <w:szCs w:val="24"/>
        </w:rPr>
        <w:t xml:space="preserve">afiliados </w:t>
      </w:r>
      <w:r w:rsidRPr="003614B4">
        <w:rPr>
          <w:rFonts w:ascii="Times New Roman" w:hAnsi="Times New Roman"/>
          <w:noProof/>
          <w:color w:val="767171"/>
          <w:spacing w:val="20"/>
          <w:sz w:val="24"/>
          <w:szCs w:val="24"/>
        </w:rPr>
        <w:t xml:space="preserve">al </w:t>
      </w:r>
      <w:r w:rsidR="00DC1299" w:rsidRPr="003614B4">
        <w:rPr>
          <w:rFonts w:ascii="Times New Roman" w:hAnsi="Times New Roman"/>
          <w:noProof/>
          <w:color w:val="767171"/>
          <w:spacing w:val="20"/>
          <w:sz w:val="24"/>
          <w:szCs w:val="24"/>
        </w:rPr>
        <w:t xml:space="preserve">Seguro </w:t>
      </w:r>
      <w:r w:rsidRPr="003614B4">
        <w:rPr>
          <w:rFonts w:ascii="Times New Roman" w:hAnsi="Times New Roman"/>
          <w:noProof/>
          <w:color w:val="767171"/>
          <w:spacing w:val="20"/>
          <w:sz w:val="24"/>
          <w:szCs w:val="24"/>
        </w:rPr>
        <w:t xml:space="preserve">Familiar de </w:t>
      </w:r>
      <w:r w:rsidR="00DC1299" w:rsidRPr="003614B4">
        <w:rPr>
          <w:rFonts w:ascii="Times New Roman" w:hAnsi="Times New Roman"/>
          <w:noProof/>
          <w:color w:val="767171"/>
          <w:spacing w:val="20"/>
          <w:sz w:val="24"/>
          <w:szCs w:val="24"/>
        </w:rPr>
        <w:t>Salud</w:t>
      </w:r>
      <w:r w:rsidRPr="003614B4">
        <w:rPr>
          <w:rFonts w:ascii="Times New Roman" w:hAnsi="Times New Roman"/>
          <w:noProof/>
          <w:color w:val="767171"/>
          <w:spacing w:val="20"/>
          <w:sz w:val="24"/>
          <w:szCs w:val="24"/>
        </w:rPr>
        <w:t>, gestionada por las Administradoras de Riesgos de Salud (ARS), identificando mediante las auditorias realizadas 348 NSS duplicados/ repetidos durante varios</w:t>
      </w:r>
      <w:r w:rsidR="000D1243" w:rsidRPr="003614B4">
        <w:rPr>
          <w:rFonts w:ascii="Times New Roman" w:hAnsi="Times New Roman"/>
          <w:noProof/>
          <w:color w:val="767171"/>
          <w:spacing w:val="20"/>
          <w:sz w:val="24"/>
          <w:szCs w:val="24"/>
        </w:rPr>
        <w:t xml:space="preserve"> </w:t>
      </w:r>
      <w:r w:rsidRPr="003614B4">
        <w:rPr>
          <w:rFonts w:ascii="Times New Roman" w:hAnsi="Times New Roman"/>
          <w:noProof/>
          <w:color w:val="767171"/>
          <w:spacing w:val="20"/>
          <w:sz w:val="24"/>
          <w:szCs w:val="24"/>
        </w:rPr>
        <w:t>periodos.</w:t>
      </w:r>
    </w:p>
    <w:p w14:paraId="3F9E8974" w14:textId="77777777" w:rsidR="00D17C5C" w:rsidRPr="003614B4" w:rsidRDefault="2FD5367D" w:rsidP="000D1243">
      <w:pPr>
        <w:pStyle w:val="ListParagraph"/>
        <w:numPr>
          <w:ilvl w:val="0"/>
          <w:numId w:val="2"/>
        </w:numPr>
        <w:spacing w:before="240" w:line="360" w:lineRule="auto"/>
        <w:ind w:left="432"/>
        <w:rPr>
          <w:rFonts w:ascii="Times New Roman" w:hAnsi="Times New Roman"/>
          <w:noProof/>
          <w:color w:val="767171"/>
          <w:spacing w:val="20"/>
          <w:sz w:val="24"/>
          <w:szCs w:val="24"/>
        </w:rPr>
      </w:pPr>
      <w:r w:rsidRPr="003614B4">
        <w:rPr>
          <w:rFonts w:ascii="Times New Roman" w:hAnsi="Times New Roman"/>
          <w:noProof/>
          <w:color w:val="767171"/>
          <w:spacing w:val="20"/>
          <w:sz w:val="24"/>
          <w:szCs w:val="24"/>
        </w:rPr>
        <w:t>Aprobación del Manual de Gestión Integral de Riesgos que establece el marco metodológico y las políticas para una apropiada gestión de riesgos.</w:t>
      </w:r>
    </w:p>
    <w:p w14:paraId="400C0ADF" w14:textId="12FEB63E" w:rsidR="00D17C5C" w:rsidRPr="003614B4" w:rsidRDefault="00D17C5C" w:rsidP="000D1243">
      <w:pPr>
        <w:pStyle w:val="ListParagraph"/>
        <w:numPr>
          <w:ilvl w:val="0"/>
          <w:numId w:val="2"/>
        </w:numPr>
        <w:spacing w:before="240" w:line="360" w:lineRule="auto"/>
        <w:ind w:left="432"/>
        <w:rPr>
          <w:rFonts w:ascii="Times New Roman" w:hAnsi="Times New Roman"/>
          <w:noProof/>
          <w:color w:val="767171"/>
          <w:spacing w:val="20"/>
          <w:sz w:val="24"/>
          <w:szCs w:val="24"/>
        </w:rPr>
      </w:pPr>
      <w:r w:rsidRPr="003614B4">
        <w:rPr>
          <w:rFonts w:ascii="Times New Roman" w:hAnsi="Times New Roman"/>
          <w:noProof/>
          <w:color w:val="767171"/>
          <w:spacing w:val="20"/>
          <w:sz w:val="24"/>
          <w:szCs w:val="24"/>
        </w:rPr>
        <w:t>Adopción de la Guía Metodológica de Gestión de Riesgos para la Contrataciones Públicas en la adquisición de nuevos productos y servicios previniendo los eventos que pueden ocasionar la interrupción del proceso.</w:t>
      </w:r>
    </w:p>
    <w:p w14:paraId="2909DDC9" w14:textId="77777777" w:rsidR="00D17C5C" w:rsidRPr="003614B4" w:rsidRDefault="00D17C5C" w:rsidP="000D1243">
      <w:pPr>
        <w:pStyle w:val="ListParagraph"/>
        <w:numPr>
          <w:ilvl w:val="0"/>
          <w:numId w:val="2"/>
        </w:numPr>
        <w:spacing w:before="240" w:line="360" w:lineRule="auto"/>
        <w:ind w:left="432"/>
        <w:rPr>
          <w:rFonts w:ascii="Times New Roman" w:hAnsi="Times New Roman"/>
          <w:noProof/>
          <w:color w:val="767171"/>
          <w:spacing w:val="20"/>
          <w:sz w:val="24"/>
          <w:szCs w:val="24"/>
        </w:rPr>
      </w:pPr>
      <w:r w:rsidRPr="003614B4">
        <w:rPr>
          <w:rFonts w:ascii="Times New Roman" w:hAnsi="Times New Roman"/>
          <w:noProof/>
          <w:color w:val="767171"/>
          <w:spacing w:val="20"/>
          <w:sz w:val="24"/>
          <w:szCs w:val="24"/>
        </w:rPr>
        <w:t xml:space="preserve">Autodiagnóstico realizado por auditores externos con resultados favorables en la gestión de riesgos que evidencia la fortaleza del sistema. </w:t>
      </w:r>
    </w:p>
    <w:p w14:paraId="7A8E3A83" w14:textId="520429A9" w:rsidR="00D17C5C" w:rsidRPr="003614B4" w:rsidRDefault="00D17C5C" w:rsidP="00E958D6">
      <w:pPr>
        <w:numPr>
          <w:ilvl w:val="0"/>
          <w:numId w:val="1"/>
        </w:numPr>
        <w:spacing w:before="240" w:after="0" w:line="360" w:lineRule="auto"/>
        <w:ind w:left="432"/>
        <w:contextualSpacing/>
        <w:jc w:val="both"/>
        <w:rPr>
          <w:rFonts w:eastAsia="Calibri"/>
          <w:noProof/>
          <w:lang w:val="es-DO"/>
        </w:rPr>
      </w:pPr>
      <w:r w:rsidRPr="003614B4">
        <w:rPr>
          <w:rFonts w:eastAsia="Calibri"/>
          <w:noProof/>
          <w:lang w:val="es-DO"/>
        </w:rPr>
        <w:lastRenderedPageBreak/>
        <w:t xml:space="preserve">Elaboración metodológica para el cálculo de costos-beneficios de los riesgos que fortalece la toma de decisiones a la hora de implementar controles para la prevención de riesgos. </w:t>
      </w:r>
    </w:p>
    <w:p w14:paraId="3D67B345" w14:textId="77777777" w:rsidR="00D17C5C" w:rsidRPr="003614B4" w:rsidRDefault="00D17C5C" w:rsidP="00E958D6">
      <w:pPr>
        <w:numPr>
          <w:ilvl w:val="0"/>
          <w:numId w:val="1"/>
        </w:numPr>
        <w:spacing w:before="240" w:after="0" w:line="360" w:lineRule="auto"/>
        <w:ind w:left="432"/>
        <w:contextualSpacing/>
        <w:jc w:val="both"/>
        <w:rPr>
          <w:rFonts w:eastAsia="Calibri"/>
          <w:noProof/>
          <w:lang w:val="es-DO"/>
        </w:rPr>
      </w:pPr>
      <w:r w:rsidRPr="003614B4">
        <w:rPr>
          <w:rFonts w:eastAsia="Calibri"/>
          <w:noProof/>
          <w:lang w:val="es-DO"/>
        </w:rPr>
        <w:t xml:space="preserve">Ejercicios de Gestión de Crisis, que mejora el expertiz de los colaboradores de la institución en eventos disruptivos que ponga en peligro las operaciones de la institución y el Sistema Dominicano de Seguridad Social. </w:t>
      </w:r>
    </w:p>
    <w:p w14:paraId="4E552553" w14:textId="77777777" w:rsidR="00D17C5C" w:rsidRPr="003614B4" w:rsidRDefault="00D17C5C" w:rsidP="00E958D6">
      <w:pPr>
        <w:numPr>
          <w:ilvl w:val="0"/>
          <w:numId w:val="1"/>
        </w:numPr>
        <w:spacing w:before="240" w:after="0" w:line="360" w:lineRule="auto"/>
        <w:ind w:left="432"/>
        <w:contextualSpacing/>
        <w:jc w:val="both"/>
        <w:rPr>
          <w:rFonts w:eastAsia="Calibri"/>
          <w:noProof/>
          <w:lang w:val="es-DO"/>
        </w:rPr>
      </w:pPr>
      <w:r w:rsidRPr="003614B4">
        <w:rPr>
          <w:rFonts w:eastAsia="Calibri"/>
          <w:noProof/>
          <w:lang w:val="es-DO"/>
        </w:rPr>
        <w:t xml:space="preserve">Participación en el simulacro organizado por el Consejo Nacional de Ciberseguridad con el auspicio de AWS donde se pudo evidenciar la preparación de la institución en situaciones de crisis nacional. </w:t>
      </w:r>
    </w:p>
    <w:p w14:paraId="3385B107" w14:textId="04BF1F0D" w:rsidR="00D17C5C" w:rsidRPr="003614B4" w:rsidRDefault="00D17C5C" w:rsidP="00E958D6">
      <w:pPr>
        <w:numPr>
          <w:ilvl w:val="0"/>
          <w:numId w:val="1"/>
        </w:numPr>
        <w:spacing w:before="240" w:after="0" w:line="360" w:lineRule="auto"/>
        <w:ind w:left="432"/>
        <w:contextualSpacing/>
        <w:jc w:val="both"/>
        <w:rPr>
          <w:rFonts w:eastAsia="Calibri"/>
          <w:noProof/>
          <w:lang w:val="es-DO"/>
        </w:rPr>
      </w:pPr>
      <w:r w:rsidRPr="003614B4">
        <w:rPr>
          <w:rFonts w:eastAsia="Calibri"/>
          <w:noProof/>
          <w:lang w:val="es-DO"/>
        </w:rPr>
        <w:t xml:space="preserve">Elaboración de formulario en Power </w:t>
      </w:r>
      <w:r w:rsidR="000D193B" w:rsidRPr="003614B4">
        <w:rPr>
          <w:rFonts w:eastAsia="Calibri"/>
          <w:noProof/>
          <w:lang w:val="es-DO"/>
        </w:rPr>
        <w:t xml:space="preserve">Apps </w:t>
      </w:r>
      <w:r w:rsidRPr="003614B4">
        <w:rPr>
          <w:rFonts w:eastAsia="Calibri"/>
          <w:noProof/>
          <w:lang w:val="es-DO"/>
        </w:rPr>
        <w:t>para fortalecer la gestión y seguimiento de los riesgos.</w:t>
      </w:r>
    </w:p>
    <w:p w14:paraId="01380D81" w14:textId="542E506E" w:rsidR="009B7F1B" w:rsidRPr="003614B4" w:rsidRDefault="510EB22A" w:rsidP="00E958D6">
      <w:pPr>
        <w:numPr>
          <w:ilvl w:val="0"/>
          <w:numId w:val="1"/>
        </w:numPr>
        <w:spacing w:before="240" w:after="0" w:line="360" w:lineRule="auto"/>
        <w:ind w:left="432"/>
        <w:contextualSpacing/>
        <w:jc w:val="both"/>
        <w:rPr>
          <w:rFonts w:eastAsia="Calibri"/>
          <w:noProof/>
          <w:lang w:val="es-DO"/>
        </w:rPr>
      </w:pPr>
      <w:r w:rsidRPr="003614B4">
        <w:rPr>
          <w:rFonts w:eastAsia="Calibri"/>
          <w:noProof/>
          <w:lang w:val="es-DO"/>
        </w:rPr>
        <w:t xml:space="preserve">En el marco de las actividades conmemorativas de la  Semana  del Derecho a Saber 2024, organizada por la Dirección General de Ética e Integridad Gubernamental (DIGEIG), nuestra institución fue reconocida tras obtener una calificación promedio de 99.97% en las evaluaciones del ranking de transparencia institucional en los meses comprendidos entre junio 2023 a junio 2024. </w:t>
      </w:r>
    </w:p>
    <w:p w14:paraId="752EF1C9" w14:textId="0D8B5840" w:rsidR="4FB926F2" w:rsidRPr="003614B4" w:rsidRDefault="4FB926F2" w:rsidP="03B8D929">
      <w:pPr>
        <w:numPr>
          <w:ilvl w:val="0"/>
          <w:numId w:val="1"/>
        </w:numPr>
        <w:spacing w:before="240" w:after="0" w:line="360" w:lineRule="auto"/>
        <w:ind w:left="432"/>
        <w:contextualSpacing/>
        <w:jc w:val="both"/>
        <w:rPr>
          <w:rFonts w:eastAsia="Calibri"/>
          <w:noProof/>
          <w:lang w:val="es-DO"/>
        </w:rPr>
      </w:pPr>
      <w:r w:rsidRPr="003614B4">
        <w:rPr>
          <w:rFonts w:eastAsia="Calibri"/>
          <w:noProof/>
          <w:lang w:val="es-DO"/>
        </w:rPr>
        <w:t>Fortalecimiento y Formulación del Plan Estratégico Institucional periodo 2025-2028, bajo los lineamientos de MEPYD, y alienados a la END, propuest</w:t>
      </w:r>
      <w:r w:rsidR="62D1D3DB" w:rsidRPr="003614B4">
        <w:rPr>
          <w:rFonts w:eastAsia="Calibri"/>
          <w:noProof/>
          <w:lang w:val="es-DO"/>
        </w:rPr>
        <w:t>as de la actualización del PN</w:t>
      </w:r>
      <w:r w:rsidR="000D193B" w:rsidRPr="003614B4">
        <w:rPr>
          <w:rFonts w:eastAsia="Calibri"/>
          <w:noProof/>
          <w:lang w:val="es-DO"/>
        </w:rPr>
        <w:t>P</w:t>
      </w:r>
      <w:r w:rsidR="62D1D3DB" w:rsidRPr="003614B4">
        <w:rPr>
          <w:rFonts w:eastAsia="Calibri"/>
          <w:noProof/>
          <w:lang w:val="es-DO"/>
        </w:rPr>
        <w:t>SP y el marco regulatorio institucional. Donde se define los próximos pasos de la institución.  Actualizaci</w:t>
      </w:r>
      <w:r w:rsidR="492794A7" w:rsidRPr="003614B4">
        <w:rPr>
          <w:rFonts w:eastAsia="Calibri"/>
          <w:noProof/>
          <w:lang w:val="es-DO"/>
        </w:rPr>
        <w:t>ón de mision, visión, valores, ejes estratégicos entre otros componentes del PEI, que estarán vigentes a partir del 1ero de Enero de 202</w:t>
      </w:r>
      <w:r w:rsidR="0BF6AC5C" w:rsidRPr="003614B4">
        <w:rPr>
          <w:rFonts w:eastAsia="Calibri"/>
          <w:noProof/>
          <w:lang w:val="es-DO"/>
        </w:rPr>
        <w:t>5</w:t>
      </w:r>
      <w:r w:rsidR="00900C53" w:rsidRPr="003614B4">
        <w:rPr>
          <w:rFonts w:eastAsia="Calibri"/>
          <w:noProof/>
          <w:lang w:val="es-DO"/>
        </w:rPr>
        <w:t>.</w:t>
      </w:r>
    </w:p>
    <w:p w14:paraId="71A40DA5" w14:textId="77777777" w:rsidR="00711BB0" w:rsidRPr="003614B4" w:rsidRDefault="00711BB0" w:rsidP="00B07950">
      <w:pPr>
        <w:numPr>
          <w:ilvl w:val="0"/>
          <w:numId w:val="1"/>
        </w:numPr>
        <w:spacing w:before="240" w:after="0" w:line="360" w:lineRule="auto"/>
        <w:ind w:left="432"/>
        <w:contextualSpacing/>
        <w:jc w:val="both"/>
        <w:rPr>
          <w:rFonts w:eastAsia="Calibri"/>
          <w:noProof/>
          <w:lang w:val="es-DO"/>
        </w:rPr>
      </w:pPr>
      <w:r w:rsidRPr="003614B4">
        <w:rPr>
          <w:rFonts w:eastAsia="Calibri"/>
          <w:noProof/>
          <w:lang w:val="es-DO"/>
        </w:rPr>
        <w:t xml:space="preserve">La Tesorería de la Seguridad Social (TSS) obtuvo el primer lugar en los resultados de las evaluaciones del Índice de Control Interno (ICI) para el primer y segundo trimestre de 2024, según anunció la Contraloría General de la República (CGR), con un </w:t>
      </w:r>
      <w:r w:rsidRPr="003614B4">
        <w:rPr>
          <w:rFonts w:eastAsia="Calibri"/>
          <w:noProof/>
          <w:lang w:val="es-DO"/>
        </w:rPr>
        <w:lastRenderedPageBreak/>
        <w:t>puntaje de 99.11% y 99.23% respectivamente.</w:t>
      </w:r>
    </w:p>
    <w:p w14:paraId="3DAC5699" w14:textId="77777777" w:rsidR="00711BB0" w:rsidRPr="003614B4" w:rsidRDefault="00711BB0" w:rsidP="00B07950">
      <w:pPr>
        <w:numPr>
          <w:ilvl w:val="0"/>
          <w:numId w:val="1"/>
        </w:numPr>
        <w:spacing w:before="240" w:after="0" w:line="360" w:lineRule="auto"/>
        <w:ind w:left="432"/>
        <w:contextualSpacing/>
        <w:jc w:val="both"/>
        <w:rPr>
          <w:rFonts w:eastAsia="Calibri"/>
          <w:noProof/>
          <w:lang w:val="es-DO"/>
        </w:rPr>
      </w:pPr>
      <w:r w:rsidRPr="003614B4">
        <w:rPr>
          <w:rFonts w:eastAsia="Calibri"/>
          <w:noProof/>
          <w:lang w:val="es-DO"/>
        </w:rPr>
        <w:t>El Instituto Nacional de Administración Pública (INAP) reconoció a la Tesorería de Seguridad Social (TSS) por el alto ranking obtenido en el subindicador del Plan de Capacitación del Sistema de Monitoreo de la Administración Pública y por las buenas prácticas implementadas por la institución para el fomento de competencias en sus servidores públicos.</w:t>
      </w:r>
    </w:p>
    <w:p w14:paraId="6FF22A04" w14:textId="0AF3FBFE" w:rsidR="00711BB0" w:rsidRDefault="00711BB0">
      <w:pPr>
        <w:rPr>
          <w:rFonts w:eastAsia="Calibri"/>
          <w:noProof/>
          <w:lang w:val="es-DO"/>
        </w:rPr>
      </w:pPr>
      <w:r>
        <w:rPr>
          <w:rFonts w:eastAsia="Calibri"/>
          <w:noProof/>
          <w:lang w:val="es-DO"/>
        </w:rPr>
        <w:br w:type="page"/>
      </w:r>
    </w:p>
    <w:p w14:paraId="6384D0D4" w14:textId="62BD4CC9" w:rsidR="00654164" w:rsidRPr="000946F8" w:rsidRDefault="00CC305A" w:rsidP="00654164">
      <w:pPr>
        <w:pStyle w:val="Heading1"/>
        <w:rPr>
          <w:color w:val="4C4747"/>
          <w:lang w:val="es-DO"/>
        </w:rPr>
      </w:pPr>
      <w:bookmarkStart w:id="7" w:name="_Toc185245086"/>
      <w:r w:rsidRPr="00E06A41">
        <w:rPr>
          <w:spacing w:val="0"/>
          <w:lang w:val="es-DO"/>
        </w:rPr>
        <w:lastRenderedPageBreak/>
        <w:t xml:space="preserve">II. </w:t>
      </w:r>
      <w:r w:rsidR="00654164" w:rsidRPr="00E06A41">
        <w:rPr>
          <w:spacing w:val="0"/>
          <w:lang w:val="es-DO"/>
        </w:rPr>
        <w:t>INFORMACIÓN INSTITUCIONAL</w:t>
      </w:r>
      <w:bookmarkEnd w:id="7"/>
    </w:p>
    <w:p w14:paraId="794C2FD3" w14:textId="133793BD" w:rsidR="00654164" w:rsidRPr="000946F8" w:rsidRDefault="009E3A89" w:rsidP="00654164">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658244" behindDoc="0" locked="0" layoutInCell="1" allowOverlap="1" wp14:anchorId="2735667A" wp14:editId="25480F7D">
                <wp:simplePos x="0" y="0"/>
                <wp:positionH relativeFrom="margin">
                  <wp:align>center</wp:align>
                </wp:positionH>
                <wp:positionV relativeFrom="paragraph">
                  <wp:posOffset>24536</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F244C" id="Straight Connector 8" o:spid="_x0000_s1026" style="position:absolute;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5pt" to="3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XyBd2AAAAAMBAAAP&#10;AAAAZHJzL2Rvd25yZXYueG1sTI/LTsMwEEX3SPyDNUjsqANFLQ1xKoSExAYopYsup/HkAfE4it0k&#10;/D1DN7A8uqN7z2TrybVqoD40ng1czxJQxIW3DVcGdh9PV3egQkS22HomA98UYJ2fn2WYWj/yOw3b&#10;WCkp4ZCigTrGLtU6FDU5DDPfEUtW+t5hFOwrbXscpdy1+iZJFtphw7JQY0ePNRVf26OT3bcXvyyH&#10;58Vt3Hzu0a7G5rXcGHN5MT3cg4o0xb9j+NUXdcjF6eCPbINqDcgj0cB8BUrC5Vz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sl8gXdgAAAADAQAADwAAAAAAAAAAAAAA&#10;AAAgBAAAZHJzL2Rvd25yZXYueG1sUEsFBgAAAAAEAAQA8wAAACUFAAAAAA==&#10;" strokecolor="#ee2a24" strokeweight="2.25pt">
                <v:stroke joinstyle="miter"/>
                <w10:wrap anchorx="margin"/>
              </v:line>
            </w:pict>
          </mc:Fallback>
        </mc:AlternateContent>
      </w:r>
    </w:p>
    <w:p w14:paraId="7AD3B78C" w14:textId="5FB9431C" w:rsidR="00654164" w:rsidRPr="006C48BC" w:rsidRDefault="00654164" w:rsidP="006C48BC">
      <w:pPr>
        <w:pStyle w:val="ListParagraph"/>
        <w:spacing w:line="259" w:lineRule="auto"/>
        <w:ind w:firstLine="0"/>
        <w:jc w:val="center"/>
        <w:rPr>
          <w:rFonts w:ascii="Times New Roman" w:eastAsiaTheme="minorHAnsi" w:hAnsi="Times New Roman" w:cstheme="minorBidi"/>
          <w:color w:val="767171"/>
          <w:spacing w:val="20"/>
          <w:sz w:val="24"/>
          <w:szCs w:val="24"/>
        </w:rPr>
      </w:pPr>
      <w:r w:rsidRPr="006C48BC">
        <w:rPr>
          <w:rFonts w:ascii="Times New Roman" w:eastAsiaTheme="minorHAnsi" w:hAnsi="Times New Roman" w:cstheme="minorBidi"/>
          <w:color w:val="767171"/>
          <w:spacing w:val="20"/>
          <w:sz w:val="24"/>
          <w:szCs w:val="24"/>
        </w:rPr>
        <w:t xml:space="preserve">Memoria </w:t>
      </w:r>
      <w:r w:rsidR="00D837AC" w:rsidRPr="006C48BC">
        <w:rPr>
          <w:rFonts w:ascii="Times New Roman" w:eastAsiaTheme="minorHAnsi" w:hAnsi="Times New Roman" w:cstheme="minorBidi"/>
          <w:color w:val="767171"/>
          <w:spacing w:val="20"/>
          <w:sz w:val="24"/>
          <w:szCs w:val="24"/>
        </w:rPr>
        <w:t>I</w:t>
      </w:r>
      <w:r w:rsidRPr="006C48BC">
        <w:rPr>
          <w:rFonts w:ascii="Times New Roman" w:eastAsiaTheme="minorHAnsi" w:hAnsi="Times New Roman" w:cstheme="minorBidi"/>
          <w:color w:val="767171"/>
          <w:spacing w:val="20"/>
          <w:sz w:val="24"/>
          <w:szCs w:val="24"/>
        </w:rPr>
        <w:t xml:space="preserve">nstitucional </w:t>
      </w:r>
      <w:r w:rsidR="000025D4" w:rsidRPr="006C48BC">
        <w:rPr>
          <w:rFonts w:ascii="Times New Roman" w:eastAsiaTheme="minorHAnsi" w:hAnsi="Times New Roman" w:cstheme="minorBidi"/>
          <w:color w:val="767171"/>
          <w:spacing w:val="20"/>
          <w:sz w:val="24"/>
          <w:szCs w:val="24"/>
        </w:rPr>
        <w:t>2024</w:t>
      </w:r>
    </w:p>
    <w:p w14:paraId="4B827E01" w14:textId="65F794A5" w:rsidR="003A6D2F" w:rsidRPr="009E3A89" w:rsidRDefault="00CC305A" w:rsidP="009E3A89">
      <w:pPr>
        <w:pStyle w:val="Heading1"/>
        <w:spacing w:after="240" w:line="259" w:lineRule="auto"/>
        <w:jc w:val="left"/>
        <w:rPr>
          <w:spacing w:val="0"/>
          <w:lang w:val="es-DO"/>
        </w:rPr>
      </w:pPr>
      <w:bookmarkStart w:id="8" w:name="_Toc154736674"/>
      <w:bookmarkStart w:id="9" w:name="_Toc185245087"/>
      <w:r w:rsidRPr="00E06A41">
        <w:rPr>
          <w:spacing w:val="0"/>
          <w:lang w:val="es-DO"/>
        </w:rPr>
        <w:t>2.</w:t>
      </w:r>
      <w:r w:rsidR="00AF6623">
        <w:rPr>
          <w:spacing w:val="0"/>
          <w:lang w:val="es-DO"/>
        </w:rPr>
        <w:t>1</w:t>
      </w:r>
      <w:r w:rsidRPr="00E06A41">
        <w:rPr>
          <w:spacing w:val="0"/>
          <w:lang w:val="es-DO"/>
        </w:rPr>
        <w:t xml:space="preserve"> </w:t>
      </w:r>
      <w:r w:rsidR="003A6D2F" w:rsidRPr="00E06A41">
        <w:rPr>
          <w:spacing w:val="0"/>
          <w:lang w:val="es-DO"/>
        </w:rPr>
        <w:t>Marco Filosófico Institucional</w:t>
      </w:r>
      <w:bookmarkEnd w:id="8"/>
      <w:bookmarkEnd w:id="9"/>
    </w:p>
    <w:p w14:paraId="6828D2A3" w14:textId="585721B2" w:rsidR="003A6D2F" w:rsidRPr="003A6D2F" w:rsidRDefault="4C9CBB1A" w:rsidP="003A6D2F">
      <w:pPr>
        <w:spacing w:before="240" w:after="240" w:line="360" w:lineRule="auto"/>
        <w:jc w:val="both"/>
        <w:rPr>
          <w:rFonts w:eastAsia="Calibri"/>
          <w:lang w:val="es-DO"/>
        </w:rPr>
      </w:pPr>
      <w:r w:rsidRPr="03B8D929">
        <w:rPr>
          <w:rFonts w:eastAsia="Calibri"/>
          <w:lang w:val="es-DO"/>
        </w:rPr>
        <w:t>La Tesorería de la Seguridad Social (TSS) es una entidad autónoma y descentralizada del Estado, adscrita al Ministerio de</w:t>
      </w:r>
      <w:r w:rsidR="006E754B">
        <w:rPr>
          <w:rFonts w:eastAsia="Calibri"/>
          <w:lang w:val="es-DO"/>
        </w:rPr>
        <w:t xml:space="preserve"> </w:t>
      </w:r>
      <w:r w:rsidRPr="03B8D929">
        <w:rPr>
          <w:rFonts w:eastAsia="Calibri"/>
          <w:lang w:val="es-DO"/>
        </w:rPr>
        <w:t>Trabajo, dotada de personalidad jurídica, según establece el Art. 28 de la Ley 87-01 modificado mediante el Art. 3 de la Ley 13-20.</w:t>
      </w:r>
    </w:p>
    <w:p w14:paraId="0125B519" w14:textId="77777777" w:rsidR="003A6D2F" w:rsidRPr="003A6D2F" w:rsidRDefault="003A6D2F" w:rsidP="003A6D2F">
      <w:pPr>
        <w:spacing w:before="240" w:after="240" w:line="360" w:lineRule="auto"/>
        <w:jc w:val="both"/>
        <w:rPr>
          <w:rFonts w:eastAsia="Calibri"/>
          <w:lang w:val="es-DO"/>
        </w:rPr>
      </w:pPr>
      <w:r w:rsidRPr="003A6D2F">
        <w:rPr>
          <w:rFonts w:eastAsia="Calibri"/>
          <w:lang w:val="es-DO"/>
        </w:rPr>
        <w:t>La TSS es la institución responsable de administrar el Sistema Único de Información y Recaudo (SUIR), y la distribución y pago de los recursos del Sistema Dominicano de Seguridad Social (SDSS), mediante una gestión modelo, confiable, enfocada en el servicio y compromiso, con eficiencia y transparencia.</w:t>
      </w:r>
    </w:p>
    <w:p w14:paraId="1EA1398E" w14:textId="77777777" w:rsidR="003A6D2F" w:rsidRPr="009E3A89" w:rsidRDefault="003A6D2F" w:rsidP="009E3A89">
      <w:pPr>
        <w:keepNext/>
        <w:keepLines/>
        <w:spacing w:before="240" w:after="240"/>
        <w:outlineLvl w:val="0"/>
        <w:rPr>
          <w:rFonts w:eastAsiaTheme="majorEastAsia" w:cstheme="majorBidi"/>
          <w:b/>
          <w:color w:val="767171" w:themeColor="background2" w:themeShade="80"/>
          <w:spacing w:val="0"/>
          <w:lang w:val="es-DO"/>
        </w:rPr>
      </w:pPr>
      <w:bookmarkStart w:id="10" w:name="_Toc154736675"/>
      <w:bookmarkStart w:id="11" w:name="_Toc185245088"/>
      <w:r w:rsidRPr="009E3A89">
        <w:rPr>
          <w:rFonts w:eastAsiaTheme="majorEastAsia" w:cstheme="majorBidi"/>
          <w:b/>
          <w:color w:val="767171" w:themeColor="background2" w:themeShade="80"/>
          <w:spacing w:val="0"/>
          <w:lang w:val="es-DO"/>
        </w:rPr>
        <w:t>Misión</w:t>
      </w:r>
      <w:bookmarkEnd w:id="10"/>
      <w:bookmarkEnd w:id="11"/>
      <w:r w:rsidRPr="009E3A89">
        <w:rPr>
          <w:rFonts w:eastAsiaTheme="majorEastAsia" w:cstheme="majorBidi"/>
          <w:b/>
          <w:color w:val="767171" w:themeColor="background2" w:themeShade="80"/>
          <w:spacing w:val="0"/>
          <w:lang w:val="es-DO"/>
        </w:rPr>
        <w:t xml:space="preserve"> </w:t>
      </w:r>
    </w:p>
    <w:p w14:paraId="2A29BC47" w14:textId="77777777" w:rsidR="003A6D2F" w:rsidRPr="003A6D2F" w:rsidRDefault="003A6D2F" w:rsidP="003A6D2F">
      <w:pPr>
        <w:spacing w:before="240" w:after="240" w:line="360" w:lineRule="auto"/>
        <w:jc w:val="both"/>
        <w:rPr>
          <w:rFonts w:eastAsia="Calibri"/>
          <w:lang w:val="es-DO"/>
        </w:rPr>
      </w:pPr>
      <w:r w:rsidRPr="003A6D2F">
        <w:rPr>
          <w:rFonts w:eastAsia="Calibri"/>
          <w:lang w:val="es-DO"/>
        </w:rPr>
        <w:t>Administrar la información y gestionar los recursos financieros del SDSS, de forma oportuna, eficiente y transparente.</w:t>
      </w:r>
    </w:p>
    <w:p w14:paraId="1E28BDE8" w14:textId="77777777" w:rsidR="003A6D2F" w:rsidRPr="003A6D2F" w:rsidRDefault="003A6D2F" w:rsidP="009E3A89">
      <w:pPr>
        <w:keepNext/>
        <w:keepLines/>
        <w:spacing w:before="240" w:after="240"/>
        <w:outlineLvl w:val="0"/>
        <w:rPr>
          <w:rFonts w:eastAsiaTheme="majorEastAsia" w:cstheme="majorBidi"/>
          <w:b/>
          <w:color w:val="767171" w:themeColor="background2" w:themeShade="80"/>
          <w:spacing w:val="0"/>
          <w:lang w:val="es-DO"/>
        </w:rPr>
      </w:pPr>
      <w:bookmarkStart w:id="12" w:name="_Toc154736676"/>
      <w:bookmarkStart w:id="13" w:name="_Toc185245089"/>
      <w:r w:rsidRPr="003A6D2F">
        <w:rPr>
          <w:rFonts w:eastAsiaTheme="majorEastAsia" w:cstheme="majorBidi"/>
          <w:b/>
          <w:color w:val="767171" w:themeColor="background2" w:themeShade="80"/>
          <w:spacing w:val="0"/>
          <w:lang w:val="es-DO"/>
        </w:rPr>
        <w:t>Visión</w:t>
      </w:r>
      <w:bookmarkEnd w:id="12"/>
      <w:bookmarkEnd w:id="13"/>
      <w:r w:rsidRPr="003A6D2F">
        <w:rPr>
          <w:rFonts w:eastAsiaTheme="majorEastAsia" w:cstheme="majorBidi"/>
          <w:b/>
          <w:color w:val="767171" w:themeColor="background2" w:themeShade="80"/>
          <w:spacing w:val="0"/>
          <w:lang w:val="es-DO"/>
        </w:rPr>
        <w:t xml:space="preserve"> </w:t>
      </w:r>
    </w:p>
    <w:p w14:paraId="1C0A41C4" w14:textId="77777777" w:rsidR="003A6D2F" w:rsidRPr="003A6D2F" w:rsidRDefault="003A6D2F" w:rsidP="003A6D2F">
      <w:pPr>
        <w:spacing w:before="240" w:after="240" w:line="360" w:lineRule="auto"/>
        <w:jc w:val="both"/>
        <w:rPr>
          <w:rFonts w:eastAsia="Calibri"/>
          <w:lang w:val="es-DO"/>
        </w:rPr>
      </w:pPr>
      <w:r w:rsidRPr="003A6D2F">
        <w:rPr>
          <w:rFonts w:eastAsia="Calibri"/>
          <w:lang w:val="es-DO"/>
        </w:rPr>
        <w:t>Ser una entidad moderna, vanguardista y accesible, con un modelo de autogestión seguro e   innovador, y altos estándares de excelencia institucional, reconocida por el manejo transparente de sus operaciones y sus recursos.</w:t>
      </w:r>
    </w:p>
    <w:p w14:paraId="5089BB2E" w14:textId="77777777" w:rsidR="003A6D2F" w:rsidRPr="003A6D2F" w:rsidRDefault="003A6D2F" w:rsidP="009E3A89">
      <w:pPr>
        <w:keepNext/>
        <w:keepLines/>
        <w:spacing w:before="240" w:after="240"/>
        <w:outlineLvl w:val="0"/>
        <w:rPr>
          <w:rFonts w:eastAsiaTheme="majorEastAsia" w:cstheme="majorBidi"/>
          <w:b/>
          <w:color w:val="767171" w:themeColor="background2" w:themeShade="80"/>
          <w:spacing w:val="0"/>
          <w:lang w:val="es-DO"/>
        </w:rPr>
      </w:pPr>
      <w:bookmarkStart w:id="14" w:name="_Toc154736677"/>
      <w:bookmarkStart w:id="15" w:name="_Toc185245090"/>
      <w:r w:rsidRPr="003A6D2F">
        <w:rPr>
          <w:rFonts w:eastAsiaTheme="majorEastAsia" w:cstheme="majorBidi"/>
          <w:b/>
          <w:color w:val="767171" w:themeColor="background2" w:themeShade="80"/>
          <w:spacing w:val="0"/>
          <w:lang w:val="es-DO"/>
        </w:rPr>
        <w:t>Valores</w:t>
      </w:r>
      <w:bookmarkEnd w:id="14"/>
      <w:bookmarkEnd w:id="15"/>
      <w:r w:rsidRPr="003A6D2F">
        <w:rPr>
          <w:rFonts w:eastAsiaTheme="majorEastAsia" w:cstheme="majorBidi"/>
          <w:b/>
          <w:color w:val="767171" w:themeColor="background2" w:themeShade="80"/>
          <w:spacing w:val="0"/>
          <w:lang w:val="es-DO"/>
        </w:rPr>
        <w:t xml:space="preserve"> </w:t>
      </w:r>
    </w:p>
    <w:p w14:paraId="4EDEB408" w14:textId="77777777" w:rsidR="003A6D2F" w:rsidRPr="003A6D2F" w:rsidRDefault="003A6D2F" w:rsidP="003A6D2F">
      <w:pPr>
        <w:spacing w:before="240" w:after="240" w:line="360" w:lineRule="auto"/>
        <w:jc w:val="both"/>
        <w:rPr>
          <w:rFonts w:eastAsia="Calibri"/>
          <w:b/>
          <w:bCs/>
          <w:lang w:val="es-DO"/>
        </w:rPr>
      </w:pPr>
      <w:r w:rsidRPr="003A6D2F">
        <w:rPr>
          <w:rFonts w:eastAsia="Calibri"/>
          <w:b/>
          <w:bCs/>
          <w:lang w:val="es-DO"/>
        </w:rPr>
        <w:t>Transparencia:</w:t>
      </w:r>
    </w:p>
    <w:p w14:paraId="50AD70AB" w14:textId="77777777" w:rsidR="003A6D2F" w:rsidRPr="003A6D2F" w:rsidRDefault="003A6D2F" w:rsidP="009E3A89">
      <w:pPr>
        <w:numPr>
          <w:ilvl w:val="0"/>
          <w:numId w:val="4"/>
        </w:numPr>
        <w:spacing w:before="240" w:after="240" w:line="360" w:lineRule="auto"/>
        <w:contextualSpacing/>
        <w:jc w:val="both"/>
        <w:rPr>
          <w:rFonts w:eastAsia="Calibri"/>
          <w:lang w:val="es-DO"/>
        </w:rPr>
      </w:pPr>
      <w:r w:rsidRPr="003A6D2F">
        <w:rPr>
          <w:rFonts w:eastAsia="Calibri"/>
          <w:lang w:val="es-DO"/>
        </w:rPr>
        <w:t>Procuramos y mantenemos un adecuado nivel de visibilidad y accesibilidad de la   información.</w:t>
      </w:r>
    </w:p>
    <w:p w14:paraId="28C84131" w14:textId="77777777" w:rsidR="003A6D2F" w:rsidRDefault="003A6D2F" w:rsidP="009E3A89">
      <w:pPr>
        <w:numPr>
          <w:ilvl w:val="0"/>
          <w:numId w:val="4"/>
        </w:numPr>
        <w:spacing w:before="240" w:after="240" w:line="360" w:lineRule="auto"/>
        <w:contextualSpacing/>
        <w:jc w:val="both"/>
        <w:rPr>
          <w:rFonts w:eastAsia="Calibri"/>
          <w:lang w:val="es-DO"/>
        </w:rPr>
      </w:pPr>
      <w:r w:rsidRPr="003A6D2F">
        <w:rPr>
          <w:rFonts w:eastAsia="Calibri"/>
          <w:lang w:val="es-DO"/>
        </w:rPr>
        <w:lastRenderedPageBreak/>
        <w:t>Buscamos continuamente la claridad de nuestros procedimientos y actuaciones.</w:t>
      </w:r>
    </w:p>
    <w:p w14:paraId="2579ABF3" w14:textId="6FB82B54" w:rsidR="003A6D2F" w:rsidRPr="003A6D2F" w:rsidRDefault="003A6D2F" w:rsidP="009E3A89">
      <w:pPr>
        <w:spacing w:before="240" w:after="240" w:line="360" w:lineRule="auto"/>
        <w:jc w:val="both"/>
        <w:rPr>
          <w:rFonts w:eastAsia="Calibri"/>
          <w:b/>
          <w:bCs/>
          <w:lang w:val="es-DO"/>
        </w:rPr>
      </w:pPr>
      <w:r w:rsidRPr="003A6D2F">
        <w:rPr>
          <w:rFonts w:eastAsia="Calibri"/>
          <w:b/>
          <w:bCs/>
          <w:lang w:val="es-DO"/>
        </w:rPr>
        <w:t>Compromiso Social:</w:t>
      </w:r>
    </w:p>
    <w:p w14:paraId="47C65721" w14:textId="77777777" w:rsidR="003A6D2F" w:rsidRPr="003A6D2F" w:rsidRDefault="003A6D2F" w:rsidP="009E3A89">
      <w:pPr>
        <w:numPr>
          <w:ilvl w:val="0"/>
          <w:numId w:val="4"/>
        </w:numPr>
        <w:spacing w:before="240" w:after="240" w:line="360" w:lineRule="auto"/>
        <w:contextualSpacing/>
        <w:jc w:val="both"/>
        <w:rPr>
          <w:rFonts w:eastAsia="Calibri"/>
          <w:lang w:val="es-DO"/>
        </w:rPr>
      </w:pPr>
      <w:r w:rsidRPr="003A6D2F">
        <w:rPr>
          <w:rFonts w:eastAsia="Calibri"/>
          <w:lang w:val="es-DO"/>
        </w:rPr>
        <w:t>Contribuimos al bienestar y mejora de la calidad de vida de la población dominicana.</w:t>
      </w:r>
    </w:p>
    <w:p w14:paraId="1F095C44" w14:textId="77777777" w:rsidR="003A6D2F" w:rsidRPr="003A6D2F" w:rsidRDefault="003A6D2F" w:rsidP="009E3A89">
      <w:pPr>
        <w:numPr>
          <w:ilvl w:val="0"/>
          <w:numId w:val="4"/>
        </w:numPr>
        <w:spacing w:before="240" w:after="240" w:line="360" w:lineRule="auto"/>
        <w:contextualSpacing/>
        <w:jc w:val="both"/>
        <w:rPr>
          <w:rFonts w:eastAsia="Calibri"/>
          <w:lang w:val="es-DO"/>
        </w:rPr>
      </w:pPr>
      <w:r w:rsidRPr="003A6D2F">
        <w:rPr>
          <w:rFonts w:eastAsia="Calibri"/>
          <w:lang w:val="es-DO"/>
        </w:rPr>
        <w:t>Trabajamos con miras de mejorar la calidad de vida de nuestros colaboradores.</w:t>
      </w:r>
    </w:p>
    <w:p w14:paraId="452556EC" w14:textId="77777777" w:rsidR="003A6D2F" w:rsidRPr="003A6D2F" w:rsidRDefault="003A6D2F" w:rsidP="009E3A89">
      <w:pPr>
        <w:numPr>
          <w:ilvl w:val="0"/>
          <w:numId w:val="4"/>
        </w:numPr>
        <w:spacing w:before="240" w:after="240" w:line="360" w:lineRule="auto"/>
        <w:contextualSpacing/>
        <w:jc w:val="both"/>
        <w:rPr>
          <w:rFonts w:eastAsia="Calibri"/>
          <w:lang w:val="es-DO"/>
        </w:rPr>
      </w:pPr>
      <w:r w:rsidRPr="003A6D2F">
        <w:rPr>
          <w:rFonts w:eastAsia="Calibri"/>
          <w:lang w:val="es-DO"/>
        </w:rPr>
        <w:t>Proveemos un ambiente de trabajo digno e inclusivo para nuestros colaboradores.</w:t>
      </w:r>
    </w:p>
    <w:p w14:paraId="44847ABE" w14:textId="77777777" w:rsidR="003A6D2F" w:rsidRPr="003A6D2F" w:rsidRDefault="003A6D2F" w:rsidP="009E3A89">
      <w:pPr>
        <w:spacing w:before="240" w:after="240" w:line="360" w:lineRule="auto"/>
        <w:jc w:val="both"/>
        <w:rPr>
          <w:rFonts w:eastAsia="Calibri"/>
          <w:b/>
          <w:bCs/>
          <w:lang w:val="es-DO"/>
        </w:rPr>
      </w:pPr>
      <w:r w:rsidRPr="003A6D2F">
        <w:rPr>
          <w:rFonts w:eastAsia="Calibri"/>
          <w:b/>
          <w:bCs/>
          <w:lang w:val="es-DO"/>
        </w:rPr>
        <w:t> Servicio:</w:t>
      </w:r>
    </w:p>
    <w:p w14:paraId="2965B127" w14:textId="77777777" w:rsidR="003A6D2F" w:rsidRPr="003A6D2F" w:rsidRDefault="003A6D2F" w:rsidP="009E3A89">
      <w:pPr>
        <w:numPr>
          <w:ilvl w:val="0"/>
          <w:numId w:val="4"/>
        </w:numPr>
        <w:spacing w:before="240" w:after="240" w:line="360" w:lineRule="auto"/>
        <w:contextualSpacing/>
        <w:jc w:val="both"/>
        <w:rPr>
          <w:rFonts w:eastAsia="Calibri"/>
          <w:lang w:val="es-DO"/>
        </w:rPr>
      </w:pPr>
      <w:r w:rsidRPr="003A6D2F">
        <w:rPr>
          <w:rFonts w:eastAsia="Calibri"/>
          <w:lang w:val="es-DO"/>
        </w:rPr>
        <w:t>Estamos comprometidos con la búsqueda de soluciones oportunas, claras y eficaces, con una eficiente gestión organizacional y tecnológica.</w:t>
      </w:r>
    </w:p>
    <w:p w14:paraId="3D49EEBF" w14:textId="77777777" w:rsidR="003A6D2F" w:rsidRPr="003A6D2F" w:rsidRDefault="003A6D2F" w:rsidP="009E3A89">
      <w:pPr>
        <w:numPr>
          <w:ilvl w:val="0"/>
          <w:numId w:val="4"/>
        </w:numPr>
        <w:spacing w:before="240" w:after="240" w:line="360" w:lineRule="auto"/>
        <w:contextualSpacing/>
        <w:jc w:val="both"/>
        <w:rPr>
          <w:rFonts w:eastAsia="Calibri"/>
          <w:lang w:val="es-DO"/>
        </w:rPr>
      </w:pPr>
      <w:r w:rsidRPr="003A6D2F">
        <w:rPr>
          <w:rFonts w:eastAsia="Calibri"/>
          <w:lang w:val="es-DO"/>
        </w:rPr>
        <w:t>Ofrecemos una experiencia con calidez y empatía en todos nuestros servicios.</w:t>
      </w:r>
    </w:p>
    <w:p w14:paraId="5858FD76" w14:textId="77777777" w:rsidR="003A6D2F" w:rsidRPr="003A6D2F" w:rsidRDefault="003A6D2F" w:rsidP="009E3A89">
      <w:pPr>
        <w:spacing w:before="240" w:after="240" w:line="360" w:lineRule="auto"/>
        <w:jc w:val="both"/>
        <w:rPr>
          <w:rFonts w:eastAsia="Calibri"/>
          <w:b/>
          <w:bCs/>
          <w:lang w:val="es-DO"/>
        </w:rPr>
      </w:pPr>
      <w:r w:rsidRPr="003A6D2F">
        <w:rPr>
          <w:rFonts w:eastAsia="Calibri"/>
          <w:b/>
          <w:bCs/>
          <w:lang w:val="es-DO"/>
        </w:rPr>
        <w:t> Innovación:</w:t>
      </w:r>
    </w:p>
    <w:p w14:paraId="69007D2B" w14:textId="77777777" w:rsidR="003A6D2F" w:rsidRPr="003A6D2F" w:rsidRDefault="003A6D2F" w:rsidP="009E3A89">
      <w:pPr>
        <w:numPr>
          <w:ilvl w:val="0"/>
          <w:numId w:val="4"/>
        </w:numPr>
        <w:spacing w:before="240" w:after="240" w:line="360" w:lineRule="auto"/>
        <w:contextualSpacing/>
        <w:jc w:val="both"/>
        <w:rPr>
          <w:rFonts w:eastAsia="Calibri"/>
          <w:lang w:val="es-DO"/>
        </w:rPr>
      </w:pPr>
      <w:r w:rsidRPr="003A6D2F">
        <w:rPr>
          <w:rFonts w:eastAsia="Calibri"/>
          <w:lang w:val="es-DO"/>
        </w:rPr>
        <w:t>Establecemos y desarrollamos un Modelo Organizacional Innovador.</w:t>
      </w:r>
    </w:p>
    <w:p w14:paraId="52CECAA3" w14:textId="77777777" w:rsidR="003A6D2F" w:rsidRPr="003A6D2F" w:rsidRDefault="003A6D2F" w:rsidP="009E3A89">
      <w:pPr>
        <w:numPr>
          <w:ilvl w:val="0"/>
          <w:numId w:val="4"/>
        </w:numPr>
        <w:spacing w:before="240" w:after="240" w:line="360" w:lineRule="auto"/>
        <w:contextualSpacing/>
        <w:jc w:val="both"/>
        <w:rPr>
          <w:rFonts w:eastAsia="Calibri"/>
          <w:lang w:val="es-DO"/>
        </w:rPr>
      </w:pPr>
      <w:r w:rsidRPr="003A6D2F">
        <w:rPr>
          <w:rFonts w:eastAsia="Calibri"/>
          <w:lang w:val="es-DO"/>
        </w:rPr>
        <w:t>Desarrollamos soluciones de vanguardia en base a las necesidades de nuestros clientes.</w:t>
      </w:r>
    </w:p>
    <w:p w14:paraId="6240BE42" w14:textId="77777777" w:rsidR="003A6D2F" w:rsidRPr="003A6D2F" w:rsidRDefault="003A6D2F" w:rsidP="009E3A89">
      <w:pPr>
        <w:numPr>
          <w:ilvl w:val="0"/>
          <w:numId w:val="4"/>
        </w:numPr>
        <w:spacing w:before="240" w:after="240" w:line="360" w:lineRule="auto"/>
        <w:contextualSpacing/>
        <w:jc w:val="both"/>
        <w:rPr>
          <w:rFonts w:eastAsia="Calibri"/>
          <w:lang w:val="es-DO"/>
        </w:rPr>
      </w:pPr>
      <w:r w:rsidRPr="003A6D2F">
        <w:rPr>
          <w:rFonts w:eastAsia="Calibri"/>
          <w:lang w:val="es-DO"/>
        </w:rPr>
        <w:t>Somos creativos, ágiles y flexibles para transformar proactivamente nuestros procesos.</w:t>
      </w:r>
    </w:p>
    <w:p w14:paraId="68CFCB28" w14:textId="77777777" w:rsidR="003A6D2F" w:rsidRPr="003A6D2F" w:rsidRDefault="003A6D2F" w:rsidP="009E3A89">
      <w:pPr>
        <w:spacing w:before="240" w:after="240" w:line="360" w:lineRule="auto"/>
        <w:jc w:val="both"/>
        <w:rPr>
          <w:rFonts w:eastAsia="Calibri"/>
          <w:b/>
          <w:bCs/>
          <w:lang w:val="es-DO"/>
        </w:rPr>
      </w:pPr>
      <w:r w:rsidRPr="003A6D2F">
        <w:rPr>
          <w:rFonts w:eastAsia="Calibri"/>
          <w:b/>
          <w:bCs/>
          <w:lang w:val="es-DO"/>
        </w:rPr>
        <w:t> Calidad:</w:t>
      </w:r>
    </w:p>
    <w:p w14:paraId="06B1ADED" w14:textId="77777777" w:rsidR="003A6D2F" w:rsidRPr="003A6D2F" w:rsidRDefault="003A6D2F" w:rsidP="009E3A89">
      <w:pPr>
        <w:numPr>
          <w:ilvl w:val="0"/>
          <w:numId w:val="4"/>
        </w:numPr>
        <w:spacing w:before="240" w:after="240" w:line="360" w:lineRule="auto"/>
        <w:contextualSpacing/>
        <w:jc w:val="both"/>
        <w:rPr>
          <w:rFonts w:eastAsia="Calibri"/>
          <w:lang w:val="es-DO"/>
        </w:rPr>
      </w:pPr>
      <w:r w:rsidRPr="003A6D2F">
        <w:rPr>
          <w:rFonts w:eastAsia="Calibri"/>
          <w:lang w:val="es-DO"/>
        </w:rPr>
        <w:t>Cumplimos ﬁelmente las normativas y los controles internos de forma oportuna.</w:t>
      </w:r>
    </w:p>
    <w:p w14:paraId="696A2241" w14:textId="77777777" w:rsidR="003A6D2F" w:rsidRPr="003A6D2F" w:rsidRDefault="003A6D2F" w:rsidP="009E3A89">
      <w:pPr>
        <w:numPr>
          <w:ilvl w:val="0"/>
          <w:numId w:val="4"/>
        </w:numPr>
        <w:spacing w:before="240" w:after="240" w:line="360" w:lineRule="auto"/>
        <w:contextualSpacing/>
        <w:jc w:val="both"/>
        <w:rPr>
          <w:rFonts w:eastAsia="Calibri"/>
          <w:lang w:val="es-DO"/>
        </w:rPr>
      </w:pPr>
      <w:r w:rsidRPr="003A6D2F">
        <w:rPr>
          <w:rFonts w:eastAsia="Calibri"/>
          <w:lang w:val="es-DO"/>
        </w:rPr>
        <w:t>Damos lo mejor de nosotros para trabajar con excelencia y compromiso.</w:t>
      </w:r>
    </w:p>
    <w:p w14:paraId="27B10A8E" w14:textId="77777777" w:rsid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lastRenderedPageBreak/>
        <w:t>Buscamos activamente el mejoramiento continuo de nuestros procesos y operaciones.</w:t>
      </w:r>
    </w:p>
    <w:p w14:paraId="4DEEB57D" w14:textId="64DE4BE4" w:rsidR="003A6D2F" w:rsidRPr="009E3A89" w:rsidRDefault="00CC305A" w:rsidP="009E3A89">
      <w:pPr>
        <w:pStyle w:val="Heading1"/>
        <w:spacing w:after="240" w:line="259" w:lineRule="auto"/>
        <w:jc w:val="left"/>
        <w:rPr>
          <w:spacing w:val="0"/>
          <w:lang w:val="es-DO"/>
        </w:rPr>
      </w:pPr>
      <w:bookmarkStart w:id="16" w:name="_Toc185245091"/>
      <w:r w:rsidRPr="00E06A41">
        <w:rPr>
          <w:spacing w:val="0"/>
          <w:lang w:val="es-DO"/>
        </w:rPr>
        <w:t>2.2</w:t>
      </w:r>
      <w:r w:rsidR="003A6D2F" w:rsidRPr="00E06A41">
        <w:rPr>
          <w:spacing w:val="0"/>
          <w:lang w:val="es-DO"/>
        </w:rPr>
        <w:t xml:space="preserve"> </w:t>
      </w:r>
      <w:bookmarkStart w:id="17" w:name="_Toc154736678"/>
      <w:r w:rsidR="003A6D2F" w:rsidRPr="00E06A41">
        <w:rPr>
          <w:spacing w:val="0"/>
          <w:lang w:val="es-DO"/>
        </w:rPr>
        <w:t>Normativa Reguladora</w:t>
      </w:r>
      <w:bookmarkEnd w:id="17"/>
      <w:bookmarkEnd w:id="16"/>
    </w:p>
    <w:p w14:paraId="59B55653" w14:textId="77777777" w:rsidR="003A6D2F" w:rsidRDefault="003A6D2F" w:rsidP="00865274">
      <w:pPr>
        <w:tabs>
          <w:tab w:val="left" w:pos="90"/>
        </w:tabs>
        <w:spacing w:before="240" w:after="240" w:line="360" w:lineRule="auto"/>
        <w:jc w:val="both"/>
        <w:rPr>
          <w:rFonts w:eastAsia="Calibri"/>
          <w:b/>
          <w:bCs/>
          <w:lang w:val="es-DO"/>
        </w:rPr>
      </w:pPr>
      <w:r w:rsidRPr="003A6D2F">
        <w:rPr>
          <w:rFonts w:eastAsia="Calibri"/>
          <w:b/>
          <w:bCs/>
          <w:lang w:val="es-DO"/>
        </w:rPr>
        <w:t>Leyes:</w:t>
      </w:r>
    </w:p>
    <w:p w14:paraId="27A71859" w14:textId="77777777" w:rsidR="00972A03" w:rsidRPr="00972A03" w:rsidRDefault="00972A03" w:rsidP="00972A03">
      <w:pPr>
        <w:pStyle w:val="ListParagraph"/>
        <w:numPr>
          <w:ilvl w:val="0"/>
          <w:numId w:val="36"/>
        </w:numPr>
        <w:tabs>
          <w:tab w:val="left" w:pos="284"/>
        </w:tabs>
        <w:spacing w:before="240" w:after="0" w:line="360" w:lineRule="auto"/>
        <w:rPr>
          <w:rFonts w:ascii="Times New Roman" w:hAnsi="Times New Roman"/>
          <w:color w:val="767171"/>
          <w:spacing w:val="20"/>
          <w:sz w:val="24"/>
          <w:szCs w:val="24"/>
        </w:rPr>
      </w:pPr>
      <w:r w:rsidRPr="00972A03">
        <w:rPr>
          <w:rFonts w:ascii="Times New Roman" w:hAnsi="Times New Roman"/>
          <w:color w:val="767171"/>
          <w:spacing w:val="20"/>
          <w:sz w:val="24"/>
          <w:szCs w:val="24"/>
        </w:rPr>
        <w:t>Constitución de la República Dominicana, proclamada el 27 de octubre del 2024.</w:t>
      </w:r>
    </w:p>
    <w:p w14:paraId="4BB1D347" w14:textId="77777777" w:rsidR="00972A03" w:rsidRPr="00972A03" w:rsidRDefault="00972A03" w:rsidP="00553C11">
      <w:pPr>
        <w:pStyle w:val="ListParagraph"/>
        <w:numPr>
          <w:ilvl w:val="0"/>
          <w:numId w:val="36"/>
        </w:numPr>
        <w:tabs>
          <w:tab w:val="left" w:pos="284"/>
        </w:tabs>
        <w:spacing w:before="240" w:after="0" w:line="360" w:lineRule="auto"/>
        <w:rPr>
          <w:rFonts w:ascii="Times New Roman" w:hAnsi="Times New Roman"/>
          <w:color w:val="767171"/>
          <w:spacing w:val="20"/>
          <w:sz w:val="24"/>
          <w:szCs w:val="24"/>
        </w:rPr>
      </w:pPr>
      <w:r w:rsidRPr="00972A03">
        <w:rPr>
          <w:rFonts w:ascii="Times New Roman" w:hAnsi="Times New Roman"/>
          <w:color w:val="767171"/>
          <w:spacing w:val="20"/>
          <w:sz w:val="24"/>
          <w:szCs w:val="24"/>
        </w:rPr>
        <w:t>Ley No. 87-01, de fecha 09 de mayo del 2001, que crea el Sistema Dominicano de Seguridad Social (SDSS), modificada por la Ley No. 13-20, de fecha 07 de febrero del 2020, que fortalece la Tesorería de la Seguridad Social (TSS).</w:t>
      </w:r>
    </w:p>
    <w:p w14:paraId="13704EBA" w14:textId="77777777" w:rsidR="00972A03" w:rsidRPr="00972A03" w:rsidRDefault="00972A03" w:rsidP="00553C11">
      <w:pPr>
        <w:pStyle w:val="ListParagraph"/>
        <w:numPr>
          <w:ilvl w:val="0"/>
          <w:numId w:val="36"/>
        </w:numPr>
        <w:tabs>
          <w:tab w:val="left" w:pos="284"/>
        </w:tabs>
        <w:spacing w:before="240" w:after="0" w:line="360" w:lineRule="auto"/>
        <w:rPr>
          <w:rFonts w:ascii="Times New Roman" w:hAnsi="Times New Roman"/>
          <w:color w:val="767171"/>
          <w:spacing w:val="20"/>
          <w:sz w:val="24"/>
          <w:szCs w:val="24"/>
        </w:rPr>
      </w:pPr>
      <w:r w:rsidRPr="00972A03">
        <w:rPr>
          <w:rFonts w:ascii="Times New Roman" w:hAnsi="Times New Roman"/>
          <w:color w:val="767171"/>
          <w:spacing w:val="20"/>
          <w:sz w:val="24"/>
          <w:szCs w:val="24"/>
        </w:rPr>
        <w:t>Ley No. 126-02, de fecha 04 de septiembre del 2002, sobre Comercio Electrónico, Documento y firma Digital.</w:t>
      </w:r>
    </w:p>
    <w:p w14:paraId="5C503D24" w14:textId="77777777" w:rsidR="00972A03" w:rsidRPr="00972A03" w:rsidRDefault="00972A03" w:rsidP="00553C11">
      <w:pPr>
        <w:pStyle w:val="ListParagraph"/>
        <w:numPr>
          <w:ilvl w:val="0"/>
          <w:numId w:val="36"/>
        </w:numPr>
        <w:tabs>
          <w:tab w:val="left" w:pos="284"/>
        </w:tabs>
        <w:spacing w:before="240" w:after="0" w:line="360" w:lineRule="auto"/>
        <w:rPr>
          <w:rFonts w:ascii="Times New Roman" w:hAnsi="Times New Roman"/>
          <w:color w:val="767171"/>
          <w:spacing w:val="20"/>
          <w:sz w:val="24"/>
          <w:szCs w:val="24"/>
        </w:rPr>
      </w:pPr>
      <w:r w:rsidRPr="00972A03">
        <w:rPr>
          <w:rFonts w:ascii="Times New Roman" w:hAnsi="Times New Roman"/>
          <w:color w:val="767171"/>
          <w:spacing w:val="20"/>
          <w:sz w:val="24"/>
          <w:szCs w:val="24"/>
        </w:rPr>
        <w:t>Ley No. 200-04, de fecha 28 de julio del 2004, General de Libre Acceso a la Información Pública.</w:t>
      </w:r>
    </w:p>
    <w:p w14:paraId="623B4676" w14:textId="77777777" w:rsidR="00972A03" w:rsidRPr="00972A03" w:rsidRDefault="00972A03" w:rsidP="00553C11">
      <w:pPr>
        <w:pStyle w:val="ListParagraph"/>
        <w:numPr>
          <w:ilvl w:val="0"/>
          <w:numId w:val="36"/>
        </w:numPr>
        <w:tabs>
          <w:tab w:val="left" w:pos="284"/>
        </w:tabs>
        <w:spacing w:before="240" w:after="0" w:line="360" w:lineRule="auto"/>
        <w:rPr>
          <w:rFonts w:ascii="Times New Roman" w:hAnsi="Times New Roman"/>
          <w:color w:val="767171"/>
          <w:spacing w:val="20"/>
          <w:sz w:val="24"/>
          <w:szCs w:val="24"/>
        </w:rPr>
      </w:pPr>
      <w:r w:rsidRPr="00972A03">
        <w:rPr>
          <w:rFonts w:ascii="Times New Roman" w:hAnsi="Times New Roman"/>
          <w:color w:val="767171"/>
          <w:spacing w:val="20"/>
          <w:sz w:val="24"/>
          <w:szCs w:val="24"/>
        </w:rPr>
        <w:t xml:space="preserve">Ley No. 340-06, de fecha 18 de agosto del 2006, sobre Compras y Contrataciones de Bienes, Servicios, Obras y Concesiones y sus modificaciones. </w:t>
      </w:r>
    </w:p>
    <w:p w14:paraId="1EBAC07C" w14:textId="77777777" w:rsidR="00972A03" w:rsidRPr="00972A03" w:rsidRDefault="00972A03" w:rsidP="00553C11">
      <w:pPr>
        <w:pStyle w:val="ListParagraph"/>
        <w:numPr>
          <w:ilvl w:val="0"/>
          <w:numId w:val="36"/>
        </w:numPr>
        <w:tabs>
          <w:tab w:val="left" w:pos="284"/>
        </w:tabs>
        <w:spacing w:before="240" w:after="0" w:line="360" w:lineRule="auto"/>
        <w:rPr>
          <w:rFonts w:ascii="Times New Roman" w:hAnsi="Times New Roman"/>
          <w:color w:val="767171"/>
          <w:spacing w:val="20"/>
          <w:sz w:val="24"/>
          <w:szCs w:val="24"/>
        </w:rPr>
      </w:pPr>
      <w:r w:rsidRPr="00972A03">
        <w:rPr>
          <w:rFonts w:ascii="Times New Roman" w:hAnsi="Times New Roman"/>
          <w:color w:val="767171"/>
          <w:spacing w:val="20"/>
          <w:sz w:val="24"/>
          <w:szCs w:val="24"/>
        </w:rPr>
        <w:t>Ley No. 423-06, de fecha 14 de noviembre del 2006, Orgánica de Presupuesto para el Sector Público.</w:t>
      </w:r>
    </w:p>
    <w:p w14:paraId="5A862EBD" w14:textId="77777777" w:rsidR="00972A03" w:rsidRPr="00972A03" w:rsidRDefault="00972A03" w:rsidP="00553C11">
      <w:pPr>
        <w:pStyle w:val="ListParagraph"/>
        <w:numPr>
          <w:ilvl w:val="0"/>
          <w:numId w:val="36"/>
        </w:numPr>
        <w:tabs>
          <w:tab w:val="left" w:pos="284"/>
        </w:tabs>
        <w:spacing w:before="240" w:after="0" w:line="360" w:lineRule="auto"/>
        <w:rPr>
          <w:rFonts w:ascii="Times New Roman" w:hAnsi="Times New Roman"/>
          <w:color w:val="767171"/>
          <w:spacing w:val="20"/>
          <w:sz w:val="24"/>
          <w:szCs w:val="24"/>
        </w:rPr>
      </w:pPr>
      <w:r w:rsidRPr="00972A03">
        <w:rPr>
          <w:rFonts w:ascii="Times New Roman" w:hAnsi="Times New Roman"/>
          <w:color w:val="767171"/>
          <w:spacing w:val="20"/>
          <w:sz w:val="24"/>
          <w:szCs w:val="24"/>
        </w:rPr>
        <w:t>Ley No. 188-07, de fecha 09 de agosto del 2007, que introduce modificaciones a la Ley 87-01, que crea el Sistema Dominicano de la Seguridad Social (SDSS).</w:t>
      </w:r>
    </w:p>
    <w:p w14:paraId="5F0547C2" w14:textId="2E7C9C6B" w:rsidR="00553C11" w:rsidRPr="00553C11" w:rsidRDefault="00972A03" w:rsidP="00553C11">
      <w:pPr>
        <w:pStyle w:val="ListParagraph"/>
        <w:numPr>
          <w:ilvl w:val="0"/>
          <w:numId w:val="36"/>
        </w:numPr>
        <w:tabs>
          <w:tab w:val="left" w:pos="284"/>
        </w:tabs>
        <w:spacing w:before="240" w:after="0" w:line="360" w:lineRule="auto"/>
        <w:rPr>
          <w:rFonts w:ascii="Times New Roman" w:hAnsi="Times New Roman"/>
          <w:color w:val="767171"/>
          <w:spacing w:val="20"/>
          <w:sz w:val="24"/>
          <w:szCs w:val="24"/>
        </w:rPr>
      </w:pPr>
      <w:r w:rsidRPr="00972A03">
        <w:rPr>
          <w:rFonts w:ascii="Times New Roman" w:hAnsi="Times New Roman"/>
          <w:color w:val="767171"/>
          <w:spacing w:val="20"/>
          <w:sz w:val="24"/>
          <w:szCs w:val="24"/>
        </w:rPr>
        <w:t>Ley No. 189-07, de fecha 09 de agosto del 2007, que facilita el pago a los empleadores con deudas pendientes con el Sistema Dominicano de la Seguridad Social (SDSS).</w:t>
      </w:r>
    </w:p>
    <w:p w14:paraId="69FEC88A" w14:textId="3854D738" w:rsidR="00972A03" w:rsidRPr="00553C11" w:rsidRDefault="00972A03" w:rsidP="00553C11">
      <w:pPr>
        <w:pStyle w:val="ListParagraph"/>
        <w:numPr>
          <w:ilvl w:val="0"/>
          <w:numId w:val="36"/>
        </w:numPr>
        <w:tabs>
          <w:tab w:val="left" w:pos="284"/>
        </w:tabs>
        <w:spacing w:before="240" w:after="0" w:line="360" w:lineRule="auto"/>
        <w:rPr>
          <w:rFonts w:ascii="Times New Roman" w:hAnsi="Times New Roman"/>
          <w:color w:val="767171"/>
          <w:spacing w:val="20"/>
          <w:sz w:val="24"/>
          <w:szCs w:val="24"/>
        </w:rPr>
      </w:pPr>
      <w:r w:rsidRPr="00972A03">
        <w:rPr>
          <w:rFonts w:ascii="Times New Roman" w:hAnsi="Times New Roman"/>
          <w:color w:val="767171"/>
          <w:spacing w:val="20"/>
          <w:sz w:val="24"/>
          <w:szCs w:val="24"/>
        </w:rPr>
        <w:t xml:space="preserve">Ley No. 41-08, de fecha 16 de enero del 2008, </w:t>
      </w:r>
      <w:r w:rsidR="00553C11">
        <w:rPr>
          <w:rFonts w:ascii="Times New Roman" w:hAnsi="Times New Roman"/>
          <w:color w:val="767171"/>
          <w:spacing w:val="20"/>
          <w:sz w:val="24"/>
          <w:szCs w:val="24"/>
        </w:rPr>
        <w:t>d</w:t>
      </w:r>
      <w:r w:rsidRPr="00972A03">
        <w:rPr>
          <w:rFonts w:ascii="Times New Roman" w:hAnsi="Times New Roman"/>
          <w:color w:val="767171"/>
          <w:spacing w:val="20"/>
          <w:sz w:val="24"/>
          <w:szCs w:val="24"/>
        </w:rPr>
        <w:t>e</w:t>
      </w:r>
      <w:r w:rsidR="00553C11">
        <w:rPr>
          <w:rFonts w:ascii="Times New Roman" w:hAnsi="Times New Roman"/>
          <w:color w:val="767171"/>
          <w:spacing w:val="20"/>
          <w:sz w:val="24"/>
          <w:szCs w:val="24"/>
        </w:rPr>
        <w:t xml:space="preserve"> </w:t>
      </w:r>
      <w:r w:rsidRPr="00553C11">
        <w:rPr>
          <w:rFonts w:ascii="Times New Roman" w:hAnsi="Times New Roman"/>
          <w:color w:val="767171"/>
          <w:spacing w:val="20"/>
          <w:sz w:val="24"/>
          <w:szCs w:val="24"/>
        </w:rPr>
        <w:t>Función Pública y crea el hoy denominado Ministerio de Administración Pública.</w:t>
      </w:r>
    </w:p>
    <w:p w14:paraId="008C768A" w14:textId="77777777" w:rsidR="00972A03" w:rsidRPr="00972A03" w:rsidRDefault="00972A03" w:rsidP="00553C11">
      <w:pPr>
        <w:pStyle w:val="ListParagraph"/>
        <w:numPr>
          <w:ilvl w:val="0"/>
          <w:numId w:val="36"/>
        </w:numPr>
        <w:tabs>
          <w:tab w:val="left" w:pos="284"/>
        </w:tabs>
        <w:spacing w:before="240" w:after="0" w:line="360" w:lineRule="auto"/>
        <w:rPr>
          <w:rFonts w:ascii="Times New Roman" w:hAnsi="Times New Roman"/>
          <w:color w:val="767171"/>
          <w:spacing w:val="20"/>
          <w:sz w:val="24"/>
          <w:szCs w:val="24"/>
        </w:rPr>
      </w:pPr>
      <w:r w:rsidRPr="00972A03">
        <w:rPr>
          <w:rFonts w:ascii="Times New Roman" w:hAnsi="Times New Roman"/>
          <w:color w:val="767171"/>
          <w:spacing w:val="20"/>
          <w:sz w:val="24"/>
          <w:szCs w:val="24"/>
        </w:rPr>
        <w:lastRenderedPageBreak/>
        <w:t>Ley No. 177-09, de fecha 22 de junio del 2009, que otorga amnistía a todos los empleadores públicos y privados, sean personas físicas o morales, con atrasos u omisiones en el pago de las cotizaciones relativas a los aportes del trabajador y las contribuciones del empleador al Sistema Dominicano de Seguridad Social, que hayan estado operando durante la vigencia de la Ley No. 87-01.</w:t>
      </w:r>
    </w:p>
    <w:p w14:paraId="16111559" w14:textId="77777777" w:rsidR="00972A03" w:rsidRPr="00972A03" w:rsidRDefault="00972A03" w:rsidP="00553C11">
      <w:pPr>
        <w:pStyle w:val="ListParagraph"/>
        <w:numPr>
          <w:ilvl w:val="0"/>
          <w:numId w:val="36"/>
        </w:numPr>
        <w:tabs>
          <w:tab w:val="left" w:pos="284"/>
        </w:tabs>
        <w:spacing w:before="240" w:after="0" w:line="360" w:lineRule="auto"/>
        <w:rPr>
          <w:rFonts w:ascii="Times New Roman" w:hAnsi="Times New Roman"/>
          <w:color w:val="767171"/>
          <w:spacing w:val="20"/>
          <w:sz w:val="24"/>
          <w:szCs w:val="24"/>
        </w:rPr>
      </w:pPr>
      <w:r w:rsidRPr="00972A03">
        <w:rPr>
          <w:rFonts w:ascii="Times New Roman" w:hAnsi="Times New Roman"/>
          <w:color w:val="767171"/>
          <w:spacing w:val="20"/>
          <w:sz w:val="24"/>
          <w:szCs w:val="24"/>
        </w:rPr>
        <w:t>Ley No. 247-12, de fecha 09 de agosto del 2012, Orgánica de la Administración Pública.</w:t>
      </w:r>
    </w:p>
    <w:p w14:paraId="6D8995CB" w14:textId="77777777" w:rsidR="00972A03" w:rsidRPr="00972A03" w:rsidRDefault="00972A03" w:rsidP="00553C11">
      <w:pPr>
        <w:pStyle w:val="ListParagraph"/>
        <w:numPr>
          <w:ilvl w:val="0"/>
          <w:numId w:val="36"/>
        </w:numPr>
        <w:tabs>
          <w:tab w:val="left" w:pos="284"/>
        </w:tabs>
        <w:spacing w:before="240" w:after="0" w:line="360" w:lineRule="auto"/>
        <w:rPr>
          <w:rFonts w:ascii="Times New Roman" w:hAnsi="Times New Roman"/>
          <w:color w:val="767171"/>
          <w:spacing w:val="20"/>
          <w:sz w:val="24"/>
          <w:szCs w:val="24"/>
        </w:rPr>
      </w:pPr>
      <w:r w:rsidRPr="00972A03">
        <w:rPr>
          <w:rFonts w:ascii="Times New Roman" w:hAnsi="Times New Roman"/>
          <w:color w:val="767171"/>
          <w:spacing w:val="20"/>
          <w:sz w:val="24"/>
          <w:szCs w:val="24"/>
        </w:rPr>
        <w:t>Ley No. 107-13, de fecha 06 de agosto del 2013, sobre los Derechos de las Personas en sus Relaciones con la Administración y de Procedimiento Administrativo.</w:t>
      </w:r>
    </w:p>
    <w:p w14:paraId="0CF4D449" w14:textId="76AE5A80" w:rsidR="001E7917" w:rsidRPr="001E7917" w:rsidRDefault="00972A03" w:rsidP="001E7917">
      <w:pPr>
        <w:pStyle w:val="ListParagraph"/>
        <w:numPr>
          <w:ilvl w:val="0"/>
          <w:numId w:val="36"/>
        </w:numPr>
        <w:tabs>
          <w:tab w:val="left" w:pos="284"/>
        </w:tabs>
        <w:spacing w:before="240" w:after="0" w:line="360" w:lineRule="auto"/>
        <w:rPr>
          <w:rFonts w:ascii="Times New Roman" w:hAnsi="Times New Roman"/>
          <w:color w:val="767171"/>
          <w:spacing w:val="20"/>
          <w:sz w:val="24"/>
          <w:szCs w:val="24"/>
        </w:rPr>
      </w:pPr>
      <w:r w:rsidRPr="00972A03">
        <w:rPr>
          <w:rFonts w:ascii="Times New Roman" w:hAnsi="Times New Roman"/>
          <w:color w:val="767171"/>
          <w:spacing w:val="20"/>
          <w:sz w:val="24"/>
          <w:szCs w:val="24"/>
        </w:rPr>
        <w:t>Ley No. 167-21, de fecha 12 de agosto del 2021, sobre Mejora Regulatoria y Simplificación de Trámites.</w:t>
      </w:r>
    </w:p>
    <w:p w14:paraId="0EF134A7" w14:textId="77777777" w:rsidR="003A6D2F" w:rsidRPr="003A6D2F" w:rsidRDefault="003A6D2F" w:rsidP="003A6D2F">
      <w:pPr>
        <w:spacing w:before="240" w:after="240" w:line="360" w:lineRule="auto"/>
        <w:jc w:val="both"/>
        <w:rPr>
          <w:rFonts w:eastAsia="Calibri"/>
          <w:b/>
          <w:bCs/>
          <w:lang w:val="es-DO"/>
        </w:rPr>
      </w:pPr>
      <w:r w:rsidRPr="003A6D2F">
        <w:rPr>
          <w:rFonts w:eastAsia="Calibri"/>
          <w:b/>
          <w:bCs/>
          <w:lang w:val="es-DO"/>
        </w:rPr>
        <w:t>Decretos:</w:t>
      </w:r>
    </w:p>
    <w:p w14:paraId="567DAD94" w14:textId="77777777"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Decreto No. 477-20 que designa al Tesorero de la Tesorería de la Seguridad Social.</w:t>
      </w:r>
    </w:p>
    <w:p w14:paraId="2E78E879" w14:textId="6EB581DE"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Decreto No. 18-19 de fecha 7 de enero de 2019 que crea el Plan de Servicios de Salud Especial Transitorio para los Pensionados y Jubilados del Estado que se encuentran inscritos en la Dirección General de Jubilaciones y Pensiones a cargo del estado (DGJP), a partir del 1ro de enero de 2010.</w:t>
      </w:r>
    </w:p>
    <w:p w14:paraId="6F7B3E66" w14:textId="022FF843"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Decreto No. 159-17 de fecha 11 de mayo de 2011, que crea el Plan Especial Transitorio de Servicios de Salud para Pensionados y Jubilados de las Fuerzas Armadas y sus Dependientes Directos.</w:t>
      </w:r>
    </w:p>
    <w:p w14:paraId="6615C417" w14:textId="7D949535"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 xml:space="preserve">Decreto No. 371-16 de fecha 28 de diciembre de 2016 que crea un Plan Especial Transitorio de Servicios de Salud para los pensionados y jubilados del sector salud y sus dependientes </w:t>
      </w:r>
      <w:r w:rsidRPr="003A6D2F">
        <w:rPr>
          <w:rFonts w:eastAsia="Calibri"/>
          <w:lang w:val="es-DO"/>
        </w:rPr>
        <w:lastRenderedPageBreak/>
        <w:t>directos que reciban su prensión a través de la Dirección General de Jubilaciones y Pensiones del Ministerio de Hacienda, en virtud de los Decretos Núm. 208-16, 209-16 y 210-16, todos del 23 de agosto de 2016 que conceden el beneficio de jubilación y asignan pensiones a servidores públicos del sector de salud.</w:t>
      </w:r>
    </w:p>
    <w:p w14:paraId="6C109C11" w14:textId="030A152D"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Decreto No. 96-16 que permite inclusión de extranjeros en el SDSS.</w:t>
      </w:r>
    </w:p>
    <w:p w14:paraId="54401FBA" w14:textId="529C23C4"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Decreto No. 543-12, que aprueba el Reglamento de aplicación de la Ley</w:t>
      </w:r>
      <w:r w:rsidRPr="003A6D2F">
        <w:rPr>
          <w:rFonts w:asciiTheme="minorHAnsi" w:hAnsiTheme="minorHAnsi" w:cstheme="minorBidi"/>
          <w:color w:val="auto"/>
          <w:spacing w:val="0"/>
          <w:sz w:val="22"/>
          <w:szCs w:val="22"/>
          <w:lang w:val="es-DO"/>
        </w:rPr>
        <w:t xml:space="preserve"> </w:t>
      </w:r>
      <w:r w:rsidRPr="003A6D2F">
        <w:rPr>
          <w:rFonts w:eastAsia="Calibri"/>
          <w:lang w:val="es-DO"/>
        </w:rPr>
        <w:t>No. 340-06 sobre Compras y Contrataciones de Bienes, Servicios, Obras y Concesiones, de fecha 6 de septiembre de 2012.</w:t>
      </w:r>
    </w:p>
    <w:p w14:paraId="3B0DFD9C" w14:textId="7FC20B36"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Decreto No. 327-11 de fecha 17 de mayo de 2011, que establece el incremento del per cápita para los Pensionados y Jubilados afiliados al Seguro Nacional de Salud (SENASA), beneficiarios del Plan de Servicios de Salud Especial Transitorio para los Pensionados y Jubilados del Estado, creado mediante Decreto No. 342-09, de fecha 28 de abril de 2009.</w:t>
      </w:r>
    </w:p>
    <w:p w14:paraId="22C717C0" w14:textId="5BC4707F"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Decreto No. 213-10 de fecha 15 de abril de 2010, que modifica el Artículo 1 el Decreto 342-09 del 28 de abril de 2009 que creó el Plan de Servicios de Salud Especial Transitorio para los Pensionados y Jubilados del Estado, para incluir nuevos pensionados y jubilados e incrementa el per cápita del Seguro Familiar de Salud del Plan.</w:t>
      </w:r>
    </w:p>
    <w:p w14:paraId="4AE6DE91" w14:textId="58A82C7F"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Decreto No. 342-09 de fecha 28 de abril de 2009, que crea el Plan de Servicios de Salud Especial Transitorio para los Pensionados y Jubilados del Estado.</w:t>
      </w:r>
    </w:p>
    <w:p w14:paraId="15F534E6" w14:textId="4954B5C2"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Decreto</w:t>
      </w:r>
      <w:r w:rsidRPr="003A6D2F">
        <w:rPr>
          <w:rFonts w:asciiTheme="minorHAnsi" w:hAnsiTheme="minorHAnsi" w:cstheme="minorBidi"/>
          <w:color w:val="auto"/>
          <w:spacing w:val="0"/>
          <w:sz w:val="22"/>
          <w:szCs w:val="22"/>
          <w:lang w:val="es-DO"/>
        </w:rPr>
        <w:t xml:space="preserve"> </w:t>
      </w:r>
      <w:r w:rsidRPr="003A6D2F">
        <w:rPr>
          <w:rFonts w:eastAsia="Calibri"/>
          <w:lang w:val="es-DO"/>
        </w:rPr>
        <w:t xml:space="preserve">No. 528-09, que crea el Reglamento Orgánico Funcional del Ministerio de Administración Pública, de fecha </w:t>
      </w:r>
      <w:r w:rsidRPr="003A6D2F">
        <w:rPr>
          <w:rFonts w:eastAsia="Calibri"/>
          <w:lang w:val="es-DO"/>
        </w:rPr>
        <w:lastRenderedPageBreak/>
        <w:t>21 de julio de 2009.</w:t>
      </w:r>
    </w:p>
    <w:p w14:paraId="7AFB1552" w14:textId="5D8F8ACA"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Decreto No.527-09, que crea el Reglamento Estructura Orgánica, Cargos y Política Salarial, de fecha 21 de julio de 2009.</w:t>
      </w:r>
    </w:p>
    <w:p w14:paraId="0D6DECB8" w14:textId="48BD6D8A"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 xml:space="preserve">Decreto No. 525-09, que crea el Reglamento de Evaluación del Desempeño y Promoción de los </w:t>
      </w:r>
      <w:r w:rsidR="003D03F0">
        <w:rPr>
          <w:rFonts w:eastAsia="Calibri"/>
          <w:lang w:val="es-DO"/>
        </w:rPr>
        <w:t>s</w:t>
      </w:r>
      <w:r w:rsidRPr="003A6D2F">
        <w:rPr>
          <w:rFonts w:eastAsia="Calibri"/>
          <w:lang w:val="es-DO"/>
        </w:rPr>
        <w:t xml:space="preserve">ervidores y </w:t>
      </w:r>
      <w:r w:rsidR="003D03F0" w:rsidRPr="003A6D2F">
        <w:rPr>
          <w:rFonts w:eastAsia="Calibri"/>
          <w:lang w:val="es-DO"/>
        </w:rPr>
        <w:t>funcionarios</w:t>
      </w:r>
      <w:r w:rsidRPr="003A6D2F">
        <w:rPr>
          <w:rFonts w:eastAsia="Calibri"/>
          <w:lang w:val="es-DO"/>
        </w:rPr>
        <w:t xml:space="preserve"> Públicos, de fecha 21 de julio 2009.</w:t>
      </w:r>
    </w:p>
    <w:p w14:paraId="4D1F011F" w14:textId="37283E74"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Decreto No. 524-09, que crea del Reglamento de Reclutamiento y Selección de Personal en la Administración Pública, de fecha 21 de julio 2009.</w:t>
      </w:r>
    </w:p>
    <w:p w14:paraId="397AD788" w14:textId="3582CC0F"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Decreto No. 523-09, que crea el Reglamento de Relaciones Laborales en la Administración Pública, de fecha 21 de julio de 2009.</w:t>
      </w:r>
    </w:p>
    <w:p w14:paraId="38AB4B02" w14:textId="74141B03"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Decreto</w:t>
      </w:r>
      <w:r w:rsidRPr="003A6D2F">
        <w:rPr>
          <w:rFonts w:asciiTheme="minorHAnsi" w:hAnsiTheme="minorHAnsi" w:cstheme="minorBidi"/>
          <w:color w:val="auto"/>
          <w:spacing w:val="0"/>
          <w:sz w:val="22"/>
          <w:szCs w:val="22"/>
          <w:lang w:val="es-DO"/>
        </w:rPr>
        <w:t xml:space="preserve"> </w:t>
      </w:r>
      <w:r w:rsidRPr="003A6D2F">
        <w:rPr>
          <w:rFonts w:eastAsia="Calibri"/>
          <w:lang w:val="es-DO"/>
        </w:rPr>
        <w:t>No. 491-07, que establece el Reglamento de Aplicación del Sistema Nacional de Control Interno, de fecha 30 de agostos de 2007.</w:t>
      </w:r>
    </w:p>
    <w:p w14:paraId="1E6953F6" w14:textId="0BD9AA9F" w:rsidR="003A6D2F" w:rsidRPr="00A12677" w:rsidRDefault="003A6D2F" w:rsidP="003A6D2F">
      <w:pPr>
        <w:numPr>
          <w:ilvl w:val="0"/>
          <w:numId w:val="4"/>
        </w:numPr>
        <w:spacing w:before="240" w:after="240" w:line="360" w:lineRule="auto"/>
        <w:contextualSpacing/>
        <w:jc w:val="both"/>
        <w:rPr>
          <w:rFonts w:eastAsia="Calibri"/>
          <w:b/>
          <w:bCs/>
          <w:lang w:val="es-DO"/>
        </w:rPr>
      </w:pPr>
      <w:r w:rsidRPr="003A6D2F">
        <w:rPr>
          <w:rFonts w:eastAsia="Calibri"/>
          <w:lang w:val="es-DO"/>
        </w:rPr>
        <w:t>Decreto No. 130-05, que aprueba el Reglamento de Aplicación de la Ley No. 200-04, de fecha 25 de febrero de 2005.</w:t>
      </w:r>
    </w:p>
    <w:p w14:paraId="77B038CA" w14:textId="77777777" w:rsidR="00A12677" w:rsidRPr="003A6D2F" w:rsidRDefault="00A12677" w:rsidP="00A12677">
      <w:pPr>
        <w:spacing w:before="240" w:after="240" w:line="360" w:lineRule="auto"/>
        <w:ind w:left="720"/>
        <w:contextualSpacing/>
        <w:jc w:val="both"/>
        <w:rPr>
          <w:rFonts w:eastAsia="Calibri"/>
          <w:b/>
          <w:bCs/>
          <w:lang w:val="es-DO"/>
        </w:rPr>
      </w:pPr>
    </w:p>
    <w:p w14:paraId="49C6BBBD" w14:textId="77777777" w:rsidR="003A6D2F" w:rsidRPr="003A6D2F" w:rsidRDefault="003A6D2F" w:rsidP="003A6D2F">
      <w:pPr>
        <w:spacing w:before="240" w:after="240" w:line="360" w:lineRule="auto"/>
        <w:jc w:val="both"/>
        <w:rPr>
          <w:rFonts w:eastAsia="Calibri"/>
          <w:b/>
          <w:bCs/>
          <w:lang w:val="es-DO"/>
        </w:rPr>
      </w:pPr>
      <w:r w:rsidRPr="003A6D2F">
        <w:rPr>
          <w:rFonts w:eastAsia="Calibri"/>
          <w:b/>
          <w:bCs/>
          <w:lang w:val="es-DO"/>
        </w:rPr>
        <w:t>Reglamentos:</w:t>
      </w:r>
    </w:p>
    <w:p w14:paraId="681D246A" w14:textId="3A5423B8"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Reglamento Orgánico de la TSS aprobado mediante Decreto No. 775-03 de fecha 12 de agosto de 2003.</w:t>
      </w:r>
    </w:p>
    <w:p w14:paraId="410ADFC8" w14:textId="7C71E886"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Reglamento de Pensiones, aprobado mediante Decreto No. 969-02 de fecha 19 de diciembre del 2002.</w:t>
      </w:r>
    </w:p>
    <w:p w14:paraId="5937DD5D" w14:textId="43A5EA13" w:rsidR="003A6D2F" w:rsidRPr="003A6D2F" w:rsidRDefault="003A6D2F" w:rsidP="003A6D2F">
      <w:pPr>
        <w:numPr>
          <w:ilvl w:val="0"/>
          <w:numId w:val="4"/>
        </w:numPr>
        <w:spacing w:before="240" w:after="240" w:line="360" w:lineRule="auto"/>
        <w:contextualSpacing/>
        <w:jc w:val="both"/>
        <w:rPr>
          <w:rFonts w:eastAsia="Calibri"/>
          <w:lang w:val="es-DO"/>
        </w:rPr>
      </w:pPr>
      <w:r w:rsidRPr="003A6D2F">
        <w:rPr>
          <w:rFonts w:eastAsia="Calibri"/>
          <w:lang w:val="es-DO"/>
        </w:rPr>
        <w:t>Reglamento del Régimen Subsidiado Modificado, aprobado mediante Decreto No. 136-13, de fecha 02 de octubre de 2013.</w:t>
      </w:r>
    </w:p>
    <w:p w14:paraId="7CCEBAA4" w14:textId="77777777" w:rsidR="001E7917" w:rsidRDefault="003A6D2F" w:rsidP="00A51FB9">
      <w:pPr>
        <w:numPr>
          <w:ilvl w:val="0"/>
          <w:numId w:val="4"/>
        </w:numPr>
        <w:spacing w:before="240" w:after="240" w:line="360" w:lineRule="auto"/>
        <w:contextualSpacing/>
        <w:jc w:val="both"/>
        <w:rPr>
          <w:rFonts w:eastAsia="Calibri"/>
          <w:lang w:val="es-DO"/>
        </w:rPr>
      </w:pPr>
      <w:r w:rsidRPr="001E7917">
        <w:rPr>
          <w:rFonts w:eastAsia="Calibri"/>
          <w:lang w:val="es-DO"/>
        </w:rPr>
        <w:t>Reglamento del Seguro Familiar de Salud, aprobado mediante Decreto No. 234-07 de fecha 4 de mayo de 2007.</w:t>
      </w:r>
    </w:p>
    <w:p w14:paraId="4F967EAA" w14:textId="67568239" w:rsidR="001E7917" w:rsidRPr="001E7917" w:rsidRDefault="003A6D2F" w:rsidP="001E7917">
      <w:pPr>
        <w:spacing w:before="240" w:after="240" w:line="360" w:lineRule="auto"/>
        <w:ind w:left="720"/>
        <w:contextualSpacing/>
        <w:jc w:val="both"/>
        <w:rPr>
          <w:rFonts w:eastAsia="Calibri"/>
          <w:lang w:val="es-DO"/>
        </w:rPr>
      </w:pPr>
      <w:r w:rsidRPr="001E7917">
        <w:rPr>
          <w:rFonts w:eastAsia="Calibri"/>
          <w:lang w:val="es-DO"/>
        </w:rPr>
        <w:t xml:space="preserve"> </w:t>
      </w:r>
    </w:p>
    <w:p w14:paraId="1AEC5F1C" w14:textId="66678324" w:rsidR="003A6D2F" w:rsidRPr="001E7917" w:rsidRDefault="003A6D2F" w:rsidP="001E7917">
      <w:pPr>
        <w:numPr>
          <w:ilvl w:val="0"/>
          <w:numId w:val="4"/>
        </w:numPr>
        <w:spacing w:before="240" w:after="240" w:line="360" w:lineRule="auto"/>
        <w:contextualSpacing/>
        <w:jc w:val="both"/>
        <w:rPr>
          <w:rFonts w:eastAsia="Calibri"/>
          <w:lang w:val="es-DO"/>
        </w:rPr>
      </w:pPr>
      <w:r w:rsidRPr="003A6D2F">
        <w:rPr>
          <w:rFonts w:eastAsia="Calibri"/>
          <w:lang w:val="es-DO"/>
        </w:rPr>
        <w:lastRenderedPageBreak/>
        <w:t xml:space="preserve">Reglamento Interno del Consejo Nacional de la Seguridad </w:t>
      </w:r>
      <w:r w:rsidRPr="001E7917">
        <w:rPr>
          <w:rFonts w:eastAsia="Calibri"/>
          <w:lang w:val="es-DO"/>
        </w:rPr>
        <w:t>Social, aprobado mediante Decreto No. 707-02 de fecha 4 de septiembre de 2002.</w:t>
      </w:r>
    </w:p>
    <w:p w14:paraId="7909845E" w14:textId="77777777" w:rsidR="003A6D2F" w:rsidRPr="003A6D2F" w:rsidRDefault="003A6D2F" w:rsidP="003A6D2F">
      <w:pPr>
        <w:numPr>
          <w:ilvl w:val="0"/>
          <w:numId w:val="4"/>
        </w:numPr>
        <w:spacing w:before="240" w:after="240" w:line="360" w:lineRule="auto"/>
        <w:contextualSpacing/>
        <w:jc w:val="both"/>
        <w:rPr>
          <w:rFonts w:eastAsia="Calibri"/>
          <w:lang w:val="es-DO"/>
        </w:rPr>
      </w:pPr>
      <w:hyperlink r:id="rId16" w:tgtFrame="_blank" w:history="1">
        <w:r w:rsidRPr="003A6D2F">
          <w:rPr>
            <w:rFonts w:eastAsia="Calibri"/>
            <w:lang w:val="es-DO"/>
          </w:rPr>
          <w:t>Reglamento del Seguro de Riesgos Laborales</w:t>
        </w:r>
      </w:hyperlink>
      <w:r w:rsidRPr="003A6D2F">
        <w:rPr>
          <w:rFonts w:eastAsia="Calibri"/>
          <w:lang w:val="es-DO"/>
        </w:rPr>
        <w:t xml:space="preserve"> Modificado, aprobado mediante Decreto No. 255-07, de fecha 14 de mayo de 2007.</w:t>
      </w:r>
    </w:p>
    <w:p w14:paraId="7D280A1F" w14:textId="77777777" w:rsidR="003A6D2F" w:rsidRDefault="003A6D2F" w:rsidP="003A6D2F">
      <w:pPr>
        <w:spacing w:before="240" w:after="240" w:line="360" w:lineRule="auto"/>
        <w:jc w:val="both"/>
        <w:rPr>
          <w:rFonts w:eastAsia="Calibri"/>
          <w:lang w:val="es-DO"/>
        </w:rPr>
      </w:pPr>
    </w:p>
    <w:p w14:paraId="79A8D031" w14:textId="77777777" w:rsidR="00B76DB7" w:rsidRDefault="00B76DB7" w:rsidP="003A6D2F">
      <w:pPr>
        <w:spacing w:before="240" w:after="240" w:line="360" w:lineRule="auto"/>
        <w:jc w:val="both"/>
        <w:rPr>
          <w:rFonts w:eastAsia="Calibri"/>
          <w:lang w:val="es-DO"/>
        </w:rPr>
      </w:pPr>
    </w:p>
    <w:p w14:paraId="4F2BCE35" w14:textId="77777777" w:rsidR="00B76DB7" w:rsidRDefault="00B76DB7" w:rsidP="003A6D2F">
      <w:pPr>
        <w:spacing w:before="240" w:after="240" w:line="360" w:lineRule="auto"/>
        <w:jc w:val="both"/>
        <w:rPr>
          <w:rFonts w:eastAsia="Calibri"/>
          <w:lang w:val="es-DO"/>
        </w:rPr>
      </w:pPr>
    </w:p>
    <w:p w14:paraId="6B7B9124" w14:textId="77777777" w:rsidR="00776592" w:rsidRDefault="00776592" w:rsidP="003A6D2F">
      <w:pPr>
        <w:spacing w:before="240" w:after="240" w:line="360" w:lineRule="auto"/>
        <w:jc w:val="both"/>
        <w:rPr>
          <w:rFonts w:eastAsia="Calibri"/>
          <w:lang w:val="es-DO"/>
        </w:rPr>
      </w:pPr>
    </w:p>
    <w:p w14:paraId="7649A32F" w14:textId="77777777" w:rsidR="00776592" w:rsidRDefault="00776592" w:rsidP="003A6D2F">
      <w:pPr>
        <w:spacing w:before="240" w:after="240" w:line="360" w:lineRule="auto"/>
        <w:jc w:val="both"/>
        <w:rPr>
          <w:rFonts w:eastAsia="Calibri"/>
          <w:lang w:val="es-DO"/>
        </w:rPr>
      </w:pPr>
    </w:p>
    <w:p w14:paraId="419198ED" w14:textId="77777777" w:rsidR="00776592" w:rsidRDefault="00776592" w:rsidP="003A6D2F">
      <w:pPr>
        <w:spacing w:before="240" w:after="240" w:line="360" w:lineRule="auto"/>
        <w:jc w:val="both"/>
        <w:rPr>
          <w:rFonts w:eastAsia="Calibri"/>
          <w:lang w:val="es-DO"/>
        </w:rPr>
      </w:pPr>
    </w:p>
    <w:p w14:paraId="46DE4442" w14:textId="77777777" w:rsidR="00776592" w:rsidRDefault="00776592" w:rsidP="003A6D2F">
      <w:pPr>
        <w:spacing w:before="240" w:after="240" w:line="360" w:lineRule="auto"/>
        <w:jc w:val="both"/>
        <w:rPr>
          <w:rFonts w:eastAsia="Calibri"/>
          <w:lang w:val="es-DO"/>
        </w:rPr>
        <w:sectPr w:rsidR="00776592" w:rsidSect="00553C11">
          <w:headerReference w:type="default" r:id="rId17"/>
          <w:footerReference w:type="default" r:id="rId18"/>
          <w:pgSz w:w="12240" w:h="15840"/>
          <w:pgMar w:top="1440" w:right="2160" w:bottom="1440" w:left="2160" w:header="720" w:footer="720" w:gutter="0"/>
          <w:pgNumType w:start="1"/>
          <w:cols w:space="720"/>
          <w:docGrid w:linePitch="360"/>
        </w:sectPr>
      </w:pPr>
    </w:p>
    <w:p w14:paraId="7A98CFE0" w14:textId="19000BDB" w:rsidR="00B76DB7" w:rsidRPr="007F6FFD" w:rsidRDefault="004B301B" w:rsidP="003A6D2F">
      <w:pPr>
        <w:spacing w:before="240" w:after="240" w:line="360" w:lineRule="auto"/>
        <w:jc w:val="both"/>
        <w:rPr>
          <w:rFonts w:eastAsiaTheme="majorEastAsia" w:cstheme="majorBidi"/>
          <w:b/>
          <w:color w:val="767171" w:themeColor="background2" w:themeShade="80"/>
          <w:spacing w:val="0"/>
          <w:sz w:val="28"/>
          <w:szCs w:val="32"/>
          <w:lang w:val="es-DO"/>
        </w:rPr>
      </w:pPr>
      <w:r w:rsidRPr="007F6FFD">
        <w:rPr>
          <w:noProof/>
          <w:sz w:val="28"/>
          <w:szCs w:val="28"/>
          <w:lang w:val="es-DO"/>
        </w:rPr>
        <w:lastRenderedPageBreak/>
        <w:drawing>
          <wp:anchor distT="0" distB="0" distL="114300" distR="114300" simplePos="0" relativeHeight="251664420" behindDoc="1" locked="0" layoutInCell="1" allowOverlap="1" wp14:anchorId="07514E1F" wp14:editId="5F28E8AF">
            <wp:simplePos x="0" y="0"/>
            <wp:positionH relativeFrom="margin">
              <wp:posOffset>-694503</wp:posOffset>
            </wp:positionH>
            <wp:positionV relativeFrom="paragraph">
              <wp:posOffset>173841</wp:posOffset>
            </wp:positionV>
            <wp:extent cx="8963025" cy="6293173"/>
            <wp:effectExtent l="0" t="0" r="0" b="0"/>
            <wp:wrapNone/>
            <wp:docPr id="50" name="Picture 50"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diagram of a company&#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63025" cy="62931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305A" w:rsidRPr="007F6FFD">
        <w:rPr>
          <w:rFonts w:eastAsia="Calibri"/>
          <w:b/>
          <w:bCs/>
          <w:sz w:val="28"/>
          <w:szCs w:val="28"/>
          <w:lang w:val="es-DO"/>
        </w:rPr>
        <w:t>2</w:t>
      </w:r>
      <w:r w:rsidR="00CC305A" w:rsidRPr="007F6FFD">
        <w:rPr>
          <w:rFonts w:eastAsiaTheme="majorEastAsia" w:cstheme="majorBidi"/>
          <w:b/>
          <w:color w:val="767171" w:themeColor="background2" w:themeShade="80"/>
          <w:spacing w:val="0"/>
          <w:sz w:val="28"/>
          <w:szCs w:val="28"/>
          <w:lang w:val="es-DO"/>
        </w:rPr>
        <w:t>.</w:t>
      </w:r>
      <w:r w:rsidR="00CC305A" w:rsidRPr="009E3A89">
        <w:rPr>
          <w:rFonts w:eastAsiaTheme="majorEastAsia" w:cstheme="majorBidi"/>
          <w:b/>
          <w:color w:val="767171" w:themeColor="background2" w:themeShade="80"/>
          <w:spacing w:val="0"/>
          <w:sz w:val="28"/>
          <w:szCs w:val="32"/>
          <w:lang w:val="es-DO"/>
        </w:rPr>
        <w:t>3</w:t>
      </w:r>
      <w:r w:rsidR="00B76DB7" w:rsidRPr="007F6FFD">
        <w:rPr>
          <w:rFonts w:eastAsiaTheme="majorEastAsia" w:cstheme="majorBidi"/>
          <w:b/>
          <w:color w:val="767171" w:themeColor="background2" w:themeShade="80"/>
          <w:spacing w:val="0"/>
          <w:sz w:val="28"/>
          <w:szCs w:val="32"/>
          <w:lang w:val="es-DO"/>
        </w:rPr>
        <w:t xml:space="preserve"> Estructura Organizacional</w:t>
      </w:r>
    </w:p>
    <w:p w14:paraId="0ED9DAF8" w14:textId="4D2B80FB" w:rsidR="00955A30" w:rsidRDefault="00955A30" w:rsidP="003A6D2F">
      <w:pPr>
        <w:spacing w:before="240" w:after="240" w:line="360" w:lineRule="auto"/>
        <w:jc w:val="both"/>
        <w:rPr>
          <w:rFonts w:eastAsia="Calibri"/>
          <w:lang w:val="es-DO"/>
        </w:rPr>
      </w:pPr>
    </w:p>
    <w:p w14:paraId="533CBF4C" w14:textId="459056D8" w:rsidR="004B301B" w:rsidRDefault="004B301B" w:rsidP="003A6D2F">
      <w:pPr>
        <w:spacing w:before="240" w:after="240" w:line="360" w:lineRule="auto"/>
        <w:jc w:val="both"/>
        <w:rPr>
          <w:rFonts w:eastAsia="Calibri"/>
          <w:lang w:val="es-DO"/>
        </w:rPr>
        <w:sectPr w:rsidR="004B301B" w:rsidSect="004B301B">
          <w:pgSz w:w="15840" w:h="12240" w:orient="landscape"/>
          <w:pgMar w:top="1440" w:right="2160" w:bottom="1440" w:left="2160" w:header="720" w:footer="720" w:gutter="0"/>
          <w:cols w:space="720"/>
          <w:docGrid w:linePitch="360"/>
        </w:sectPr>
      </w:pPr>
    </w:p>
    <w:p w14:paraId="23D8D414" w14:textId="3EC5803B" w:rsidR="00776592" w:rsidRPr="009E3A89" w:rsidRDefault="00CC305A" w:rsidP="009E3A89">
      <w:pPr>
        <w:pStyle w:val="Heading1"/>
        <w:spacing w:after="240" w:line="259" w:lineRule="auto"/>
        <w:jc w:val="left"/>
        <w:rPr>
          <w:spacing w:val="0"/>
          <w:lang w:val="es-DO"/>
        </w:rPr>
      </w:pPr>
      <w:bookmarkStart w:id="18" w:name="_Toc154736680"/>
      <w:bookmarkStart w:id="19" w:name="_Toc185245092"/>
      <w:r w:rsidRPr="009E3A89">
        <w:rPr>
          <w:spacing w:val="0"/>
          <w:lang w:val="es-DO"/>
        </w:rPr>
        <w:lastRenderedPageBreak/>
        <w:t xml:space="preserve">2.4 </w:t>
      </w:r>
      <w:r w:rsidR="00776592" w:rsidRPr="009E3A89">
        <w:rPr>
          <w:spacing w:val="0"/>
          <w:lang w:val="es-DO"/>
        </w:rPr>
        <w:t xml:space="preserve">Listado de los Principales </w:t>
      </w:r>
      <w:bookmarkEnd w:id="18"/>
      <w:proofErr w:type="gramStart"/>
      <w:r w:rsidRPr="009E3A89">
        <w:rPr>
          <w:spacing w:val="0"/>
          <w:lang w:val="es-DO"/>
        </w:rPr>
        <w:t>Funcionarios</w:t>
      </w:r>
      <w:bookmarkEnd w:id="19"/>
      <w:proofErr w:type="gramEnd"/>
    </w:p>
    <w:p w14:paraId="504CC2A7" w14:textId="77777777"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HENRY SAHDALÁ DUMIT</w:t>
      </w:r>
    </w:p>
    <w:p w14:paraId="2BD47422" w14:textId="77777777"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Tesorero de la Seguridad Social</w:t>
      </w:r>
    </w:p>
    <w:p w14:paraId="107812AC" w14:textId="77777777" w:rsidR="00776592" w:rsidRPr="00DF1742" w:rsidRDefault="00776592" w:rsidP="009E3A89">
      <w:pPr>
        <w:pStyle w:val="Index1"/>
        <w:rPr>
          <w:rFonts w:ascii="Times New Roman" w:hAnsi="Times New Roman" w:cs="Times New Roman"/>
          <w:b w:val="0"/>
          <w:bCs w:val="0"/>
          <w:color w:val="767171"/>
          <w:spacing w:val="20"/>
          <w:sz w:val="24"/>
          <w:szCs w:val="24"/>
        </w:rPr>
      </w:pPr>
    </w:p>
    <w:p w14:paraId="69710D8C" w14:textId="63F1CDFF"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 xml:space="preserve">MARÍA DEL PILAR PEÑA DE </w:t>
      </w:r>
      <w:r>
        <w:rPr>
          <w:rFonts w:ascii="Times New Roman" w:hAnsi="Times New Roman" w:cs="Times New Roman"/>
          <w:b w:val="0"/>
          <w:bCs w:val="0"/>
          <w:color w:val="767171"/>
          <w:spacing w:val="20"/>
          <w:sz w:val="24"/>
          <w:szCs w:val="24"/>
        </w:rPr>
        <w:t>Á</w:t>
      </w:r>
      <w:r w:rsidRPr="00DF1742">
        <w:rPr>
          <w:rFonts w:ascii="Times New Roman" w:hAnsi="Times New Roman" w:cs="Times New Roman"/>
          <w:b w:val="0"/>
          <w:bCs w:val="0"/>
          <w:color w:val="767171"/>
          <w:spacing w:val="20"/>
          <w:sz w:val="24"/>
          <w:szCs w:val="24"/>
        </w:rPr>
        <w:t>LVAREZ</w:t>
      </w:r>
    </w:p>
    <w:p w14:paraId="3121B57D" w14:textId="77777777"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Directora de Recursos Humanos</w:t>
      </w:r>
    </w:p>
    <w:p w14:paraId="753C3906" w14:textId="77777777" w:rsidR="00776592" w:rsidRPr="00DF1742" w:rsidRDefault="00776592" w:rsidP="009E3A89">
      <w:pPr>
        <w:pStyle w:val="Index1"/>
        <w:rPr>
          <w:rFonts w:ascii="Times New Roman" w:hAnsi="Times New Roman" w:cs="Times New Roman"/>
          <w:b w:val="0"/>
          <w:bCs w:val="0"/>
          <w:color w:val="767171"/>
          <w:spacing w:val="20"/>
          <w:sz w:val="24"/>
          <w:szCs w:val="24"/>
        </w:rPr>
      </w:pPr>
    </w:p>
    <w:p w14:paraId="2264995C" w14:textId="77777777"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MARINA INÉS FIALLO CABRAL</w:t>
      </w:r>
    </w:p>
    <w:p w14:paraId="085C33C5" w14:textId="4E78A1FA"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Directora Administrativa</w:t>
      </w:r>
    </w:p>
    <w:p w14:paraId="543ABBC5" w14:textId="77777777" w:rsidR="00776592" w:rsidRPr="00DF1742" w:rsidRDefault="00776592" w:rsidP="009E3A89">
      <w:pPr>
        <w:pStyle w:val="Index1"/>
        <w:rPr>
          <w:rFonts w:ascii="Times New Roman" w:hAnsi="Times New Roman" w:cs="Times New Roman"/>
          <w:b w:val="0"/>
          <w:bCs w:val="0"/>
          <w:color w:val="767171"/>
          <w:spacing w:val="20"/>
          <w:sz w:val="24"/>
          <w:szCs w:val="24"/>
        </w:rPr>
      </w:pPr>
    </w:p>
    <w:p w14:paraId="6C425F0A" w14:textId="77777777"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JOSÉ ISRAEL DEL ORBE ANTONIO</w:t>
      </w:r>
    </w:p>
    <w:p w14:paraId="4944E0BE" w14:textId="04EAD4B5"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Director de Finanzas</w:t>
      </w:r>
    </w:p>
    <w:p w14:paraId="726EB841" w14:textId="77777777" w:rsidR="00776592" w:rsidRPr="00DF1742" w:rsidRDefault="00776592" w:rsidP="009E3A89">
      <w:pPr>
        <w:pStyle w:val="Index1"/>
        <w:rPr>
          <w:rFonts w:ascii="Times New Roman" w:hAnsi="Times New Roman" w:cs="Times New Roman"/>
          <w:b w:val="0"/>
          <w:bCs w:val="0"/>
          <w:color w:val="767171"/>
          <w:spacing w:val="20"/>
          <w:sz w:val="24"/>
          <w:szCs w:val="24"/>
        </w:rPr>
      </w:pPr>
    </w:p>
    <w:p w14:paraId="1C9F90A6" w14:textId="77777777"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HÉCTOR EMILIO MOTA PORTES</w:t>
      </w:r>
    </w:p>
    <w:p w14:paraId="307CEDAC" w14:textId="10BA978E"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 xml:space="preserve">Director de Tecnología de la Información y </w:t>
      </w:r>
      <w:r w:rsidR="001403FB">
        <w:rPr>
          <w:rFonts w:ascii="Times New Roman" w:hAnsi="Times New Roman" w:cs="Times New Roman"/>
          <w:b w:val="0"/>
          <w:bCs w:val="0"/>
          <w:color w:val="767171"/>
          <w:spacing w:val="20"/>
          <w:sz w:val="24"/>
          <w:szCs w:val="24"/>
        </w:rPr>
        <w:t>Comunicaciones</w:t>
      </w:r>
    </w:p>
    <w:p w14:paraId="43B6B042" w14:textId="77777777" w:rsidR="00776592" w:rsidRPr="00DF1742" w:rsidRDefault="00776592" w:rsidP="009E3A89">
      <w:pPr>
        <w:pStyle w:val="Index1"/>
        <w:rPr>
          <w:rFonts w:ascii="Times New Roman" w:hAnsi="Times New Roman" w:cs="Times New Roman"/>
          <w:b w:val="0"/>
          <w:bCs w:val="0"/>
          <w:color w:val="767171"/>
          <w:spacing w:val="20"/>
          <w:sz w:val="24"/>
          <w:szCs w:val="24"/>
        </w:rPr>
      </w:pPr>
    </w:p>
    <w:p w14:paraId="5294A679" w14:textId="77777777"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NERMIS CESARINA ANDÚJAR TRONCOSO</w:t>
      </w:r>
    </w:p>
    <w:p w14:paraId="2BC34946" w14:textId="77777777"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Directora Jurídica</w:t>
      </w:r>
    </w:p>
    <w:p w14:paraId="7DDEC9AF" w14:textId="77777777" w:rsidR="00776592" w:rsidRPr="00DF1742" w:rsidRDefault="00776592" w:rsidP="009E3A89">
      <w:pPr>
        <w:pStyle w:val="Index1"/>
        <w:rPr>
          <w:rFonts w:ascii="Times New Roman" w:hAnsi="Times New Roman" w:cs="Times New Roman"/>
          <w:b w:val="0"/>
          <w:bCs w:val="0"/>
          <w:color w:val="767171"/>
          <w:spacing w:val="20"/>
          <w:sz w:val="24"/>
          <w:szCs w:val="24"/>
        </w:rPr>
      </w:pPr>
    </w:p>
    <w:p w14:paraId="66EC34CF" w14:textId="77777777"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SAHADIA ERCILIA CRUZ ABREU</w:t>
      </w:r>
    </w:p>
    <w:p w14:paraId="0EB2DB51" w14:textId="6154EA84"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 xml:space="preserve">Directora de </w:t>
      </w:r>
      <w:r w:rsidR="001403FB">
        <w:rPr>
          <w:rFonts w:ascii="Times New Roman" w:hAnsi="Times New Roman" w:cs="Times New Roman"/>
          <w:b w:val="0"/>
          <w:bCs w:val="0"/>
          <w:color w:val="767171"/>
          <w:spacing w:val="20"/>
          <w:sz w:val="24"/>
          <w:szCs w:val="24"/>
        </w:rPr>
        <w:t>Servicios</w:t>
      </w:r>
    </w:p>
    <w:p w14:paraId="7E947E66" w14:textId="77777777" w:rsidR="00776592" w:rsidRPr="00DF1742" w:rsidRDefault="00776592" w:rsidP="009E3A89">
      <w:pPr>
        <w:pStyle w:val="Index1"/>
        <w:rPr>
          <w:rFonts w:ascii="Times New Roman" w:hAnsi="Times New Roman" w:cs="Times New Roman"/>
          <w:b w:val="0"/>
          <w:bCs w:val="0"/>
          <w:color w:val="767171"/>
          <w:spacing w:val="20"/>
          <w:sz w:val="24"/>
          <w:szCs w:val="24"/>
        </w:rPr>
      </w:pPr>
    </w:p>
    <w:p w14:paraId="21C2164D" w14:textId="77777777"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JULIA ALBERTY CREALES</w:t>
      </w:r>
    </w:p>
    <w:p w14:paraId="2DDE5C91" w14:textId="77777777"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Directora de Fiscalización Externa</w:t>
      </w:r>
    </w:p>
    <w:p w14:paraId="46920349" w14:textId="77777777" w:rsidR="00776592" w:rsidRPr="00DF1742" w:rsidRDefault="00776592" w:rsidP="009E3A89">
      <w:pPr>
        <w:pStyle w:val="Index1"/>
        <w:rPr>
          <w:rFonts w:ascii="Times New Roman" w:hAnsi="Times New Roman" w:cs="Times New Roman"/>
          <w:b w:val="0"/>
          <w:bCs w:val="0"/>
          <w:color w:val="767171"/>
          <w:spacing w:val="20"/>
          <w:sz w:val="24"/>
          <w:szCs w:val="24"/>
        </w:rPr>
      </w:pPr>
    </w:p>
    <w:p w14:paraId="6A94F4D6" w14:textId="77777777" w:rsidR="00776592" w:rsidRPr="00DF1742" w:rsidRDefault="00776592" w:rsidP="009E3A89">
      <w:pPr>
        <w:pStyle w:val="Index1"/>
        <w:rPr>
          <w:rFonts w:ascii="Times New Roman" w:hAnsi="Times New Roman" w:cs="Times New Roman"/>
          <w:b w:val="0"/>
          <w:bCs w:val="0"/>
          <w:color w:val="767171"/>
          <w:spacing w:val="20"/>
          <w:sz w:val="24"/>
          <w:szCs w:val="24"/>
        </w:rPr>
      </w:pPr>
      <w:r w:rsidRPr="00DF1742">
        <w:rPr>
          <w:rFonts w:ascii="Times New Roman" w:hAnsi="Times New Roman" w:cs="Times New Roman"/>
          <w:b w:val="0"/>
          <w:bCs w:val="0"/>
          <w:color w:val="767171"/>
          <w:spacing w:val="20"/>
          <w:sz w:val="24"/>
          <w:szCs w:val="24"/>
        </w:rPr>
        <w:t>LAURA PATRICIA HERNÁNDEZ CABRERA</w:t>
      </w:r>
    </w:p>
    <w:p w14:paraId="371B7390" w14:textId="47F7AD4A" w:rsidR="00B76DB7" w:rsidRPr="00776592" w:rsidRDefault="00776592" w:rsidP="009E3A89">
      <w:pPr>
        <w:spacing w:before="240" w:after="240" w:line="360" w:lineRule="auto"/>
        <w:rPr>
          <w:rFonts w:eastAsia="Calibri"/>
          <w:lang w:val="es-ES"/>
        </w:rPr>
      </w:pPr>
      <w:r w:rsidRPr="00776592">
        <w:rPr>
          <w:lang w:val="es-ES"/>
        </w:rPr>
        <w:t>Directora de Planificación y Desarrollo</w:t>
      </w:r>
    </w:p>
    <w:p w14:paraId="14FE93C5" w14:textId="163A1341" w:rsidR="00DA205F" w:rsidRPr="00955A30" w:rsidRDefault="004544B4" w:rsidP="009E3A89">
      <w:pPr>
        <w:pStyle w:val="Heading1"/>
        <w:spacing w:after="240" w:line="259" w:lineRule="auto"/>
        <w:jc w:val="left"/>
        <w:rPr>
          <w:spacing w:val="0"/>
          <w:lang w:val="es-DO"/>
        </w:rPr>
      </w:pPr>
      <w:bookmarkStart w:id="20" w:name="_Toc154736681"/>
      <w:bookmarkStart w:id="21" w:name="_Toc185245093"/>
      <w:r w:rsidRPr="00955A30">
        <w:rPr>
          <w:spacing w:val="0"/>
          <w:lang w:val="es-DO"/>
        </w:rPr>
        <w:lastRenderedPageBreak/>
        <w:t xml:space="preserve">2.5 </w:t>
      </w:r>
      <w:r w:rsidR="00DA205F" w:rsidRPr="00955A30">
        <w:rPr>
          <w:spacing w:val="0"/>
          <w:lang w:val="es-DO"/>
        </w:rPr>
        <w:t>Planificación Estratégica Institucional</w:t>
      </w:r>
      <w:bookmarkEnd w:id="20"/>
      <w:bookmarkEnd w:id="21"/>
    </w:p>
    <w:p w14:paraId="0577A464" w14:textId="77777777" w:rsidR="00DA205F" w:rsidRPr="00DF1742" w:rsidRDefault="00DA205F" w:rsidP="00DA205F">
      <w:pPr>
        <w:spacing w:before="240" w:after="240" w:line="360" w:lineRule="auto"/>
        <w:jc w:val="both"/>
        <w:rPr>
          <w:rFonts w:eastAsia="Calibri"/>
          <w:b/>
          <w:bCs/>
          <w:lang w:val="es-DO"/>
        </w:rPr>
      </w:pPr>
      <w:r w:rsidRPr="00DF1742">
        <w:rPr>
          <w:rFonts w:eastAsia="Calibri"/>
          <w:b/>
          <w:bCs/>
          <w:lang w:val="es-DO"/>
        </w:rPr>
        <w:t>Filosofía</w:t>
      </w:r>
    </w:p>
    <w:p w14:paraId="59EA502A" w14:textId="77777777" w:rsidR="00DA205F" w:rsidRPr="00DF1742" w:rsidRDefault="00DA205F" w:rsidP="00DA205F">
      <w:pPr>
        <w:spacing w:before="240" w:after="240" w:line="360" w:lineRule="auto"/>
        <w:jc w:val="both"/>
        <w:rPr>
          <w:rFonts w:eastAsia="Calibri"/>
          <w:lang w:val="es-DO"/>
        </w:rPr>
      </w:pPr>
      <w:r w:rsidRPr="00DF1742">
        <w:rPr>
          <w:rFonts w:eastAsia="Calibri"/>
          <w:lang w:val="es-DO"/>
        </w:rPr>
        <w:t>Servir con excelencia y transparencia, siendo modelo en la gestión de la información y los recursos financieros del SDSS, dando fiel cumplimiento a las normativas vigentes, actuando con altos estándares de ética, calidad e innovación.</w:t>
      </w:r>
    </w:p>
    <w:p w14:paraId="0D12522C" w14:textId="77777777" w:rsidR="00DA205F" w:rsidRPr="00DF1742" w:rsidRDefault="00DA205F" w:rsidP="00DA205F">
      <w:pPr>
        <w:spacing w:before="240" w:after="240" w:line="360" w:lineRule="auto"/>
        <w:jc w:val="both"/>
        <w:rPr>
          <w:rFonts w:eastAsia="Calibri"/>
          <w:b/>
          <w:bCs/>
          <w:lang w:val="es-DO"/>
        </w:rPr>
      </w:pPr>
      <w:r w:rsidRPr="00DF1742">
        <w:rPr>
          <w:rFonts w:eastAsia="Calibri"/>
          <w:b/>
          <w:bCs/>
          <w:lang w:val="es-DO"/>
        </w:rPr>
        <w:t>Propuesta de Valor Externa</w:t>
      </w:r>
    </w:p>
    <w:p w14:paraId="12E71F94" w14:textId="77777777" w:rsidR="00DA205F" w:rsidRPr="00DF1742" w:rsidRDefault="00DA205F" w:rsidP="00DA205F">
      <w:pPr>
        <w:spacing w:before="240" w:after="240" w:line="360" w:lineRule="auto"/>
        <w:jc w:val="both"/>
        <w:rPr>
          <w:rFonts w:eastAsia="Calibri"/>
          <w:lang w:val="es-DO"/>
        </w:rPr>
      </w:pPr>
      <w:r w:rsidRPr="00DF1742">
        <w:rPr>
          <w:rFonts w:eastAsia="Calibri"/>
          <w:lang w:val="es-DO"/>
        </w:rPr>
        <w:t>La TSS está comprometida con un manejo totalmente transparente de los recursos, con un servicio ajustado a las necesidades de sus usuarios, garantizando una plataforma accesible, con los debidos niveles de seguridad e integridad de la información.</w:t>
      </w:r>
    </w:p>
    <w:p w14:paraId="47B33014" w14:textId="77777777" w:rsidR="00DA205F" w:rsidRPr="00DF1742" w:rsidRDefault="00DA205F" w:rsidP="00DA205F">
      <w:pPr>
        <w:spacing w:before="240" w:after="240" w:line="360" w:lineRule="auto"/>
        <w:jc w:val="both"/>
        <w:rPr>
          <w:rFonts w:eastAsia="Calibri"/>
          <w:b/>
          <w:bCs/>
          <w:lang w:val="es-DO"/>
        </w:rPr>
      </w:pPr>
      <w:r w:rsidRPr="00DF1742">
        <w:rPr>
          <w:rFonts w:eastAsia="Calibri"/>
          <w:lang w:val="es-DO"/>
        </w:rPr>
        <w:t> </w:t>
      </w:r>
      <w:r w:rsidRPr="00DF1742">
        <w:rPr>
          <w:rFonts w:eastAsia="Calibri"/>
          <w:b/>
          <w:bCs/>
          <w:lang w:val="es-DO"/>
        </w:rPr>
        <w:t>Propuesta de Valor Interna</w:t>
      </w:r>
    </w:p>
    <w:p w14:paraId="40485BC3" w14:textId="77777777" w:rsidR="00DA205F" w:rsidRPr="00DF1742" w:rsidRDefault="00DA205F" w:rsidP="00DA205F">
      <w:pPr>
        <w:spacing w:before="240" w:after="240" w:line="360" w:lineRule="auto"/>
        <w:jc w:val="both"/>
        <w:rPr>
          <w:rFonts w:eastAsia="Calibri"/>
          <w:lang w:val="es-DO"/>
        </w:rPr>
      </w:pPr>
      <w:r w:rsidRPr="00DF1742">
        <w:rPr>
          <w:rFonts w:eastAsia="Calibri"/>
          <w:lang w:val="es-DO"/>
        </w:rPr>
        <w:t>La TSS está comprometida con el bienestar y desarrollo de sus colaboradores, procurando el balance vida-trabajo, con un esquema competitivo de compensación y beneficios, en un ambiente de estabilidad laboral, desarrollo y crecimiento.</w:t>
      </w:r>
    </w:p>
    <w:p w14:paraId="32F52248" w14:textId="77777777" w:rsidR="00DA205F" w:rsidRPr="00DF1742" w:rsidRDefault="00DA205F" w:rsidP="00DA205F">
      <w:pPr>
        <w:spacing w:before="240" w:after="240" w:line="360" w:lineRule="auto"/>
        <w:jc w:val="both"/>
        <w:rPr>
          <w:rFonts w:eastAsia="Calibri"/>
          <w:b/>
          <w:bCs/>
          <w:lang w:val="es-DO"/>
        </w:rPr>
      </w:pPr>
      <w:r w:rsidRPr="00DF1742">
        <w:rPr>
          <w:rFonts w:eastAsia="Calibri"/>
          <w:b/>
          <w:bCs/>
          <w:lang w:val="es-DO"/>
        </w:rPr>
        <w:t>Política de Calidad y Seguridad de la Información</w:t>
      </w:r>
    </w:p>
    <w:p w14:paraId="0130E0DA" w14:textId="77777777" w:rsidR="00DA205F" w:rsidRPr="00DF1742" w:rsidRDefault="00DA205F" w:rsidP="00DA205F">
      <w:pPr>
        <w:spacing w:before="240" w:after="240" w:line="360" w:lineRule="auto"/>
        <w:jc w:val="both"/>
        <w:rPr>
          <w:rFonts w:eastAsia="Calibri"/>
          <w:lang w:val="es-DO"/>
        </w:rPr>
      </w:pPr>
      <w:r w:rsidRPr="00DF1742">
        <w:rPr>
          <w:rFonts w:eastAsia="Calibri"/>
          <w:lang w:val="es-DO"/>
        </w:rPr>
        <w:t xml:space="preserve">La Tesorería de la Seguridad Social es responsable de la administración del Sistema  Único de Información, del Recaudo,  Distribución y Pago de los recursos financieros del Sistema Dominicano de Seguridad Social, ejecutándolos de forma transparente, garantizando el cumplimiento de las normas jurídicas, el manejo confidencial, la integridad y disponibilidad de la información, innovando para lograr la mejora continua de los procesos de su Sistema de Gestión de Calidad y de Seguridad de la Información, así como la satisfacción de las partes interesadas </w:t>
      </w:r>
      <w:r w:rsidRPr="00DF1742">
        <w:rPr>
          <w:rFonts w:eastAsia="Calibri"/>
          <w:lang w:val="es-DO"/>
        </w:rPr>
        <w:lastRenderedPageBreak/>
        <w:t>mediante el uso de una plataforma tecnológica eficiente y un capital humano competente que lo rige una cultura que promueve valores éticos.</w:t>
      </w:r>
    </w:p>
    <w:p w14:paraId="4B2EC39E" w14:textId="77777777" w:rsidR="00DA205F" w:rsidRPr="00DF1742" w:rsidRDefault="00DA205F" w:rsidP="00DA205F">
      <w:pPr>
        <w:spacing w:before="240" w:after="240" w:line="360" w:lineRule="auto"/>
        <w:rPr>
          <w:rFonts w:eastAsia="Calibri"/>
          <w:b/>
          <w:bCs/>
          <w:lang w:val="es-DO"/>
        </w:rPr>
      </w:pPr>
      <w:r w:rsidRPr="00DF1742">
        <w:rPr>
          <w:rFonts w:eastAsia="Calibri"/>
          <w:b/>
          <w:bCs/>
          <w:lang w:val="es-DO"/>
        </w:rPr>
        <w:t>Ejes y Objetivos Estratégicos</w:t>
      </w:r>
    </w:p>
    <w:p w14:paraId="5C13559F" w14:textId="77777777" w:rsidR="00DA205F" w:rsidRPr="00376549" w:rsidRDefault="00DA205F" w:rsidP="00DA205F">
      <w:pPr>
        <w:spacing w:before="240" w:after="240" w:line="360" w:lineRule="auto"/>
        <w:jc w:val="both"/>
        <w:rPr>
          <w:rFonts w:eastAsia="Calibri"/>
          <w:b/>
          <w:bCs/>
          <w:lang w:val="es-DO"/>
        </w:rPr>
      </w:pPr>
      <w:r w:rsidRPr="00376549">
        <w:rPr>
          <w:rFonts w:eastAsia="Calibri"/>
          <w:b/>
          <w:bCs/>
          <w:lang w:val="es-DO"/>
        </w:rPr>
        <w:t>Primer Eje: Experiencia Del Usuario</w:t>
      </w:r>
    </w:p>
    <w:p w14:paraId="6CC8962B" w14:textId="77777777" w:rsidR="00DA205F" w:rsidRPr="00DF1742" w:rsidRDefault="00DA205F" w:rsidP="00DA205F">
      <w:pPr>
        <w:spacing w:before="240" w:after="240" w:line="360" w:lineRule="auto"/>
        <w:jc w:val="both"/>
        <w:rPr>
          <w:rFonts w:eastAsia="Calibri"/>
          <w:lang w:val="es-DO"/>
        </w:rPr>
      </w:pPr>
      <w:r w:rsidRPr="00DF1742">
        <w:rPr>
          <w:rFonts w:eastAsia="Calibri"/>
          <w:lang w:val="es-DO"/>
        </w:rPr>
        <w:t>Crear una cultura diferenciada, orientada a la satisfacción del usuario, que genere una percepción positiva en sus interacciones</w:t>
      </w:r>
      <w:r>
        <w:rPr>
          <w:rFonts w:eastAsia="Calibri"/>
          <w:lang w:val="es-DO"/>
        </w:rPr>
        <w:t xml:space="preserve"> </w:t>
      </w:r>
      <w:r w:rsidRPr="00DF1742">
        <w:rPr>
          <w:rFonts w:eastAsia="Calibri"/>
          <w:lang w:val="es-DO"/>
        </w:rPr>
        <w:t>con la organización.</w:t>
      </w:r>
    </w:p>
    <w:p w14:paraId="6635CE8E" w14:textId="33F60E14" w:rsidR="00DA205F" w:rsidRPr="00376549" w:rsidRDefault="00DA205F" w:rsidP="00DA205F">
      <w:pPr>
        <w:spacing w:before="240" w:after="240" w:line="360" w:lineRule="auto"/>
        <w:jc w:val="both"/>
        <w:rPr>
          <w:rFonts w:eastAsia="Calibri"/>
          <w:b/>
          <w:bCs/>
          <w:lang w:val="es-DO"/>
        </w:rPr>
      </w:pPr>
      <w:r w:rsidRPr="00376549">
        <w:rPr>
          <w:rFonts w:eastAsia="Calibri"/>
          <w:b/>
          <w:bCs/>
          <w:lang w:val="es-DO"/>
        </w:rPr>
        <w:t>Visión al 202</w:t>
      </w:r>
      <w:r w:rsidR="004544B4" w:rsidRPr="00376549">
        <w:rPr>
          <w:rFonts w:eastAsia="Calibri"/>
          <w:b/>
          <w:bCs/>
          <w:lang w:val="es-DO"/>
        </w:rPr>
        <w:t>5</w:t>
      </w:r>
      <w:r w:rsidRPr="00376549">
        <w:rPr>
          <w:rFonts w:eastAsia="Calibri"/>
          <w:b/>
          <w:bCs/>
          <w:lang w:val="es-DO"/>
        </w:rPr>
        <w:t>:</w:t>
      </w:r>
    </w:p>
    <w:p w14:paraId="3941FCD2" w14:textId="77777777" w:rsidR="00DA205F" w:rsidRPr="00DF1742" w:rsidRDefault="00DA205F" w:rsidP="00DA205F">
      <w:pPr>
        <w:spacing w:before="240" w:after="240" w:line="360" w:lineRule="auto"/>
        <w:jc w:val="both"/>
        <w:rPr>
          <w:rFonts w:eastAsia="Calibri"/>
          <w:lang w:val="es-DO"/>
        </w:rPr>
      </w:pPr>
      <w:r w:rsidRPr="00DF1742">
        <w:rPr>
          <w:rFonts w:eastAsia="Calibri"/>
          <w:lang w:val="es-DO"/>
        </w:rPr>
        <w:t>Contamos con un ambiente de atención e interacción que garantiza una fuerte vinculación del usuario, con altos niveles de satisfacción y de identificación con la institución.</w:t>
      </w:r>
    </w:p>
    <w:p w14:paraId="338CD8F6" w14:textId="77777777" w:rsidR="00DA205F" w:rsidRPr="00DF1742" w:rsidRDefault="00DA205F" w:rsidP="00DA205F">
      <w:pPr>
        <w:spacing w:before="240" w:after="240" w:line="360" w:lineRule="auto"/>
        <w:jc w:val="both"/>
        <w:rPr>
          <w:rFonts w:eastAsia="Calibri"/>
          <w:b/>
          <w:bCs/>
          <w:i/>
          <w:iCs/>
          <w:lang w:val="es-DO"/>
        </w:rPr>
      </w:pPr>
      <w:r w:rsidRPr="00376549">
        <w:rPr>
          <w:rFonts w:eastAsia="Calibri"/>
          <w:b/>
          <w:bCs/>
          <w:lang w:val="es-DO"/>
        </w:rPr>
        <w:t>Objetivos Estratégicos</w:t>
      </w:r>
      <w:r w:rsidRPr="00DF1742">
        <w:rPr>
          <w:rFonts w:eastAsia="Calibri"/>
          <w:b/>
          <w:bCs/>
          <w:i/>
          <w:iCs/>
          <w:lang w:val="es-DO"/>
        </w:rPr>
        <w:t>:</w:t>
      </w:r>
    </w:p>
    <w:p w14:paraId="3D6C1296" w14:textId="77777777" w:rsidR="00DA205F" w:rsidRPr="00DF1742" w:rsidRDefault="00DA205F" w:rsidP="00B73457">
      <w:pPr>
        <w:pStyle w:val="ListParagraph"/>
        <w:numPr>
          <w:ilvl w:val="0"/>
          <w:numId w:val="17"/>
        </w:numPr>
        <w:spacing w:before="240" w:after="240" w:line="360" w:lineRule="auto"/>
        <w:ind w:left="360"/>
        <w:rPr>
          <w:rFonts w:ascii="Times New Roman" w:hAnsi="Times New Roman"/>
          <w:color w:val="767171"/>
          <w:spacing w:val="20"/>
          <w:sz w:val="24"/>
          <w:szCs w:val="24"/>
        </w:rPr>
      </w:pPr>
      <w:r w:rsidRPr="00DF1742">
        <w:rPr>
          <w:rFonts w:ascii="Times New Roman" w:hAnsi="Times New Roman"/>
          <w:color w:val="767171"/>
          <w:spacing w:val="20"/>
          <w:sz w:val="24"/>
          <w:szCs w:val="24"/>
        </w:rPr>
        <w:t>Acercar la Institución a los empleadores.</w:t>
      </w:r>
    </w:p>
    <w:p w14:paraId="7611C753" w14:textId="77777777" w:rsidR="00DA205F" w:rsidRPr="00B73457" w:rsidRDefault="00DA205F" w:rsidP="00B73457">
      <w:pPr>
        <w:pStyle w:val="ListParagraph"/>
        <w:numPr>
          <w:ilvl w:val="0"/>
          <w:numId w:val="18"/>
        </w:numPr>
        <w:spacing w:before="240" w:after="240" w:line="360" w:lineRule="auto"/>
        <w:rPr>
          <w:rFonts w:ascii="Times New Roman" w:hAnsi="Times New Roman"/>
          <w:color w:val="767171"/>
          <w:spacing w:val="20"/>
          <w:sz w:val="24"/>
          <w:szCs w:val="24"/>
        </w:rPr>
      </w:pPr>
      <w:r w:rsidRPr="00B73457">
        <w:rPr>
          <w:rFonts w:ascii="Times New Roman" w:hAnsi="Times New Roman"/>
          <w:color w:val="767171"/>
          <w:spacing w:val="20"/>
          <w:sz w:val="24"/>
          <w:szCs w:val="24"/>
        </w:rPr>
        <w:t>Ampliados y mejorados los servicios a través de herramientas tecnológicas innovadoras.</w:t>
      </w:r>
    </w:p>
    <w:p w14:paraId="2318BC42" w14:textId="2F7B095C" w:rsidR="00DA205F" w:rsidRPr="00DF1742" w:rsidRDefault="00DA205F" w:rsidP="00DA205F">
      <w:pPr>
        <w:pStyle w:val="ListParagraph"/>
        <w:spacing w:before="240" w:after="240" w:line="360" w:lineRule="auto"/>
        <w:rPr>
          <w:rFonts w:ascii="Times New Roman" w:hAnsi="Times New Roman"/>
          <w:color w:val="767171"/>
          <w:spacing w:val="20"/>
          <w:sz w:val="24"/>
          <w:szCs w:val="24"/>
        </w:rPr>
      </w:pPr>
      <w:r w:rsidRPr="00DF1742">
        <w:rPr>
          <w:rFonts w:ascii="Times New Roman" w:hAnsi="Times New Roman"/>
          <w:color w:val="767171"/>
          <w:spacing w:val="20"/>
          <w:sz w:val="24"/>
          <w:szCs w:val="24"/>
        </w:rPr>
        <w:t>- Contar con quioscos de autogestión en las principales provincias</w:t>
      </w:r>
      <w:r w:rsidR="00865274">
        <w:rPr>
          <w:rFonts w:ascii="Times New Roman" w:hAnsi="Times New Roman"/>
          <w:color w:val="767171"/>
          <w:spacing w:val="20"/>
          <w:sz w:val="24"/>
          <w:szCs w:val="24"/>
        </w:rPr>
        <w:t>.</w:t>
      </w:r>
    </w:p>
    <w:p w14:paraId="06FAE242" w14:textId="16B16BA3" w:rsidR="00DA205F" w:rsidRPr="00DF1742" w:rsidRDefault="00DA205F" w:rsidP="00DA205F">
      <w:pPr>
        <w:pStyle w:val="ListParagraph"/>
        <w:spacing w:before="240" w:after="240" w:line="360" w:lineRule="auto"/>
        <w:rPr>
          <w:rFonts w:ascii="Times New Roman" w:hAnsi="Times New Roman"/>
          <w:color w:val="767171"/>
          <w:spacing w:val="20"/>
          <w:sz w:val="24"/>
          <w:szCs w:val="24"/>
        </w:rPr>
      </w:pPr>
      <w:r w:rsidRPr="00DF1742">
        <w:rPr>
          <w:rFonts w:ascii="Times New Roman" w:hAnsi="Times New Roman"/>
          <w:color w:val="767171"/>
          <w:spacing w:val="20"/>
          <w:sz w:val="24"/>
          <w:szCs w:val="24"/>
        </w:rPr>
        <w:t>- Ampliación de servicios provistos a través del SUIR</w:t>
      </w:r>
      <w:r w:rsidR="00865274">
        <w:rPr>
          <w:rFonts w:ascii="Times New Roman" w:hAnsi="Times New Roman"/>
          <w:color w:val="767171"/>
          <w:spacing w:val="20"/>
          <w:sz w:val="24"/>
          <w:szCs w:val="24"/>
        </w:rPr>
        <w:t>.</w:t>
      </w:r>
    </w:p>
    <w:p w14:paraId="61C6ACE1" w14:textId="77777777" w:rsidR="00DA205F" w:rsidRPr="00DF1742" w:rsidRDefault="00DA205F" w:rsidP="00DA205F">
      <w:pPr>
        <w:pStyle w:val="ListParagraph"/>
        <w:numPr>
          <w:ilvl w:val="0"/>
          <w:numId w:val="18"/>
        </w:numPr>
        <w:spacing w:before="240" w:after="240" w:line="360" w:lineRule="auto"/>
        <w:rPr>
          <w:rFonts w:ascii="Times New Roman" w:hAnsi="Times New Roman"/>
          <w:color w:val="767171"/>
          <w:spacing w:val="20"/>
          <w:sz w:val="24"/>
          <w:szCs w:val="24"/>
        </w:rPr>
      </w:pPr>
      <w:r w:rsidRPr="00DF1742">
        <w:rPr>
          <w:rFonts w:ascii="Times New Roman" w:hAnsi="Times New Roman"/>
          <w:color w:val="767171"/>
          <w:spacing w:val="20"/>
          <w:sz w:val="24"/>
          <w:szCs w:val="24"/>
        </w:rPr>
        <w:t>Fortalecida la comunicación efectiva hacia los empleadores para crear conciencia y compromiso, y facilitar el cumplimiento de sus obligaciones.</w:t>
      </w:r>
    </w:p>
    <w:p w14:paraId="1DE328B4" w14:textId="77777777" w:rsidR="00DA205F" w:rsidRPr="00DF1742" w:rsidRDefault="00DA205F" w:rsidP="00DA205F">
      <w:pPr>
        <w:pStyle w:val="ListParagraph"/>
        <w:numPr>
          <w:ilvl w:val="0"/>
          <w:numId w:val="18"/>
        </w:numPr>
        <w:spacing w:before="240" w:after="240" w:line="360" w:lineRule="auto"/>
        <w:rPr>
          <w:rFonts w:ascii="Times New Roman" w:hAnsi="Times New Roman"/>
          <w:color w:val="767171"/>
          <w:spacing w:val="20"/>
          <w:sz w:val="24"/>
          <w:szCs w:val="24"/>
        </w:rPr>
      </w:pPr>
      <w:r w:rsidRPr="00DF1742">
        <w:rPr>
          <w:rFonts w:ascii="Times New Roman" w:hAnsi="Times New Roman"/>
          <w:color w:val="767171"/>
          <w:spacing w:val="20"/>
          <w:sz w:val="24"/>
          <w:szCs w:val="24"/>
        </w:rPr>
        <w:t>Integrados los procesos entre las distintas áreas operativas en un 100% se vean reflejados en el mapa de procesos y ver el inicio y final de cada proceso para obtener servicios agiles y menor cantidad de desperdicios en los servicios.</w:t>
      </w:r>
    </w:p>
    <w:p w14:paraId="2E9D499F" w14:textId="77777777" w:rsidR="00DA205F" w:rsidRPr="00DF1742" w:rsidRDefault="00DA205F" w:rsidP="00B73457">
      <w:pPr>
        <w:pStyle w:val="ListParagraph"/>
        <w:numPr>
          <w:ilvl w:val="0"/>
          <w:numId w:val="17"/>
        </w:numPr>
        <w:spacing w:before="240" w:after="240" w:line="360" w:lineRule="auto"/>
        <w:ind w:left="450"/>
        <w:rPr>
          <w:rFonts w:ascii="Times New Roman" w:hAnsi="Times New Roman"/>
          <w:color w:val="767171"/>
          <w:spacing w:val="20"/>
          <w:sz w:val="24"/>
          <w:szCs w:val="24"/>
        </w:rPr>
      </w:pPr>
      <w:r w:rsidRPr="00DF1742">
        <w:rPr>
          <w:rFonts w:ascii="Times New Roman" w:hAnsi="Times New Roman"/>
          <w:color w:val="767171"/>
          <w:spacing w:val="20"/>
          <w:sz w:val="24"/>
          <w:szCs w:val="24"/>
        </w:rPr>
        <w:lastRenderedPageBreak/>
        <w:t>Fomentar la cultura de la calidad como fuente de valor para la transparencia de la institución.</w:t>
      </w:r>
    </w:p>
    <w:p w14:paraId="631E367F" w14:textId="77777777" w:rsidR="00DA205F" w:rsidRPr="00DF1742" w:rsidRDefault="00DA205F" w:rsidP="00DA205F">
      <w:pPr>
        <w:pStyle w:val="ListParagraph"/>
        <w:numPr>
          <w:ilvl w:val="0"/>
          <w:numId w:val="18"/>
        </w:numPr>
        <w:spacing w:before="240" w:after="240" w:line="360" w:lineRule="auto"/>
        <w:rPr>
          <w:rFonts w:ascii="Times New Roman" w:hAnsi="Times New Roman"/>
          <w:color w:val="767171"/>
          <w:spacing w:val="20"/>
          <w:sz w:val="24"/>
          <w:szCs w:val="24"/>
        </w:rPr>
      </w:pPr>
      <w:r w:rsidRPr="00DF1742">
        <w:rPr>
          <w:rFonts w:ascii="Times New Roman" w:hAnsi="Times New Roman"/>
          <w:color w:val="767171"/>
          <w:spacing w:val="20"/>
          <w:sz w:val="24"/>
          <w:szCs w:val="24"/>
        </w:rPr>
        <w:t>Consolidada y elevada la imagen de la TSS para el año 2024 como una entidad transparente y eficiente en el manejo de los recursos del SDSS.</w:t>
      </w:r>
    </w:p>
    <w:p w14:paraId="191D88E5" w14:textId="77777777" w:rsidR="00DA205F" w:rsidRPr="00376549" w:rsidRDefault="00DA205F" w:rsidP="00DA205F">
      <w:pPr>
        <w:spacing w:before="240" w:after="240" w:line="360" w:lineRule="auto"/>
        <w:jc w:val="both"/>
        <w:rPr>
          <w:rFonts w:eastAsia="Calibri"/>
          <w:b/>
          <w:bCs/>
          <w:lang w:val="es-DO"/>
        </w:rPr>
      </w:pPr>
      <w:r w:rsidRPr="00376549">
        <w:rPr>
          <w:rFonts w:eastAsia="Calibri"/>
          <w:b/>
          <w:bCs/>
          <w:lang w:val="es-DO"/>
        </w:rPr>
        <w:t>Segundo Eje: Fortalecimiento Institucional</w:t>
      </w:r>
    </w:p>
    <w:p w14:paraId="1D197C1B" w14:textId="77777777" w:rsidR="00DA205F" w:rsidRPr="00DF1742" w:rsidRDefault="00DA205F" w:rsidP="00DA205F">
      <w:pPr>
        <w:spacing w:before="240" w:after="240" w:line="360" w:lineRule="auto"/>
        <w:jc w:val="both"/>
        <w:rPr>
          <w:rFonts w:eastAsia="Calibri"/>
          <w:lang w:val="es-DO"/>
        </w:rPr>
      </w:pPr>
      <w:r w:rsidRPr="00DF1742">
        <w:rPr>
          <w:rFonts w:eastAsia="Calibri"/>
          <w:lang w:val="es-DO"/>
        </w:rPr>
        <w:t>Innovación y mejora de los procesos, contando con una infraestructura óptima y actualizada, para incrementar la eficiencia de la institución.</w:t>
      </w:r>
    </w:p>
    <w:p w14:paraId="75BAD326" w14:textId="77777777" w:rsidR="00DA205F" w:rsidRPr="008A0D35" w:rsidRDefault="00DA205F" w:rsidP="00DA205F">
      <w:pPr>
        <w:spacing w:before="240" w:after="240" w:line="360" w:lineRule="auto"/>
        <w:jc w:val="both"/>
        <w:rPr>
          <w:rFonts w:eastAsia="Calibri"/>
          <w:b/>
          <w:bCs/>
          <w:lang w:val="es-DO"/>
        </w:rPr>
      </w:pPr>
      <w:r w:rsidRPr="008A0D35">
        <w:rPr>
          <w:rFonts w:eastAsia="Calibri"/>
          <w:b/>
          <w:bCs/>
          <w:lang w:val="es-DO"/>
        </w:rPr>
        <w:t>Visión al 2025:</w:t>
      </w:r>
    </w:p>
    <w:p w14:paraId="1B43539D" w14:textId="77777777" w:rsidR="00DA205F" w:rsidRPr="00DF1742" w:rsidRDefault="00DA205F" w:rsidP="00DA205F">
      <w:pPr>
        <w:spacing w:before="240" w:after="240" w:line="360" w:lineRule="auto"/>
        <w:jc w:val="both"/>
        <w:rPr>
          <w:rFonts w:eastAsia="Calibri"/>
          <w:lang w:val="es-DO"/>
        </w:rPr>
      </w:pPr>
      <w:r w:rsidRPr="00DF1742">
        <w:rPr>
          <w:rFonts w:eastAsia="Calibri"/>
          <w:lang w:val="es-DO"/>
        </w:rPr>
        <w:t>Una organización innovadora, ágil y efectiva, adaptable a los cambios, con procesos simplificados e integrados.</w:t>
      </w:r>
    </w:p>
    <w:p w14:paraId="00EB7CCA" w14:textId="77777777" w:rsidR="00DA205F" w:rsidRPr="00B86835" w:rsidRDefault="00DA205F" w:rsidP="00DA205F">
      <w:pPr>
        <w:spacing w:before="240" w:after="240" w:line="360" w:lineRule="auto"/>
        <w:jc w:val="both"/>
        <w:rPr>
          <w:rFonts w:eastAsia="Calibri"/>
          <w:b/>
          <w:bCs/>
          <w:lang w:val="es-DO"/>
        </w:rPr>
      </w:pPr>
      <w:r w:rsidRPr="00B86835">
        <w:rPr>
          <w:rFonts w:eastAsia="Calibri"/>
          <w:b/>
          <w:bCs/>
          <w:lang w:val="es-DO"/>
        </w:rPr>
        <w:t>Objetivos Estratégicos:</w:t>
      </w:r>
    </w:p>
    <w:p w14:paraId="651F012F" w14:textId="77777777" w:rsidR="00DA205F" w:rsidRPr="00DF1742" w:rsidRDefault="00DA205F" w:rsidP="008A0D35">
      <w:pPr>
        <w:pStyle w:val="ListParagraph"/>
        <w:numPr>
          <w:ilvl w:val="0"/>
          <w:numId w:val="19"/>
        </w:numPr>
        <w:spacing w:before="240" w:after="240" w:line="360" w:lineRule="auto"/>
        <w:ind w:left="360"/>
        <w:rPr>
          <w:rFonts w:ascii="Times New Roman" w:hAnsi="Times New Roman"/>
          <w:color w:val="767171"/>
          <w:spacing w:val="20"/>
          <w:sz w:val="24"/>
          <w:szCs w:val="24"/>
        </w:rPr>
      </w:pPr>
      <w:r w:rsidRPr="00DF1742">
        <w:rPr>
          <w:rFonts w:ascii="Times New Roman" w:hAnsi="Times New Roman"/>
          <w:color w:val="767171"/>
          <w:spacing w:val="20"/>
          <w:sz w:val="24"/>
          <w:szCs w:val="24"/>
        </w:rPr>
        <w:t>Disminuir el índice de omisión y reducir la evasión.</w:t>
      </w:r>
    </w:p>
    <w:p w14:paraId="717D63EE" w14:textId="77777777" w:rsidR="00DA205F" w:rsidRPr="00DF1742" w:rsidRDefault="00DA205F" w:rsidP="008A0D35">
      <w:pPr>
        <w:pStyle w:val="ListParagraph"/>
        <w:numPr>
          <w:ilvl w:val="0"/>
          <w:numId w:val="18"/>
        </w:numPr>
        <w:spacing w:before="240" w:after="240" w:line="360" w:lineRule="auto"/>
        <w:rPr>
          <w:rFonts w:ascii="Times New Roman" w:hAnsi="Times New Roman"/>
          <w:color w:val="767171"/>
          <w:spacing w:val="20"/>
          <w:sz w:val="24"/>
          <w:szCs w:val="24"/>
        </w:rPr>
      </w:pPr>
      <w:r w:rsidRPr="00DF1742">
        <w:rPr>
          <w:rFonts w:ascii="Times New Roman" w:hAnsi="Times New Roman"/>
          <w:color w:val="767171"/>
          <w:spacing w:val="20"/>
          <w:sz w:val="24"/>
          <w:szCs w:val="24"/>
        </w:rPr>
        <w:t>Disminuido los índices de evasión y omisión para el fortalecimiento del SDSS tomando acción apalancándonos sobre las alianzas estratégicas interinstitucionales, así como para el fortalecimiento de las estadísticas internas.</w:t>
      </w:r>
    </w:p>
    <w:p w14:paraId="726F906D" w14:textId="77777777" w:rsidR="00DA205F" w:rsidRPr="00DF1742" w:rsidRDefault="00DA205F" w:rsidP="008A0D35">
      <w:pPr>
        <w:pStyle w:val="ListParagraph"/>
        <w:numPr>
          <w:ilvl w:val="0"/>
          <w:numId w:val="18"/>
        </w:numPr>
        <w:spacing w:before="240" w:after="240" w:line="360" w:lineRule="auto"/>
        <w:rPr>
          <w:rFonts w:ascii="Times New Roman" w:hAnsi="Times New Roman"/>
          <w:color w:val="767171"/>
          <w:spacing w:val="20"/>
          <w:sz w:val="24"/>
          <w:szCs w:val="24"/>
        </w:rPr>
      </w:pPr>
      <w:r w:rsidRPr="00DF1742">
        <w:rPr>
          <w:rFonts w:ascii="Times New Roman" w:hAnsi="Times New Roman"/>
          <w:color w:val="767171"/>
          <w:spacing w:val="20"/>
          <w:sz w:val="24"/>
          <w:szCs w:val="24"/>
        </w:rPr>
        <w:t>Mayor efectividad en la ejecución del procedimiento de cobros y aplicación de multas para someter a empleadores morosos.</w:t>
      </w:r>
    </w:p>
    <w:p w14:paraId="3D04A640" w14:textId="77777777" w:rsidR="00DA205F" w:rsidRPr="00DF1742" w:rsidRDefault="00DA205F" w:rsidP="008A0D35">
      <w:pPr>
        <w:pStyle w:val="ListParagraph"/>
        <w:numPr>
          <w:ilvl w:val="0"/>
          <w:numId w:val="18"/>
        </w:numPr>
        <w:spacing w:before="240" w:after="240" w:line="360" w:lineRule="auto"/>
        <w:rPr>
          <w:rFonts w:ascii="Times New Roman" w:hAnsi="Times New Roman"/>
          <w:color w:val="767171"/>
          <w:spacing w:val="20"/>
          <w:sz w:val="24"/>
          <w:szCs w:val="24"/>
        </w:rPr>
      </w:pPr>
      <w:r w:rsidRPr="00DF1742">
        <w:rPr>
          <w:rFonts w:ascii="Times New Roman" w:hAnsi="Times New Roman"/>
          <w:color w:val="767171"/>
          <w:spacing w:val="20"/>
          <w:sz w:val="24"/>
          <w:szCs w:val="24"/>
        </w:rPr>
        <w:t>Tecnología adecuada para el mejoramiento de los mecanismos de seguimiento, comportamiento y monitoreo de los empleadores y sus actividades para evitar incumplimientos.</w:t>
      </w:r>
    </w:p>
    <w:p w14:paraId="766ABA71" w14:textId="77777777" w:rsidR="00DA205F" w:rsidRDefault="00DA205F" w:rsidP="008A0D35">
      <w:pPr>
        <w:pStyle w:val="ListParagraph"/>
        <w:numPr>
          <w:ilvl w:val="0"/>
          <w:numId w:val="18"/>
        </w:numPr>
        <w:spacing w:before="240" w:after="240" w:line="360" w:lineRule="auto"/>
        <w:rPr>
          <w:rFonts w:ascii="Times New Roman" w:hAnsi="Times New Roman"/>
          <w:color w:val="767171"/>
          <w:spacing w:val="20"/>
          <w:sz w:val="24"/>
          <w:szCs w:val="24"/>
        </w:rPr>
      </w:pPr>
      <w:r w:rsidRPr="00DF1742">
        <w:rPr>
          <w:rFonts w:ascii="Times New Roman" w:hAnsi="Times New Roman"/>
          <w:color w:val="767171"/>
          <w:spacing w:val="20"/>
          <w:sz w:val="24"/>
          <w:szCs w:val="24"/>
        </w:rPr>
        <w:t>Implementados los mecanismos de acción hacia los posibles defraudadores.</w:t>
      </w:r>
    </w:p>
    <w:p w14:paraId="611AC8C7" w14:textId="77777777" w:rsidR="009E6B75" w:rsidRPr="00235582" w:rsidRDefault="009E6B75" w:rsidP="009E6B75">
      <w:pPr>
        <w:spacing w:before="240" w:after="240" w:line="360" w:lineRule="auto"/>
        <w:rPr>
          <w:lang w:val="es-ES"/>
        </w:rPr>
      </w:pPr>
    </w:p>
    <w:p w14:paraId="777F6F0B" w14:textId="64642195" w:rsidR="00DA205F" w:rsidRPr="00DF1742" w:rsidRDefault="00DA205F" w:rsidP="00865274">
      <w:pPr>
        <w:pStyle w:val="ListParagraph"/>
        <w:numPr>
          <w:ilvl w:val="0"/>
          <w:numId w:val="19"/>
        </w:numPr>
        <w:tabs>
          <w:tab w:val="left" w:pos="360"/>
          <w:tab w:val="left" w:pos="450"/>
        </w:tabs>
        <w:spacing w:before="240" w:after="240" w:line="360" w:lineRule="auto"/>
        <w:ind w:left="360"/>
        <w:rPr>
          <w:rFonts w:ascii="Times New Roman" w:hAnsi="Times New Roman"/>
          <w:color w:val="767171"/>
          <w:spacing w:val="20"/>
          <w:sz w:val="24"/>
          <w:szCs w:val="24"/>
        </w:rPr>
      </w:pPr>
      <w:r w:rsidRPr="00DF1742">
        <w:rPr>
          <w:rFonts w:ascii="Times New Roman" w:hAnsi="Times New Roman"/>
          <w:color w:val="767171"/>
          <w:spacing w:val="20"/>
          <w:sz w:val="24"/>
          <w:szCs w:val="24"/>
        </w:rPr>
        <w:lastRenderedPageBreak/>
        <w:t>Optimizar las operaciones de la TSS</w:t>
      </w:r>
      <w:r w:rsidR="00865274">
        <w:rPr>
          <w:rFonts w:ascii="Times New Roman" w:hAnsi="Times New Roman"/>
          <w:color w:val="767171"/>
          <w:spacing w:val="20"/>
          <w:sz w:val="24"/>
          <w:szCs w:val="24"/>
        </w:rPr>
        <w:t>.</w:t>
      </w:r>
    </w:p>
    <w:p w14:paraId="6ED3EBB5" w14:textId="77777777" w:rsidR="00DA205F" w:rsidRPr="00DF1742" w:rsidRDefault="00DA205F" w:rsidP="00865274">
      <w:pPr>
        <w:pStyle w:val="ListParagraph"/>
        <w:numPr>
          <w:ilvl w:val="0"/>
          <w:numId w:val="18"/>
        </w:numPr>
        <w:spacing w:before="240" w:after="240" w:line="360" w:lineRule="auto"/>
        <w:rPr>
          <w:rFonts w:ascii="Times New Roman" w:hAnsi="Times New Roman"/>
          <w:color w:val="767171"/>
          <w:spacing w:val="20"/>
          <w:sz w:val="24"/>
          <w:szCs w:val="24"/>
        </w:rPr>
      </w:pPr>
      <w:r w:rsidRPr="00DF1742">
        <w:rPr>
          <w:rFonts w:ascii="Times New Roman" w:hAnsi="Times New Roman"/>
          <w:color w:val="767171"/>
          <w:spacing w:val="20"/>
          <w:sz w:val="24"/>
          <w:szCs w:val="24"/>
        </w:rPr>
        <w:t>Creada y habilitada el área estadística para fortalecer las informaciones del sistema y mejorar la toma de decisiones.</w:t>
      </w:r>
    </w:p>
    <w:p w14:paraId="5306828D" w14:textId="77777777" w:rsidR="00DA205F" w:rsidRPr="00DF1742" w:rsidRDefault="00DA205F" w:rsidP="00865274">
      <w:pPr>
        <w:pStyle w:val="ListParagraph"/>
        <w:numPr>
          <w:ilvl w:val="0"/>
          <w:numId w:val="18"/>
        </w:numPr>
        <w:spacing w:before="240" w:after="240" w:line="360" w:lineRule="auto"/>
        <w:rPr>
          <w:rFonts w:ascii="Times New Roman" w:hAnsi="Times New Roman"/>
          <w:color w:val="767171"/>
          <w:spacing w:val="20"/>
          <w:sz w:val="24"/>
          <w:szCs w:val="24"/>
        </w:rPr>
      </w:pPr>
      <w:r w:rsidRPr="00DF1742">
        <w:rPr>
          <w:rFonts w:ascii="Times New Roman" w:hAnsi="Times New Roman"/>
          <w:color w:val="767171"/>
          <w:spacing w:val="20"/>
          <w:sz w:val="24"/>
          <w:szCs w:val="24"/>
        </w:rPr>
        <w:t>Automatizadas las operaciones financieras para eficientizar la gestión y disponer de información oportuna y de calidad.</w:t>
      </w:r>
    </w:p>
    <w:p w14:paraId="3BCB488B" w14:textId="484881A3" w:rsidR="00DA205F" w:rsidRPr="00DF1742" w:rsidRDefault="00DA205F" w:rsidP="00865274">
      <w:pPr>
        <w:pStyle w:val="ListParagraph"/>
        <w:numPr>
          <w:ilvl w:val="0"/>
          <w:numId w:val="18"/>
        </w:numPr>
        <w:spacing w:before="240" w:after="240" w:line="360" w:lineRule="auto"/>
        <w:rPr>
          <w:rFonts w:ascii="Times New Roman" w:hAnsi="Times New Roman"/>
          <w:color w:val="767171"/>
          <w:spacing w:val="20"/>
          <w:sz w:val="24"/>
          <w:szCs w:val="24"/>
        </w:rPr>
      </w:pPr>
      <w:r w:rsidRPr="00DF1742">
        <w:rPr>
          <w:rFonts w:ascii="Times New Roman" w:hAnsi="Times New Roman"/>
          <w:color w:val="767171"/>
          <w:spacing w:val="20"/>
          <w:sz w:val="24"/>
          <w:szCs w:val="24"/>
        </w:rPr>
        <w:t>Gestión administrativa acorde a las necesidades de la institución</w:t>
      </w:r>
      <w:r w:rsidR="009E3A89">
        <w:rPr>
          <w:rFonts w:ascii="Times New Roman" w:hAnsi="Times New Roman"/>
          <w:color w:val="767171"/>
          <w:spacing w:val="20"/>
          <w:sz w:val="24"/>
          <w:szCs w:val="24"/>
        </w:rPr>
        <w:t>:</w:t>
      </w:r>
    </w:p>
    <w:p w14:paraId="00AAD6DD" w14:textId="022A5EC5" w:rsidR="00DA205F" w:rsidRPr="00DF1742" w:rsidRDefault="00865274" w:rsidP="00865274">
      <w:pPr>
        <w:pStyle w:val="ListParagraph"/>
        <w:spacing w:before="240" w:after="240" w:line="360" w:lineRule="auto"/>
        <w:rPr>
          <w:rFonts w:ascii="Times New Roman" w:hAnsi="Times New Roman"/>
          <w:color w:val="767171"/>
          <w:spacing w:val="20"/>
          <w:sz w:val="24"/>
          <w:szCs w:val="24"/>
        </w:rPr>
      </w:pPr>
      <w:r>
        <w:rPr>
          <w:rFonts w:ascii="Times New Roman" w:hAnsi="Times New Roman"/>
          <w:color w:val="767171"/>
          <w:spacing w:val="20"/>
          <w:sz w:val="24"/>
          <w:szCs w:val="24"/>
        </w:rPr>
        <w:t>-</w:t>
      </w:r>
      <w:r w:rsidR="00DA205F" w:rsidRPr="00DF1742">
        <w:rPr>
          <w:rFonts w:ascii="Times New Roman" w:hAnsi="Times New Roman"/>
          <w:color w:val="767171"/>
          <w:spacing w:val="20"/>
          <w:sz w:val="24"/>
          <w:szCs w:val="24"/>
        </w:rPr>
        <w:t>Adquisición o mejora del Sistema de Contabilidad del SDSS, con la finalidad de poder presentar informes y reportes financieros y administrativos al CNSS de manera eficiente.</w:t>
      </w:r>
    </w:p>
    <w:p w14:paraId="35019202" w14:textId="2E825647" w:rsidR="00DA205F" w:rsidRPr="00DF1742" w:rsidRDefault="00865274" w:rsidP="00865274">
      <w:pPr>
        <w:pStyle w:val="ListParagraph"/>
        <w:spacing w:before="240" w:after="240" w:line="360" w:lineRule="auto"/>
        <w:rPr>
          <w:rFonts w:ascii="Times New Roman" w:hAnsi="Times New Roman"/>
          <w:color w:val="767171"/>
          <w:spacing w:val="20"/>
          <w:sz w:val="24"/>
          <w:szCs w:val="24"/>
        </w:rPr>
      </w:pPr>
      <w:r>
        <w:rPr>
          <w:rFonts w:ascii="Times New Roman" w:hAnsi="Times New Roman"/>
          <w:color w:val="767171"/>
          <w:spacing w:val="20"/>
          <w:sz w:val="24"/>
          <w:szCs w:val="24"/>
        </w:rPr>
        <w:t>-</w:t>
      </w:r>
      <w:r w:rsidR="00DA205F" w:rsidRPr="00DF1742">
        <w:rPr>
          <w:rFonts w:ascii="Times New Roman" w:hAnsi="Times New Roman"/>
          <w:color w:val="767171"/>
          <w:spacing w:val="20"/>
          <w:sz w:val="24"/>
          <w:szCs w:val="24"/>
        </w:rPr>
        <w:t>Adquisición de un software Sistema de Contabilidad patrimonial de la TSS, con la finalidad de poder presentar informes y reportes financieros y administrativos a las instancias correspondientes.</w:t>
      </w:r>
    </w:p>
    <w:p w14:paraId="184B39A3" w14:textId="5934A9CD" w:rsidR="00DA205F" w:rsidRPr="00DF1742" w:rsidRDefault="00865274" w:rsidP="00865274">
      <w:pPr>
        <w:pStyle w:val="ListParagraph"/>
        <w:spacing w:before="240" w:after="240" w:line="360" w:lineRule="auto"/>
        <w:rPr>
          <w:rFonts w:ascii="Times New Roman" w:hAnsi="Times New Roman"/>
          <w:color w:val="767171"/>
          <w:spacing w:val="20"/>
          <w:sz w:val="24"/>
          <w:szCs w:val="24"/>
        </w:rPr>
      </w:pPr>
      <w:r>
        <w:rPr>
          <w:rFonts w:ascii="Times New Roman" w:hAnsi="Times New Roman"/>
          <w:color w:val="767171"/>
          <w:spacing w:val="20"/>
          <w:sz w:val="24"/>
          <w:szCs w:val="24"/>
        </w:rPr>
        <w:t>-</w:t>
      </w:r>
      <w:r w:rsidR="00DA205F" w:rsidRPr="00DF1742">
        <w:rPr>
          <w:rFonts w:ascii="Times New Roman" w:hAnsi="Times New Roman"/>
          <w:color w:val="767171"/>
          <w:spacing w:val="20"/>
          <w:sz w:val="24"/>
          <w:szCs w:val="24"/>
        </w:rPr>
        <w:t>Sistematización de todas las operaciones manuales que se ejecutan en la Contabilidad del SDSS.</w:t>
      </w:r>
    </w:p>
    <w:p w14:paraId="18EED834" w14:textId="5462FD4E" w:rsidR="00DA205F" w:rsidRPr="00DF1742" w:rsidRDefault="00865274" w:rsidP="00865274">
      <w:pPr>
        <w:pStyle w:val="ListParagraph"/>
        <w:spacing w:before="240" w:after="240" w:line="360" w:lineRule="auto"/>
        <w:rPr>
          <w:rFonts w:ascii="Times New Roman" w:hAnsi="Times New Roman"/>
          <w:color w:val="767171"/>
          <w:spacing w:val="20"/>
          <w:sz w:val="24"/>
          <w:szCs w:val="24"/>
        </w:rPr>
      </w:pPr>
      <w:r>
        <w:rPr>
          <w:rFonts w:ascii="Times New Roman" w:hAnsi="Times New Roman"/>
          <w:color w:val="767171"/>
          <w:spacing w:val="20"/>
          <w:sz w:val="24"/>
          <w:szCs w:val="24"/>
        </w:rPr>
        <w:t>-</w:t>
      </w:r>
      <w:r w:rsidR="00DA205F" w:rsidRPr="00DF1742">
        <w:rPr>
          <w:rFonts w:ascii="Times New Roman" w:hAnsi="Times New Roman"/>
          <w:color w:val="767171"/>
          <w:spacing w:val="20"/>
          <w:sz w:val="24"/>
          <w:szCs w:val="24"/>
        </w:rPr>
        <w:t>Adquisición de software para las inversiones que realiza la TSS, esto es para el manejo eficiente de los recursos financieros del SDSS.</w:t>
      </w:r>
    </w:p>
    <w:p w14:paraId="1DE904A5" w14:textId="77777777" w:rsidR="00DA205F" w:rsidRPr="00376549" w:rsidRDefault="00DA205F" w:rsidP="00DA205F">
      <w:pPr>
        <w:spacing w:before="240" w:after="240" w:line="360" w:lineRule="auto"/>
        <w:jc w:val="both"/>
        <w:rPr>
          <w:rFonts w:eastAsia="Calibri"/>
          <w:b/>
          <w:bCs/>
          <w:lang w:val="es-DO"/>
        </w:rPr>
      </w:pPr>
      <w:r w:rsidRPr="00376549">
        <w:rPr>
          <w:rFonts w:eastAsia="Calibri"/>
          <w:b/>
          <w:bCs/>
          <w:lang w:val="es-DO"/>
        </w:rPr>
        <w:t>Tercer Eje: Crecimiento y Desarrollo</w:t>
      </w:r>
    </w:p>
    <w:p w14:paraId="0F63DD30" w14:textId="77777777" w:rsidR="00DA205F" w:rsidRPr="00DF1742" w:rsidRDefault="00DA205F" w:rsidP="00DA205F">
      <w:pPr>
        <w:spacing w:before="240" w:after="240" w:line="360" w:lineRule="auto"/>
        <w:jc w:val="both"/>
        <w:rPr>
          <w:rFonts w:eastAsia="Calibri"/>
          <w:lang w:val="es-DO"/>
        </w:rPr>
      </w:pPr>
      <w:r w:rsidRPr="00DF1742">
        <w:rPr>
          <w:rFonts w:eastAsia="Calibri"/>
          <w:lang w:val="es-DO"/>
        </w:rPr>
        <w:t>Implementa estrategias que potencialicen las capacidades de los colaboradores y promuevan su bienestar.</w:t>
      </w:r>
    </w:p>
    <w:p w14:paraId="05292EDB" w14:textId="77777777" w:rsidR="00DA205F" w:rsidRPr="00376549" w:rsidRDefault="00DA205F" w:rsidP="00DA205F">
      <w:pPr>
        <w:spacing w:before="240" w:after="240" w:line="360" w:lineRule="auto"/>
        <w:jc w:val="both"/>
        <w:rPr>
          <w:rFonts w:eastAsia="Calibri"/>
          <w:b/>
          <w:bCs/>
          <w:lang w:val="es-DO"/>
        </w:rPr>
      </w:pPr>
      <w:r w:rsidRPr="00376549">
        <w:rPr>
          <w:rFonts w:eastAsia="Calibri"/>
          <w:b/>
          <w:bCs/>
          <w:lang w:val="es-DO"/>
        </w:rPr>
        <w:t>Visión al 2025:</w:t>
      </w:r>
    </w:p>
    <w:p w14:paraId="17F72A11" w14:textId="77777777" w:rsidR="00DA205F" w:rsidRDefault="00DA205F" w:rsidP="00DA205F">
      <w:pPr>
        <w:spacing w:before="240" w:after="240" w:line="360" w:lineRule="auto"/>
        <w:jc w:val="both"/>
        <w:rPr>
          <w:rFonts w:eastAsia="Calibri"/>
          <w:lang w:val="es-DO"/>
        </w:rPr>
      </w:pPr>
      <w:r w:rsidRPr="00DF1742">
        <w:rPr>
          <w:rFonts w:eastAsia="Calibri"/>
          <w:lang w:val="es-DO"/>
        </w:rPr>
        <w:t>Un equipo humano altamente productivo y competente, valorado e identificado con la institución.</w:t>
      </w:r>
    </w:p>
    <w:p w14:paraId="03EAFA23" w14:textId="77777777" w:rsidR="00900C53" w:rsidRDefault="00900C53" w:rsidP="00DA205F">
      <w:pPr>
        <w:spacing w:before="240" w:after="240" w:line="360" w:lineRule="auto"/>
        <w:jc w:val="both"/>
        <w:rPr>
          <w:rFonts w:eastAsia="Calibri"/>
          <w:lang w:val="es-DO"/>
        </w:rPr>
      </w:pPr>
    </w:p>
    <w:p w14:paraId="48A50894" w14:textId="77777777" w:rsidR="00900C53" w:rsidRPr="00DF1742" w:rsidRDefault="00900C53" w:rsidP="00DA205F">
      <w:pPr>
        <w:spacing w:before="240" w:after="240" w:line="360" w:lineRule="auto"/>
        <w:jc w:val="both"/>
        <w:rPr>
          <w:rFonts w:eastAsia="Calibri"/>
          <w:lang w:val="es-DO"/>
        </w:rPr>
      </w:pPr>
    </w:p>
    <w:p w14:paraId="0015873D" w14:textId="77777777" w:rsidR="00DA205F" w:rsidRPr="00376549" w:rsidRDefault="00DA205F" w:rsidP="00DA205F">
      <w:pPr>
        <w:spacing w:before="240" w:after="240" w:line="360" w:lineRule="auto"/>
        <w:jc w:val="both"/>
        <w:rPr>
          <w:rFonts w:eastAsia="Calibri"/>
          <w:b/>
          <w:bCs/>
          <w:lang w:val="es-DO"/>
        </w:rPr>
      </w:pPr>
      <w:r w:rsidRPr="00376549">
        <w:rPr>
          <w:rFonts w:eastAsia="Calibri"/>
          <w:b/>
          <w:bCs/>
          <w:lang w:val="es-DO"/>
        </w:rPr>
        <w:lastRenderedPageBreak/>
        <w:t>Objetivos Estratégicos:</w:t>
      </w:r>
    </w:p>
    <w:p w14:paraId="54F1DBB4" w14:textId="77777777" w:rsidR="00DA205F" w:rsidRPr="00DF1742" w:rsidRDefault="00DA205F" w:rsidP="00DA205F">
      <w:pPr>
        <w:pStyle w:val="ListParagraph"/>
        <w:numPr>
          <w:ilvl w:val="0"/>
          <w:numId w:val="22"/>
        </w:numPr>
        <w:spacing w:before="240" w:after="240" w:line="360" w:lineRule="auto"/>
        <w:ind w:left="90"/>
        <w:rPr>
          <w:rFonts w:ascii="Times New Roman" w:hAnsi="Times New Roman"/>
          <w:color w:val="767171"/>
          <w:spacing w:val="20"/>
          <w:sz w:val="24"/>
          <w:szCs w:val="24"/>
        </w:rPr>
      </w:pPr>
      <w:r w:rsidRPr="00DF1742">
        <w:rPr>
          <w:rFonts w:ascii="Times New Roman" w:hAnsi="Times New Roman"/>
          <w:color w:val="767171"/>
          <w:spacing w:val="20"/>
          <w:sz w:val="24"/>
          <w:szCs w:val="24"/>
        </w:rPr>
        <w:t>Fortalecer y mantener el crecimiento y desarrollo del capital humano.</w:t>
      </w:r>
    </w:p>
    <w:p w14:paraId="5D8674D9" w14:textId="77777777" w:rsidR="00DA205F" w:rsidRPr="00DF1742" w:rsidRDefault="00DA205F" w:rsidP="00DA205F">
      <w:pPr>
        <w:pStyle w:val="ListParagraph"/>
        <w:numPr>
          <w:ilvl w:val="0"/>
          <w:numId w:val="22"/>
        </w:numPr>
        <w:spacing w:before="240" w:after="240" w:line="360" w:lineRule="auto"/>
        <w:ind w:left="90"/>
        <w:rPr>
          <w:rFonts w:ascii="Times New Roman" w:hAnsi="Times New Roman"/>
          <w:color w:val="767171"/>
          <w:spacing w:val="20"/>
          <w:sz w:val="24"/>
          <w:szCs w:val="24"/>
        </w:rPr>
      </w:pPr>
      <w:r w:rsidRPr="00DF1742">
        <w:rPr>
          <w:rFonts w:ascii="Times New Roman" w:hAnsi="Times New Roman"/>
          <w:color w:val="767171"/>
          <w:spacing w:val="20"/>
          <w:sz w:val="24"/>
          <w:szCs w:val="24"/>
        </w:rPr>
        <w:t>Alianzas estratégicas con instituciones, universidades y centros de entrenamiento para la acción social y capacitación de los colaboradores.</w:t>
      </w:r>
    </w:p>
    <w:p w14:paraId="0A3DA0A5" w14:textId="77777777" w:rsidR="00DA205F" w:rsidRPr="00DF1742" w:rsidRDefault="00DA205F" w:rsidP="00DA205F">
      <w:pPr>
        <w:pStyle w:val="ListParagraph"/>
        <w:numPr>
          <w:ilvl w:val="0"/>
          <w:numId w:val="16"/>
        </w:numPr>
        <w:spacing w:before="240" w:after="240" w:line="360" w:lineRule="auto"/>
        <w:rPr>
          <w:rFonts w:ascii="Times New Roman" w:hAnsi="Times New Roman"/>
          <w:color w:val="767171"/>
          <w:spacing w:val="20"/>
          <w:sz w:val="24"/>
          <w:szCs w:val="24"/>
        </w:rPr>
      </w:pPr>
      <w:r w:rsidRPr="00DF1742">
        <w:rPr>
          <w:rFonts w:ascii="Times New Roman" w:hAnsi="Times New Roman"/>
          <w:color w:val="767171"/>
          <w:spacing w:val="20"/>
          <w:sz w:val="24"/>
          <w:szCs w:val="24"/>
        </w:rPr>
        <w:t>Lograr y mantener un buen clima organizacional que contribuya al bienestar, el buen desempeño y la motivación de los colaboradores.</w:t>
      </w:r>
    </w:p>
    <w:p w14:paraId="79489E6C" w14:textId="77777777" w:rsidR="00DA205F" w:rsidRPr="00DF1742" w:rsidRDefault="00DA205F" w:rsidP="00DA205F">
      <w:pPr>
        <w:pStyle w:val="ListParagraph"/>
        <w:numPr>
          <w:ilvl w:val="0"/>
          <w:numId w:val="16"/>
        </w:numPr>
        <w:spacing w:before="240" w:after="240" w:line="360" w:lineRule="auto"/>
        <w:rPr>
          <w:rFonts w:ascii="Times New Roman" w:hAnsi="Times New Roman"/>
          <w:color w:val="767171"/>
          <w:spacing w:val="20"/>
          <w:sz w:val="24"/>
          <w:szCs w:val="24"/>
        </w:rPr>
      </w:pPr>
      <w:r w:rsidRPr="00DF1742">
        <w:rPr>
          <w:rFonts w:ascii="Times New Roman" w:hAnsi="Times New Roman"/>
          <w:color w:val="767171"/>
          <w:spacing w:val="20"/>
          <w:sz w:val="24"/>
          <w:szCs w:val="24"/>
        </w:rPr>
        <w:t>Fortalecida y consolidada la marca TSS a lo interno mediante un sistema de comunicación interna integral para disponer de informaciones oportunas hacia los colaboradores.</w:t>
      </w:r>
    </w:p>
    <w:p w14:paraId="71F2962F" w14:textId="77777777" w:rsidR="00DA205F" w:rsidRPr="00DF1742" w:rsidRDefault="00DA205F" w:rsidP="00DA205F">
      <w:pPr>
        <w:pStyle w:val="ListParagraph"/>
        <w:numPr>
          <w:ilvl w:val="0"/>
          <w:numId w:val="16"/>
        </w:numPr>
        <w:spacing w:before="240" w:after="240" w:line="360" w:lineRule="auto"/>
        <w:rPr>
          <w:rFonts w:ascii="Times New Roman" w:hAnsi="Times New Roman"/>
          <w:color w:val="767171"/>
          <w:spacing w:val="20"/>
          <w:sz w:val="24"/>
          <w:szCs w:val="24"/>
        </w:rPr>
      </w:pPr>
      <w:r w:rsidRPr="00DF1742">
        <w:rPr>
          <w:rFonts w:ascii="Times New Roman" w:hAnsi="Times New Roman"/>
          <w:color w:val="767171"/>
          <w:spacing w:val="20"/>
          <w:sz w:val="24"/>
          <w:szCs w:val="24"/>
        </w:rPr>
        <w:t>Contar con facilidades y ambiente de trabajo confortables y accesibles.</w:t>
      </w:r>
    </w:p>
    <w:p w14:paraId="52F2CFFE" w14:textId="0186E42B" w:rsidR="00776592" w:rsidRDefault="00DA205F" w:rsidP="00D2665C">
      <w:pPr>
        <w:numPr>
          <w:ilvl w:val="0"/>
          <w:numId w:val="4"/>
        </w:numPr>
        <w:spacing w:before="240" w:after="240" w:line="360" w:lineRule="auto"/>
        <w:contextualSpacing/>
        <w:jc w:val="both"/>
        <w:rPr>
          <w:rFonts w:eastAsia="Calibri"/>
          <w:lang w:val="es-DO"/>
        </w:rPr>
      </w:pPr>
      <w:r w:rsidRPr="00DF1742">
        <w:rPr>
          <w:lang w:val="es-DO"/>
        </w:rPr>
        <w:br w:type="page"/>
      </w:r>
    </w:p>
    <w:bookmarkStart w:id="22" w:name="_Toc185245094"/>
    <w:p w14:paraId="5E396B73" w14:textId="2A5D2412" w:rsidR="00654164" w:rsidRPr="004544B4" w:rsidRDefault="004B301B" w:rsidP="004544B4">
      <w:pPr>
        <w:pStyle w:val="Heading1"/>
        <w:spacing w:after="240" w:line="259" w:lineRule="auto"/>
        <w:ind w:left="720" w:hanging="360"/>
        <w:rPr>
          <w:spacing w:val="0"/>
          <w:lang w:val="es-DO"/>
        </w:rPr>
      </w:pPr>
      <w:r w:rsidRPr="0082260F">
        <w:rPr>
          <w:rFonts w:eastAsia="Calibri"/>
          <w:noProof/>
          <w:color w:val="4C4747"/>
          <w:sz w:val="18"/>
        </w:rPr>
        <w:lastRenderedPageBreak/>
        <mc:AlternateContent>
          <mc:Choice Requires="wps">
            <w:drawing>
              <wp:anchor distT="0" distB="0" distL="114300" distR="114300" simplePos="0" relativeHeight="251658247" behindDoc="0" locked="0" layoutInCell="1" allowOverlap="1" wp14:anchorId="4DF5F78D" wp14:editId="0E6D652D">
                <wp:simplePos x="0" y="0"/>
                <wp:positionH relativeFrom="margin">
                  <wp:posOffset>2409825</wp:posOffset>
                </wp:positionH>
                <wp:positionV relativeFrom="paragraph">
                  <wp:posOffset>316865</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D7058" id="Straight Connector 14"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9.75pt,24.95pt" to="226.2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" strokecolor="#ee2a24" strokeweight="2.25pt">
                <v:stroke joinstyle="miter"/>
                <w10:wrap anchorx="margin"/>
              </v:line>
            </w:pict>
          </mc:Fallback>
        </mc:AlternateContent>
      </w:r>
      <w:r w:rsidR="004544B4" w:rsidRPr="004544B4">
        <w:rPr>
          <w:spacing w:val="0"/>
          <w:lang w:val="es-DO"/>
        </w:rPr>
        <w:t xml:space="preserve">III. </w:t>
      </w:r>
      <w:r w:rsidR="00654164" w:rsidRPr="004544B4">
        <w:rPr>
          <w:spacing w:val="0"/>
          <w:lang w:val="es-DO"/>
        </w:rPr>
        <w:t>RESULTADOS MISIONALES</w:t>
      </w:r>
      <w:bookmarkEnd w:id="22"/>
    </w:p>
    <w:p w14:paraId="38838488" w14:textId="5DE5778A" w:rsidR="00654164" w:rsidRPr="006C48BC" w:rsidRDefault="006C48BC" w:rsidP="006C48BC">
      <w:pPr>
        <w:rPr>
          <w:rFonts w:cstheme="minorBidi"/>
          <w:lang w:val="es-ES"/>
        </w:rPr>
      </w:pPr>
      <w:r>
        <w:rPr>
          <w:rFonts w:cstheme="minorBidi"/>
          <w:lang w:val="es-ES"/>
        </w:rPr>
        <w:t xml:space="preserve">                                  </w:t>
      </w:r>
      <w:r w:rsidR="004B301B" w:rsidRPr="006C48BC">
        <w:rPr>
          <w:rFonts w:cstheme="minorBidi"/>
          <w:lang w:val="es-ES"/>
        </w:rPr>
        <w:t xml:space="preserve"> </w:t>
      </w:r>
      <w:r w:rsidR="00654164" w:rsidRPr="006C48BC">
        <w:rPr>
          <w:rFonts w:cstheme="minorBidi"/>
          <w:lang w:val="es-ES"/>
        </w:rPr>
        <w:t xml:space="preserve">Memoria </w:t>
      </w:r>
      <w:r w:rsidR="00D837AC" w:rsidRPr="006C48BC">
        <w:rPr>
          <w:rFonts w:cstheme="minorBidi"/>
          <w:lang w:val="es-ES"/>
        </w:rPr>
        <w:t>I</w:t>
      </w:r>
      <w:r w:rsidR="00654164" w:rsidRPr="006C48BC">
        <w:rPr>
          <w:rFonts w:cstheme="minorBidi"/>
          <w:lang w:val="es-ES"/>
        </w:rPr>
        <w:t xml:space="preserve">nstitucional </w:t>
      </w:r>
      <w:r w:rsidR="000025D4" w:rsidRPr="006C48BC">
        <w:rPr>
          <w:rFonts w:cstheme="minorBidi"/>
          <w:lang w:val="es-ES"/>
        </w:rPr>
        <w:t>2024</w:t>
      </w:r>
    </w:p>
    <w:p w14:paraId="18898F5F" w14:textId="4D004BA5" w:rsidR="003A6D2F" w:rsidRPr="005F472D" w:rsidRDefault="00384973" w:rsidP="00802E42">
      <w:pPr>
        <w:pStyle w:val="Heading1"/>
        <w:spacing w:after="240" w:line="259" w:lineRule="auto"/>
        <w:jc w:val="both"/>
        <w:rPr>
          <w:spacing w:val="0"/>
          <w:lang w:val="es-DO"/>
        </w:rPr>
      </w:pPr>
      <w:bookmarkStart w:id="23" w:name="_Toc185245095"/>
      <w:r w:rsidRPr="005F472D">
        <w:rPr>
          <w:spacing w:val="0"/>
          <w:lang w:val="es-DO"/>
        </w:rPr>
        <w:t xml:space="preserve">3.1 </w:t>
      </w:r>
      <w:r w:rsidR="003A6D2F" w:rsidRPr="005F472D">
        <w:rPr>
          <w:spacing w:val="0"/>
          <w:lang w:val="es-DO"/>
        </w:rPr>
        <w:t>Información Cuantitativa, Cualitativa e Indicadores de los Procesos Misionales</w:t>
      </w:r>
      <w:bookmarkEnd w:id="23"/>
    </w:p>
    <w:p w14:paraId="5C964468" w14:textId="77777777" w:rsidR="00005258" w:rsidRDefault="00005258" w:rsidP="00005258">
      <w:pPr>
        <w:spacing w:line="360" w:lineRule="auto"/>
        <w:jc w:val="both"/>
        <w:rPr>
          <w:rFonts w:eastAsia="Calibri"/>
          <w:noProof/>
          <w:lang w:val="es-DO"/>
        </w:rPr>
      </w:pPr>
      <w:r>
        <w:rPr>
          <w:rFonts w:eastAsia="Calibri"/>
          <w:noProof/>
          <w:lang w:val="es-DO"/>
        </w:rPr>
        <w:t xml:space="preserve">La </w:t>
      </w:r>
      <w:r w:rsidRPr="00937522">
        <w:rPr>
          <w:rFonts w:eastAsia="Calibri"/>
          <w:noProof/>
          <w:lang w:val="es-DO"/>
        </w:rPr>
        <w:t>Tesorería de la Seguridad Social</w:t>
      </w:r>
      <w:r>
        <w:rPr>
          <w:rFonts w:eastAsia="Calibri"/>
          <w:noProof/>
          <w:lang w:val="es-DO"/>
        </w:rPr>
        <w:t xml:space="preserve"> es</w:t>
      </w:r>
      <w:r w:rsidRPr="00937522">
        <w:rPr>
          <w:rFonts w:eastAsia="Calibri"/>
          <w:noProof/>
          <w:lang w:val="es-DO"/>
        </w:rPr>
        <w:t xml:space="preserve"> responsable de la recaudación, distribución y pago de los recursos financieros del Sistema Dominicano de la Seguridad Social (SDSS) y del Control Presupuestario de</w:t>
      </w:r>
      <w:r>
        <w:rPr>
          <w:rFonts w:eastAsia="Calibri"/>
          <w:noProof/>
          <w:lang w:val="es-DO"/>
        </w:rPr>
        <w:t xml:space="preserve"> los fondos que recibe la Tesoreria de la  Seguridad Social para el manejo de sus operaciones.</w:t>
      </w:r>
    </w:p>
    <w:p w14:paraId="0BCB1F47" w14:textId="77777777" w:rsidR="00005258" w:rsidRDefault="00005258" w:rsidP="00005258">
      <w:pPr>
        <w:spacing w:line="360" w:lineRule="auto"/>
        <w:jc w:val="both"/>
        <w:rPr>
          <w:rFonts w:eastAsia="Calibri"/>
          <w:noProof/>
          <w:lang w:val="es-DO"/>
        </w:rPr>
      </w:pPr>
      <w:r w:rsidRPr="00135AEF">
        <w:rPr>
          <w:rFonts w:eastAsia="Calibri"/>
          <w:noProof/>
          <w:lang w:val="es-DO"/>
        </w:rPr>
        <w:t>La recaudación es el proceso mediante el cual se reciben las cotizaciones y contribuciones de los trabajadores y empleadores a través de la Red Financiera Nacional por cuenta de la Tesorería de la Seguridad Social.</w:t>
      </w:r>
    </w:p>
    <w:p w14:paraId="0A7BA3F0" w14:textId="77777777" w:rsidR="00005258" w:rsidRDefault="00005258" w:rsidP="00005258">
      <w:pPr>
        <w:spacing w:before="240" w:after="240" w:line="360" w:lineRule="auto"/>
        <w:jc w:val="both"/>
        <w:rPr>
          <w:rFonts w:eastAsia="Calibri"/>
          <w:noProof/>
          <w:lang w:val="es-ES"/>
        </w:rPr>
      </w:pPr>
      <w:r w:rsidRPr="00C424A9">
        <w:rPr>
          <w:rFonts w:eastAsia="Calibri"/>
          <w:noProof/>
          <w:lang w:val="es-ES"/>
        </w:rPr>
        <w:t>Red Financiera Nacional es el conjunto de entidades de intermediación financiera autorizadas por la Junta Monetaria y supervisadas por la Superintendencia de Bancos, certificadas por la Tesorería de la Seguridad Social y la EPBD, a participar en el proceso de recaudación del Sistema.</w:t>
      </w:r>
    </w:p>
    <w:p w14:paraId="444CEA0E" w14:textId="77777777" w:rsidR="00005258" w:rsidRPr="001822B3" w:rsidRDefault="00005258" w:rsidP="001822B3">
      <w:pPr>
        <w:spacing w:line="360" w:lineRule="auto"/>
        <w:jc w:val="both"/>
        <w:rPr>
          <w:rFonts w:eastAsia="Calibri"/>
          <w:noProof/>
          <w:lang w:val="es-DO"/>
        </w:rPr>
      </w:pPr>
      <w:r w:rsidRPr="001822B3">
        <w:rPr>
          <w:rFonts w:eastAsia="Calibri"/>
          <w:noProof/>
          <w:lang w:val="es-DO"/>
        </w:rPr>
        <w:t>Liquidación es el proceso mediante el cual la TSS a través del Sistema de Liquidación Bruta en Tiempo Real (LBTR) autoriza al Banco Liquidador a realizar el crédito de los montos recaudados, correspondientes a cada entidad intermediaria en sus respectivas cuentas bancarias, de acuerdo con el resultado de los procesos de asignación e individualización.</w:t>
      </w:r>
    </w:p>
    <w:p w14:paraId="2770911B" w14:textId="523D9B0F" w:rsidR="00005258" w:rsidRDefault="00005258" w:rsidP="00005258">
      <w:pPr>
        <w:spacing w:line="360" w:lineRule="auto"/>
        <w:jc w:val="both"/>
        <w:rPr>
          <w:rFonts w:eastAsia="Calibri"/>
          <w:noProof/>
          <w:lang w:val="es-DO"/>
        </w:rPr>
      </w:pPr>
      <w:r w:rsidRPr="00135AEF">
        <w:rPr>
          <w:rFonts w:eastAsia="Calibri"/>
          <w:noProof/>
          <w:lang w:val="es-DO"/>
        </w:rPr>
        <w:t>A continuación, las recaudaciones, pagos, de Régimen Contributivo y devoluciones de aportes del Régimen Contributivo:</w:t>
      </w:r>
    </w:p>
    <w:p w14:paraId="1A1FDC80" w14:textId="77777777" w:rsidR="00701C3A" w:rsidRDefault="00701C3A" w:rsidP="00A443C2">
      <w:pPr>
        <w:spacing w:after="0" w:line="240" w:lineRule="auto"/>
        <w:jc w:val="center"/>
        <w:rPr>
          <w:rFonts w:eastAsia="Times New Roman"/>
          <w:b/>
          <w:bCs/>
          <w:color w:val="FFFFFF"/>
          <w:spacing w:val="0"/>
          <w:sz w:val="20"/>
          <w:szCs w:val="20"/>
          <w:lang w:val="es-DO"/>
        </w:rPr>
        <w:sectPr w:rsidR="00701C3A" w:rsidSect="0024725E">
          <w:pgSz w:w="12240" w:h="15840"/>
          <w:pgMar w:top="1440" w:right="2160" w:bottom="1440" w:left="2160" w:header="720" w:footer="720" w:gutter="0"/>
          <w:cols w:space="720"/>
          <w:docGrid w:linePitch="360"/>
        </w:sectPr>
      </w:pPr>
    </w:p>
    <w:tbl>
      <w:tblPr>
        <w:tblW w:w="7830" w:type="dxa"/>
        <w:jc w:val="center"/>
        <w:tblLook w:val="04A0" w:firstRow="1" w:lastRow="0" w:firstColumn="1" w:lastColumn="0" w:noHBand="0" w:noVBand="1"/>
      </w:tblPr>
      <w:tblGrid>
        <w:gridCol w:w="1484"/>
        <w:gridCol w:w="1849"/>
        <w:gridCol w:w="1849"/>
        <w:gridCol w:w="1748"/>
        <w:gridCol w:w="900"/>
      </w:tblGrid>
      <w:tr w:rsidR="006476DF" w:rsidRPr="00A443C2" w14:paraId="57374C9C" w14:textId="77777777" w:rsidTr="00701C3A">
        <w:trPr>
          <w:trHeight w:val="543"/>
          <w:tblHeader/>
          <w:jc w:val="center"/>
        </w:trPr>
        <w:tc>
          <w:tcPr>
            <w:tcW w:w="1435" w:type="dxa"/>
            <w:tcBorders>
              <w:top w:val="single" w:sz="8" w:space="0" w:color="auto"/>
              <w:left w:val="single" w:sz="8" w:space="0" w:color="auto"/>
              <w:bottom w:val="nil"/>
              <w:right w:val="single" w:sz="8" w:space="0" w:color="auto"/>
            </w:tcBorders>
            <w:shd w:val="clear" w:color="000000" w:fill="1F3864"/>
            <w:vAlign w:val="center"/>
            <w:hideMark/>
          </w:tcPr>
          <w:p w14:paraId="411AC44B" w14:textId="77777777" w:rsidR="00A443C2" w:rsidRPr="00A443C2" w:rsidRDefault="00A443C2" w:rsidP="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lastRenderedPageBreak/>
              <w:t>Recaudaciones</w:t>
            </w:r>
          </w:p>
        </w:tc>
        <w:tc>
          <w:tcPr>
            <w:tcW w:w="1859" w:type="dxa"/>
            <w:tcBorders>
              <w:top w:val="single" w:sz="8" w:space="0" w:color="auto"/>
              <w:left w:val="nil"/>
              <w:bottom w:val="nil"/>
              <w:right w:val="single" w:sz="8" w:space="0" w:color="auto"/>
            </w:tcBorders>
            <w:shd w:val="clear" w:color="000000" w:fill="1F3864"/>
            <w:vAlign w:val="center"/>
            <w:hideMark/>
          </w:tcPr>
          <w:p w14:paraId="3AE941B8" w14:textId="77777777" w:rsidR="00A443C2" w:rsidRPr="00A443C2" w:rsidRDefault="00A443C2" w:rsidP="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2024</w:t>
            </w:r>
          </w:p>
        </w:tc>
        <w:tc>
          <w:tcPr>
            <w:tcW w:w="1859" w:type="dxa"/>
            <w:tcBorders>
              <w:top w:val="single" w:sz="8" w:space="0" w:color="auto"/>
              <w:left w:val="nil"/>
              <w:bottom w:val="nil"/>
              <w:right w:val="single" w:sz="8" w:space="0" w:color="auto"/>
            </w:tcBorders>
            <w:shd w:val="clear" w:color="000000" w:fill="1F3864"/>
            <w:vAlign w:val="center"/>
            <w:hideMark/>
          </w:tcPr>
          <w:p w14:paraId="218B0CD5" w14:textId="77777777" w:rsidR="00A443C2" w:rsidRPr="00A443C2" w:rsidRDefault="00A443C2" w:rsidP="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2023</w:t>
            </w:r>
          </w:p>
        </w:tc>
        <w:tc>
          <w:tcPr>
            <w:tcW w:w="1757" w:type="dxa"/>
            <w:tcBorders>
              <w:top w:val="single" w:sz="8" w:space="0" w:color="auto"/>
              <w:left w:val="nil"/>
              <w:bottom w:val="nil"/>
              <w:right w:val="single" w:sz="8" w:space="0" w:color="auto"/>
            </w:tcBorders>
            <w:shd w:val="clear" w:color="000000" w:fill="1F3864"/>
            <w:vAlign w:val="center"/>
            <w:hideMark/>
          </w:tcPr>
          <w:p w14:paraId="6E780AD0" w14:textId="77777777" w:rsidR="00A443C2" w:rsidRPr="00A443C2" w:rsidRDefault="00A443C2" w:rsidP="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Variación</w:t>
            </w:r>
          </w:p>
        </w:tc>
        <w:tc>
          <w:tcPr>
            <w:tcW w:w="920" w:type="dxa"/>
            <w:tcBorders>
              <w:top w:val="single" w:sz="8" w:space="0" w:color="auto"/>
              <w:left w:val="nil"/>
              <w:bottom w:val="nil"/>
              <w:right w:val="single" w:sz="8" w:space="0" w:color="auto"/>
            </w:tcBorders>
            <w:shd w:val="clear" w:color="000000" w:fill="1F3864"/>
            <w:vAlign w:val="center"/>
            <w:hideMark/>
          </w:tcPr>
          <w:p w14:paraId="0E43B9B0" w14:textId="77777777" w:rsidR="00A443C2" w:rsidRPr="00A443C2" w:rsidRDefault="00A443C2" w:rsidP="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w:t>
            </w:r>
          </w:p>
        </w:tc>
      </w:tr>
      <w:tr w:rsidR="006476DF" w:rsidRPr="00A443C2" w14:paraId="21F79374" w14:textId="77777777" w:rsidTr="00701C3A">
        <w:trPr>
          <w:trHeight w:val="543"/>
          <w:jc w:val="center"/>
        </w:trPr>
        <w:tc>
          <w:tcPr>
            <w:tcW w:w="14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F82D4EF" w14:textId="6A4C39F2" w:rsidR="00A443C2" w:rsidRPr="00A443C2" w:rsidRDefault="00A443C2" w:rsidP="00A443C2">
            <w:pPr>
              <w:spacing w:after="0" w:line="240" w:lineRule="auto"/>
              <w:jc w:val="center"/>
              <w:rPr>
                <w:rFonts w:eastAsia="Times New Roman"/>
                <w:spacing w:val="0"/>
                <w:sz w:val="20"/>
                <w:szCs w:val="20"/>
              </w:rPr>
            </w:pPr>
            <w:r w:rsidRPr="00A443C2">
              <w:rPr>
                <w:rFonts w:eastAsia="Calibri"/>
                <w:noProof/>
                <w:spacing w:val="0"/>
                <w:sz w:val="20"/>
                <w:szCs w:val="20"/>
                <w:lang w:val="es-DO"/>
              </w:rPr>
              <w:t xml:space="preserve">Enero - </w:t>
            </w:r>
            <w:r w:rsidR="004346A7">
              <w:rPr>
                <w:rFonts w:eastAsia="Calibri"/>
                <w:noProof/>
                <w:spacing w:val="0"/>
                <w:sz w:val="20"/>
                <w:szCs w:val="20"/>
                <w:lang w:val="es-DO"/>
              </w:rPr>
              <w:t>Diciembre</w:t>
            </w:r>
          </w:p>
        </w:tc>
        <w:tc>
          <w:tcPr>
            <w:tcW w:w="1859" w:type="dxa"/>
            <w:tcBorders>
              <w:top w:val="single" w:sz="8" w:space="0" w:color="auto"/>
              <w:left w:val="nil"/>
              <w:bottom w:val="single" w:sz="8" w:space="0" w:color="auto"/>
              <w:right w:val="single" w:sz="8" w:space="0" w:color="auto"/>
            </w:tcBorders>
            <w:shd w:val="clear" w:color="auto" w:fill="auto"/>
            <w:vAlign w:val="center"/>
            <w:hideMark/>
          </w:tcPr>
          <w:p w14:paraId="592FD3FA" w14:textId="0F836E08" w:rsidR="00A443C2" w:rsidRPr="00A443C2" w:rsidRDefault="00594DB0" w:rsidP="00A443C2">
            <w:pPr>
              <w:spacing w:after="0" w:line="240" w:lineRule="auto"/>
              <w:jc w:val="right"/>
              <w:rPr>
                <w:rFonts w:eastAsia="Times New Roman"/>
                <w:spacing w:val="0"/>
                <w:sz w:val="20"/>
                <w:szCs w:val="20"/>
              </w:rPr>
            </w:pPr>
            <w:r>
              <w:rPr>
                <w:rFonts w:eastAsia="Times New Roman"/>
                <w:spacing w:val="0"/>
                <w:sz w:val="20"/>
                <w:szCs w:val="20"/>
              </w:rPr>
              <w:t>211,835,556,445.14</w:t>
            </w:r>
          </w:p>
        </w:tc>
        <w:tc>
          <w:tcPr>
            <w:tcW w:w="1859" w:type="dxa"/>
            <w:tcBorders>
              <w:top w:val="single" w:sz="8" w:space="0" w:color="auto"/>
              <w:left w:val="nil"/>
              <w:bottom w:val="single" w:sz="8" w:space="0" w:color="auto"/>
              <w:right w:val="single" w:sz="8" w:space="0" w:color="auto"/>
            </w:tcBorders>
            <w:shd w:val="clear" w:color="auto" w:fill="auto"/>
            <w:vAlign w:val="center"/>
            <w:hideMark/>
          </w:tcPr>
          <w:p w14:paraId="1AE4011A" w14:textId="3AC28925" w:rsidR="00A443C2" w:rsidRPr="00A443C2" w:rsidRDefault="006476DF" w:rsidP="00A443C2">
            <w:pPr>
              <w:spacing w:after="0" w:line="240" w:lineRule="auto"/>
              <w:jc w:val="right"/>
              <w:rPr>
                <w:rFonts w:eastAsia="Times New Roman"/>
                <w:spacing w:val="0"/>
                <w:sz w:val="20"/>
                <w:szCs w:val="20"/>
              </w:rPr>
            </w:pPr>
            <w:r>
              <w:rPr>
                <w:rFonts w:eastAsia="Times New Roman"/>
                <w:spacing w:val="0"/>
                <w:sz w:val="20"/>
                <w:szCs w:val="20"/>
              </w:rPr>
              <w:t>189,477,241,900.84</w:t>
            </w:r>
          </w:p>
        </w:tc>
        <w:tc>
          <w:tcPr>
            <w:tcW w:w="1757" w:type="dxa"/>
            <w:tcBorders>
              <w:top w:val="single" w:sz="8" w:space="0" w:color="auto"/>
              <w:left w:val="nil"/>
              <w:bottom w:val="single" w:sz="8" w:space="0" w:color="auto"/>
              <w:right w:val="single" w:sz="8" w:space="0" w:color="auto"/>
            </w:tcBorders>
            <w:shd w:val="clear" w:color="auto" w:fill="auto"/>
            <w:vAlign w:val="center"/>
            <w:hideMark/>
          </w:tcPr>
          <w:p w14:paraId="380B0FC6" w14:textId="0DE7EE58" w:rsidR="00A443C2" w:rsidRPr="00A443C2" w:rsidRDefault="006476DF" w:rsidP="00A443C2">
            <w:pPr>
              <w:spacing w:after="0" w:line="240" w:lineRule="auto"/>
              <w:jc w:val="right"/>
              <w:rPr>
                <w:rFonts w:eastAsia="Times New Roman"/>
                <w:spacing w:val="0"/>
                <w:sz w:val="20"/>
                <w:szCs w:val="20"/>
              </w:rPr>
            </w:pPr>
            <w:r>
              <w:rPr>
                <w:rFonts w:eastAsia="Times New Roman"/>
                <w:spacing w:val="0"/>
                <w:sz w:val="20"/>
                <w:szCs w:val="20"/>
              </w:rPr>
              <w:t>23,116,223,511.90</w:t>
            </w:r>
          </w:p>
        </w:tc>
        <w:tc>
          <w:tcPr>
            <w:tcW w:w="920" w:type="dxa"/>
            <w:tcBorders>
              <w:top w:val="single" w:sz="8" w:space="0" w:color="auto"/>
              <w:left w:val="nil"/>
              <w:bottom w:val="single" w:sz="8" w:space="0" w:color="auto"/>
              <w:right w:val="single" w:sz="8" w:space="0" w:color="auto"/>
            </w:tcBorders>
            <w:shd w:val="clear" w:color="auto" w:fill="auto"/>
            <w:vAlign w:val="center"/>
            <w:hideMark/>
          </w:tcPr>
          <w:p w14:paraId="1B68E3CB" w14:textId="66864DE5" w:rsidR="00A443C2" w:rsidRPr="00A443C2" w:rsidRDefault="006476DF" w:rsidP="00A443C2">
            <w:pPr>
              <w:spacing w:after="0" w:line="240" w:lineRule="auto"/>
              <w:jc w:val="center"/>
              <w:rPr>
                <w:rFonts w:eastAsia="Times New Roman"/>
                <w:spacing w:val="0"/>
                <w:sz w:val="20"/>
                <w:szCs w:val="20"/>
              </w:rPr>
            </w:pPr>
            <w:r>
              <w:rPr>
                <w:rFonts w:eastAsia="Calibri"/>
                <w:noProof/>
                <w:spacing w:val="0"/>
                <w:sz w:val="20"/>
                <w:szCs w:val="20"/>
                <w:lang w:val="es-DO"/>
              </w:rPr>
              <w:t>12.20</w:t>
            </w:r>
            <w:r w:rsidR="00A443C2" w:rsidRPr="00A443C2">
              <w:rPr>
                <w:rFonts w:eastAsia="Calibri"/>
                <w:noProof/>
                <w:spacing w:val="0"/>
                <w:sz w:val="20"/>
                <w:szCs w:val="20"/>
                <w:lang w:val="es-DO"/>
              </w:rPr>
              <w:t>%</w:t>
            </w:r>
          </w:p>
        </w:tc>
      </w:tr>
    </w:tbl>
    <w:p w14:paraId="23002465" w14:textId="5E73F2A1" w:rsidR="00A443C2" w:rsidRDefault="00A443C2" w:rsidP="00A443C2">
      <w:pPr>
        <w:spacing w:line="360" w:lineRule="auto"/>
        <w:jc w:val="both"/>
        <w:rPr>
          <w:rFonts w:eastAsia="Calibri"/>
          <w:noProof/>
          <w:sz w:val="18"/>
          <w:szCs w:val="18"/>
          <w:lang w:val="es-ES"/>
        </w:rPr>
      </w:pPr>
      <w:r w:rsidRPr="006A3FDE">
        <w:rPr>
          <w:rFonts w:eastAsia="Calibri"/>
          <w:b/>
          <w:bCs/>
          <w:noProof/>
          <w:sz w:val="18"/>
          <w:szCs w:val="18"/>
          <w:lang w:val="es-ES"/>
        </w:rPr>
        <w:t xml:space="preserve">Tabla 1: </w:t>
      </w:r>
      <w:r w:rsidRPr="006A3FDE">
        <w:rPr>
          <w:rFonts w:eastAsia="Calibri"/>
          <w:noProof/>
          <w:sz w:val="18"/>
          <w:szCs w:val="18"/>
          <w:lang w:val="es-ES"/>
        </w:rPr>
        <w:t>Recaudaciones del Régimen Contributivo enero-</w:t>
      </w:r>
      <w:r w:rsidR="00C50277">
        <w:rPr>
          <w:rFonts w:eastAsia="Calibri"/>
          <w:noProof/>
          <w:sz w:val="18"/>
          <w:szCs w:val="18"/>
          <w:lang w:val="es-ES"/>
        </w:rPr>
        <w:t>dic</w:t>
      </w:r>
      <w:r w:rsidRPr="006A3FDE">
        <w:rPr>
          <w:rFonts w:eastAsia="Calibri"/>
          <w:noProof/>
          <w:sz w:val="18"/>
          <w:szCs w:val="18"/>
          <w:lang w:val="es-ES"/>
        </w:rPr>
        <w:t>iembre 2024.</w:t>
      </w:r>
    </w:p>
    <w:p w14:paraId="530CF504" w14:textId="77777777" w:rsidR="00701C3A" w:rsidRDefault="00701C3A" w:rsidP="00701C3A">
      <w:pPr>
        <w:spacing w:after="0" w:line="360" w:lineRule="auto"/>
        <w:jc w:val="both"/>
        <w:rPr>
          <w:rFonts w:eastAsia="Calibri"/>
          <w:noProof/>
          <w:sz w:val="18"/>
          <w:szCs w:val="18"/>
          <w:lang w:val="es-ES"/>
        </w:rPr>
      </w:pPr>
    </w:p>
    <w:tbl>
      <w:tblPr>
        <w:tblW w:w="7820" w:type="dxa"/>
        <w:jc w:val="center"/>
        <w:tblLook w:val="04A0" w:firstRow="1" w:lastRow="0" w:firstColumn="1" w:lastColumn="0" w:noHBand="0" w:noVBand="1"/>
      </w:tblPr>
      <w:tblGrid>
        <w:gridCol w:w="1184"/>
        <w:gridCol w:w="1954"/>
        <w:gridCol w:w="1954"/>
        <w:gridCol w:w="1844"/>
        <w:gridCol w:w="884"/>
      </w:tblGrid>
      <w:tr w:rsidR="00A443C2" w:rsidRPr="009D16CD" w14:paraId="728F00FF" w14:textId="77777777" w:rsidTr="00AF6623">
        <w:trPr>
          <w:trHeight w:val="448"/>
          <w:jc w:val="center"/>
        </w:trPr>
        <w:tc>
          <w:tcPr>
            <w:tcW w:w="1184" w:type="dxa"/>
            <w:tcBorders>
              <w:top w:val="single" w:sz="8" w:space="0" w:color="auto"/>
              <w:left w:val="single" w:sz="8" w:space="0" w:color="auto"/>
              <w:bottom w:val="nil"/>
              <w:right w:val="single" w:sz="8" w:space="0" w:color="auto"/>
            </w:tcBorders>
            <w:shd w:val="clear" w:color="000000" w:fill="1F3864"/>
            <w:vAlign w:val="center"/>
            <w:hideMark/>
          </w:tcPr>
          <w:p w14:paraId="21B81813" w14:textId="77777777" w:rsidR="00A443C2" w:rsidRPr="00A443C2" w:rsidRDefault="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Pagos</w:t>
            </w:r>
          </w:p>
        </w:tc>
        <w:tc>
          <w:tcPr>
            <w:tcW w:w="1954" w:type="dxa"/>
            <w:tcBorders>
              <w:top w:val="single" w:sz="8" w:space="0" w:color="auto"/>
              <w:left w:val="nil"/>
              <w:bottom w:val="nil"/>
              <w:right w:val="single" w:sz="8" w:space="0" w:color="auto"/>
            </w:tcBorders>
            <w:shd w:val="clear" w:color="000000" w:fill="1F3864"/>
            <w:vAlign w:val="center"/>
            <w:hideMark/>
          </w:tcPr>
          <w:p w14:paraId="2E80529E" w14:textId="77777777" w:rsidR="00A443C2" w:rsidRPr="00A443C2" w:rsidRDefault="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2024</w:t>
            </w:r>
          </w:p>
        </w:tc>
        <w:tc>
          <w:tcPr>
            <w:tcW w:w="1954" w:type="dxa"/>
            <w:tcBorders>
              <w:top w:val="single" w:sz="8" w:space="0" w:color="auto"/>
              <w:left w:val="nil"/>
              <w:bottom w:val="nil"/>
              <w:right w:val="single" w:sz="8" w:space="0" w:color="auto"/>
            </w:tcBorders>
            <w:shd w:val="clear" w:color="000000" w:fill="1F3864"/>
            <w:vAlign w:val="center"/>
            <w:hideMark/>
          </w:tcPr>
          <w:p w14:paraId="0BEE3657" w14:textId="77777777" w:rsidR="00A443C2" w:rsidRPr="00A443C2" w:rsidRDefault="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2023</w:t>
            </w:r>
          </w:p>
        </w:tc>
        <w:tc>
          <w:tcPr>
            <w:tcW w:w="1844" w:type="dxa"/>
            <w:tcBorders>
              <w:top w:val="single" w:sz="8" w:space="0" w:color="auto"/>
              <w:left w:val="nil"/>
              <w:bottom w:val="nil"/>
              <w:right w:val="single" w:sz="8" w:space="0" w:color="auto"/>
            </w:tcBorders>
            <w:shd w:val="clear" w:color="000000" w:fill="1F3864"/>
            <w:vAlign w:val="center"/>
            <w:hideMark/>
          </w:tcPr>
          <w:p w14:paraId="4CA77142" w14:textId="77777777" w:rsidR="00A443C2" w:rsidRPr="00A443C2" w:rsidRDefault="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Variación</w:t>
            </w:r>
          </w:p>
        </w:tc>
        <w:tc>
          <w:tcPr>
            <w:tcW w:w="884" w:type="dxa"/>
            <w:tcBorders>
              <w:top w:val="single" w:sz="8" w:space="0" w:color="auto"/>
              <w:left w:val="nil"/>
              <w:bottom w:val="nil"/>
              <w:right w:val="single" w:sz="8" w:space="0" w:color="auto"/>
            </w:tcBorders>
            <w:shd w:val="clear" w:color="000000" w:fill="1F3864"/>
            <w:vAlign w:val="center"/>
            <w:hideMark/>
          </w:tcPr>
          <w:p w14:paraId="4EB0E005" w14:textId="77777777" w:rsidR="00A443C2" w:rsidRPr="00A443C2" w:rsidRDefault="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w:t>
            </w:r>
          </w:p>
        </w:tc>
      </w:tr>
      <w:tr w:rsidR="00A443C2" w:rsidRPr="009D16CD" w14:paraId="3C27C8FE" w14:textId="77777777" w:rsidTr="00AF6623">
        <w:trPr>
          <w:trHeight w:val="415"/>
          <w:jc w:val="center"/>
        </w:trPr>
        <w:tc>
          <w:tcPr>
            <w:tcW w:w="118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262707" w14:textId="54AF63FF" w:rsidR="00A443C2" w:rsidRPr="00A443C2" w:rsidRDefault="00A443C2">
            <w:pPr>
              <w:spacing w:after="0" w:line="240" w:lineRule="auto"/>
              <w:jc w:val="center"/>
              <w:rPr>
                <w:rFonts w:eastAsia="Times New Roman"/>
                <w:spacing w:val="0"/>
                <w:sz w:val="20"/>
                <w:szCs w:val="20"/>
              </w:rPr>
            </w:pPr>
            <w:r w:rsidRPr="00A443C2">
              <w:rPr>
                <w:rFonts w:eastAsia="Calibri"/>
                <w:noProof/>
                <w:spacing w:val="0"/>
                <w:sz w:val="20"/>
                <w:szCs w:val="20"/>
                <w:lang w:val="es-DO"/>
              </w:rPr>
              <w:t xml:space="preserve">Enero - </w:t>
            </w:r>
            <w:r w:rsidR="004346A7">
              <w:rPr>
                <w:rFonts w:eastAsia="Calibri"/>
                <w:noProof/>
                <w:spacing w:val="0"/>
                <w:sz w:val="20"/>
                <w:szCs w:val="20"/>
                <w:lang w:val="es-DO"/>
              </w:rPr>
              <w:t>Dici</w:t>
            </w:r>
            <w:r w:rsidRPr="00A443C2">
              <w:rPr>
                <w:rFonts w:eastAsia="Calibri"/>
                <w:noProof/>
                <w:spacing w:val="0"/>
                <w:sz w:val="20"/>
                <w:szCs w:val="20"/>
                <w:lang w:val="es-DO"/>
              </w:rPr>
              <w:t>embre</w:t>
            </w:r>
          </w:p>
        </w:tc>
        <w:tc>
          <w:tcPr>
            <w:tcW w:w="1954" w:type="dxa"/>
            <w:tcBorders>
              <w:top w:val="single" w:sz="8" w:space="0" w:color="auto"/>
              <w:left w:val="nil"/>
              <w:bottom w:val="single" w:sz="8" w:space="0" w:color="auto"/>
              <w:right w:val="single" w:sz="8" w:space="0" w:color="auto"/>
            </w:tcBorders>
            <w:shd w:val="clear" w:color="auto" w:fill="auto"/>
            <w:vAlign w:val="center"/>
            <w:hideMark/>
          </w:tcPr>
          <w:p w14:paraId="19B42311" w14:textId="6732A22C" w:rsidR="00A443C2" w:rsidRPr="00A443C2" w:rsidRDefault="006476DF">
            <w:pPr>
              <w:spacing w:after="0" w:line="240" w:lineRule="auto"/>
              <w:jc w:val="right"/>
              <w:rPr>
                <w:rFonts w:eastAsia="Times New Roman"/>
                <w:spacing w:val="0"/>
                <w:sz w:val="20"/>
                <w:szCs w:val="20"/>
              </w:rPr>
            </w:pPr>
            <w:r>
              <w:rPr>
                <w:rFonts w:eastAsia="Times New Roman"/>
                <w:spacing w:val="0"/>
                <w:sz w:val="20"/>
                <w:szCs w:val="20"/>
              </w:rPr>
              <w:t>212,441,989,519.53</w:t>
            </w:r>
          </w:p>
        </w:tc>
        <w:tc>
          <w:tcPr>
            <w:tcW w:w="1954" w:type="dxa"/>
            <w:tcBorders>
              <w:top w:val="single" w:sz="8" w:space="0" w:color="auto"/>
              <w:left w:val="nil"/>
              <w:bottom w:val="single" w:sz="8" w:space="0" w:color="auto"/>
              <w:right w:val="single" w:sz="8" w:space="0" w:color="auto"/>
            </w:tcBorders>
            <w:shd w:val="clear" w:color="auto" w:fill="auto"/>
            <w:vAlign w:val="center"/>
            <w:hideMark/>
          </w:tcPr>
          <w:p w14:paraId="2EB20FD4" w14:textId="73ACE741" w:rsidR="00A443C2" w:rsidRPr="00A443C2" w:rsidRDefault="006476DF">
            <w:pPr>
              <w:spacing w:after="0" w:line="240" w:lineRule="auto"/>
              <w:jc w:val="right"/>
              <w:rPr>
                <w:rFonts w:eastAsia="Times New Roman"/>
                <w:spacing w:val="0"/>
                <w:sz w:val="20"/>
                <w:szCs w:val="20"/>
              </w:rPr>
            </w:pPr>
            <w:r>
              <w:rPr>
                <w:rFonts w:eastAsia="Times New Roman"/>
                <w:spacing w:val="0"/>
                <w:sz w:val="20"/>
                <w:szCs w:val="20"/>
              </w:rPr>
              <w:t>192,173,742,721.62</w:t>
            </w:r>
          </w:p>
        </w:tc>
        <w:tc>
          <w:tcPr>
            <w:tcW w:w="1844" w:type="dxa"/>
            <w:tcBorders>
              <w:top w:val="single" w:sz="8" w:space="0" w:color="auto"/>
              <w:left w:val="nil"/>
              <w:bottom w:val="single" w:sz="8" w:space="0" w:color="auto"/>
              <w:right w:val="single" w:sz="8" w:space="0" w:color="auto"/>
            </w:tcBorders>
            <w:shd w:val="clear" w:color="auto" w:fill="auto"/>
            <w:vAlign w:val="center"/>
            <w:hideMark/>
          </w:tcPr>
          <w:p w14:paraId="00160AE4" w14:textId="3CB5C750" w:rsidR="00A443C2" w:rsidRPr="00A443C2" w:rsidRDefault="006476DF">
            <w:pPr>
              <w:spacing w:after="0" w:line="240" w:lineRule="auto"/>
              <w:jc w:val="right"/>
              <w:rPr>
                <w:rFonts w:eastAsia="Times New Roman"/>
                <w:spacing w:val="0"/>
                <w:sz w:val="20"/>
                <w:szCs w:val="20"/>
              </w:rPr>
            </w:pPr>
            <w:r>
              <w:rPr>
                <w:rFonts w:eastAsia="Calibri"/>
                <w:noProof/>
                <w:spacing w:val="0"/>
                <w:sz w:val="20"/>
                <w:szCs w:val="20"/>
                <w:lang w:val="es-DO"/>
              </w:rPr>
              <w:t>20,268,246,797.91</w:t>
            </w:r>
          </w:p>
        </w:tc>
        <w:tc>
          <w:tcPr>
            <w:tcW w:w="884" w:type="dxa"/>
            <w:tcBorders>
              <w:top w:val="single" w:sz="8" w:space="0" w:color="auto"/>
              <w:left w:val="nil"/>
              <w:bottom w:val="single" w:sz="8" w:space="0" w:color="auto"/>
              <w:right w:val="single" w:sz="8" w:space="0" w:color="auto"/>
            </w:tcBorders>
            <w:shd w:val="clear" w:color="auto" w:fill="auto"/>
            <w:vAlign w:val="center"/>
            <w:hideMark/>
          </w:tcPr>
          <w:p w14:paraId="68AC7C41" w14:textId="3EF65B0D" w:rsidR="00A443C2" w:rsidRPr="00A443C2" w:rsidRDefault="006476DF">
            <w:pPr>
              <w:spacing w:after="0" w:line="240" w:lineRule="auto"/>
              <w:jc w:val="center"/>
              <w:rPr>
                <w:rFonts w:eastAsia="Times New Roman"/>
                <w:spacing w:val="0"/>
                <w:sz w:val="20"/>
                <w:szCs w:val="20"/>
              </w:rPr>
            </w:pPr>
            <w:r>
              <w:rPr>
                <w:rFonts w:eastAsia="Calibri"/>
                <w:noProof/>
                <w:spacing w:val="0"/>
                <w:sz w:val="20"/>
                <w:szCs w:val="20"/>
                <w:lang w:val="es-DO"/>
              </w:rPr>
              <w:t>10.55</w:t>
            </w:r>
            <w:r w:rsidR="00A443C2" w:rsidRPr="00A443C2">
              <w:rPr>
                <w:rFonts w:eastAsia="Calibri"/>
                <w:noProof/>
                <w:spacing w:val="0"/>
                <w:sz w:val="20"/>
                <w:szCs w:val="20"/>
                <w:lang w:val="es-DO"/>
              </w:rPr>
              <w:t>%</w:t>
            </w:r>
          </w:p>
        </w:tc>
      </w:tr>
    </w:tbl>
    <w:p w14:paraId="1D618538" w14:textId="09C79D3E" w:rsidR="00A443C2" w:rsidRDefault="00A443C2" w:rsidP="00A443C2">
      <w:pPr>
        <w:spacing w:line="360" w:lineRule="auto"/>
        <w:jc w:val="both"/>
        <w:rPr>
          <w:rFonts w:eastAsia="Calibri"/>
          <w:noProof/>
          <w:sz w:val="18"/>
          <w:szCs w:val="18"/>
          <w:lang w:val="es-ES"/>
        </w:rPr>
      </w:pPr>
      <w:r>
        <w:rPr>
          <w:rFonts w:eastAsia="Calibri"/>
          <w:b/>
          <w:bCs/>
          <w:noProof/>
          <w:sz w:val="18"/>
          <w:szCs w:val="18"/>
          <w:lang w:val="es-ES"/>
        </w:rPr>
        <w:t xml:space="preserve">Tabla 2: </w:t>
      </w:r>
      <w:r>
        <w:rPr>
          <w:rFonts w:eastAsia="Calibri"/>
          <w:noProof/>
          <w:sz w:val="18"/>
          <w:szCs w:val="18"/>
          <w:lang w:val="es-ES"/>
        </w:rPr>
        <w:t>Pagos del Régimen Contributivo enero-</w:t>
      </w:r>
      <w:r w:rsidR="00C50277">
        <w:rPr>
          <w:rFonts w:eastAsia="Calibri"/>
          <w:noProof/>
          <w:sz w:val="18"/>
          <w:szCs w:val="18"/>
          <w:lang w:val="es-ES"/>
        </w:rPr>
        <w:t>dic</w:t>
      </w:r>
      <w:r>
        <w:rPr>
          <w:rFonts w:eastAsia="Calibri"/>
          <w:noProof/>
          <w:sz w:val="18"/>
          <w:szCs w:val="18"/>
          <w:lang w:val="es-ES"/>
        </w:rPr>
        <w:t>iembre 2024.</w:t>
      </w:r>
    </w:p>
    <w:p w14:paraId="018716FD" w14:textId="77777777" w:rsidR="00701C3A" w:rsidRDefault="00701C3A" w:rsidP="00701C3A">
      <w:pPr>
        <w:spacing w:after="0" w:line="360" w:lineRule="auto"/>
        <w:jc w:val="both"/>
        <w:rPr>
          <w:rFonts w:eastAsia="Calibri"/>
          <w:noProof/>
          <w:sz w:val="18"/>
          <w:szCs w:val="18"/>
          <w:lang w:val="es-ES"/>
        </w:rPr>
      </w:pPr>
    </w:p>
    <w:tbl>
      <w:tblPr>
        <w:tblW w:w="7820" w:type="dxa"/>
        <w:jc w:val="center"/>
        <w:tblLook w:val="04A0" w:firstRow="1" w:lastRow="0" w:firstColumn="1" w:lastColumn="0" w:noHBand="0" w:noVBand="1"/>
      </w:tblPr>
      <w:tblGrid>
        <w:gridCol w:w="1334"/>
        <w:gridCol w:w="1816"/>
        <w:gridCol w:w="1931"/>
        <w:gridCol w:w="1816"/>
        <w:gridCol w:w="923"/>
      </w:tblGrid>
      <w:tr w:rsidR="00A443C2" w:rsidRPr="00E15FDD" w14:paraId="5C6F181D" w14:textId="77777777" w:rsidTr="00B07950">
        <w:trPr>
          <w:trHeight w:val="593"/>
          <w:tblHeader/>
          <w:jc w:val="center"/>
        </w:trPr>
        <w:tc>
          <w:tcPr>
            <w:tcW w:w="1334" w:type="dxa"/>
            <w:tcBorders>
              <w:top w:val="single" w:sz="8" w:space="0" w:color="auto"/>
              <w:left w:val="single" w:sz="8" w:space="0" w:color="auto"/>
              <w:bottom w:val="nil"/>
              <w:right w:val="single" w:sz="8" w:space="0" w:color="auto"/>
            </w:tcBorders>
            <w:shd w:val="clear" w:color="000000" w:fill="1F3864"/>
            <w:vAlign w:val="center"/>
            <w:hideMark/>
          </w:tcPr>
          <w:p w14:paraId="7FC19CF5" w14:textId="77777777" w:rsidR="00A443C2" w:rsidRPr="00A443C2" w:rsidRDefault="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Inversiones</w:t>
            </w:r>
          </w:p>
        </w:tc>
        <w:tc>
          <w:tcPr>
            <w:tcW w:w="1816" w:type="dxa"/>
            <w:tcBorders>
              <w:top w:val="single" w:sz="8" w:space="0" w:color="auto"/>
              <w:left w:val="nil"/>
              <w:bottom w:val="nil"/>
              <w:right w:val="single" w:sz="8" w:space="0" w:color="auto"/>
            </w:tcBorders>
            <w:shd w:val="clear" w:color="000000" w:fill="1F3864"/>
            <w:vAlign w:val="center"/>
            <w:hideMark/>
          </w:tcPr>
          <w:p w14:paraId="41AF7065" w14:textId="77777777" w:rsidR="00A443C2" w:rsidRPr="00A443C2" w:rsidRDefault="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2024</w:t>
            </w:r>
          </w:p>
        </w:tc>
        <w:tc>
          <w:tcPr>
            <w:tcW w:w="1931" w:type="dxa"/>
            <w:tcBorders>
              <w:top w:val="single" w:sz="8" w:space="0" w:color="auto"/>
              <w:left w:val="nil"/>
              <w:bottom w:val="nil"/>
              <w:right w:val="single" w:sz="8" w:space="0" w:color="auto"/>
            </w:tcBorders>
            <w:shd w:val="clear" w:color="000000" w:fill="1F3864"/>
            <w:vAlign w:val="center"/>
            <w:hideMark/>
          </w:tcPr>
          <w:p w14:paraId="0277A33E" w14:textId="77777777" w:rsidR="00A443C2" w:rsidRPr="00A443C2" w:rsidRDefault="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2023</w:t>
            </w:r>
          </w:p>
        </w:tc>
        <w:tc>
          <w:tcPr>
            <w:tcW w:w="1816" w:type="dxa"/>
            <w:tcBorders>
              <w:top w:val="single" w:sz="8" w:space="0" w:color="auto"/>
              <w:left w:val="nil"/>
              <w:bottom w:val="nil"/>
              <w:right w:val="single" w:sz="8" w:space="0" w:color="auto"/>
            </w:tcBorders>
            <w:shd w:val="clear" w:color="000000" w:fill="1F3864"/>
            <w:vAlign w:val="center"/>
            <w:hideMark/>
          </w:tcPr>
          <w:p w14:paraId="42BE3F1D" w14:textId="77777777" w:rsidR="00A443C2" w:rsidRPr="00A443C2" w:rsidRDefault="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Variación</w:t>
            </w:r>
          </w:p>
        </w:tc>
        <w:tc>
          <w:tcPr>
            <w:tcW w:w="923" w:type="dxa"/>
            <w:tcBorders>
              <w:top w:val="single" w:sz="8" w:space="0" w:color="auto"/>
              <w:left w:val="nil"/>
              <w:bottom w:val="nil"/>
              <w:right w:val="single" w:sz="8" w:space="0" w:color="auto"/>
            </w:tcBorders>
            <w:shd w:val="clear" w:color="000000" w:fill="1F3864"/>
            <w:vAlign w:val="center"/>
            <w:hideMark/>
          </w:tcPr>
          <w:p w14:paraId="17882138" w14:textId="77777777" w:rsidR="00A443C2" w:rsidRPr="00A443C2" w:rsidRDefault="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w:t>
            </w:r>
          </w:p>
        </w:tc>
      </w:tr>
      <w:tr w:rsidR="00A443C2" w:rsidRPr="009D16CD" w14:paraId="47B42FD9" w14:textId="77777777" w:rsidTr="00B07950">
        <w:trPr>
          <w:trHeight w:val="593"/>
          <w:jc w:val="center"/>
        </w:trPr>
        <w:tc>
          <w:tcPr>
            <w:tcW w:w="13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FD0846" w14:textId="2BF24722" w:rsidR="00A443C2" w:rsidRPr="00A443C2" w:rsidRDefault="00A443C2">
            <w:pPr>
              <w:spacing w:after="0" w:line="240" w:lineRule="auto"/>
              <w:jc w:val="center"/>
              <w:rPr>
                <w:rFonts w:eastAsia="Times New Roman"/>
                <w:spacing w:val="0"/>
                <w:sz w:val="20"/>
                <w:szCs w:val="20"/>
              </w:rPr>
            </w:pPr>
            <w:r w:rsidRPr="00A443C2">
              <w:rPr>
                <w:rFonts w:eastAsia="Calibri"/>
                <w:noProof/>
                <w:spacing w:val="0"/>
                <w:sz w:val="20"/>
                <w:szCs w:val="20"/>
                <w:lang w:val="es-DO"/>
              </w:rPr>
              <w:t xml:space="preserve">Enero – </w:t>
            </w:r>
            <w:r w:rsidR="004346A7">
              <w:rPr>
                <w:rFonts w:eastAsia="Calibri"/>
                <w:noProof/>
                <w:spacing w:val="0"/>
                <w:sz w:val="20"/>
                <w:szCs w:val="20"/>
                <w:lang w:val="es-DO"/>
              </w:rPr>
              <w:t>Dici</w:t>
            </w:r>
            <w:r w:rsidRPr="00A443C2">
              <w:rPr>
                <w:rFonts w:eastAsia="Calibri"/>
                <w:noProof/>
                <w:spacing w:val="0"/>
                <w:sz w:val="20"/>
                <w:szCs w:val="20"/>
                <w:lang w:val="es-DO"/>
              </w:rPr>
              <w:t>embre</w:t>
            </w:r>
          </w:p>
        </w:tc>
        <w:tc>
          <w:tcPr>
            <w:tcW w:w="1816" w:type="dxa"/>
            <w:tcBorders>
              <w:top w:val="single" w:sz="8" w:space="0" w:color="auto"/>
              <w:left w:val="nil"/>
              <w:bottom w:val="single" w:sz="8" w:space="0" w:color="auto"/>
              <w:right w:val="single" w:sz="8" w:space="0" w:color="auto"/>
            </w:tcBorders>
            <w:shd w:val="clear" w:color="auto" w:fill="auto"/>
            <w:vAlign w:val="center"/>
            <w:hideMark/>
          </w:tcPr>
          <w:p w14:paraId="023322F3" w14:textId="21AF02C8" w:rsidR="00A443C2" w:rsidRPr="00A443C2" w:rsidRDefault="004346A7">
            <w:pPr>
              <w:spacing w:after="0" w:line="240" w:lineRule="auto"/>
              <w:jc w:val="right"/>
              <w:rPr>
                <w:rFonts w:eastAsia="Times New Roman"/>
                <w:spacing w:val="0"/>
                <w:sz w:val="20"/>
                <w:szCs w:val="20"/>
                <w:highlight w:val="yellow"/>
              </w:rPr>
            </w:pPr>
            <w:r>
              <w:rPr>
                <w:rFonts w:eastAsia="Times New Roman"/>
                <w:spacing w:val="0"/>
                <w:sz w:val="20"/>
                <w:szCs w:val="20"/>
              </w:rPr>
              <w:t>8,751,407,905.08</w:t>
            </w:r>
          </w:p>
        </w:tc>
        <w:tc>
          <w:tcPr>
            <w:tcW w:w="1931" w:type="dxa"/>
            <w:tcBorders>
              <w:top w:val="single" w:sz="8" w:space="0" w:color="auto"/>
              <w:left w:val="nil"/>
              <w:bottom w:val="single" w:sz="8" w:space="0" w:color="auto"/>
              <w:right w:val="single" w:sz="8" w:space="0" w:color="auto"/>
            </w:tcBorders>
            <w:shd w:val="clear" w:color="auto" w:fill="auto"/>
            <w:vAlign w:val="center"/>
            <w:hideMark/>
          </w:tcPr>
          <w:p w14:paraId="7ED07C9F" w14:textId="161D85C0" w:rsidR="00A443C2" w:rsidRPr="00A443C2" w:rsidRDefault="006476DF">
            <w:pPr>
              <w:spacing w:after="0" w:line="240" w:lineRule="auto"/>
              <w:jc w:val="right"/>
              <w:rPr>
                <w:rFonts w:eastAsia="Times New Roman"/>
                <w:spacing w:val="0"/>
                <w:sz w:val="20"/>
                <w:szCs w:val="20"/>
                <w:highlight w:val="yellow"/>
              </w:rPr>
            </w:pPr>
            <w:r>
              <w:rPr>
                <w:rFonts w:eastAsia="Times New Roman"/>
                <w:spacing w:val="0"/>
                <w:sz w:val="20"/>
                <w:szCs w:val="20"/>
              </w:rPr>
              <w:t>9,690,193,917.02</w:t>
            </w:r>
          </w:p>
        </w:tc>
        <w:tc>
          <w:tcPr>
            <w:tcW w:w="1816" w:type="dxa"/>
            <w:tcBorders>
              <w:top w:val="single" w:sz="8" w:space="0" w:color="auto"/>
              <w:left w:val="nil"/>
              <w:bottom w:val="single" w:sz="8" w:space="0" w:color="auto"/>
              <w:right w:val="single" w:sz="8" w:space="0" w:color="auto"/>
            </w:tcBorders>
            <w:shd w:val="clear" w:color="auto" w:fill="auto"/>
            <w:vAlign w:val="center"/>
            <w:hideMark/>
          </w:tcPr>
          <w:p w14:paraId="1F49D062" w14:textId="398FE3DF" w:rsidR="00A443C2" w:rsidRPr="00A443C2" w:rsidRDefault="00A443C2">
            <w:pPr>
              <w:spacing w:after="0" w:line="240" w:lineRule="auto"/>
              <w:jc w:val="right"/>
              <w:rPr>
                <w:rFonts w:eastAsia="Times New Roman"/>
                <w:spacing w:val="0"/>
                <w:sz w:val="20"/>
                <w:szCs w:val="20"/>
              </w:rPr>
            </w:pPr>
            <w:r w:rsidRPr="00A443C2">
              <w:rPr>
                <w:rFonts w:eastAsia="Times New Roman"/>
                <w:spacing w:val="0"/>
                <w:sz w:val="20"/>
                <w:szCs w:val="20"/>
              </w:rPr>
              <w:t>-</w:t>
            </w:r>
            <w:r w:rsidR="006476DF">
              <w:rPr>
                <w:rFonts w:eastAsia="Times New Roman"/>
                <w:spacing w:val="0"/>
                <w:sz w:val="20"/>
                <w:szCs w:val="20"/>
              </w:rPr>
              <w:t>938,786,011.94</w:t>
            </w:r>
          </w:p>
        </w:tc>
        <w:tc>
          <w:tcPr>
            <w:tcW w:w="923" w:type="dxa"/>
            <w:tcBorders>
              <w:top w:val="single" w:sz="8" w:space="0" w:color="auto"/>
              <w:left w:val="nil"/>
              <w:bottom w:val="single" w:sz="8" w:space="0" w:color="auto"/>
              <w:right w:val="single" w:sz="8" w:space="0" w:color="auto"/>
            </w:tcBorders>
            <w:shd w:val="clear" w:color="auto" w:fill="auto"/>
            <w:vAlign w:val="center"/>
            <w:hideMark/>
          </w:tcPr>
          <w:p w14:paraId="6DCC0A4D" w14:textId="65120FC0" w:rsidR="00A443C2" w:rsidRPr="00A443C2" w:rsidRDefault="00A443C2">
            <w:pPr>
              <w:spacing w:after="0" w:line="240" w:lineRule="auto"/>
              <w:jc w:val="center"/>
              <w:rPr>
                <w:rFonts w:eastAsia="Times New Roman"/>
                <w:spacing w:val="0"/>
                <w:sz w:val="20"/>
                <w:szCs w:val="20"/>
              </w:rPr>
            </w:pPr>
            <w:r w:rsidRPr="00A443C2">
              <w:rPr>
                <w:rFonts w:eastAsia="Times New Roman"/>
                <w:spacing w:val="0"/>
                <w:sz w:val="20"/>
                <w:szCs w:val="20"/>
              </w:rPr>
              <w:t>-</w:t>
            </w:r>
            <w:r w:rsidR="006476DF">
              <w:rPr>
                <w:rFonts w:eastAsia="Times New Roman"/>
                <w:spacing w:val="0"/>
                <w:sz w:val="20"/>
                <w:szCs w:val="20"/>
              </w:rPr>
              <w:t>9.69</w:t>
            </w:r>
            <w:r w:rsidRPr="00A443C2">
              <w:rPr>
                <w:rFonts w:eastAsia="Times New Roman"/>
                <w:spacing w:val="0"/>
                <w:sz w:val="20"/>
                <w:szCs w:val="20"/>
              </w:rPr>
              <w:t>%</w:t>
            </w:r>
          </w:p>
        </w:tc>
      </w:tr>
    </w:tbl>
    <w:p w14:paraId="56DEC4DD" w14:textId="65EBD870" w:rsidR="00701C3A" w:rsidRDefault="00A443C2" w:rsidP="00701C3A">
      <w:pPr>
        <w:spacing w:line="360" w:lineRule="auto"/>
        <w:jc w:val="both"/>
        <w:rPr>
          <w:rFonts w:eastAsia="Calibri"/>
          <w:noProof/>
          <w:sz w:val="18"/>
          <w:szCs w:val="18"/>
          <w:lang w:val="es-ES"/>
        </w:rPr>
      </w:pPr>
      <w:r w:rsidRPr="00963FCF">
        <w:rPr>
          <w:rFonts w:eastAsia="Calibri"/>
          <w:b/>
          <w:bCs/>
          <w:noProof/>
          <w:sz w:val="18"/>
          <w:szCs w:val="18"/>
          <w:lang w:val="es-ES"/>
        </w:rPr>
        <w:t xml:space="preserve">Tabla </w:t>
      </w:r>
      <w:r>
        <w:rPr>
          <w:rFonts w:eastAsia="Calibri"/>
          <w:b/>
          <w:bCs/>
          <w:noProof/>
          <w:sz w:val="18"/>
          <w:szCs w:val="18"/>
          <w:lang w:val="es-ES"/>
        </w:rPr>
        <w:t>3</w:t>
      </w:r>
      <w:r w:rsidRPr="00963FCF">
        <w:rPr>
          <w:rFonts w:eastAsia="Calibri"/>
          <w:b/>
          <w:bCs/>
          <w:noProof/>
          <w:sz w:val="18"/>
          <w:szCs w:val="18"/>
          <w:lang w:val="es-ES"/>
        </w:rPr>
        <w:t xml:space="preserve">: </w:t>
      </w:r>
      <w:r w:rsidRPr="00963FCF">
        <w:rPr>
          <w:rFonts w:eastAsia="Calibri"/>
          <w:noProof/>
          <w:sz w:val="18"/>
          <w:szCs w:val="18"/>
          <w:lang w:val="es-ES"/>
        </w:rPr>
        <w:t>Inversiones del R</w:t>
      </w:r>
      <w:r>
        <w:rPr>
          <w:rFonts w:eastAsia="Calibri"/>
          <w:noProof/>
          <w:sz w:val="18"/>
          <w:szCs w:val="18"/>
          <w:lang w:val="es-ES"/>
        </w:rPr>
        <w:t>é</w:t>
      </w:r>
      <w:r w:rsidRPr="00963FCF">
        <w:rPr>
          <w:rFonts w:eastAsia="Calibri"/>
          <w:noProof/>
          <w:sz w:val="18"/>
          <w:szCs w:val="18"/>
          <w:lang w:val="es-ES"/>
        </w:rPr>
        <w:t xml:space="preserve">gimen </w:t>
      </w:r>
      <w:r>
        <w:rPr>
          <w:rFonts w:eastAsia="Calibri"/>
          <w:noProof/>
          <w:sz w:val="18"/>
          <w:szCs w:val="18"/>
          <w:lang w:val="es-ES"/>
        </w:rPr>
        <w:t>C</w:t>
      </w:r>
      <w:r w:rsidRPr="00963FCF">
        <w:rPr>
          <w:rFonts w:eastAsia="Calibri"/>
          <w:noProof/>
          <w:sz w:val="18"/>
          <w:szCs w:val="18"/>
          <w:lang w:val="es-ES"/>
        </w:rPr>
        <w:t>ontributivo enero-</w:t>
      </w:r>
      <w:r w:rsidR="00C50277">
        <w:rPr>
          <w:rFonts w:eastAsia="Calibri"/>
          <w:noProof/>
          <w:sz w:val="18"/>
          <w:szCs w:val="18"/>
          <w:lang w:val="es-ES"/>
        </w:rPr>
        <w:t>dic</w:t>
      </w:r>
      <w:r>
        <w:rPr>
          <w:rFonts w:eastAsia="Calibri"/>
          <w:noProof/>
          <w:sz w:val="18"/>
          <w:szCs w:val="18"/>
          <w:lang w:val="es-ES"/>
        </w:rPr>
        <w:t>iembre</w:t>
      </w:r>
      <w:r w:rsidRPr="00963FCF">
        <w:rPr>
          <w:rFonts w:eastAsia="Calibri"/>
          <w:noProof/>
          <w:sz w:val="18"/>
          <w:szCs w:val="18"/>
          <w:lang w:val="es-ES"/>
        </w:rPr>
        <w:t xml:space="preserve"> 202</w:t>
      </w:r>
      <w:r>
        <w:rPr>
          <w:rFonts w:eastAsia="Calibri"/>
          <w:noProof/>
          <w:sz w:val="18"/>
          <w:szCs w:val="18"/>
          <w:lang w:val="es-ES"/>
        </w:rPr>
        <w:t>4</w:t>
      </w:r>
    </w:p>
    <w:p w14:paraId="7F28CB73" w14:textId="77777777" w:rsidR="00701C3A" w:rsidRDefault="00701C3A" w:rsidP="00701C3A">
      <w:pPr>
        <w:spacing w:after="0" w:line="360" w:lineRule="auto"/>
        <w:jc w:val="both"/>
        <w:rPr>
          <w:rFonts w:eastAsia="Calibri"/>
          <w:noProof/>
          <w:sz w:val="18"/>
          <w:szCs w:val="18"/>
          <w:lang w:val="es-ES"/>
        </w:rPr>
      </w:pPr>
    </w:p>
    <w:p w14:paraId="1DFEBCF6" w14:textId="3AAEE3BB" w:rsidR="00A443C2" w:rsidRPr="00A443C2" w:rsidRDefault="00A443C2" w:rsidP="00A443C2">
      <w:pPr>
        <w:spacing w:after="0" w:line="360" w:lineRule="auto"/>
        <w:jc w:val="both"/>
        <w:rPr>
          <w:rFonts w:eastAsia="Calibri"/>
          <w:noProof/>
          <w:lang w:val="es-ES"/>
        </w:rPr>
      </w:pPr>
      <w:r w:rsidRPr="00920F82">
        <w:rPr>
          <w:rFonts w:eastAsia="Calibri"/>
          <w:noProof/>
          <w:lang w:val="es-DO"/>
        </w:rPr>
        <w:t>Rendimientos Generados en Inversiones</w:t>
      </w:r>
      <w:r>
        <w:rPr>
          <w:rFonts w:eastAsia="Calibri"/>
          <w:noProof/>
          <w:lang w:val="es-ES"/>
        </w:rPr>
        <w:t>:</w:t>
      </w:r>
    </w:p>
    <w:tbl>
      <w:tblPr>
        <w:tblpPr w:leftFromText="180" w:rightFromText="180" w:vertAnchor="text" w:horzAnchor="margin" w:tblpY="60"/>
        <w:tblW w:w="7910" w:type="dxa"/>
        <w:tblLook w:val="04A0" w:firstRow="1" w:lastRow="0" w:firstColumn="1" w:lastColumn="0" w:noHBand="0" w:noVBand="1"/>
      </w:tblPr>
      <w:tblGrid>
        <w:gridCol w:w="1621"/>
        <w:gridCol w:w="1616"/>
        <w:gridCol w:w="1616"/>
        <w:gridCol w:w="1575"/>
        <w:gridCol w:w="1482"/>
      </w:tblGrid>
      <w:tr w:rsidR="006476DF" w:rsidRPr="009D16CD" w14:paraId="4CB1A830" w14:textId="77777777" w:rsidTr="00701C3A">
        <w:trPr>
          <w:trHeight w:val="643"/>
        </w:trPr>
        <w:tc>
          <w:tcPr>
            <w:tcW w:w="1652" w:type="dxa"/>
            <w:tcBorders>
              <w:top w:val="single" w:sz="8" w:space="0" w:color="auto"/>
              <w:left w:val="single" w:sz="8" w:space="0" w:color="auto"/>
              <w:bottom w:val="nil"/>
              <w:right w:val="single" w:sz="8" w:space="0" w:color="auto"/>
            </w:tcBorders>
            <w:shd w:val="clear" w:color="000000" w:fill="1F3864"/>
            <w:vAlign w:val="center"/>
            <w:hideMark/>
          </w:tcPr>
          <w:p w14:paraId="50A3F319" w14:textId="77777777" w:rsidR="00A443C2" w:rsidRPr="00A443C2" w:rsidRDefault="00A443C2" w:rsidP="004B301B">
            <w:pPr>
              <w:spacing w:after="0" w:line="240" w:lineRule="auto"/>
              <w:jc w:val="center"/>
              <w:rPr>
                <w:rFonts w:eastAsia="Times New Roman"/>
                <w:b/>
                <w:bCs/>
                <w:color w:val="FFFFFF"/>
                <w:spacing w:val="0"/>
                <w:sz w:val="20"/>
                <w:szCs w:val="20"/>
                <w:lang w:val="es-ES"/>
              </w:rPr>
            </w:pPr>
            <w:r w:rsidRPr="00A443C2">
              <w:rPr>
                <w:rFonts w:eastAsia="Times New Roman"/>
                <w:b/>
                <w:bCs/>
                <w:color w:val="FFFFFF"/>
                <w:spacing w:val="0"/>
                <w:sz w:val="20"/>
                <w:szCs w:val="20"/>
                <w:lang w:val="es-DO"/>
              </w:rPr>
              <w:t>Devolución de Aportes a Empleadores y Trabajadores</w:t>
            </w:r>
          </w:p>
        </w:tc>
        <w:tc>
          <w:tcPr>
            <w:tcW w:w="1515" w:type="dxa"/>
            <w:tcBorders>
              <w:top w:val="single" w:sz="8" w:space="0" w:color="auto"/>
              <w:left w:val="nil"/>
              <w:bottom w:val="nil"/>
              <w:right w:val="single" w:sz="8" w:space="0" w:color="auto"/>
            </w:tcBorders>
            <w:shd w:val="clear" w:color="000000" w:fill="1F3864"/>
            <w:vAlign w:val="center"/>
            <w:hideMark/>
          </w:tcPr>
          <w:p w14:paraId="3CB1D5BB" w14:textId="77777777" w:rsidR="00A443C2" w:rsidRPr="00A443C2" w:rsidRDefault="00A443C2" w:rsidP="004B301B">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2024</w:t>
            </w:r>
          </w:p>
        </w:tc>
        <w:tc>
          <w:tcPr>
            <w:tcW w:w="1589" w:type="dxa"/>
            <w:tcBorders>
              <w:top w:val="single" w:sz="8" w:space="0" w:color="auto"/>
              <w:left w:val="nil"/>
              <w:bottom w:val="nil"/>
              <w:right w:val="single" w:sz="8" w:space="0" w:color="auto"/>
            </w:tcBorders>
            <w:shd w:val="clear" w:color="000000" w:fill="1F3864"/>
            <w:vAlign w:val="center"/>
            <w:hideMark/>
          </w:tcPr>
          <w:p w14:paraId="0D6143FF" w14:textId="77777777" w:rsidR="00A443C2" w:rsidRPr="00A443C2" w:rsidRDefault="00A443C2" w:rsidP="004B301B">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2023</w:t>
            </w:r>
          </w:p>
        </w:tc>
        <w:tc>
          <w:tcPr>
            <w:tcW w:w="1589" w:type="dxa"/>
            <w:tcBorders>
              <w:top w:val="single" w:sz="8" w:space="0" w:color="auto"/>
              <w:left w:val="nil"/>
              <w:bottom w:val="nil"/>
              <w:right w:val="single" w:sz="8" w:space="0" w:color="auto"/>
            </w:tcBorders>
            <w:shd w:val="clear" w:color="000000" w:fill="1F3864"/>
            <w:vAlign w:val="center"/>
            <w:hideMark/>
          </w:tcPr>
          <w:p w14:paraId="677A580A" w14:textId="77777777" w:rsidR="00A443C2" w:rsidRPr="00A443C2" w:rsidRDefault="00A443C2" w:rsidP="004B301B">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Variación</w:t>
            </w:r>
          </w:p>
        </w:tc>
        <w:tc>
          <w:tcPr>
            <w:tcW w:w="1565" w:type="dxa"/>
            <w:tcBorders>
              <w:top w:val="single" w:sz="8" w:space="0" w:color="auto"/>
              <w:left w:val="nil"/>
              <w:bottom w:val="nil"/>
              <w:right w:val="single" w:sz="8" w:space="0" w:color="auto"/>
            </w:tcBorders>
            <w:shd w:val="clear" w:color="000000" w:fill="1F3864"/>
            <w:vAlign w:val="center"/>
            <w:hideMark/>
          </w:tcPr>
          <w:p w14:paraId="5B905FA2" w14:textId="77777777" w:rsidR="00A443C2" w:rsidRPr="00A443C2" w:rsidRDefault="00A443C2" w:rsidP="004B301B">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w:t>
            </w:r>
          </w:p>
        </w:tc>
      </w:tr>
      <w:tr w:rsidR="006476DF" w:rsidRPr="009D16CD" w14:paraId="6DFDDDCC" w14:textId="77777777" w:rsidTr="00701C3A">
        <w:trPr>
          <w:trHeight w:val="233"/>
        </w:trPr>
        <w:tc>
          <w:tcPr>
            <w:tcW w:w="165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8E0736" w14:textId="4E851A73" w:rsidR="00A443C2" w:rsidRPr="00A443C2" w:rsidRDefault="00A443C2" w:rsidP="004B301B">
            <w:pPr>
              <w:spacing w:after="0" w:line="240" w:lineRule="auto"/>
              <w:jc w:val="center"/>
              <w:rPr>
                <w:rFonts w:eastAsia="Times New Roman"/>
                <w:spacing w:val="0"/>
                <w:sz w:val="20"/>
                <w:szCs w:val="20"/>
              </w:rPr>
            </w:pPr>
            <w:r w:rsidRPr="00A443C2">
              <w:rPr>
                <w:rFonts w:eastAsia="Calibri"/>
                <w:noProof/>
                <w:spacing w:val="0"/>
                <w:sz w:val="20"/>
                <w:szCs w:val="20"/>
                <w:lang w:val="es-DO"/>
              </w:rPr>
              <w:t xml:space="preserve">Enero - </w:t>
            </w:r>
            <w:r w:rsidR="004346A7">
              <w:rPr>
                <w:rFonts w:eastAsia="Calibri"/>
                <w:noProof/>
                <w:spacing w:val="0"/>
                <w:sz w:val="20"/>
                <w:szCs w:val="20"/>
                <w:lang w:val="es-DO"/>
              </w:rPr>
              <w:t>Dic</w:t>
            </w:r>
            <w:r w:rsidRPr="00A443C2">
              <w:rPr>
                <w:rFonts w:eastAsia="Calibri"/>
                <w:noProof/>
                <w:spacing w:val="0"/>
                <w:sz w:val="20"/>
                <w:szCs w:val="20"/>
                <w:lang w:val="es-DO"/>
              </w:rPr>
              <w:t>iembre</w:t>
            </w:r>
          </w:p>
        </w:tc>
        <w:tc>
          <w:tcPr>
            <w:tcW w:w="1515" w:type="dxa"/>
            <w:tcBorders>
              <w:top w:val="single" w:sz="8" w:space="0" w:color="auto"/>
              <w:left w:val="nil"/>
              <w:bottom w:val="single" w:sz="8" w:space="0" w:color="auto"/>
              <w:right w:val="single" w:sz="8" w:space="0" w:color="auto"/>
            </w:tcBorders>
            <w:shd w:val="clear" w:color="auto" w:fill="auto"/>
            <w:vAlign w:val="center"/>
            <w:hideMark/>
          </w:tcPr>
          <w:p w14:paraId="21B7914A" w14:textId="689139F0" w:rsidR="00A443C2" w:rsidRPr="00A443C2" w:rsidRDefault="006476DF" w:rsidP="004B301B">
            <w:pPr>
              <w:spacing w:after="0" w:line="240" w:lineRule="auto"/>
              <w:jc w:val="right"/>
              <w:rPr>
                <w:rFonts w:eastAsia="Times New Roman"/>
                <w:spacing w:val="0"/>
                <w:sz w:val="20"/>
                <w:szCs w:val="20"/>
              </w:rPr>
            </w:pPr>
            <w:r>
              <w:rPr>
                <w:rFonts w:eastAsia="Calibri"/>
                <w:noProof/>
                <w:spacing w:val="0"/>
                <w:sz w:val="20"/>
                <w:szCs w:val="20"/>
                <w:lang w:val="es-DO"/>
              </w:rPr>
              <w:t>1,181,784,790.93</w:t>
            </w:r>
          </w:p>
        </w:tc>
        <w:tc>
          <w:tcPr>
            <w:tcW w:w="1589" w:type="dxa"/>
            <w:tcBorders>
              <w:top w:val="single" w:sz="8" w:space="0" w:color="auto"/>
              <w:left w:val="nil"/>
              <w:bottom w:val="single" w:sz="8" w:space="0" w:color="auto"/>
              <w:right w:val="single" w:sz="8" w:space="0" w:color="auto"/>
            </w:tcBorders>
            <w:shd w:val="clear" w:color="auto" w:fill="auto"/>
            <w:vAlign w:val="center"/>
            <w:hideMark/>
          </w:tcPr>
          <w:p w14:paraId="1A4D823A" w14:textId="63337A66" w:rsidR="00A443C2" w:rsidRPr="00A443C2" w:rsidRDefault="006476DF" w:rsidP="004B301B">
            <w:pPr>
              <w:spacing w:after="0" w:line="240" w:lineRule="auto"/>
              <w:jc w:val="right"/>
              <w:rPr>
                <w:rFonts w:eastAsia="Times New Roman"/>
                <w:spacing w:val="0"/>
                <w:sz w:val="20"/>
                <w:szCs w:val="20"/>
              </w:rPr>
            </w:pPr>
            <w:r>
              <w:rPr>
                <w:rFonts w:eastAsia="Times New Roman"/>
                <w:spacing w:val="0"/>
                <w:sz w:val="20"/>
                <w:szCs w:val="20"/>
              </w:rPr>
              <w:t>1,377,152,157.48</w:t>
            </w:r>
          </w:p>
        </w:tc>
        <w:tc>
          <w:tcPr>
            <w:tcW w:w="1589" w:type="dxa"/>
            <w:tcBorders>
              <w:top w:val="single" w:sz="8" w:space="0" w:color="auto"/>
              <w:left w:val="nil"/>
              <w:bottom w:val="single" w:sz="8" w:space="0" w:color="auto"/>
              <w:right w:val="single" w:sz="8" w:space="0" w:color="auto"/>
            </w:tcBorders>
            <w:shd w:val="clear" w:color="auto" w:fill="auto"/>
            <w:vAlign w:val="center"/>
            <w:hideMark/>
          </w:tcPr>
          <w:p w14:paraId="2A89A358" w14:textId="7AE28034" w:rsidR="00A443C2" w:rsidRPr="00A443C2" w:rsidRDefault="006476DF" w:rsidP="004B301B">
            <w:pPr>
              <w:spacing w:after="0" w:line="240" w:lineRule="auto"/>
              <w:jc w:val="right"/>
              <w:rPr>
                <w:rFonts w:eastAsia="Times New Roman"/>
                <w:spacing w:val="0"/>
                <w:sz w:val="20"/>
                <w:szCs w:val="20"/>
              </w:rPr>
            </w:pPr>
            <w:r>
              <w:rPr>
                <w:rFonts w:eastAsia="Times New Roman"/>
                <w:spacing w:val="0"/>
                <w:sz w:val="20"/>
                <w:szCs w:val="20"/>
              </w:rPr>
              <w:t>-195,367,366.55</w:t>
            </w:r>
          </w:p>
        </w:tc>
        <w:tc>
          <w:tcPr>
            <w:tcW w:w="1565" w:type="dxa"/>
            <w:tcBorders>
              <w:top w:val="single" w:sz="8" w:space="0" w:color="auto"/>
              <w:left w:val="nil"/>
              <w:bottom w:val="single" w:sz="8" w:space="0" w:color="auto"/>
              <w:right w:val="single" w:sz="8" w:space="0" w:color="auto"/>
            </w:tcBorders>
            <w:shd w:val="clear" w:color="auto" w:fill="auto"/>
            <w:vAlign w:val="center"/>
            <w:hideMark/>
          </w:tcPr>
          <w:p w14:paraId="7D4C2A40" w14:textId="494E2CB2" w:rsidR="00A443C2" w:rsidRPr="00A443C2" w:rsidRDefault="006476DF" w:rsidP="004B301B">
            <w:pPr>
              <w:spacing w:after="0" w:line="240" w:lineRule="auto"/>
              <w:jc w:val="center"/>
              <w:rPr>
                <w:rFonts w:eastAsia="Times New Roman"/>
                <w:spacing w:val="0"/>
                <w:sz w:val="20"/>
                <w:szCs w:val="20"/>
              </w:rPr>
            </w:pPr>
            <w:r>
              <w:rPr>
                <w:rFonts w:eastAsia="Calibri"/>
                <w:noProof/>
                <w:spacing w:val="0"/>
                <w:sz w:val="20"/>
                <w:szCs w:val="20"/>
                <w:lang w:val="es-DO"/>
              </w:rPr>
              <w:t>-14.19</w:t>
            </w:r>
            <w:r w:rsidR="00A443C2" w:rsidRPr="00A443C2">
              <w:rPr>
                <w:rFonts w:eastAsia="Calibri"/>
                <w:noProof/>
                <w:spacing w:val="0"/>
                <w:sz w:val="20"/>
                <w:szCs w:val="20"/>
                <w:lang w:val="es-DO"/>
              </w:rPr>
              <w:t>%</w:t>
            </w:r>
          </w:p>
        </w:tc>
      </w:tr>
    </w:tbl>
    <w:p w14:paraId="15E5740C" w14:textId="2A96F5CB" w:rsidR="00A443C2" w:rsidRDefault="00A443C2" w:rsidP="00A443C2">
      <w:pPr>
        <w:spacing w:line="360" w:lineRule="auto"/>
        <w:jc w:val="both"/>
        <w:rPr>
          <w:rFonts w:eastAsia="Calibri"/>
          <w:noProof/>
          <w:sz w:val="18"/>
          <w:szCs w:val="18"/>
          <w:lang w:val="es-ES"/>
        </w:rPr>
      </w:pPr>
      <w:r w:rsidRPr="00963FCF">
        <w:rPr>
          <w:rFonts w:eastAsia="Calibri"/>
          <w:b/>
          <w:bCs/>
          <w:noProof/>
          <w:sz w:val="18"/>
          <w:szCs w:val="18"/>
          <w:lang w:val="es-ES"/>
        </w:rPr>
        <w:t xml:space="preserve">Tabla </w:t>
      </w:r>
      <w:r>
        <w:rPr>
          <w:rFonts w:eastAsia="Calibri"/>
          <w:b/>
          <w:bCs/>
          <w:noProof/>
          <w:sz w:val="18"/>
          <w:szCs w:val="18"/>
          <w:lang w:val="es-ES"/>
        </w:rPr>
        <w:t>4</w:t>
      </w:r>
      <w:r w:rsidRPr="00963FCF">
        <w:rPr>
          <w:rFonts w:eastAsia="Calibri"/>
          <w:b/>
          <w:bCs/>
          <w:noProof/>
          <w:sz w:val="18"/>
          <w:szCs w:val="18"/>
          <w:lang w:val="es-ES"/>
        </w:rPr>
        <w:t xml:space="preserve">: </w:t>
      </w:r>
      <w:r>
        <w:rPr>
          <w:rFonts w:eastAsia="Calibri"/>
          <w:noProof/>
          <w:sz w:val="18"/>
          <w:szCs w:val="18"/>
          <w:lang w:val="es-ES"/>
        </w:rPr>
        <w:t>Rendimientos generados por I</w:t>
      </w:r>
      <w:r w:rsidRPr="00963FCF">
        <w:rPr>
          <w:rFonts w:eastAsia="Calibri"/>
          <w:noProof/>
          <w:sz w:val="18"/>
          <w:szCs w:val="18"/>
          <w:lang w:val="es-ES"/>
        </w:rPr>
        <w:t>nversiones del R</w:t>
      </w:r>
      <w:r>
        <w:rPr>
          <w:rFonts w:eastAsia="Calibri"/>
          <w:noProof/>
          <w:sz w:val="18"/>
          <w:szCs w:val="18"/>
          <w:lang w:val="es-ES"/>
        </w:rPr>
        <w:t>é</w:t>
      </w:r>
      <w:r w:rsidRPr="00963FCF">
        <w:rPr>
          <w:rFonts w:eastAsia="Calibri"/>
          <w:noProof/>
          <w:sz w:val="18"/>
          <w:szCs w:val="18"/>
          <w:lang w:val="es-ES"/>
        </w:rPr>
        <w:t xml:space="preserve">gimen </w:t>
      </w:r>
      <w:r>
        <w:rPr>
          <w:rFonts w:eastAsia="Calibri"/>
          <w:noProof/>
          <w:sz w:val="18"/>
          <w:szCs w:val="18"/>
          <w:lang w:val="es-ES"/>
        </w:rPr>
        <w:t>C</w:t>
      </w:r>
      <w:r w:rsidRPr="00963FCF">
        <w:rPr>
          <w:rFonts w:eastAsia="Calibri"/>
          <w:noProof/>
          <w:sz w:val="18"/>
          <w:szCs w:val="18"/>
          <w:lang w:val="es-ES"/>
        </w:rPr>
        <w:t>ontributivo enero-</w:t>
      </w:r>
      <w:r w:rsidR="00C50277">
        <w:rPr>
          <w:rFonts w:eastAsia="Calibri"/>
          <w:noProof/>
          <w:sz w:val="18"/>
          <w:szCs w:val="18"/>
          <w:lang w:val="es-ES"/>
        </w:rPr>
        <w:t>dic</w:t>
      </w:r>
      <w:r>
        <w:rPr>
          <w:rFonts w:eastAsia="Calibri"/>
          <w:noProof/>
          <w:sz w:val="18"/>
          <w:szCs w:val="18"/>
          <w:lang w:val="es-ES"/>
        </w:rPr>
        <w:t>iembre</w:t>
      </w:r>
      <w:r w:rsidRPr="00963FCF">
        <w:rPr>
          <w:rFonts w:eastAsia="Calibri"/>
          <w:noProof/>
          <w:sz w:val="18"/>
          <w:szCs w:val="18"/>
          <w:lang w:val="es-ES"/>
        </w:rPr>
        <w:t xml:space="preserve"> 202</w:t>
      </w:r>
      <w:r>
        <w:rPr>
          <w:rFonts w:eastAsia="Calibri"/>
          <w:noProof/>
          <w:sz w:val="18"/>
          <w:szCs w:val="18"/>
          <w:lang w:val="es-ES"/>
        </w:rPr>
        <w:t>4</w:t>
      </w:r>
    </w:p>
    <w:p w14:paraId="35C8F272" w14:textId="77777777" w:rsidR="00701C3A" w:rsidRDefault="00701C3A" w:rsidP="00701C3A">
      <w:pPr>
        <w:spacing w:after="0" w:line="360" w:lineRule="auto"/>
        <w:jc w:val="both"/>
        <w:rPr>
          <w:rFonts w:eastAsia="Calibri"/>
          <w:noProof/>
          <w:sz w:val="18"/>
          <w:szCs w:val="18"/>
          <w:lang w:val="es-ES"/>
        </w:rPr>
      </w:pPr>
    </w:p>
    <w:tbl>
      <w:tblPr>
        <w:tblW w:w="7920" w:type="dxa"/>
        <w:tblInd w:w="-10" w:type="dxa"/>
        <w:tblLook w:val="04A0" w:firstRow="1" w:lastRow="0" w:firstColumn="1" w:lastColumn="0" w:noHBand="0" w:noVBand="1"/>
      </w:tblPr>
      <w:tblGrid>
        <w:gridCol w:w="1651"/>
        <w:gridCol w:w="1515"/>
        <w:gridCol w:w="1587"/>
        <w:gridCol w:w="1587"/>
        <w:gridCol w:w="1580"/>
      </w:tblGrid>
      <w:tr w:rsidR="00A443C2" w:rsidRPr="009D16CD" w14:paraId="20473A02" w14:textId="77777777" w:rsidTr="00701C3A">
        <w:trPr>
          <w:trHeight w:val="957"/>
        </w:trPr>
        <w:tc>
          <w:tcPr>
            <w:tcW w:w="1651" w:type="dxa"/>
            <w:tcBorders>
              <w:top w:val="single" w:sz="8" w:space="0" w:color="auto"/>
              <w:left w:val="single" w:sz="8" w:space="0" w:color="auto"/>
              <w:bottom w:val="nil"/>
              <w:right w:val="single" w:sz="8" w:space="0" w:color="auto"/>
            </w:tcBorders>
            <w:shd w:val="clear" w:color="000000" w:fill="1F3864"/>
            <w:vAlign w:val="center"/>
            <w:hideMark/>
          </w:tcPr>
          <w:p w14:paraId="355ABF65" w14:textId="77777777" w:rsidR="00A443C2" w:rsidRPr="00A443C2" w:rsidRDefault="00A443C2">
            <w:pPr>
              <w:spacing w:after="0" w:line="240" w:lineRule="auto"/>
              <w:jc w:val="center"/>
              <w:rPr>
                <w:rFonts w:eastAsia="Times New Roman"/>
                <w:b/>
                <w:bCs/>
                <w:color w:val="FFFFFF"/>
                <w:spacing w:val="0"/>
                <w:sz w:val="20"/>
                <w:szCs w:val="20"/>
                <w:lang w:val="es-ES"/>
              </w:rPr>
            </w:pPr>
            <w:bookmarkStart w:id="24" w:name="_Hlk184799651"/>
            <w:r w:rsidRPr="00A443C2">
              <w:rPr>
                <w:rFonts w:eastAsia="Times New Roman"/>
                <w:b/>
                <w:bCs/>
                <w:color w:val="FFFFFF"/>
                <w:spacing w:val="0"/>
                <w:sz w:val="20"/>
                <w:szCs w:val="20"/>
                <w:lang w:val="es-DO"/>
              </w:rPr>
              <w:t>Devolución de Aportes a Empleadores y Trabajadores</w:t>
            </w:r>
          </w:p>
        </w:tc>
        <w:tc>
          <w:tcPr>
            <w:tcW w:w="1515" w:type="dxa"/>
            <w:tcBorders>
              <w:top w:val="single" w:sz="8" w:space="0" w:color="auto"/>
              <w:left w:val="nil"/>
              <w:bottom w:val="nil"/>
              <w:right w:val="single" w:sz="8" w:space="0" w:color="auto"/>
            </w:tcBorders>
            <w:shd w:val="clear" w:color="000000" w:fill="1F3864"/>
            <w:vAlign w:val="center"/>
            <w:hideMark/>
          </w:tcPr>
          <w:p w14:paraId="756D57BC" w14:textId="77777777" w:rsidR="00A443C2" w:rsidRPr="00A443C2" w:rsidRDefault="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2024</w:t>
            </w:r>
          </w:p>
        </w:tc>
        <w:tc>
          <w:tcPr>
            <w:tcW w:w="1587" w:type="dxa"/>
            <w:tcBorders>
              <w:top w:val="single" w:sz="8" w:space="0" w:color="auto"/>
              <w:left w:val="nil"/>
              <w:bottom w:val="nil"/>
              <w:right w:val="single" w:sz="8" w:space="0" w:color="auto"/>
            </w:tcBorders>
            <w:shd w:val="clear" w:color="000000" w:fill="1F3864"/>
            <w:vAlign w:val="center"/>
            <w:hideMark/>
          </w:tcPr>
          <w:p w14:paraId="7ECBC386" w14:textId="77777777" w:rsidR="00A443C2" w:rsidRPr="00A443C2" w:rsidRDefault="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2023</w:t>
            </w:r>
          </w:p>
        </w:tc>
        <w:tc>
          <w:tcPr>
            <w:tcW w:w="1587" w:type="dxa"/>
            <w:tcBorders>
              <w:top w:val="single" w:sz="8" w:space="0" w:color="auto"/>
              <w:left w:val="nil"/>
              <w:bottom w:val="nil"/>
              <w:right w:val="single" w:sz="8" w:space="0" w:color="auto"/>
            </w:tcBorders>
            <w:shd w:val="clear" w:color="000000" w:fill="1F3864"/>
            <w:vAlign w:val="center"/>
            <w:hideMark/>
          </w:tcPr>
          <w:p w14:paraId="6A18F22C" w14:textId="77777777" w:rsidR="00A443C2" w:rsidRPr="00A443C2" w:rsidRDefault="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Variación</w:t>
            </w:r>
          </w:p>
        </w:tc>
        <w:tc>
          <w:tcPr>
            <w:tcW w:w="1580" w:type="dxa"/>
            <w:tcBorders>
              <w:top w:val="single" w:sz="8" w:space="0" w:color="auto"/>
              <w:left w:val="nil"/>
              <w:bottom w:val="nil"/>
              <w:right w:val="single" w:sz="8" w:space="0" w:color="auto"/>
            </w:tcBorders>
            <w:shd w:val="clear" w:color="000000" w:fill="1F3864"/>
            <w:vAlign w:val="center"/>
            <w:hideMark/>
          </w:tcPr>
          <w:p w14:paraId="5A0F83FC" w14:textId="77777777" w:rsidR="00A443C2" w:rsidRPr="00A443C2" w:rsidRDefault="00A443C2">
            <w:pPr>
              <w:spacing w:after="0" w:line="240" w:lineRule="auto"/>
              <w:jc w:val="center"/>
              <w:rPr>
                <w:rFonts w:eastAsia="Times New Roman"/>
                <w:b/>
                <w:bCs/>
                <w:color w:val="FFFFFF"/>
                <w:spacing w:val="0"/>
                <w:sz w:val="20"/>
                <w:szCs w:val="20"/>
              </w:rPr>
            </w:pPr>
            <w:r w:rsidRPr="00A443C2">
              <w:rPr>
                <w:rFonts w:eastAsia="Times New Roman"/>
                <w:b/>
                <w:bCs/>
                <w:color w:val="FFFFFF"/>
                <w:spacing w:val="0"/>
                <w:sz w:val="20"/>
                <w:szCs w:val="20"/>
                <w:lang w:val="es-DO"/>
              </w:rPr>
              <w:t>%</w:t>
            </w:r>
          </w:p>
        </w:tc>
      </w:tr>
      <w:tr w:rsidR="00A443C2" w:rsidRPr="009D16CD" w14:paraId="57DAE17F" w14:textId="77777777" w:rsidTr="00701C3A">
        <w:trPr>
          <w:trHeight w:val="349"/>
        </w:trPr>
        <w:tc>
          <w:tcPr>
            <w:tcW w:w="165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8921EF" w14:textId="107EE2B4" w:rsidR="00A443C2" w:rsidRPr="00A443C2" w:rsidRDefault="00A443C2">
            <w:pPr>
              <w:spacing w:after="0" w:line="240" w:lineRule="auto"/>
              <w:jc w:val="center"/>
              <w:rPr>
                <w:rFonts w:eastAsia="Times New Roman"/>
                <w:spacing w:val="0"/>
                <w:sz w:val="20"/>
                <w:szCs w:val="20"/>
              </w:rPr>
            </w:pPr>
            <w:r w:rsidRPr="00A443C2">
              <w:rPr>
                <w:rFonts w:eastAsia="Calibri"/>
                <w:noProof/>
                <w:spacing w:val="0"/>
                <w:sz w:val="20"/>
                <w:szCs w:val="20"/>
                <w:lang w:val="es-DO"/>
              </w:rPr>
              <w:t xml:space="preserve">Enero - </w:t>
            </w:r>
            <w:r w:rsidR="004346A7">
              <w:rPr>
                <w:rFonts w:eastAsia="Calibri"/>
                <w:noProof/>
                <w:spacing w:val="0"/>
                <w:sz w:val="20"/>
                <w:szCs w:val="20"/>
                <w:lang w:val="es-DO"/>
              </w:rPr>
              <w:t>Dic</w:t>
            </w:r>
            <w:r w:rsidRPr="00A443C2">
              <w:rPr>
                <w:rFonts w:eastAsia="Calibri"/>
                <w:noProof/>
                <w:spacing w:val="0"/>
                <w:sz w:val="20"/>
                <w:szCs w:val="20"/>
                <w:lang w:val="es-DO"/>
              </w:rPr>
              <w:t>iembre</w:t>
            </w:r>
          </w:p>
        </w:tc>
        <w:tc>
          <w:tcPr>
            <w:tcW w:w="1515" w:type="dxa"/>
            <w:tcBorders>
              <w:top w:val="single" w:sz="8" w:space="0" w:color="auto"/>
              <w:left w:val="nil"/>
              <w:bottom w:val="single" w:sz="8" w:space="0" w:color="auto"/>
              <w:right w:val="single" w:sz="8" w:space="0" w:color="auto"/>
            </w:tcBorders>
            <w:shd w:val="clear" w:color="auto" w:fill="auto"/>
            <w:vAlign w:val="center"/>
            <w:hideMark/>
          </w:tcPr>
          <w:p w14:paraId="12E7CB68" w14:textId="77777777" w:rsidR="00A443C2" w:rsidRPr="00A443C2" w:rsidRDefault="00A443C2">
            <w:pPr>
              <w:spacing w:after="0" w:line="240" w:lineRule="auto"/>
              <w:jc w:val="right"/>
              <w:rPr>
                <w:rFonts w:eastAsia="Times New Roman"/>
                <w:spacing w:val="0"/>
                <w:sz w:val="20"/>
                <w:szCs w:val="20"/>
              </w:rPr>
            </w:pPr>
            <w:r w:rsidRPr="00A443C2">
              <w:rPr>
                <w:rFonts w:eastAsia="Calibri"/>
                <w:noProof/>
                <w:spacing w:val="0"/>
                <w:sz w:val="20"/>
                <w:szCs w:val="20"/>
                <w:lang w:val="es-DO"/>
              </w:rPr>
              <w:t>211,225,307.10</w:t>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617318BD" w14:textId="77777777" w:rsidR="00A443C2" w:rsidRPr="00A443C2" w:rsidRDefault="00A443C2">
            <w:pPr>
              <w:spacing w:after="0" w:line="240" w:lineRule="auto"/>
              <w:jc w:val="right"/>
              <w:rPr>
                <w:rFonts w:eastAsia="Times New Roman"/>
                <w:spacing w:val="0"/>
                <w:sz w:val="20"/>
                <w:szCs w:val="20"/>
              </w:rPr>
            </w:pPr>
            <w:r w:rsidRPr="00A443C2">
              <w:rPr>
                <w:rFonts w:eastAsia="Calibri"/>
                <w:noProof/>
                <w:spacing w:val="0"/>
                <w:sz w:val="20"/>
                <w:szCs w:val="20"/>
                <w:lang w:val="es-DO"/>
              </w:rPr>
              <w:t>207,353,217.94</w:t>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17890133" w14:textId="77777777" w:rsidR="00A443C2" w:rsidRPr="00A443C2" w:rsidRDefault="00A443C2">
            <w:pPr>
              <w:spacing w:after="0" w:line="240" w:lineRule="auto"/>
              <w:jc w:val="right"/>
              <w:rPr>
                <w:rFonts w:eastAsia="Times New Roman"/>
                <w:spacing w:val="0"/>
                <w:sz w:val="20"/>
                <w:szCs w:val="20"/>
              </w:rPr>
            </w:pPr>
            <w:r w:rsidRPr="00A443C2">
              <w:rPr>
                <w:rFonts w:eastAsia="Calibri"/>
                <w:noProof/>
                <w:spacing w:val="0"/>
                <w:sz w:val="20"/>
                <w:szCs w:val="20"/>
                <w:lang w:val="es-DO"/>
              </w:rPr>
              <w:t>3,872,089.16</w:t>
            </w:r>
          </w:p>
        </w:tc>
        <w:tc>
          <w:tcPr>
            <w:tcW w:w="1580" w:type="dxa"/>
            <w:tcBorders>
              <w:top w:val="single" w:sz="8" w:space="0" w:color="auto"/>
              <w:left w:val="nil"/>
              <w:bottom w:val="single" w:sz="8" w:space="0" w:color="auto"/>
              <w:right w:val="single" w:sz="8" w:space="0" w:color="auto"/>
            </w:tcBorders>
            <w:shd w:val="clear" w:color="auto" w:fill="auto"/>
            <w:vAlign w:val="center"/>
            <w:hideMark/>
          </w:tcPr>
          <w:p w14:paraId="7DFFC2A3" w14:textId="77777777" w:rsidR="00A443C2" w:rsidRPr="00A443C2" w:rsidRDefault="00A443C2">
            <w:pPr>
              <w:spacing w:after="0" w:line="240" w:lineRule="auto"/>
              <w:jc w:val="center"/>
              <w:rPr>
                <w:rFonts w:eastAsia="Times New Roman"/>
                <w:spacing w:val="0"/>
                <w:sz w:val="20"/>
                <w:szCs w:val="20"/>
              </w:rPr>
            </w:pPr>
            <w:r w:rsidRPr="00A443C2">
              <w:rPr>
                <w:rFonts w:eastAsia="Calibri"/>
                <w:noProof/>
                <w:spacing w:val="0"/>
                <w:sz w:val="20"/>
                <w:szCs w:val="20"/>
                <w:lang w:val="es-DO"/>
              </w:rPr>
              <w:t>1.87%</w:t>
            </w:r>
          </w:p>
        </w:tc>
      </w:tr>
    </w:tbl>
    <w:bookmarkEnd w:id="24"/>
    <w:p w14:paraId="63E16FAF" w14:textId="2558B22C" w:rsidR="00041B32" w:rsidRDefault="00041B32" w:rsidP="00041B32">
      <w:pPr>
        <w:spacing w:line="360" w:lineRule="auto"/>
        <w:jc w:val="both"/>
        <w:rPr>
          <w:rFonts w:eastAsia="Calibri"/>
          <w:noProof/>
          <w:sz w:val="18"/>
          <w:szCs w:val="18"/>
          <w:lang w:val="es-ES"/>
        </w:rPr>
      </w:pPr>
      <w:r w:rsidRPr="00963FCF">
        <w:rPr>
          <w:rFonts w:eastAsia="Calibri"/>
          <w:b/>
          <w:bCs/>
          <w:noProof/>
          <w:sz w:val="18"/>
          <w:szCs w:val="18"/>
          <w:lang w:val="es-ES"/>
        </w:rPr>
        <w:t xml:space="preserve">Tabla </w:t>
      </w:r>
      <w:r>
        <w:rPr>
          <w:rFonts w:eastAsia="Calibri"/>
          <w:b/>
          <w:bCs/>
          <w:noProof/>
          <w:sz w:val="18"/>
          <w:szCs w:val="18"/>
          <w:lang w:val="es-ES"/>
        </w:rPr>
        <w:t>5</w:t>
      </w:r>
      <w:r w:rsidRPr="00963FCF">
        <w:rPr>
          <w:rFonts w:eastAsia="Calibri"/>
          <w:b/>
          <w:bCs/>
          <w:noProof/>
          <w:sz w:val="18"/>
          <w:szCs w:val="18"/>
          <w:lang w:val="es-ES"/>
        </w:rPr>
        <w:t xml:space="preserve">: </w:t>
      </w:r>
      <w:r>
        <w:rPr>
          <w:rFonts w:eastAsia="Calibri"/>
          <w:noProof/>
          <w:sz w:val="18"/>
          <w:szCs w:val="18"/>
          <w:lang w:val="es-ES"/>
        </w:rPr>
        <w:t xml:space="preserve">Devolución de aportes a empleadores y trabajadores </w:t>
      </w:r>
      <w:r w:rsidRPr="00963FCF">
        <w:rPr>
          <w:rFonts w:eastAsia="Calibri"/>
          <w:noProof/>
          <w:sz w:val="18"/>
          <w:szCs w:val="18"/>
          <w:lang w:val="es-ES"/>
        </w:rPr>
        <w:t>del R</w:t>
      </w:r>
      <w:r>
        <w:rPr>
          <w:rFonts w:eastAsia="Calibri"/>
          <w:noProof/>
          <w:sz w:val="18"/>
          <w:szCs w:val="18"/>
          <w:lang w:val="es-ES"/>
        </w:rPr>
        <w:t>é</w:t>
      </w:r>
      <w:r w:rsidRPr="00963FCF">
        <w:rPr>
          <w:rFonts w:eastAsia="Calibri"/>
          <w:noProof/>
          <w:sz w:val="18"/>
          <w:szCs w:val="18"/>
          <w:lang w:val="es-ES"/>
        </w:rPr>
        <w:t xml:space="preserve">gimen </w:t>
      </w:r>
      <w:r>
        <w:rPr>
          <w:rFonts w:eastAsia="Calibri"/>
          <w:noProof/>
          <w:sz w:val="18"/>
          <w:szCs w:val="18"/>
          <w:lang w:val="es-ES"/>
        </w:rPr>
        <w:t>C</w:t>
      </w:r>
      <w:r w:rsidRPr="00963FCF">
        <w:rPr>
          <w:rFonts w:eastAsia="Calibri"/>
          <w:noProof/>
          <w:sz w:val="18"/>
          <w:szCs w:val="18"/>
          <w:lang w:val="es-ES"/>
        </w:rPr>
        <w:t>ontributivo enero-</w:t>
      </w:r>
      <w:r w:rsidR="00C50277">
        <w:rPr>
          <w:rFonts w:eastAsia="Calibri"/>
          <w:noProof/>
          <w:sz w:val="18"/>
          <w:szCs w:val="18"/>
          <w:lang w:val="es-ES"/>
        </w:rPr>
        <w:t>dic</w:t>
      </w:r>
      <w:r>
        <w:rPr>
          <w:rFonts w:eastAsia="Calibri"/>
          <w:noProof/>
          <w:sz w:val="18"/>
          <w:szCs w:val="18"/>
          <w:lang w:val="es-ES"/>
        </w:rPr>
        <w:t>iembre</w:t>
      </w:r>
      <w:r w:rsidRPr="00963FCF">
        <w:rPr>
          <w:rFonts w:eastAsia="Calibri"/>
          <w:noProof/>
          <w:sz w:val="18"/>
          <w:szCs w:val="18"/>
          <w:lang w:val="es-ES"/>
        </w:rPr>
        <w:t xml:space="preserve"> 202</w:t>
      </w:r>
      <w:r>
        <w:rPr>
          <w:rFonts w:eastAsia="Calibri"/>
          <w:noProof/>
          <w:sz w:val="18"/>
          <w:szCs w:val="18"/>
          <w:lang w:val="es-ES"/>
        </w:rPr>
        <w:t>4</w:t>
      </w:r>
      <w:r w:rsidRPr="00963FCF">
        <w:rPr>
          <w:rFonts w:eastAsia="Calibri"/>
          <w:noProof/>
          <w:sz w:val="18"/>
          <w:szCs w:val="18"/>
          <w:lang w:val="es-ES"/>
        </w:rPr>
        <w:t>.</w:t>
      </w:r>
    </w:p>
    <w:p w14:paraId="19C831C6" w14:textId="77777777" w:rsidR="00041B32" w:rsidRDefault="00041B32" w:rsidP="00041B32">
      <w:pPr>
        <w:spacing w:line="360" w:lineRule="auto"/>
        <w:jc w:val="both"/>
        <w:rPr>
          <w:rFonts w:eastAsia="Calibri"/>
          <w:noProof/>
          <w:lang w:val="es-DO"/>
        </w:rPr>
      </w:pPr>
      <w:r>
        <w:rPr>
          <w:rFonts w:eastAsia="Calibri"/>
          <w:noProof/>
          <w:lang w:val="es-DO"/>
        </w:rPr>
        <w:t>Los A</w:t>
      </w:r>
      <w:r w:rsidRPr="005E14B8">
        <w:rPr>
          <w:rFonts w:eastAsia="Calibri"/>
          <w:noProof/>
          <w:lang w:val="es-DO"/>
        </w:rPr>
        <w:t xml:space="preserve">portes </w:t>
      </w:r>
      <w:r>
        <w:rPr>
          <w:rFonts w:eastAsia="Calibri"/>
          <w:noProof/>
          <w:lang w:val="es-DO"/>
        </w:rPr>
        <w:t>de los P</w:t>
      </w:r>
      <w:r w:rsidRPr="005E14B8">
        <w:rPr>
          <w:rFonts w:eastAsia="Calibri"/>
          <w:noProof/>
          <w:lang w:val="es-DO"/>
        </w:rPr>
        <w:t xml:space="preserve">lanes </w:t>
      </w:r>
      <w:r>
        <w:rPr>
          <w:rFonts w:eastAsia="Calibri"/>
          <w:noProof/>
          <w:lang w:val="es-DO"/>
        </w:rPr>
        <w:t>E</w:t>
      </w:r>
      <w:r w:rsidRPr="005E14B8">
        <w:rPr>
          <w:rFonts w:eastAsia="Calibri"/>
          <w:noProof/>
          <w:lang w:val="es-DO"/>
        </w:rPr>
        <w:t>speciales</w:t>
      </w:r>
      <w:r>
        <w:rPr>
          <w:rFonts w:eastAsia="Calibri"/>
          <w:noProof/>
          <w:lang w:val="es-DO"/>
        </w:rPr>
        <w:t xml:space="preserve"> Transitorios</w:t>
      </w:r>
      <w:r w:rsidRPr="005E14B8">
        <w:rPr>
          <w:rFonts w:eastAsia="Calibri"/>
          <w:noProof/>
          <w:lang w:val="es-DO"/>
        </w:rPr>
        <w:t xml:space="preserve"> de </w:t>
      </w:r>
      <w:r>
        <w:rPr>
          <w:rFonts w:eastAsia="Calibri"/>
          <w:noProof/>
          <w:lang w:val="es-DO"/>
        </w:rPr>
        <w:t>S</w:t>
      </w:r>
      <w:r w:rsidRPr="005E14B8">
        <w:rPr>
          <w:rFonts w:eastAsia="Calibri"/>
          <w:noProof/>
          <w:lang w:val="es-DO"/>
        </w:rPr>
        <w:t xml:space="preserve">ervicios de </w:t>
      </w:r>
      <w:r>
        <w:rPr>
          <w:rFonts w:eastAsia="Calibri"/>
          <w:noProof/>
          <w:lang w:val="es-DO"/>
        </w:rPr>
        <w:t>S</w:t>
      </w:r>
      <w:r w:rsidRPr="005E14B8">
        <w:rPr>
          <w:rFonts w:eastAsia="Calibri"/>
          <w:noProof/>
          <w:lang w:val="es-DO"/>
        </w:rPr>
        <w:t xml:space="preserve">alud </w:t>
      </w:r>
      <w:r>
        <w:rPr>
          <w:rFonts w:eastAsia="Calibri"/>
          <w:noProof/>
          <w:lang w:val="es-DO"/>
        </w:rPr>
        <w:t>P</w:t>
      </w:r>
      <w:r w:rsidRPr="005E14B8">
        <w:rPr>
          <w:rFonts w:eastAsia="Calibri"/>
          <w:noProof/>
          <w:lang w:val="es-DO"/>
        </w:rPr>
        <w:t xml:space="preserve">ensionados y </w:t>
      </w:r>
      <w:r>
        <w:rPr>
          <w:rFonts w:eastAsia="Calibri"/>
          <w:noProof/>
          <w:lang w:val="es-DO"/>
        </w:rPr>
        <w:t>J</w:t>
      </w:r>
      <w:r w:rsidRPr="005E14B8">
        <w:rPr>
          <w:rFonts w:eastAsia="Calibri"/>
          <w:noProof/>
          <w:lang w:val="es-DO"/>
        </w:rPr>
        <w:t>ubilados</w:t>
      </w:r>
      <w:r>
        <w:rPr>
          <w:rFonts w:eastAsia="Calibri"/>
          <w:noProof/>
          <w:lang w:val="es-DO"/>
        </w:rPr>
        <w:t>:</w:t>
      </w:r>
    </w:p>
    <w:tbl>
      <w:tblPr>
        <w:tblW w:w="8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1247"/>
        <w:gridCol w:w="1616"/>
        <w:gridCol w:w="1616"/>
        <w:gridCol w:w="1466"/>
        <w:gridCol w:w="899"/>
      </w:tblGrid>
      <w:tr w:rsidR="00041B32" w:rsidRPr="00041B32" w14:paraId="364DD8E1" w14:textId="77777777" w:rsidTr="00F95039">
        <w:trPr>
          <w:trHeight w:val="609"/>
          <w:tblHeader/>
          <w:jc w:val="center"/>
        </w:trPr>
        <w:tc>
          <w:tcPr>
            <w:tcW w:w="1161" w:type="dxa"/>
            <w:vMerge w:val="restart"/>
            <w:shd w:val="clear" w:color="000000" w:fill="1F3864"/>
            <w:vAlign w:val="center"/>
            <w:hideMark/>
          </w:tcPr>
          <w:p w14:paraId="2B9A6820" w14:textId="6E28B421" w:rsidR="00041B32" w:rsidRPr="00041B32" w:rsidRDefault="00041B32">
            <w:pPr>
              <w:spacing w:after="0" w:line="240" w:lineRule="auto"/>
              <w:jc w:val="center"/>
              <w:rPr>
                <w:rFonts w:eastAsia="Times New Roman"/>
                <w:b/>
                <w:bCs/>
                <w:color w:val="FFFFFF"/>
                <w:spacing w:val="0"/>
                <w:sz w:val="20"/>
                <w:szCs w:val="20"/>
              </w:rPr>
            </w:pPr>
            <w:proofErr w:type="spellStart"/>
            <w:r w:rsidRPr="00041B32">
              <w:rPr>
                <w:rFonts w:eastAsia="Times New Roman"/>
                <w:b/>
                <w:bCs/>
                <w:color w:val="FFFFFF"/>
                <w:spacing w:val="0"/>
                <w:sz w:val="20"/>
                <w:szCs w:val="20"/>
              </w:rPr>
              <w:lastRenderedPageBreak/>
              <w:t>Enero</w:t>
            </w:r>
            <w:proofErr w:type="spellEnd"/>
            <w:r w:rsidRPr="00041B32">
              <w:rPr>
                <w:rFonts w:eastAsia="Times New Roman"/>
                <w:b/>
                <w:bCs/>
                <w:color w:val="FFFFFF"/>
                <w:spacing w:val="0"/>
                <w:sz w:val="20"/>
                <w:szCs w:val="20"/>
              </w:rPr>
              <w:t xml:space="preserve"> -</w:t>
            </w:r>
            <w:proofErr w:type="spellStart"/>
            <w:r w:rsidR="0020764A">
              <w:rPr>
                <w:rFonts w:eastAsia="Times New Roman"/>
                <w:b/>
                <w:bCs/>
                <w:color w:val="FFFFFF"/>
                <w:spacing w:val="0"/>
                <w:sz w:val="20"/>
                <w:szCs w:val="20"/>
              </w:rPr>
              <w:t>Dic</w:t>
            </w:r>
            <w:r w:rsidRPr="00041B32">
              <w:rPr>
                <w:rFonts w:eastAsia="Times New Roman"/>
                <w:b/>
                <w:bCs/>
                <w:color w:val="FFFFFF"/>
                <w:spacing w:val="0"/>
                <w:sz w:val="20"/>
                <w:szCs w:val="20"/>
              </w:rPr>
              <w:t>iembre</w:t>
            </w:r>
            <w:proofErr w:type="spellEnd"/>
          </w:p>
        </w:tc>
        <w:tc>
          <w:tcPr>
            <w:tcW w:w="1247" w:type="dxa"/>
            <w:shd w:val="clear" w:color="000000" w:fill="1F3864"/>
            <w:vAlign w:val="center"/>
            <w:hideMark/>
          </w:tcPr>
          <w:p w14:paraId="5D996A64" w14:textId="77777777" w:rsidR="00041B32" w:rsidRPr="00041B32" w:rsidRDefault="00041B32">
            <w:pPr>
              <w:spacing w:after="0" w:line="240" w:lineRule="auto"/>
              <w:jc w:val="center"/>
              <w:rPr>
                <w:rFonts w:eastAsia="Times New Roman"/>
                <w:b/>
                <w:bCs/>
                <w:color w:val="FFFFFF"/>
                <w:spacing w:val="0"/>
                <w:sz w:val="20"/>
                <w:szCs w:val="20"/>
              </w:rPr>
            </w:pPr>
            <w:r w:rsidRPr="00041B32">
              <w:rPr>
                <w:rFonts w:eastAsia="Times New Roman"/>
                <w:b/>
                <w:bCs/>
                <w:color w:val="FFFFFF"/>
                <w:spacing w:val="0"/>
                <w:sz w:val="20"/>
                <w:szCs w:val="20"/>
                <w:lang w:val="es-DO"/>
              </w:rPr>
              <w:t>Detalles</w:t>
            </w:r>
          </w:p>
        </w:tc>
        <w:tc>
          <w:tcPr>
            <w:tcW w:w="1616" w:type="dxa"/>
            <w:shd w:val="clear" w:color="000000" w:fill="1F3864"/>
            <w:vAlign w:val="center"/>
            <w:hideMark/>
          </w:tcPr>
          <w:p w14:paraId="61936534" w14:textId="77777777" w:rsidR="00041B32" w:rsidRPr="00041B32" w:rsidRDefault="00041B32">
            <w:pPr>
              <w:spacing w:after="0" w:line="240" w:lineRule="auto"/>
              <w:jc w:val="center"/>
              <w:rPr>
                <w:rFonts w:eastAsia="Times New Roman"/>
                <w:b/>
                <w:bCs/>
                <w:color w:val="FFFFFF"/>
                <w:spacing w:val="0"/>
                <w:sz w:val="20"/>
                <w:szCs w:val="20"/>
              </w:rPr>
            </w:pPr>
            <w:r w:rsidRPr="00041B32">
              <w:rPr>
                <w:rFonts w:eastAsia="Times New Roman"/>
                <w:b/>
                <w:bCs/>
                <w:color w:val="FFFFFF"/>
                <w:spacing w:val="0"/>
                <w:sz w:val="20"/>
                <w:szCs w:val="20"/>
                <w:lang w:val="es-DO"/>
              </w:rPr>
              <w:t>2024</w:t>
            </w:r>
          </w:p>
        </w:tc>
        <w:tc>
          <w:tcPr>
            <w:tcW w:w="1616" w:type="dxa"/>
            <w:shd w:val="clear" w:color="000000" w:fill="1F3864"/>
            <w:vAlign w:val="center"/>
            <w:hideMark/>
          </w:tcPr>
          <w:p w14:paraId="6E9E64CA" w14:textId="77777777" w:rsidR="00041B32" w:rsidRPr="00041B32" w:rsidRDefault="00041B32">
            <w:pPr>
              <w:spacing w:after="0" w:line="240" w:lineRule="auto"/>
              <w:jc w:val="center"/>
              <w:rPr>
                <w:rFonts w:eastAsia="Times New Roman"/>
                <w:b/>
                <w:bCs/>
                <w:color w:val="FFFFFF"/>
                <w:spacing w:val="0"/>
                <w:sz w:val="20"/>
                <w:szCs w:val="20"/>
              </w:rPr>
            </w:pPr>
            <w:r w:rsidRPr="00041B32">
              <w:rPr>
                <w:rFonts w:eastAsia="Times New Roman"/>
                <w:b/>
                <w:bCs/>
                <w:color w:val="FFFFFF"/>
                <w:spacing w:val="0"/>
                <w:sz w:val="20"/>
                <w:szCs w:val="20"/>
                <w:lang w:val="es-DO"/>
              </w:rPr>
              <w:t>2023</w:t>
            </w:r>
          </w:p>
        </w:tc>
        <w:tc>
          <w:tcPr>
            <w:tcW w:w="1466" w:type="dxa"/>
            <w:shd w:val="clear" w:color="000000" w:fill="1F3864"/>
            <w:vAlign w:val="center"/>
            <w:hideMark/>
          </w:tcPr>
          <w:p w14:paraId="4D8D7E9C" w14:textId="77777777" w:rsidR="00041B32" w:rsidRPr="00041B32" w:rsidRDefault="00041B32">
            <w:pPr>
              <w:spacing w:after="0" w:line="240" w:lineRule="auto"/>
              <w:jc w:val="center"/>
              <w:rPr>
                <w:rFonts w:eastAsia="Times New Roman"/>
                <w:b/>
                <w:bCs/>
                <w:color w:val="FFFFFF"/>
                <w:spacing w:val="0"/>
                <w:sz w:val="20"/>
                <w:szCs w:val="20"/>
              </w:rPr>
            </w:pPr>
            <w:r w:rsidRPr="00041B32">
              <w:rPr>
                <w:rFonts w:eastAsia="Times New Roman"/>
                <w:b/>
                <w:bCs/>
                <w:color w:val="FFFFFF"/>
                <w:spacing w:val="0"/>
                <w:sz w:val="20"/>
                <w:szCs w:val="20"/>
                <w:lang w:val="es-DO"/>
              </w:rPr>
              <w:t>Variación</w:t>
            </w:r>
          </w:p>
        </w:tc>
        <w:tc>
          <w:tcPr>
            <w:tcW w:w="899" w:type="dxa"/>
            <w:shd w:val="clear" w:color="000000" w:fill="1F3864"/>
            <w:vAlign w:val="center"/>
            <w:hideMark/>
          </w:tcPr>
          <w:p w14:paraId="483F0FCC" w14:textId="77777777" w:rsidR="00041B32" w:rsidRPr="00041B32" w:rsidRDefault="00041B32">
            <w:pPr>
              <w:spacing w:after="0" w:line="240" w:lineRule="auto"/>
              <w:jc w:val="center"/>
              <w:rPr>
                <w:rFonts w:eastAsia="Times New Roman"/>
                <w:b/>
                <w:bCs/>
                <w:color w:val="FFFFFF"/>
                <w:spacing w:val="0"/>
                <w:sz w:val="20"/>
                <w:szCs w:val="20"/>
              </w:rPr>
            </w:pPr>
            <w:r w:rsidRPr="00041B32">
              <w:rPr>
                <w:rFonts w:eastAsia="Times New Roman"/>
                <w:b/>
                <w:bCs/>
                <w:color w:val="FFFFFF"/>
                <w:spacing w:val="0"/>
                <w:sz w:val="20"/>
                <w:szCs w:val="20"/>
                <w:lang w:val="es-DO"/>
              </w:rPr>
              <w:t>%</w:t>
            </w:r>
          </w:p>
        </w:tc>
      </w:tr>
      <w:tr w:rsidR="00041B32" w:rsidRPr="00041B32" w14:paraId="7AAABD91" w14:textId="77777777" w:rsidTr="00F95039">
        <w:trPr>
          <w:trHeight w:val="496"/>
          <w:tblHeader/>
          <w:jc w:val="center"/>
        </w:trPr>
        <w:tc>
          <w:tcPr>
            <w:tcW w:w="1161" w:type="dxa"/>
            <w:vMerge/>
            <w:vAlign w:val="center"/>
            <w:hideMark/>
          </w:tcPr>
          <w:p w14:paraId="63860C6C" w14:textId="77777777" w:rsidR="00041B32" w:rsidRPr="00041B32" w:rsidRDefault="00041B32">
            <w:pPr>
              <w:spacing w:after="0" w:line="240" w:lineRule="auto"/>
              <w:rPr>
                <w:rFonts w:eastAsia="Times New Roman"/>
                <w:b/>
                <w:bCs/>
                <w:color w:val="FFFFFF"/>
                <w:spacing w:val="0"/>
                <w:sz w:val="20"/>
                <w:szCs w:val="20"/>
              </w:rPr>
            </w:pPr>
          </w:p>
        </w:tc>
        <w:tc>
          <w:tcPr>
            <w:tcW w:w="1247" w:type="dxa"/>
            <w:shd w:val="clear" w:color="auto" w:fill="auto"/>
            <w:vAlign w:val="center"/>
            <w:hideMark/>
          </w:tcPr>
          <w:p w14:paraId="28977F86" w14:textId="77777777" w:rsidR="00041B32" w:rsidRPr="00041B32" w:rsidRDefault="00041B32">
            <w:pPr>
              <w:spacing w:after="0" w:line="240" w:lineRule="auto"/>
              <w:jc w:val="center"/>
              <w:rPr>
                <w:rFonts w:eastAsia="Calibri"/>
                <w:noProof/>
                <w:spacing w:val="0"/>
                <w:sz w:val="20"/>
                <w:szCs w:val="20"/>
                <w:lang w:val="es-DO"/>
              </w:rPr>
            </w:pPr>
            <w:r w:rsidRPr="00041B32">
              <w:rPr>
                <w:rFonts w:eastAsia="Calibri"/>
                <w:noProof/>
                <w:spacing w:val="0"/>
                <w:sz w:val="20"/>
                <w:szCs w:val="20"/>
                <w:lang w:val="es-DO"/>
              </w:rPr>
              <w:t>Pensionados y Jubilados FFAA</w:t>
            </w:r>
          </w:p>
        </w:tc>
        <w:tc>
          <w:tcPr>
            <w:tcW w:w="1616" w:type="dxa"/>
            <w:shd w:val="clear" w:color="auto" w:fill="auto"/>
            <w:vAlign w:val="center"/>
          </w:tcPr>
          <w:p w14:paraId="57040DEC" w14:textId="77777777" w:rsidR="00041B32" w:rsidRPr="00041B32" w:rsidRDefault="00041B32">
            <w:pPr>
              <w:spacing w:after="0" w:line="240" w:lineRule="auto"/>
              <w:jc w:val="right"/>
              <w:rPr>
                <w:rFonts w:eastAsia="Calibri"/>
                <w:noProof/>
                <w:spacing w:val="0"/>
                <w:sz w:val="20"/>
                <w:szCs w:val="20"/>
                <w:lang w:val="es-DO"/>
              </w:rPr>
            </w:pPr>
            <w:r w:rsidRPr="00041B32">
              <w:rPr>
                <w:rFonts w:eastAsia="Calibri"/>
                <w:noProof/>
                <w:spacing w:val="0"/>
                <w:sz w:val="20"/>
                <w:szCs w:val="20"/>
                <w:lang w:val="es-DO"/>
              </w:rPr>
              <w:t>546,703,892.57</w:t>
            </w:r>
          </w:p>
        </w:tc>
        <w:tc>
          <w:tcPr>
            <w:tcW w:w="1616" w:type="dxa"/>
            <w:shd w:val="clear" w:color="auto" w:fill="auto"/>
            <w:vAlign w:val="center"/>
          </w:tcPr>
          <w:p w14:paraId="5196F332" w14:textId="0DAA7A23" w:rsidR="00041B32" w:rsidRPr="00041B32" w:rsidRDefault="00594DB0">
            <w:pPr>
              <w:spacing w:after="0" w:line="240" w:lineRule="auto"/>
              <w:jc w:val="right"/>
              <w:rPr>
                <w:rFonts w:eastAsia="Calibri"/>
                <w:noProof/>
                <w:spacing w:val="0"/>
                <w:sz w:val="20"/>
                <w:szCs w:val="20"/>
                <w:lang w:val="es-DO"/>
              </w:rPr>
            </w:pPr>
            <w:r>
              <w:rPr>
                <w:rFonts w:eastAsia="Calibri"/>
                <w:noProof/>
                <w:spacing w:val="0"/>
                <w:sz w:val="20"/>
                <w:szCs w:val="20"/>
                <w:lang w:val="es-DO"/>
              </w:rPr>
              <w:t>506,432,263.71</w:t>
            </w:r>
          </w:p>
        </w:tc>
        <w:tc>
          <w:tcPr>
            <w:tcW w:w="1466" w:type="dxa"/>
            <w:shd w:val="clear" w:color="auto" w:fill="auto"/>
            <w:vAlign w:val="center"/>
          </w:tcPr>
          <w:p w14:paraId="26FCA48D" w14:textId="7D395A1E" w:rsidR="00041B32" w:rsidRPr="00041B32" w:rsidRDefault="00594DB0">
            <w:pPr>
              <w:spacing w:after="0" w:line="240" w:lineRule="auto"/>
              <w:jc w:val="right"/>
              <w:rPr>
                <w:rFonts w:eastAsia="Calibri"/>
                <w:noProof/>
                <w:spacing w:val="0"/>
                <w:sz w:val="20"/>
                <w:szCs w:val="20"/>
                <w:lang w:val="es-DO"/>
              </w:rPr>
            </w:pPr>
            <w:r>
              <w:rPr>
                <w:rFonts w:eastAsia="Calibri"/>
                <w:noProof/>
                <w:spacing w:val="0"/>
                <w:sz w:val="20"/>
                <w:szCs w:val="20"/>
                <w:lang w:val="es-DO"/>
              </w:rPr>
              <w:t>40,271,628.86</w:t>
            </w:r>
          </w:p>
        </w:tc>
        <w:tc>
          <w:tcPr>
            <w:tcW w:w="899" w:type="dxa"/>
            <w:shd w:val="clear" w:color="auto" w:fill="auto"/>
            <w:vAlign w:val="center"/>
          </w:tcPr>
          <w:p w14:paraId="45417177" w14:textId="124163E2" w:rsidR="00041B32" w:rsidRPr="00041B32" w:rsidRDefault="00594DB0">
            <w:pPr>
              <w:spacing w:after="0" w:line="240" w:lineRule="auto"/>
              <w:jc w:val="center"/>
              <w:rPr>
                <w:rFonts w:eastAsia="Calibri"/>
                <w:noProof/>
                <w:spacing w:val="0"/>
                <w:sz w:val="20"/>
                <w:szCs w:val="20"/>
                <w:lang w:val="es-DO"/>
              </w:rPr>
            </w:pPr>
            <w:r>
              <w:rPr>
                <w:rFonts w:eastAsia="Calibri"/>
                <w:noProof/>
                <w:spacing w:val="0"/>
                <w:sz w:val="20"/>
                <w:szCs w:val="20"/>
                <w:lang w:val="es-DO"/>
              </w:rPr>
              <w:t>7.95</w:t>
            </w:r>
            <w:r w:rsidR="00041B32" w:rsidRPr="00041B32">
              <w:rPr>
                <w:rFonts w:eastAsia="Calibri"/>
                <w:noProof/>
                <w:spacing w:val="0"/>
                <w:sz w:val="20"/>
                <w:szCs w:val="20"/>
                <w:lang w:val="es-DO"/>
              </w:rPr>
              <w:t>%</w:t>
            </w:r>
          </w:p>
        </w:tc>
      </w:tr>
      <w:tr w:rsidR="00041B32" w:rsidRPr="00041B32" w14:paraId="6AD1AF9B" w14:textId="77777777" w:rsidTr="00F95039">
        <w:trPr>
          <w:trHeight w:val="496"/>
          <w:tblHeader/>
          <w:jc w:val="center"/>
        </w:trPr>
        <w:tc>
          <w:tcPr>
            <w:tcW w:w="1161" w:type="dxa"/>
            <w:vMerge/>
            <w:vAlign w:val="center"/>
            <w:hideMark/>
          </w:tcPr>
          <w:p w14:paraId="03374DA1" w14:textId="77777777" w:rsidR="00041B32" w:rsidRPr="00041B32" w:rsidRDefault="00041B32">
            <w:pPr>
              <w:spacing w:after="0" w:line="240" w:lineRule="auto"/>
              <w:rPr>
                <w:rFonts w:eastAsia="Times New Roman"/>
                <w:b/>
                <w:bCs/>
                <w:color w:val="FFFFFF"/>
                <w:spacing w:val="0"/>
                <w:sz w:val="20"/>
                <w:szCs w:val="20"/>
              </w:rPr>
            </w:pPr>
          </w:p>
        </w:tc>
        <w:tc>
          <w:tcPr>
            <w:tcW w:w="1247" w:type="dxa"/>
            <w:shd w:val="clear" w:color="auto" w:fill="auto"/>
            <w:vAlign w:val="center"/>
            <w:hideMark/>
          </w:tcPr>
          <w:p w14:paraId="7BA9C6F7" w14:textId="77777777" w:rsidR="00041B32" w:rsidRPr="00041B32" w:rsidRDefault="00041B32">
            <w:pPr>
              <w:spacing w:after="0" w:line="240" w:lineRule="auto"/>
              <w:jc w:val="center"/>
              <w:rPr>
                <w:rFonts w:eastAsia="Calibri"/>
                <w:noProof/>
                <w:spacing w:val="0"/>
                <w:sz w:val="20"/>
                <w:szCs w:val="20"/>
                <w:lang w:val="es-DO"/>
              </w:rPr>
            </w:pPr>
            <w:r w:rsidRPr="00041B32">
              <w:rPr>
                <w:rFonts w:eastAsia="Calibri"/>
                <w:noProof/>
                <w:spacing w:val="0"/>
                <w:sz w:val="20"/>
                <w:szCs w:val="20"/>
                <w:lang w:val="es-DO"/>
              </w:rPr>
              <w:t>Pensionados y Jubilados Sector Salud</w:t>
            </w:r>
          </w:p>
        </w:tc>
        <w:tc>
          <w:tcPr>
            <w:tcW w:w="1616" w:type="dxa"/>
            <w:shd w:val="clear" w:color="auto" w:fill="auto"/>
            <w:vAlign w:val="center"/>
            <w:hideMark/>
          </w:tcPr>
          <w:p w14:paraId="3B42FBC0" w14:textId="7EAD061D" w:rsidR="00041B32" w:rsidRPr="00041B32" w:rsidRDefault="006476DF">
            <w:pPr>
              <w:spacing w:after="0" w:line="240" w:lineRule="auto"/>
              <w:jc w:val="right"/>
              <w:rPr>
                <w:rFonts w:eastAsia="Calibri"/>
                <w:noProof/>
                <w:spacing w:val="0"/>
                <w:sz w:val="20"/>
                <w:szCs w:val="20"/>
                <w:lang w:val="es-DO"/>
              </w:rPr>
            </w:pPr>
            <w:r>
              <w:rPr>
                <w:rFonts w:eastAsia="Calibri"/>
                <w:noProof/>
                <w:spacing w:val="0"/>
                <w:sz w:val="20"/>
                <w:szCs w:val="20"/>
                <w:lang w:val="es-DO"/>
              </w:rPr>
              <w:t>148,173,747.90</w:t>
            </w:r>
          </w:p>
        </w:tc>
        <w:tc>
          <w:tcPr>
            <w:tcW w:w="1616" w:type="dxa"/>
            <w:shd w:val="clear" w:color="auto" w:fill="auto"/>
            <w:vAlign w:val="center"/>
          </w:tcPr>
          <w:p w14:paraId="13C0D5A3" w14:textId="0D01F4FD" w:rsidR="00041B32" w:rsidRPr="00041B32" w:rsidRDefault="006476DF">
            <w:pPr>
              <w:spacing w:after="0" w:line="240" w:lineRule="auto"/>
              <w:jc w:val="right"/>
              <w:rPr>
                <w:rFonts w:eastAsia="Calibri"/>
                <w:noProof/>
                <w:spacing w:val="0"/>
                <w:sz w:val="20"/>
                <w:szCs w:val="20"/>
                <w:lang w:val="es-DO"/>
              </w:rPr>
            </w:pPr>
            <w:r>
              <w:rPr>
                <w:rFonts w:eastAsia="Calibri"/>
                <w:noProof/>
                <w:spacing w:val="0"/>
                <w:sz w:val="20"/>
                <w:szCs w:val="20"/>
                <w:lang w:val="es-DO"/>
              </w:rPr>
              <w:t>192,663,246.71</w:t>
            </w:r>
          </w:p>
        </w:tc>
        <w:tc>
          <w:tcPr>
            <w:tcW w:w="1466" w:type="dxa"/>
            <w:shd w:val="clear" w:color="auto" w:fill="auto"/>
            <w:vAlign w:val="center"/>
          </w:tcPr>
          <w:p w14:paraId="67D07C5E" w14:textId="4617ADB1" w:rsidR="00041B32" w:rsidRPr="00041B32" w:rsidRDefault="00041B32">
            <w:pPr>
              <w:spacing w:after="0" w:line="240" w:lineRule="auto"/>
              <w:jc w:val="right"/>
              <w:rPr>
                <w:rFonts w:eastAsia="Calibri"/>
                <w:noProof/>
                <w:spacing w:val="0"/>
                <w:sz w:val="20"/>
                <w:szCs w:val="20"/>
                <w:lang w:val="es-DO"/>
              </w:rPr>
            </w:pPr>
            <w:r w:rsidRPr="00041B32">
              <w:rPr>
                <w:rFonts w:eastAsia="Calibri"/>
                <w:noProof/>
                <w:spacing w:val="0"/>
                <w:sz w:val="20"/>
                <w:szCs w:val="20"/>
                <w:lang w:val="es-DO"/>
              </w:rPr>
              <w:t>-</w:t>
            </w:r>
            <w:r w:rsidR="006476DF">
              <w:rPr>
                <w:rFonts w:eastAsia="Calibri"/>
                <w:noProof/>
                <w:spacing w:val="0"/>
                <w:sz w:val="20"/>
                <w:szCs w:val="20"/>
                <w:lang w:val="es-DO"/>
              </w:rPr>
              <w:t>44,489,498.81</w:t>
            </w:r>
          </w:p>
        </w:tc>
        <w:tc>
          <w:tcPr>
            <w:tcW w:w="899" w:type="dxa"/>
            <w:shd w:val="clear" w:color="auto" w:fill="auto"/>
            <w:vAlign w:val="center"/>
          </w:tcPr>
          <w:p w14:paraId="44401E28" w14:textId="37693451" w:rsidR="00041B32" w:rsidRPr="00041B32" w:rsidRDefault="00041B32">
            <w:pPr>
              <w:spacing w:after="0" w:line="240" w:lineRule="auto"/>
              <w:jc w:val="center"/>
              <w:rPr>
                <w:rFonts w:eastAsia="Calibri"/>
                <w:noProof/>
                <w:spacing w:val="0"/>
                <w:sz w:val="20"/>
                <w:szCs w:val="20"/>
                <w:lang w:val="es-DO"/>
              </w:rPr>
            </w:pPr>
            <w:r w:rsidRPr="00041B32">
              <w:rPr>
                <w:rFonts w:eastAsia="Calibri"/>
                <w:noProof/>
                <w:spacing w:val="0"/>
                <w:sz w:val="20"/>
                <w:szCs w:val="20"/>
                <w:lang w:val="es-DO"/>
              </w:rPr>
              <w:t>-2</w:t>
            </w:r>
            <w:r w:rsidR="006476DF">
              <w:rPr>
                <w:rFonts w:eastAsia="Calibri"/>
                <w:noProof/>
                <w:spacing w:val="0"/>
                <w:sz w:val="20"/>
                <w:szCs w:val="20"/>
                <w:lang w:val="es-DO"/>
              </w:rPr>
              <w:t>3</w:t>
            </w:r>
            <w:r w:rsidRPr="00041B32">
              <w:rPr>
                <w:rFonts w:eastAsia="Calibri"/>
                <w:noProof/>
                <w:spacing w:val="0"/>
                <w:sz w:val="20"/>
                <w:szCs w:val="20"/>
                <w:lang w:val="es-DO"/>
              </w:rPr>
              <w:t>.</w:t>
            </w:r>
            <w:r w:rsidR="006476DF">
              <w:rPr>
                <w:rFonts w:eastAsia="Calibri"/>
                <w:noProof/>
                <w:spacing w:val="0"/>
                <w:sz w:val="20"/>
                <w:szCs w:val="20"/>
                <w:lang w:val="es-DO"/>
              </w:rPr>
              <w:t>09</w:t>
            </w:r>
            <w:r w:rsidRPr="00041B32">
              <w:rPr>
                <w:rFonts w:eastAsia="Calibri"/>
                <w:noProof/>
                <w:spacing w:val="0"/>
                <w:sz w:val="20"/>
                <w:szCs w:val="20"/>
                <w:lang w:val="es-DO"/>
              </w:rPr>
              <w:t>%</w:t>
            </w:r>
          </w:p>
        </w:tc>
      </w:tr>
      <w:tr w:rsidR="00041B32" w:rsidRPr="00041B32" w14:paraId="42C00CFF" w14:textId="77777777" w:rsidTr="00F95039">
        <w:trPr>
          <w:trHeight w:val="496"/>
          <w:tblHeader/>
          <w:jc w:val="center"/>
        </w:trPr>
        <w:tc>
          <w:tcPr>
            <w:tcW w:w="1161" w:type="dxa"/>
            <w:vMerge/>
            <w:vAlign w:val="center"/>
            <w:hideMark/>
          </w:tcPr>
          <w:p w14:paraId="094ACDAA" w14:textId="77777777" w:rsidR="00041B32" w:rsidRPr="00041B32" w:rsidRDefault="00041B32">
            <w:pPr>
              <w:spacing w:after="0" w:line="240" w:lineRule="auto"/>
              <w:rPr>
                <w:rFonts w:eastAsia="Times New Roman"/>
                <w:b/>
                <w:bCs/>
                <w:color w:val="FFFFFF"/>
                <w:spacing w:val="0"/>
                <w:sz w:val="20"/>
                <w:szCs w:val="20"/>
              </w:rPr>
            </w:pPr>
          </w:p>
        </w:tc>
        <w:tc>
          <w:tcPr>
            <w:tcW w:w="1247" w:type="dxa"/>
            <w:shd w:val="clear" w:color="auto" w:fill="auto"/>
            <w:vAlign w:val="center"/>
            <w:hideMark/>
          </w:tcPr>
          <w:p w14:paraId="15C0AC15" w14:textId="77777777" w:rsidR="00041B32" w:rsidRPr="00041B32" w:rsidRDefault="00041B32">
            <w:pPr>
              <w:spacing w:after="0" w:line="240" w:lineRule="auto"/>
              <w:jc w:val="center"/>
              <w:rPr>
                <w:rFonts w:eastAsia="Calibri"/>
                <w:noProof/>
                <w:spacing w:val="0"/>
                <w:sz w:val="20"/>
                <w:szCs w:val="20"/>
                <w:lang w:val="es-DO"/>
              </w:rPr>
            </w:pPr>
            <w:r w:rsidRPr="00041B32">
              <w:rPr>
                <w:rFonts w:eastAsia="Calibri"/>
                <w:noProof/>
                <w:spacing w:val="0"/>
                <w:sz w:val="20"/>
                <w:szCs w:val="20"/>
                <w:lang w:val="es-DO"/>
              </w:rPr>
              <w:t>Pensionados y Jubilados PN.</w:t>
            </w:r>
          </w:p>
        </w:tc>
        <w:tc>
          <w:tcPr>
            <w:tcW w:w="1616" w:type="dxa"/>
            <w:shd w:val="clear" w:color="auto" w:fill="auto"/>
            <w:vAlign w:val="center"/>
            <w:hideMark/>
          </w:tcPr>
          <w:p w14:paraId="1B965362" w14:textId="2D343611" w:rsidR="00041B32" w:rsidRPr="00041B32" w:rsidRDefault="006476DF">
            <w:pPr>
              <w:spacing w:after="0" w:line="240" w:lineRule="auto"/>
              <w:jc w:val="right"/>
              <w:rPr>
                <w:rFonts w:eastAsia="Calibri"/>
                <w:noProof/>
                <w:spacing w:val="0"/>
                <w:sz w:val="20"/>
                <w:szCs w:val="20"/>
                <w:lang w:val="es-DO"/>
              </w:rPr>
            </w:pPr>
            <w:r>
              <w:rPr>
                <w:rFonts w:eastAsia="Calibri"/>
                <w:noProof/>
                <w:spacing w:val="0"/>
                <w:sz w:val="20"/>
                <w:szCs w:val="20"/>
                <w:lang w:val="es-DO"/>
              </w:rPr>
              <w:t>590,257,850.92</w:t>
            </w:r>
          </w:p>
        </w:tc>
        <w:tc>
          <w:tcPr>
            <w:tcW w:w="1616" w:type="dxa"/>
            <w:shd w:val="clear" w:color="auto" w:fill="auto"/>
            <w:vAlign w:val="center"/>
          </w:tcPr>
          <w:p w14:paraId="7109A174" w14:textId="687C4779" w:rsidR="00041B32" w:rsidRPr="00041B32" w:rsidRDefault="006476DF">
            <w:pPr>
              <w:spacing w:after="0" w:line="240" w:lineRule="auto"/>
              <w:jc w:val="right"/>
              <w:rPr>
                <w:rFonts w:eastAsia="Calibri"/>
                <w:noProof/>
                <w:spacing w:val="0"/>
                <w:sz w:val="20"/>
                <w:szCs w:val="20"/>
                <w:lang w:val="es-DO"/>
              </w:rPr>
            </w:pPr>
            <w:r>
              <w:rPr>
                <w:rFonts w:eastAsia="Calibri"/>
                <w:noProof/>
                <w:spacing w:val="0"/>
                <w:sz w:val="20"/>
                <w:szCs w:val="20"/>
                <w:lang w:val="es-DO"/>
              </w:rPr>
              <w:t>527,019,302.91</w:t>
            </w:r>
          </w:p>
        </w:tc>
        <w:tc>
          <w:tcPr>
            <w:tcW w:w="1466" w:type="dxa"/>
            <w:shd w:val="clear" w:color="auto" w:fill="auto"/>
            <w:vAlign w:val="center"/>
          </w:tcPr>
          <w:p w14:paraId="1983CA97" w14:textId="5CFF0482" w:rsidR="00041B32" w:rsidRPr="00041B32" w:rsidRDefault="006476DF">
            <w:pPr>
              <w:spacing w:after="0" w:line="240" w:lineRule="auto"/>
              <w:jc w:val="right"/>
              <w:rPr>
                <w:rFonts w:eastAsia="Calibri"/>
                <w:noProof/>
                <w:spacing w:val="0"/>
                <w:sz w:val="20"/>
                <w:szCs w:val="20"/>
                <w:lang w:val="es-DO"/>
              </w:rPr>
            </w:pPr>
            <w:r>
              <w:rPr>
                <w:rFonts w:eastAsia="Calibri"/>
                <w:noProof/>
                <w:spacing w:val="0"/>
                <w:sz w:val="20"/>
                <w:szCs w:val="20"/>
                <w:lang w:val="es-DO"/>
              </w:rPr>
              <w:t>63,238,548.01</w:t>
            </w:r>
          </w:p>
        </w:tc>
        <w:tc>
          <w:tcPr>
            <w:tcW w:w="899" w:type="dxa"/>
            <w:shd w:val="clear" w:color="auto" w:fill="auto"/>
            <w:vAlign w:val="center"/>
          </w:tcPr>
          <w:p w14:paraId="6FFFC89C" w14:textId="7CBE4313" w:rsidR="00041B32" w:rsidRPr="00041B32" w:rsidRDefault="006476DF">
            <w:pPr>
              <w:spacing w:after="0" w:line="240" w:lineRule="auto"/>
              <w:jc w:val="center"/>
              <w:rPr>
                <w:rFonts w:eastAsia="Calibri"/>
                <w:noProof/>
                <w:spacing w:val="0"/>
                <w:sz w:val="20"/>
                <w:szCs w:val="20"/>
                <w:lang w:val="es-DO"/>
              </w:rPr>
            </w:pPr>
            <w:r>
              <w:rPr>
                <w:rFonts w:eastAsia="Calibri"/>
                <w:noProof/>
                <w:spacing w:val="0"/>
                <w:sz w:val="20"/>
                <w:szCs w:val="20"/>
                <w:lang w:val="es-DO"/>
              </w:rPr>
              <w:t>12.00</w:t>
            </w:r>
            <w:r w:rsidR="00041B32" w:rsidRPr="00041B32">
              <w:rPr>
                <w:rFonts w:eastAsia="Calibri"/>
                <w:noProof/>
                <w:spacing w:val="0"/>
                <w:sz w:val="20"/>
                <w:szCs w:val="20"/>
                <w:lang w:val="es-DO"/>
              </w:rPr>
              <w:t>%</w:t>
            </w:r>
          </w:p>
        </w:tc>
      </w:tr>
      <w:tr w:rsidR="00041B32" w:rsidRPr="00041B32" w14:paraId="7CF5AEDB" w14:textId="77777777" w:rsidTr="00F95039">
        <w:trPr>
          <w:trHeight w:val="739"/>
          <w:tblHeader/>
          <w:jc w:val="center"/>
        </w:trPr>
        <w:tc>
          <w:tcPr>
            <w:tcW w:w="1161" w:type="dxa"/>
            <w:vMerge/>
            <w:vAlign w:val="center"/>
            <w:hideMark/>
          </w:tcPr>
          <w:p w14:paraId="5CBF6415" w14:textId="77777777" w:rsidR="00041B32" w:rsidRPr="00041B32" w:rsidRDefault="00041B32">
            <w:pPr>
              <w:spacing w:after="0" w:line="240" w:lineRule="auto"/>
              <w:rPr>
                <w:rFonts w:eastAsia="Times New Roman"/>
                <w:b/>
                <w:bCs/>
                <w:color w:val="FFFFFF"/>
                <w:spacing w:val="0"/>
                <w:sz w:val="20"/>
                <w:szCs w:val="20"/>
              </w:rPr>
            </w:pPr>
          </w:p>
        </w:tc>
        <w:tc>
          <w:tcPr>
            <w:tcW w:w="1247" w:type="dxa"/>
            <w:shd w:val="clear" w:color="auto" w:fill="auto"/>
            <w:vAlign w:val="center"/>
            <w:hideMark/>
          </w:tcPr>
          <w:p w14:paraId="356F647A" w14:textId="77777777" w:rsidR="00041B32" w:rsidRPr="00041B32" w:rsidRDefault="00041B32">
            <w:pPr>
              <w:spacing w:after="0" w:line="240" w:lineRule="auto"/>
              <w:jc w:val="center"/>
              <w:rPr>
                <w:rFonts w:eastAsia="Calibri"/>
                <w:noProof/>
                <w:spacing w:val="0"/>
                <w:sz w:val="20"/>
                <w:szCs w:val="20"/>
                <w:lang w:val="es-DO"/>
              </w:rPr>
            </w:pPr>
            <w:r w:rsidRPr="00041B32">
              <w:rPr>
                <w:rFonts w:eastAsia="Calibri"/>
                <w:noProof/>
                <w:spacing w:val="0"/>
                <w:sz w:val="20"/>
                <w:szCs w:val="20"/>
                <w:lang w:val="es-DO"/>
              </w:rPr>
              <w:t>Pensionados Y Jubilados de Hacienda (Decreto 342-09)</w:t>
            </w:r>
          </w:p>
        </w:tc>
        <w:tc>
          <w:tcPr>
            <w:tcW w:w="1616" w:type="dxa"/>
            <w:shd w:val="clear" w:color="auto" w:fill="auto"/>
            <w:vAlign w:val="center"/>
            <w:hideMark/>
          </w:tcPr>
          <w:p w14:paraId="0D6E76E9" w14:textId="56474804" w:rsidR="00041B32" w:rsidRPr="00041B32" w:rsidRDefault="006476DF">
            <w:pPr>
              <w:spacing w:after="0" w:line="240" w:lineRule="auto"/>
              <w:jc w:val="right"/>
              <w:rPr>
                <w:rFonts w:eastAsia="Calibri"/>
                <w:noProof/>
                <w:spacing w:val="0"/>
                <w:sz w:val="20"/>
                <w:szCs w:val="20"/>
                <w:lang w:val="es-DO"/>
              </w:rPr>
            </w:pPr>
            <w:r>
              <w:rPr>
                <w:rFonts w:eastAsia="Calibri"/>
                <w:noProof/>
                <w:spacing w:val="0"/>
                <w:sz w:val="20"/>
                <w:szCs w:val="20"/>
                <w:lang w:val="es-DO"/>
              </w:rPr>
              <w:t>469,137,056.46</w:t>
            </w:r>
          </w:p>
        </w:tc>
        <w:tc>
          <w:tcPr>
            <w:tcW w:w="1616" w:type="dxa"/>
            <w:shd w:val="clear" w:color="auto" w:fill="auto"/>
            <w:vAlign w:val="center"/>
          </w:tcPr>
          <w:p w14:paraId="61D49345" w14:textId="63C1E3E2" w:rsidR="00041B32" w:rsidRPr="00041B32" w:rsidRDefault="006476DF">
            <w:pPr>
              <w:spacing w:after="0" w:line="240" w:lineRule="auto"/>
              <w:jc w:val="right"/>
              <w:rPr>
                <w:rFonts w:eastAsia="Calibri"/>
                <w:noProof/>
                <w:spacing w:val="0"/>
                <w:sz w:val="20"/>
                <w:szCs w:val="20"/>
                <w:lang w:val="es-DO"/>
              </w:rPr>
            </w:pPr>
            <w:r>
              <w:rPr>
                <w:rFonts w:eastAsia="Calibri"/>
                <w:noProof/>
                <w:spacing w:val="0"/>
                <w:sz w:val="20"/>
                <w:szCs w:val="20"/>
                <w:lang w:val="es-DO"/>
              </w:rPr>
              <w:t>474,849,181.81</w:t>
            </w:r>
          </w:p>
        </w:tc>
        <w:tc>
          <w:tcPr>
            <w:tcW w:w="1466" w:type="dxa"/>
            <w:shd w:val="clear" w:color="auto" w:fill="auto"/>
            <w:vAlign w:val="center"/>
          </w:tcPr>
          <w:p w14:paraId="3322BAF9" w14:textId="2DF4A925" w:rsidR="00041B32" w:rsidRPr="00041B32" w:rsidRDefault="006476DF">
            <w:pPr>
              <w:spacing w:after="0" w:line="240" w:lineRule="auto"/>
              <w:jc w:val="right"/>
              <w:rPr>
                <w:rFonts w:eastAsia="Calibri"/>
                <w:noProof/>
                <w:spacing w:val="0"/>
                <w:sz w:val="20"/>
                <w:szCs w:val="20"/>
                <w:lang w:val="es-DO"/>
              </w:rPr>
            </w:pPr>
            <w:r>
              <w:rPr>
                <w:rFonts w:eastAsia="Calibri"/>
                <w:noProof/>
                <w:spacing w:val="0"/>
                <w:sz w:val="20"/>
                <w:szCs w:val="20"/>
                <w:lang w:val="es-DO"/>
              </w:rPr>
              <w:t>-5,712,125.35</w:t>
            </w:r>
          </w:p>
        </w:tc>
        <w:tc>
          <w:tcPr>
            <w:tcW w:w="899" w:type="dxa"/>
            <w:shd w:val="clear" w:color="auto" w:fill="auto"/>
            <w:vAlign w:val="center"/>
          </w:tcPr>
          <w:p w14:paraId="566BB46D" w14:textId="7E3A524E" w:rsidR="00041B32" w:rsidRPr="00041B32" w:rsidRDefault="006476DF">
            <w:pPr>
              <w:spacing w:after="0" w:line="240" w:lineRule="auto"/>
              <w:jc w:val="center"/>
              <w:rPr>
                <w:rFonts w:eastAsia="Calibri"/>
                <w:noProof/>
                <w:spacing w:val="0"/>
                <w:sz w:val="20"/>
                <w:szCs w:val="20"/>
                <w:lang w:val="es-DO"/>
              </w:rPr>
            </w:pPr>
            <w:r>
              <w:rPr>
                <w:rFonts w:eastAsia="Calibri"/>
                <w:noProof/>
                <w:spacing w:val="0"/>
                <w:sz w:val="20"/>
                <w:szCs w:val="20"/>
                <w:lang w:val="es-DO"/>
              </w:rPr>
              <w:t>1.20</w:t>
            </w:r>
            <w:r w:rsidR="00041B32" w:rsidRPr="00041B32">
              <w:rPr>
                <w:rFonts w:eastAsia="Calibri"/>
                <w:noProof/>
                <w:spacing w:val="0"/>
                <w:sz w:val="20"/>
                <w:szCs w:val="20"/>
                <w:lang w:val="es-DO"/>
              </w:rPr>
              <w:t>%</w:t>
            </w:r>
          </w:p>
        </w:tc>
      </w:tr>
      <w:tr w:rsidR="00041B32" w:rsidRPr="00041B32" w14:paraId="619EE6D1" w14:textId="77777777" w:rsidTr="00F95039">
        <w:trPr>
          <w:trHeight w:val="739"/>
          <w:tblHeader/>
          <w:jc w:val="center"/>
        </w:trPr>
        <w:tc>
          <w:tcPr>
            <w:tcW w:w="1161" w:type="dxa"/>
            <w:vMerge/>
            <w:vAlign w:val="center"/>
            <w:hideMark/>
          </w:tcPr>
          <w:p w14:paraId="78421206" w14:textId="77777777" w:rsidR="00041B32" w:rsidRPr="00041B32" w:rsidRDefault="00041B32">
            <w:pPr>
              <w:spacing w:after="0" w:line="240" w:lineRule="auto"/>
              <w:rPr>
                <w:rFonts w:eastAsia="Times New Roman"/>
                <w:b/>
                <w:bCs/>
                <w:color w:val="FFFFFF"/>
                <w:spacing w:val="0"/>
                <w:sz w:val="20"/>
                <w:szCs w:val="20"/>
              </w:rPr>
            </w:pPr>
          </w:p>
        </w:tc>
        <w:tc>
          <w:tcPr>
            <w:tcW w:w="1247" w:type="dxa"/>
            <w:shd w:val="clear" w:color="auto" w:fill="auto"/>
            <w:vAlign w:val="center"/>
            <w:hideMark/>
          </w:tcPr>
          <w:p w14:paraId="19BA63CC" w14:textId="77777777" w:rsidR="00041B32" w:rsidRPr="00041B32" w:rsidRDefault="00041B32">
            <w:pPr>
              <w:spacing w:after="0" w:line="240" w:lineRule="auto"/>
              <w:jc w:val="center"/>
              <w:rPr>
                <w:rFonts w:eastAsia="Calibri"/>
                <w:noProof/>
                <w:spacing w:val="0"/>
                <w:sz w:val="20"/>
                <w:szCs w:val="20"/>
                <w:lang w:val="es-DO"/>
              </w:rPr>
            </w:pPr>
            <w:r w:rsidRPr="00041B32">
              <w:rPr>
                <w:rFonts w:eastAsia="Calibri"/>
                <w:noProof/>
                <w:spacing w:val="0"/>
                <w:sz w:val="20"/>
                <w:szCs w:val="20"/>
                <w:lang w:val="es-DO"/>
              </w:rPr>
              <w:t>Pensionados y Jubilados del Estado (Decreto 18-19)</w:t>
            </w:r>
          </w:p>
        </w:tc>
        <w:tc>
          <w:tcPr>
            <w:tcW w:w="1616" w:type="dxa"/>
            <w:shd w:val="clear" w:color="auto" w:fill="auto"/>
            <w:vAlign w:val="center"/>
            <w:hideMark/>
          </w:tcPr>
          <w:p w14:paraId="1E934714" w14:textId="6937381E" w:rsidR="00041B32" w:rsidRPr="00041B32" w:rsidRDefault="006476DF">
            <w:pPr>
              <w:spacing w:after="0" w:line="240" w:lineRule="auto"/>
              <w:jc w:val="right"/>
              <w:rPr>
                <w:rFonts w:eastAsia="Calibri"/>
                <w:noProof/>
                <w:spacing w:val="0"/>
                <w:sz w:val="20"/>
                <w:szCs w:val="20"/>
                <w:lang w:val="es-DO"/>
              </w:rPr>
            </w:pPr>
            <w:r>
              <w:rPr>
                <w:rFonts w:eastAsia="Calibri"/>
                <w:noProof/>
                <w:spacing w:val="0"/>
                <w:sz w:val="20"/>
                <w:szCs w:val="20"/>
                <w:lang w:val="es-DO"/>
              </w:rPr>
              <w:t>713,596,599.93</w:t>
            </w:r>
          </w:p>
        </w:tc>
        <w:tc>
          <w:tcPr>
            <w:tcW w:w="1616" w:type="dxa"/>
            <w:shd w:val="clear" w:color="auto" w:fill="auto"/>
            <w:vAlign w:val="center"/>
          </w:tcPr>
          <w:p w14:paraId="131A8610" w14:textId="1AB96300" w:rsidR="00041B32" w:rsidRPr="00041B32" w:rsidRDefault="006476DF">
            <w:pPr>
              <w:spacing w:after="0" w:line="240" w:lineRule="auto"/>
              <w:jc w:val="right"/>
              <w:rPr>
                <w:rFonts w:eastAsia="Calibri"/>
                <w:noProof/>
                <w:spacing w:val="0"/>
                <w:sz w:val="20"/>
                <w:szCs w:val="20"/>
                <w:lang w:val="es-DO"/>
              </w:rPr>
            </w:pPr>
            <w:r>
              <w:rPr>
                <w:rFonts w:eastAsia="Calibri"/>
                <w:noProof/>
                <w:spacing w:val="0"/>
                <w:sz w:val="20"/>
                <w:szCs w:val="20"/>
                <w:lang w:val="es-DO"/>
              </w:rPr>
              <w:t>462,461,499.67</w:t>
            </w:r>
          </w:p>
        </w:tc>
        <w:tc>
          <w:tcPr>
            <w:tcW w:w="1466" w:type="dxa"/>
            <w:shd w:val="clear" w:color="auto" w:fill="auto"/>
            <w:vAlign w:val="center"/>
          </w:tcPr>
          <w:p w14:paraId="7B95C556" w14:textId="5ACC2E53" w:rsidR="00041B32" w:rsidRPr="00041B32" w:rsidRDefault="006476DF">
            <w:pPr>
              <w:spacing w:after="0" w:line="240" w:lineRule="auto"/>
              <w:jc w:val="right"/>
              <w:rPr>
                <w:rFonts w:eastAsia="Calibri"/>
                <w:noProof/>
                <w:spacing w:val="0"/>
                <w:sz w:val="20"/>
                <w:szCs w:val="20"/>
                <w:lang w:val="es-DO"/>
              </w:rPr>
            </w:pPr>
            <w:r>
              <w:rPr>
                <w:rFonts w:eastAsia="Calibri"/>
                <w:noProof/>
                <w:spacing w:val="0"/>
                <w:sz w:val="20"/>
                <w:szCs w:val="20"/>
                <w:lang w:val="es-DO"/>
              </w:rPr>
              <w:t>251,135,100.26</w:t>
            </w:r>
          </w:p>
        </w:tc>
        <w:tc>
          <w:tcPr>
            <w:tcW w:w="899" w:type="dxa"/>
            <w:shd w:val="clear" w:color="auto" w:fill="auto"/>
            <w:vAlign w:val="center"/>
          </w:tcPr>
          <w:p w14:paraId="3BC076EB" w14:textId="6FFDD76B" w:rsidR="00041B32" w:rsidRPr="00041B32" w:rsidRDefault="006476DF">
            <w:pPr>
              <w:spacing w:after="0" w:line="240" w:lineRule="auto"/>
              <w:jc w:val="center"/>
              <w:rPr>
                <w:rFonts w:eastAsia="Calibri"/>
                <w:noProof/>
                <w:spacing w:val="0"/>
                <w:sz w:val="20"/>
                <w:szCs w:val="20"/>
                <w:lang w:val="es-DO"/>
              </w:rPr>
            </w:pPr>
            <w:r>
              <w:rPr>
                <w:rFonts w:eastAsia="Calibri"/>
                <w:noProof/>
                <w:spacing w:val="0"/>
                <w:sz w:val="20"/>
                <w:szCs w:val="20"/>
                <w:lang w:val="es-DO"/>
              </w:rPr>
              <w:t>54.30</w:t>
            </w:r>
            <w:r w:rsidR="00041B32" w:rsidRPr="00041B32">
              <w:rPr>
                <w:rFonts w:eastAsia="Calibri"/>
                <w:noProof/>
                <w:spacing w:val="0"/>
                <w:sz w:val="20"/>
                <w:szCs w:val="20"/>
                <w:lang w:val="es-DO"/>
              </w:rPr>
              <w:t>%</w:t>
            </w:r>
          </w:p>
        </w:tc>
      </w:tr>
      <w:tr w:rsidR="00041B32" w:rsidRPr="00041B32" w14:paraId="51F58F30" w14:textId="77777777" w:rsidTr="00F95039">
        <w:trPr>
          <w:trHeight w:val="297"/>
          <w:tblHeader/>
          <w:jc w:val="center"/>
        </w:trPr>
        <w:tc>
          <w:tcPr>
            <w:tcW w:w="1161" w:type="dxa"/>
            <w:vMerge/>
            <w:vAlign w:val="center"/>
            <w:hideMark/>
          </w:tcPr>
          <w:p w14:paraId="2809CAC6" w14:textId="77777777" w:rsidR="00041B32" w:rsidRPr="00041B32" w:rsidRDefault="00041B32">
            <w:pPr>
              <w:spacing w:after="0" w:line="240" w:lineRule="auto"/>
              <w:rPr>
                <w:rFonts w:eastAsia="Times New Roman"/>
                <w:b/>
                <w:bCs/>
                <w:color w:val="FFFFFF"/>
                <w:spacing w:val="0"/>
                <w:sz w:val="20"/>
                <w:szCs w:val="20"/>
              </w:rPr>
            </w:pPr>
          </w:p>
        </w:tc>
        <w:tc>
          <w:tcPr>
            <w:tcW w:w="1247" w:type="dxa"/>
            <w:shd w:val="clear" w:color="auto" w:fill="auto"/>
            <w:vAlign w:val="center"/>
            <w:hideMark/>
          </w:tcPr>
          <w:p w14:paraId="1AB4E885" w14:textId="79B5A851" w:rsidR="00041B32" w:rsidRPr="00B715E3" w:rsidRDefault="00B715E3">
            <w:pPr>
              <w:spacing w:after="0" w:line="240" w:lineRule="auto"/>
              <w:jc w:val="center"/>
              <w:rPr>
                <w:rFonts w:eastAsia="Calibri"/>
                <w:b/>
                <w:bCs/>
                <w:noProof/>
                <w:spacing w:val="0"/>
                <w:sz w:val="20"/>
                <w:szCs w:val="20"/>
                <w:lang w:val="es-DO"/>
              </w:rPr>
            </w:pPr>
            <w:r w:rsidRPr="00B715E3">
              <w:rPr>
                <w:rFonts w:eastAsia="Calibri"/>
                <w:b/>
                <w:bCs/>
                <w:noProof/>
                <w:spacing w:val="0"/>
                <w:sz w:val="20"/>
                <w:szCs w:val="20"/>
                <w:lang w:val="es-DO"/>
              </w:rPr>
              <w:t>TOTALES</w:t>
            </w:r>
          </w:p>
        </w:tc>
        <w:tc>
          <w:tcPr>
            <w:tcW w:w="1616" w:type="dxa"/>
            <w:shd w:val="clear" w:color="auto" w:fill="auto"/>
            <w:vAlign w:val="center"/>
          </w:tcPr>
          <w:p w14:paraId="294900F2" w14:textId="4FF4B8D1" w:rsidR="00041B32" w:rsidRPr="00B715E3" w:rsidRDefault="00102444">
            <w:pPr>
              <w:spacing w:after="0" w:line="240" w:lineRule="auto"/>
              <w:jc w:val="right"/>
              <w:rPr>
                <w:rFonts w:eastAsia="Calibri"/>
                <w:b/>
                <w:bCs/>
                <w:noProof/>
                <w:spacing w:val="0"/>
                <w:sz w:val="20"/>
                <w:szCs w:val="20"/>
                <w:lang w:val="es-DO"/>
              </w:rPr>
            </w:pPr>
            <w:r>
              <w:rPr>
                <w:rFonts w:eastAsia="Calibri"/>
                <w:b/>
                <w:bCs/>
                <w:noProof/>
                <w:spacing w:val="0"/>
                <w:sz w:val="20"/>
                <w:szCs w:val="20"/>
                <w:lang w:val="es-DO"/>
              </w:rPr>
              <w:t>2,467,869,147.78</w:t>
            </w:r>
          </w:p>
        </w:tc>
        <w:tc>
          <w:tcPr>
            <w:tcW w:w="1616" w:type="dxa"/>
            <w:shd w:val="clear" w:color="auto" w:fill="auto"/>
            <w:vAlign w:val="center"/>
          </w:tcPr>
          <w:p w14:paraId="70B61A74" w14:textId="5D01B7B8" w:rsidR="00041B32" w:rsidRPr="00B715E3" w:rsidRDefault="00102444">
            <w:pPr>
              <w:spacing w:after="0" w:line="240" w:lineRule="auto"/>
              <w:jc w:val="right"/>
              <w:rPr>
                <w:rFonts w:eastAsia="Calibri"/>
                <w:b/>
                <w:bCs/>
                <w:noProof/>
                <w:spacing w:val="0"/>
                <w:sz w:val="20"/>
                <w:szCs w:val="20"/>
                <w:lang w:val="es-DO"/>
              </w:rPr>
            </w:pPr>
            <w:r>
              <w:rPr>
                <w:rFonts w:eastAsia="Calibri"/>
                <w:b/>
                <w:bCs/>
                <w:noProof/>
                <w:spacing w:val="0"/>
                <w:sz w:val="20"/>
                <w:szCs w:val="20"/>
                <w:lang w:val="es-DO"/>
              </w:rPr>
              <w:t>2,163,425,494.84</w:t>
            </w:r>
          </w:p>
        </w:tc>
        <w:tc>
          <w:tcPr>
            <w:tcW w:w="1466" w:type="dxa"/>
            <w:shd w:val="clear" w:color="auto" w:fill="auto"/>
            <w:vAlign w:val="center"/>
          </w:tcPr>
          <w:p w14:paraId="1521CC7A" w14:textId="4D6E8971" w:rsidR="00041B32" w:rsidRPr="00B715E3" w:rsidRDefault="00102444">
            <w:pPr>
              <w:spacing w:after="0" w:line="240" w:lineRule="auto"/>
              <w:jc w:val="right"/>
              <w:rPr>
                <w:rFonts w:eastAsia="Calibri"/>
                <w:b/>
                <w:bCs/>
                <w:noProof/>
                <w:spacing w:val="0"/>
                <w:sz w:val="20"/>
                <w:szCs w:val="20"/>
                <w:lang w:val="es-DO"/>
              </w:rPr>
            </w:pPr>
            <w:r>
              <w:rPr>
                <w:rFonts w:eastAsia="Calibri"/>
                <w:b/>
                <w:bCs/>
                <w:noProof/>
                <w:spacing w:val="0"/>
                <w:sz w:val="20"/>
                <w:szCs w:val="20"/>
                <w:lang w:val="es-DO"/>
              </w:rPr>
              <w:t>3</w:t>
            </w:r>
            <w:r w:rsidR="009E2D6B">
              <w:rPr>
                <w:rFonts w:eastAsia="Calibri"/>
                <w:b/>
                <w:bCs/>
                <w:noProof/>
                <w:spacing w:val="0"/>
                <w:sz w:val="20"/>
                <w:szCs w:val="20"/>
                <w:lang w:val="es-DO"/>
              </w:rPr>
              <w:t>04,443,652.97</w:t>
            </w:r>
          </w:p>
        </w:tc>
        <w:tc>
          <w:tcPr>
            <w:tcW w:w="899" w:type="dxa"/>
            <w:shd w:val="clear" w:color="auto" w:fill="auto"/>
            <w:vAlign w:val="center"/>
          </w:tcPr>
          <w:p w14:paraId="4CAE335F" w14:textId="3205D707" w:rsidR="00041B32" w:rsidRPr="00B715E3" w:rsidRDefault="009E2D6B">
            <w:pPr>
              <w:spacing w:after="0" w:line="240" w:lineRule="auto"/>
              <w:jc w:val="center"/>
              <w:rPr>
                <w:rFonts w:eastAsia="Calibri"/>
                <w:b/>
                <w:bCs/>
                <w:noProof/>
                <w:spacing w:val="0"/>
                <w:sz w:val="20"/>
                <w:szCs w:val="20"/>
                <w:lang w:val="es-DO"/>
              </w:rPr>
            </w:pPr>
            <w:r>
              <w:rPr>
                <w:rFonts w:eastAsia="Calibri"/>
                <w:b/>
                <w:bCs/>
                <w:noProof/>
                <w:spacing w:val="0"/>
                <w:sz w:val="20"/>
                <w:szCs w:val="20"/>
                <w:lang w:val="es-DO"/>
              </w:rPr>
              <w:t>14.07</w:t>
            </w:r>
            <w:r w:rsidR="00041B32" w:rsidRPr="00B715E3">
              <w:rPr>
                <w:rFonts w:eastAsia="Calibri"/>
                <w:b/>
                <w:bCs/>
                <w:noProof/>
                <w:spacing w:val="0"/>
                <w:sz w:val="20"/>
                <w:szCs w:val="20"/>
                <w:lang w:val="es-DO"/>
              </w:rPr>
              <w:t>%</w:t>
            </w:r>
          </w:p>
        </w:tc>
      </w:tr>
    </w:tbl>
    <w:p w14:paraId="6E95F276" w14:textId="5D060A13" w:rsidR="00041B32" w:rsidRDefault="00041B32" w:rsidP="00F95039">
      <w:pPr>
        <w:spacing w:line="360" w:lineRule="auto"/>
        <w:ind w:left="-90"/>
        <w:jc w:val="both"/>
        <w:rPr>
          <w:rFonts w:eastAsia="Calibri"/>
          <w:noProof/>
          <w:sz w:val="18"/>
          <w:szCs w:val="18"/>
          <w:lang w:val="es-ES"/>
        </w:rPr>
      </w:pPr>
      <w:r w:rsidRPr="00963FCF">
        <w:rPr>
          <w:rFonts w:eastAsia="Calibri"/>
          <w:b/>
          <w:bCs/>
          <w:noProof/>
          <w:sz w:val="18"/>
          <w:szCs w:val="18"/>
          <w:lang w:val="es-ES"/>
        </w:rPr>
        <w:t xml:space="preserve">Tabla </w:t>
      </w:r>
      <w:r>
        <w:rPr>
          <w:rFonts w:eastAsia="Calibri"/>
          <w:b/>
          <w:bCs/>
          <w:noProof/>
          <w:sz w:val="18"/>
          <w:szCs w:val="18"/>
          <w:lang w:val="es-ES"/>
        </w:rPr>
        <w:t>6</w:t>
      </w:r>
      <w:r w:rsidRPr="00963FCF">
        <w:rPr>
          <w:rFonts w:eastAsia="Calibri"/>
          <w:b/>
          <w:bCs/>
          <w:noProof/>
          <w:sz w:val="18"/>
          <w:szCs w:val="18"/>
          <w:lang w:val="es-ES"/>
        </w:rPr>
        <w:t xml:space="preserve">: </w:t>
      </w:r>
      <w:r w:rsidRPr="00A52218">
        <w:rPr>
          <w:rFonts w:eastAsia="Calibri"/>
          <w:noProof/>
          <w:sz w:val="18"/>
          <w:szCs w:val="18"/>
          <w:lang w:val="es-ES"/>
        </w:rPr>
        <w:t xml:space="preserve">Aportes </w:t>
      </w:r>
      <w:r>
        <w:rPr>
          <w:rFonts w:eastAsia="Calibri"/>
          <w:noProof/>
          <w:sz w:val="18"/>
          <w:szCs w:val="18"/>
          <w:lang w:val="es-ES"/>
        </w:rPr>
        <w:t>P</w:t>
      </w:r>
      <w:r w:rsidRPr="00A52218">
        <w:rPr>
          <w:rFonts w:eastAsia="Calibri"/>
          <w:noProof/>
          <w:sz w:val="18"/>
          <w:szCs w:val="18"/>
          <w:lang w:val="es-ES"/>
        </w:rPr>
        <w:t>lanes Especiales</w:t>
      </w:r>
      <w:r>
        <w:rPr>
          <w:rFonts w:eastAsia="Calibri"/>
          <w:noProof/>
          <w:sz w:val="18"/>
          <w:szCs w:val="18"/>
          <w:lang w:val="es-ES"/>
        </w:rPr>
        <w:t xml:space="preserve"> Transitorios</w:t>
      </w:r>
      <w:r w:rsidRPr="00A52218">
        <w:rPr>
          <w:rFonts w:eastAsia="Calibri"/>
          <w:noProof/>
          <w:sz w:val="18"/>
          <w:szCs w:val="18"/>
          <w:lang w:val="es-ES"/>
        </w:rPr>
        <w:t xml:space="preserve"> de Servicios de Salud Pensionados y Jubilados </w:t>
      </w:r>
      <w:r w:rsidRPr="00963FCF">
        <w:rPr>
          <w:rFonts w:eastAsia="Calibri"/>
          <w:noProof/>
          <w:sz w:val="18"/>
          <w:szCs w:val="18"/>
          <w:lang w:val="es-ES"/>
        </w:rPr>
        <w:t>enero-</w:t>
      </w:r>
      <w:r w:rsidR="00C50277">
        <w:rPr>
          <w:rFonts w:eastAsia="Calibri"/>
          <w:noProof/>
          <w:sz w:val="18"/>
          <w:szCs w:val="18"/>
          <w:lang w:val="es-ES"/>
        </w:rPr>
        <w:t>dic</w:t>
      </w:r>
      <w:r>
        <w:rPr>
          <w:rFonts w:eastAsia="Calibri"/>
          <w:noProof/>
          <w:sz w:val="18"/>
          <w:szCs w:val="18"/>
          <w:lang w:val="es-ES"/>
        </w:rPr>
        <w:t>iembre</w:t>
      </w:r>
      <w:r w:rsidRPr="00963FCF">
        <w:rPr>
          <w:rFonts w:eastAsia="Calibri"/>
          <w:noProof/>
          <w:sz w:val="18"/>
          <w:szCs w:val="18"/>
          <w:lang w:val="es-ES"/>
        </w:rPr>
        <w:t xml:space="preserve"> 202</w:t>
      </w:r>
      <w:r>
        <w:rPr>
          <w:rFonts w:eastAsia="Calibri"/>
          <w:noProof/>
          <w:sz w:val="18"/>
          <w:szCs w:val="18"/>
          <w:lang w:val="es-ES"/>
        </w:rPr>
        <w:t>4</w:t>
      </w:r>
      <w:r w:rsidRPr="00963FCF">
        <w:rPr>
          <w:rFonts w:eastAsia="Calibri"/>
          <w:noProof/>
          <w:sz w:val="18"/>
          <w:szCs w:val="18"/>
          <w:lang w:val="es-ES"/>
        </w:rPr>
        <w:t>.</w:t>
      </w:r>
    </w:p>
    <w:p w14:paraId="2E202AAF" w14:textId="77777777" w:rsidR="00041B32" w:rsidRPr="006A3FDE" w:rsidRDefault="00041B32" w:rsidP="00041B32">
      <w:pPr>
        <w:spacing w:line="360" w:lineRule="auto"/>
        <w:jc w:val="both"/>
        <w:rPr>
          <w:rFonts w:eastAsia="Calibri"/>
          <w:noProof/>
          <w:lang w:val="es-DO"/>
        </w:rPr>
      </w:pPr>
      <w:r w:rsidRPr="006A3FDE">
        <w:rPr>
          <w:rFonts w:eastAsia="Calibri"/>
          <w:noProof/>
          <w:lang w:val="es-DO"/>
        </w:rPr>
        <w:t xml:space="preserve">Pagos Planes Especiales </w:t>
      </w:r>
      <w:r>
        <w:rPr>
          <w:rFonts w:eastAsia="Calibri"/>
          <w:noProof/>
          <w:lang w:val="es-DO"/>
        </w:rPr>
        <w:t xml:space="preserve">Transitorios </w:t>
      </w:r>
      <w:r w:rsidRPr="006A3FDE">
        <w:rPr>
          <w:rFonts w:eastAsia="Calibri"/>
          <w:noProof/>
          <w:lang w:val="es-DO"/>
        </w:rPr>
        <w:t>de Servicios de Salud Pensionados y Jubilados:</w:t>
      </w: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1936"/>
        <w:gridCol w:w="1936"/>
        <w:gridCol w:w="1746"/>
        <w:gridCol w:w="1041"/>
      </w:tblGrid>
      <w:tr w:rsidR="00041B32" w:rsidRPr="00C571AB" w14:paraId="350EBEDC" w14:textId="77777777" w:rsidTr="00B715E3">
        <w:trPr>
          <w:trHeight w:val="341"/>
          <w:tblHeader/>
          <w:jc w:val="center"/>
        </w:trPr>
        <w:tc>
          <w:tcPr>
            <w:tcW w:w="1436" w:type="dxa"/>
            <w:shd w:val="clear" w:color="000000" w:fill="1F3864"/>
            <w:vAlign w:val="center"/>
            <w:hideMark/>
          </w:tcPr>
          <w:p w14:paraId="7806E3B0" w14:textId="77777777" w:rsidR="00041B32" w:rsidRPr="00B715E3" w:rsidRDefault="00041B32">
            <w:pPr>
              <w:spacing w:after="0" w:line="240" w:lineRule="auto"/>
              <w:jc w:val="center"/>
              <w:rPr>
                <w:rFonts w:eastAsia="Times New Roman"/>
                <w:b/>
                <w:bCs/>
                <w:color w:val="FFFFFF" w:themeColor="background1"/>
                <w:spacing w:val="0"/>
                <w:sz w:val="20"/>
                <w:szCs w:val="20"/>
                <w:lang w:val="es-ES"/>
              </w:rPr>
            </w:pPr>
            <w:r w:rsidRPr="00B715E3">
              <w:rPr>
                <w:rFonts w:eastAsia="Times New Roman"/>
                <w:b/>
                <w:bCs/>
                <w:color w:val="FFFFFF" w:themeColor="background1"/>
                <w:spacing w:val="0"/>
                <w:sz w:val="20"/>
                <w:szCs w:val="20"/>
                <w:lang w:val="es-ES"/>
              </w:rPr>
              <w:t>Detalles</w:t>
            </w:r>
          </w:p>
        </w:tc>
        <w:tc>
          <w:tcPr>
            <w:tcW w:w="1936" w:type="dxa"/>
            <w:shd w:val="clear" w:color="000000" w:fill="1F3864"/>
            <w:vAlign w:val="center"/>
            <w:hideMark/>
          </w:tcPr>
          <w:p w14:paraId="3B59C05D" w14:textId="77777777" w:rsidR="00041B32" w:rsidRPr="00B715E3" w:rsidRDefault="00041B32">
            <w:pPr>
              <w:spacing w:after="0" w:line="240" w:lineRule="auto"/>
              <w:jc w:val="center"/>
              <w:rPr>
                <w:rFonts w:eastAsia="Times New Roman"/>
                <w:b/>
                <w:bCs/>
                <w:color w:val="FFFFFF" w:themeColor="background1"/>
                <w:spacing w:val="0"/>
                <w:sz w:val="20"/>
                <w:szCs w:val="20"/>
                <w:lang w:val="es-ES"/>
              </w:rPr>
            </w:pPr>
            <w:r w:rsidRPr="00B715E3">
              <w:rPr>
                <w:rFonts w:eastAsia="Times New Roman"/>
                <w:b/>
                <w:bCs/>
                <w:color w:val="FFFFFF" w:themeColor="background1"/>
                <w:spacing w:val="0"/>
                <w:sz w:val="20"/>
                <w:szCs w:val="20"/>
                <w:lang w:val="es-ES"/>
              </w:rPr>
              <w:t>2024</w:t>
            </w:r>
          </w:p>
        </w:tc>
        <w:tc>
          <w:tcPr>
            <w:tcW w:w="1936" w:type="dxa"/>
            <w:shd w:val="clear" w:color="000000" w:fill="1F3864"/>
            <w:vAlign w:val="center"/>
            <w:hideMark/>
          </w:tcPr>
          <w:p w14:paraId="7D357923" w14:textId="77777777" w:rsidR="00041B32" w:rsidRPr="00B715E3" w:rsidRDefault="00041B32">
            <w:pPr>
              <w:spacing w:after="0" w:line="240" w:lineRule="auto"/>
              <w:jc w:val="center"/>
              <w:rPr>
                <w:rFonts w:eastAsia="Times New Roman"/>
                <w:b/>
                <w:bCs/>
                <w:color w:val="FFFFFF" w:themeColor="background1"/>
                <w:spacing w:val="0"/>
                <w:sz w:val="20"/>
                <w:szCs w:val="20"/>
                <w:lang w:val="es-ES"/>
              </w:rPr>
            </w:pPr>
            <w:r w:rsidRPr="00B715E3">
              <w:rPr>
                <w:rFonts w:eastAsia="Times New Roman"/>
                <w:b/>
                <w:bCs/>
                <w:color w:val="FFFFFF" w:themeColor="background1"/>
                <w:spacing w:val="0"/>
                <w:sz w:val="20"/>
                <w:szCs w:val="20"/>
                <w:lang w:val="es-ES"/>
              </w:rPr>
              <w:t>2023</w:t>
            </w:r>
          </w:p>
        </w:tc>
        <w:tc>
          <w:tcPr>
            <w:tcW w:w="1746" w:type="dxa"/>
            <w:shd w:val="clear" w:color="000000" w:fill="1F3864"/>
            <w:vAlign w:val="center"/>
            <w:hideMark/>
          </w:tcPr>
          <w:p w14:paraId="07752D41" w14:textId="77777777" w:rsidR="00041B32" w:rsidRPr="00B715E3" w:rsidRDefault="00041B32">
            <w:pPr>
              <w:spacing w:after="0" w:line="240" w:lineRule="auto"/>
              <w:jc w:val="center"/>
              <w:rPr>
                <w:rFonts w:eastAsia="Times New Roman"/>
                <w:b/>
                <w:bCs/>
                <w:color w:val="FFFFFF" w:themeColor="background1"/>
                <w:spacing w:val="0"/>
                <w:sz w:val="20"/>
                <w:szCs w:val="20"/>
                <w:lang w:val="es-ES"/>
              </w:rPr>
            </w:pPr>
            <w:r w:rsidRPr="00B715E3">
              <w:rPr>
                <w:rFonts w:eastAsia="Times New Roman"/>
                <w:b/>
                <w:bCs/>
                <w:color w:val="FFFFFF" w:themeColor="background1"/>
                <w:spacing w:val="0"/>
                <w:sz w:val="20"/>
                <w:szCs w:val="20"/>
                <w:lang w:val="es-ES"/>
              </w:rPr>
              <w:t>Variación</w:t>
            </w:r>
          </w:p>
        </w:tc>
        <w:tc>
          <w:tcPr>
            <w:tcW w:w="1041" w:type="dxa"/>
            <w:shd w:val="clear" w:color="000000" w:fill="1F3864"/>
            <w:vAlign w:val="center"/>
            <w:hideMark/>
          </w:tcPr>
          <w:p w14:paraId="3555BBB4" w14:textId="77777777" w:rsidR="00041B32" w:rsidRPr="00B715E3" w:rsidRDefault="00041B32">
            <w:pPr>
              <w:spacing w:after="0" w:line="240" w:lineRule="auto"/>
              <w:jc w:val="center"/>
              <w:rPr>
                <w:rFonts w:eastAsia="Times New Roman"/>
                <w:b/>
                <w:bCs/>
                <w:color w:val="FFFFFF" w:themeColor="background1"/>
                <w:spacing w:val="0"/>
                <w:sz w:val="20"/>
                <w:szCs w:val="20"/>
                <w:lang w:val="es-ES"/>
              </w:rPr>
            </w:pPr>
            <w:r w:rsidRPr="00B715E3">
              <w:rPr>
                <w:rFonts w:eastAsia="Times New Roman"/>
                <w:b/>
                <w:bCs/>
                <w:color w:val="FFFFFF" w:themeColor="background1"/>
                <w:spacing w:val="0"/>
                <w:sz w:val="20"/>
                <w:szCs w:val="20"/>
                <w:lang w:val="es-ES"/>
              </w:rPr>
              <w:t>%</w:t>
            </w:r>
          </w:p>
        </w:tc>
      </w:tr>
      <w:tr w:rsidR="00041B32" w:rsidRPr="00C571AB" w14:paraId="2215290F" w14:textId="77777777" w:rsidTr="00B715E3">
        <w:trPr>
          <w:trHeight w:val="443"/>
          <w:jc w:val="center"/>
        </w:trPr>
        <w:tc>
          <w:tcPr>
            <w:tcW w:w="1436" w:type="dxa"/>
            <w:shd w:val="clear" w:color="auto" w:fill="auto"/>
            <w:vAlign w:val="center"/>
            <w:hideMark/>
          </w:tcPr>
          <w:p w14:paraId="11BCC8EE" w14:textId="77777777" w:rsidR="00041B32" w:rsidRPr="00041B32" w:rsidRDefault="00041B32">
            <w:pPr>
              <w:spacing w:after="0" w:line="240" w:lineRule="auto"/>
              <w:jc w:val="center"/>
              <w:rPr>
                <w:rFonts w:eastAsia="Calibri"/>
                <w:noProof/>
                <w:sz w:val="20"/>
                <w:szCs w:val="20"/>
                <w:lang w:val="es-ES"/>
              </w:rPr>
            </w:pPr>
            <w:r w:rsidRPr="00041B32">
              <w:rPr>
                <w:rFonts w:eastAsia="Calibri"/>
                <w:noProof/>
                <w:sz w:val="20"/>
                <w:szCs w:val="20"/>
                <w:lang w:val="es-ES"/>
              </w:rPr>
              <w:t>Pensionados y Jubilados FFAA</w:t>
            </w:r>
          </w:p>
        </w:tc>
        <w:tc>
          <w:tcPr>
            <w:tcW w:w="1936" w:type="dxa"/>
            <w:shd w:val="clear" w:color="auto" w:fill="auto"/>
            <w:noWrap/>
            <w:vAlign w:val="center"/>
          </w:tcPr>
          <w:p w14:paraId="1274FF1F" w14:textId="6D7C301E" w:rsidR="00041B32" w:rsidRPr="00041B32" w:rsidRDefault="0020764A">
            <w:pPr>
              <w:spacing w:after="0" w:line="240" w:lineRule="auto"/>
              <w:jc w:val="right"/>
              <w:rPr>
                <w:rFonts w:eastAsia="Calibri"/>
                <w:noProof/>
                <w:sz w:val="20"/>
                <w:szCs w:val="20"/>
                <w:lang w:val="es-ES"/>
              </w:rPr>
            </w:pPr>
            <w:r>
              <w:rPr>
                <w:rFonts w:eastAsia="Calibri"/>
                <w:noProof/>
                <w:sz w:val="20"/>
                <w:szCs w:val="20"/>
                <w:lang w:val="es-ES"/>
              </w:rPr>
              <w:t>516,696,342.08</w:t>
            </w:r>
          </w:p>
        </w:tc>
        <w:tc>
          <w:tcPr>
            <w:tcW w:w="1936" w:type="dxa"/>
            <w:shd w:val="clear" w:color="auto" w:fill="auto"/>
            <w:noWrap/>
            <w:vAlign w:val="center"/>
          </w:tcPr>
          <w:p w14:paraId="2D6C05A1" w14:textId="04CC3D26" w:rsidR="00041B32" w:rsidRPr="00041B32" w:rsidRDefault="0020764A">
            <w:pPr>
              <w:spacing w:after="0" w:line="240" w:lineRule="auto"/>
              <w:jc w:val="right"/>
              <w:rPr>
                <w:rFonts w:eastAsia="Calibri"/>
                <w:noProof/>
                <w:sz w:val="20"/>
                <w:szCs w:val="20"/>
                <w:lang w:val="es-ES"/>
              </w:rPr>
            </w:pPr>
            <w:r>
              <w:rPr>
                <w:rFonts w:eastAsia="Calibri"/>
                <w:noProof/>
                <w:sz w:val="20"/>
                <w:szCs w:val="20"/>
                <w:lang w:val="es-ES"/>
              </w:rPr>
              <w:t>430,791,689.68</w:t>
            </w:r>
          </w:p>
        </w:tc>
        <w:tc>
          <w:tcPr>
            <w:tcW w:w="1746" w:type="dxa"/>
            <w:shd w:val="clear" w:color="auto" w:fill="auto"/>
            <w:noWrap/>
            <w:vAlign w:val="center"/>
          </w:tcPr>
          <w:p w14:paraId="2420C243" w14:textId="44DFC643" w:rsidR="00041B32" w:rsidRPr="00041B32" w:rsidRDefault="0020764A">
            <w:pPr>
              <w:spacing w:after="0" w:line="240" w:lineRule="auto"/>
              <w:jc w:val="right"/>
              <w:rPr>
                <w:rFonts w:eastAsia="Calibri"/>
                <w:noProof/>
                <w:sz w:val="20"/>
                <w:szCs w:val="20"/>
                <w:lang w:val="es-ES"/>
              </w:rPr>
            </w:pPr>
            <w:r>
              <w:rPr>
                <w:rFonts w:eastAsia="Calibri"/>
                <w:noProof/>
                <w:sz w:val="20"/>
                <w:szCs w:val="20"/>
                <w:lang w:val="es-ES"/>
              </w:rPr>
              <w:t>85,904,652.40</w:t>
            </w:r>
          </w:p>
        </w:tc>
        <w:tc>
          <w:tcPr>
            <w:tcW w:w="1041" w:type="dxa"/>
            <w:shd w:val="clear" w:color="auto" w:fill="auto"/>
            <w:noWrap/>
            <w:vAlign w:val="center"/>
          </w:tcPr>
          <w:p w14:paraId="17C956D7" w14:textId="59407ED0" w:rsidR="00041B32" w:rsidRPr="00041B32" w:rsidRDefault="0020764A">
            <w:pPr>
              <w:spacing w:after="0" w:line="240" w:lineRule="auto"/>
              <w:jc w:val="center"/>
              <w:rPr>
                <w:rFonts w:eastAsia="Calibri"/>
                <w:noProof/>
                <w:sz w:val="20"/>
                <w:szCs w:val="20"/>
                <w:lang w:val="es-ES"/>
              </w:rPr>
            </w:pPr>
            <w:r>
              <w:rPr>
                <w:rFonts w:eastAsia="Calibri"/>
                <w:noProof/>
                <w:sz w:val="20"/>
                <w:szCs w:val="20"/>
                <w:lang w:val="es-ES"/>
              </w:rPr>
              <w:t>19.94</w:t>
            </w:r>
            <w:r w:rsidR="00041B32" w:rsidRPr="00041B32">
              <w:rPr>
                <w:rFonts w:eastAsia="Calibri"/>
                <w:noProof/>
                <w:sz w:val="20"/>
                <w:szCs w:val="20"/>
                <w:lang w:val="es-ES"/>
              </w:rPr>
              <w:t>%</w:t>
            </w:r>
          </w:p>
        </w:tc>
      </w:tr>
      <w:tr w:rsidR="00041B32" w:rsidRPr="00C571AB" w14:paraId="2A84E6B7" w14:textId="77777777" w:rsidTr="00B715E3">
        <w:trPr>
          <w:trHeight w:val="443"/>
          <w:jc w:val="center"/>
        </w:trPr>
        <w:tc>
          <w:tcPr>
            <w:tcW w:w="1436" w:type="dxa"/>
            <w:shd w:val="clear" w:color="auto" w:fill="auto"/>
            <w:vAlign w:val="center"/>
            <w:hideMark/>
          </w:tcPr>
          <w:p w14:paraId="20D4EBB5" w14:textId="77777777" w:rsidR="00041B32" w:rsidRPr="00041B32" w:rsidRDefault="00041B32">
            <w:pPr>
              <w:spacing w:after="0" w:line="240" w:lineRule="auto"/>
              <w:jc w:val="center"/>
              <w:rPr>
                <w:rFonts w:eastAsia="Calibri"/>
                <w:noProof/>
                <w:sz w:val="20"/>
                <w:szCs w:val="20"/>
                <w:lang w:val="es-ES"/>
              </w:rPr>
            </w:pPr>
            <w:r w:rsidRPr="00041B32">
              <w:rPr>
                <w:rFonts w:eastAsia="Calibri"/>
                <w:noProof/>
                <w:sz w:val="20"/>
                <w:szCs w:val="20"/>
                <w:lang w:val="es-ES"/>
              </w:rPr>
              <w:t>Pensionados y Jubilados Sector Salud</w:t>
            </w:r>
          </w:p>
        </w:tc>
        <w:tc>
          <w:tcPr>
            <w:tcW w:w="1936" w:type="dxa"/>
            <w:shd w:val="clear" w:color="auto" w:fill="auto"/>
            <w:noWrap/>
            <w:vAlign w:val="center"/>
          </w:tcPr>
          <w:p w14:paraId="23634EA1" w14:textId="6880510C" w:rsidR="00041B32" w:rsidRPr="00041B32" w:rsidRDefault="0020764A">
            <w:pPr>
              <w:spacing w:after="0" w:line="240" w:lineRule="auto"/>
              <w:jc w:val="right"/>
              <w:rPr>
                <w:rFonts w:eastAsia="Calibri"/>
                <w:noProof/>
                <w:sz w:val="20"/>
                <w:szCs w:val="20"/>
                <w:lang w:val="es-ES"/>
              </w:rPr>
            </w:pPr>
            <w:r>
              <w:rPr>
                <w:rFonts w:eastAsia="Calibri"/>
                <w:noProof/>
                <w:sz w:val="20"/>
                <w:szCs w:val="20"/>
                <w:lang w:val="es-ES"/>
              </w:rPr>
              <w:t>157,524,682.48</w:t>
            </w:r>
          </w:p>
        </w:tc>
        <w:tc>
          <w:tcPr>
            <w:tcW w:w="1936" w:type="dxa"/>
            <w:shd w:val="clear" w:color="auto" w:fill="auto"/>
            <w:noWrap/>
            <w:vAlign w:val="center"/>
          </w:tcPr>
          <w:p w14:paraId="33CC4218" w14:textId="32CE77CD" w:rsidR="00041B32" w:rsidRPr="00041B32" w:rsidRDefault="0020764A">
            <w:pPr>
              <w:spacing w:after="0" w:line="240" w:lineRule="auto"/>
              <w:jc w:val="right"/>
              <w:rPr>
                <w:rFonts w:eastAsia="Calibri"/>
                <w:noProof/>
                <w:sz w:val="20"/>
                <w:szCs w:val="20"/>
                <w:lang w:val="es-ES"/>
              </w:rPr>
            </w:pPr>
            <w:r>
              <w:rPr>
                <w:rFonts w:eastAsia="Calibri"/>
                <w:noProof/>
                <w:sz w:val="20"/>
                <w:szCs w:val="20"/>
                <w:lang w:val="es-ES"/>
              </w:rPr>
              <w:t>149,673,595.83</w:t>
            </w:r>
          </w:p>
        </w:tc>
        <w:tc>
          <w:tcPr>
            <w:tcW w:w="1746" w:type="dxa"/>
            <w:shd w:val="clear" w:color="auto" w:fill="auto"/>
            <w:noWrap/>
            <w:vAlign w:val="center"/>
          </w:tcPr>
          <w:p w14:paraId="3E1050C3" w14:textId="45B5FE80" w:rsidR="00041B32" w:rsidRPr="00041B32" w:rsidRDefault="0020764A">
            <w:pPr>
              <w:spacing w:after="0" w:line="240" w:lineRule="auto"/>
              <w:jc w:val="right"/>
              <w:rPr>
                <w:rFonts w:eastAsia="Calibri"/>
                <w:noProof/>
                <w:sz w:val="20"/>
                <w:szCs w:val="20"/>
                <w:lang w:val="es-ES"/>
              </w:rPr>
            </w:pPr>
            <w:r>
              <w:rPr>
                <w:rFonts w:eastAsia="Calibri"/>
                <w:noProof/>
                <w:sz w:val="20"/>
                <w:szCs w:val="20"/>
                <w:lang w:val="es-ES"/>
              </w:rPr>
              <w:t>7,851,086.65</w:t>
            </w:r>
          </w:p>
        </w:tc>
        <w:tc>
          <w:tcPr>
            <w:tcW w:w="1041" w:type="dxa"/>
            <w:shd w:val="clear" w:color="auto" w:fill="auto"/>
            <w:noWrap/>
            <w:vAlign w:val="center"/>
          </w:tcPr>
          <w:p w14:paraId="12F70B9B" w14:textId="106F8358" w:rsidR="00041B32" w:rsidRPr="00041B32" w:rsidRDefault="00041B32">
            <w:pPr>
              <w:spacing w:after="0" w:line="240" w:lineRule="auto"/>
              <w:jc w:val="center"/>
              <w:rPr>
                <w:rFonts w:eastAsia="Calibri"/>
                <w:noProof/>
                <w:sz w:val="20"/>
                <w:szCs w:val="20"/>
                <w:lang w:val="es-ES"/>
              </w:rPr>
            </w:pPr>
            <w:r w:rsidRPr="00041B32">
              <w:rPr>
                <w:rFonts w:eastAsia="Calibri"/>
                <w:noProof/>
                <w:sz w:val="20"/>
                <w:szCs w:val="20"/>
                <w:lang w:val="es-ES"/>
              </w:rPr>
              <w:t>5.</w:t>
            </w:r>
            <w:r w:rsidR="0020764A">
              <w:rPr>
                <w:rFonts w:eastAsia="Calibri"/>
                <w:noProof/>
                <w:sz w:val="20"/>
                <w:szCs w:val="20"/>
                <w:lang w:val="es-ES"/>
              </w:rPr>
              <w:t>25</w:t>
            </w:r>
            <w:r w:rsidRPr="00041B32">
              <w:rPr>
                <w:rFonts w:eastAsia="Calibri"/>
                <w:noProof/>
                <w:sz w:val="20"/>
                <w:szCs w:val="20"/>
                <w:lang w:val="es-ES"/>
              </w:rPr>
              <w:t>%</w:t>
            </w:r>
          </w:p>
        </w:tc>
      </w:tr>
      <w:tr w:rsidR="00041B32" w:rsidRPr="00C571AB" w14:paraId="120DAB5E" w14:textId="77777777" w:rsidTr="00B715E3">
        <w:trPr>
          <w:trHeight w:val="443"/>
          <w:jc w:val="center"/>
        </w:trPr>
        <w:tc>
          <w:tcPr>
            <w:tcW w:w="1436" w:type="dxa"/>
            <w:shd w:val="clear" w:color="auto" w:fill="auto"/>
            <w:vAlign w:val="center"/>
            <w:hideMark/>
          </w:tcPr>
          <w:p w14:paraId="4793D72B" w14:textId="77777777" w:rsidR="00041B32" w:rsidRPr="00041B32" w:rsidRDefault="00041B32">
            <w:pPr>
              <w:spacing w:after="0" w:line="240" w:lineRule="auto"/>
              <w:jc w:val="center"/>
              <w:rPr>
                <w:rFonts w:eastAsia="Calibri"/>
                <w:noProof/>
                <w:sz w:val="20"/>
                <w:szCs w:val="20"/>
                <w:lang w:val="es-ES"/>
              </w:rPr>
            </w:pPr>
            <w:r w:rsidRPr="00041B32">
              <w:rPr>
                <w:rFonts w:eastAsia="Calibri"/>
                <w:noProof/>
                <w:sz w:val="20"/>
                <w:szCs w:val="20"/>
                <w:lang w:val="es-ES"/>
              </w:rPr>
              <w:t>Pensionados y Jubilados PN.</w:t>
            </w:r>
          </w:p>
        </w:tc>
        <w:tc>
          <w:tcPr>
            <w:tcW w:w="1936" w:type="dxa"/>
            <w:shd w:val="clear" w:color="auto" w:fill="auto"/>
            <w:noWrap/>
            <w:vAlign w:val="center"/>
          </w:tcPr>
          <w:p w14:paraId="0DB25A8D" w14:textId="5DE3DA03" w:rsidR="00041B32" w:rsidRPr="00041B32" w:rsidRDefault="0020764A">
            <w:pPr>
              <w:spacing w:after="0" w:line="240" w:lineRule="auto"/>
              <w:jc w:val="right"/>
              <w:rPr>
                <w:rFonts w:eastAsia="Calibri"/>
                <w:noProof/>
                <w:sz w:val="20"/>
                <w:szCs w:val="20"/>
                <w:lang w:val="es-ES"/>
              </w:rPr>
            </w:pPr>
            <w:r>
              <w:rPr>
                <w:rFonts w:eastAsia="Calibri"/>
                <w:noProof/>
                <w:sz w:val="20"/>
                <w:szCs w:val="20"/>
                <w:lang w:val="es-ES"/>
              </w:rPr>
              <w:t>530,217,850.06</w:t>
            </w:r>
          </w:p>
        </w:tc>
        <w:tc>
          <w:tcPr>
            <w:tcW w:w="1936" w:type="dxa"/>
            <w:shd w:val="clear" w:color="auto" w:fill="auto"/>
            <w:noWrap/>
            <w:vAlign w:val="center"/>
          </w:tcPr>
          <w:p w14:paraId="0E48831B" w14:textId="48877726" w:rsidR="00041B32" w:rsidRPr="00041B32" w:rsidRDefault="0020764A">
            <w:pPr>
              <w:spacing w:after="0" w:line="240" w:lineRule="auto"/>
              <w:jc w:val="right"/>
              <w:rPr>
                <w:rFonts w:eastAsia="Calibri"/>
                <w:noProof/>
                <w:sz w:val="20"/>
                <w:szCs w:val="20"/>
                <w:lang w:val="es-ES"/>
              </w:rPr>
            </w:pPr>
            <w:r>
              <w:rPr>
                <w:rFonts w:eastAsia="Calibri"/>
                <w:noProof/>
                <w:sz w:val="20"/>
                <w:szCs w:val="20"/>
                <w:lang w:val="es-ES"/>
              </w:rPr>
              <w:t>451,202,346.96</w:t>
            </w:r>
          </w:p>
        </w:tc>
        <w:tc>
          <w:tcPr>
            <w:tcW w:w="1746" w:type="dxa"/>
            <w:shd w:val="clear" w:color="auto" w:fill="auto"/>
            <w:noWrap/>
            <w:vAlign w:val="center"/>
          </w:tcPr>
          <w:p w14:paraId="0EDA58E9" w14:textId="59746792" w:rsidR="00041B32" w:rsidRPr="00041B32" w:rsidRDefault="0020764A">
            <w:pPr>
              <w:spacing w:after="0" w:line="240" w:lineRule="auto"/>
              <w:jc w:val="right"/>
              <w:rPr>
                <w:rFonts w:eastAsia="Calibri"/>
                <w:noProof/>
                <w:sz w:val="20"/>
                <w:szCs w:val="20"/>
                <w:lang w:val="es-ES"/>
              </w:rPr>
            </w:pPr>
            <w:r>
              <w:rPr>
                <w:rFonts w:eastAsia="Calibri"/>
                <w:noProof/>
                <w:sz w:val="20"/>
                <w:szCs w:val="20"/>
                <w:lang w:val="es-ES"/>
              </w:rPr>
              <w:t>79,015,503.10</w:t>
            </w:r>
          </w:p>
        </w:tc>
        <w:tc>
          <w:tcPr>
            <w:tcW w:w="1041" w:type="dxa"/>
            <w:shd w:val="clear" w:color="auto" w:fill="auto"/>
            <w:noWrap/>
            <w:vAlign w:val="center"/>
          </w:tcPr>
          <w:p w14:paraId="69919BAA" w14:textId="3F7DBF69" w:rsidR="00041B32" w:rsidRPr="00041B32" w:rsidRDefault="00041B32">
            <w:pPr>
              <w:spacing w:after="0" w:line="240" w:lineRule="auto"/>
              <w:jc w:val="center"/>
              <w:rPr>
                <w:rFonts w:eastAsia="Calibri"/>
                <w:noProof/>
                <w:sz w:val="20"/>
                <w:szCs w:val="20"/>
                <w:lang w:val="es-ES"/>
              </w:rPr>
            </w:pPr>
            <w:r w:rsidRPr="00041B32">
              <w:rPr>
                <w:rFonts w:eastAsia="Calibri"/>
                <w:noProof/>
                <w:sz w:val="20"/>
                <w:szCs w:val="20"/>
                <w:lang w:val="es-ES"/>
              </w:rPr>
              <w:t>17.</w:t>
            </w:r>
            <w:r w:rsidR="0020764A">
              <w:rPr>
                <w:rFonts w:eastAsia="Calibri"/>
                <w:noProof/>
                <w:sz w:val="20"/>
                <w:szCs w:val="20"/>
                <w:lang w:val="es-ES"/>
              </w:rPr>
              <w:t>51</w:t>
            </w:r>
            <w:r w:rsidRPr="00041B32">
              <w:rPr>
                <w:rFonts w:eastAsia="Calibri"/>
                <w:noProof/>
                <w:sz w:val="20"/>
                <w:szCs w:val="20"/>
                <w:lang w:val="es-ES"/>
              </w:rPr>
              <w:t>%</w:t>
            </w:r>
          </w:p>
        </w:tc>
      </w:tr>
      <w:tr w:rsidR="00041B32" w:rsidRPr="00C571AB" w14:paraId="293D0B43" w14:textId="77777777" w:rsidTr="00B715E3">
        <w:trPr>
          <w:trHeight w:val="661"/>
          <w:jc w:val="center"/>
        </w:trPr>
        <w:tc>
          <w:tcPr>
            <w:tcW w:w="1436" w:type="dxa"/>
            <w:shd w:val="clear" w:color="auto" w:fill="auto"/>
            <w:vAlign w:val="center"/>
            <w:hideMark/>
          </w:tcPr>
          <w:p w14:paraId="3173EA20" w14:textId="77777777" w:rsidR="00041B32" w:rsidRPr="00041B32" w:rsidRDefault="00041B32">
            <w:pPr>
              <w:spacing w:after="0" w:line="240" w:lineRule="auto"/>
              <w:jc w:val="center"/>
              <w:rPr>
                <w:rFonts w:eastAsia="Calibri"/>
                <w:noProof/>
                <w:sz w:val="20"/>
                <w:szCs w:val="20"/>
                <w:lang w:val="es-ES"/>
              </w:rPr>
            </w:pPr>
            <w:r w:rsidRPr="00041B32">
              <w:rPr>
                <w:rFonts w:eastAsia="Calibri"/>
                <w:noProof/>
                <w:sz w:val="20"/>
                <w:szCs w:val="20"/>
                <w:lang w:val="es-ES"/>
              </w:rPr>
              <w:t>Pensionados Y Jubilados de Hacienda (Decreto 342-09)</w:t>
            </w:r>
          </w:p>
        </w:tc>
        <w:tc>
          <w:tcPr>
            <w:tcW w:w="1936" w:type="dxa"/>
            <w:shd w:val="clear" w:color="auto" w:fill="auto"/>
            <w:noWrap/>
            <w:vAlign w:val="center"/>
          </w:tcPr>
          <w:p w14:paraId="46E99136" w14:textId="7192FCCF" w:rsidR="00041B32" w:rsidRPr="00041B32" w:rsidRDefault="0020764A">
            <w:pPr>
              <w:spacing w:after="0" w:line="240" w:lineRule="auto"/>
              <w:jc w:val="right"/>
              <w:rPr>
                <w:rFonts w:eastAsia="Calibri"/>
                <w:noProof/>
                <w:sz w:val="20"/>
                <w:szCs w:val="20"/>
                <w:lang w:val="es-ES"/>
              </w:rPr>
            </w:pPr>
            <w:r>
              <w:rPr>
                <w:rFonts w:eastAsia="Calibri"/>
                <w:noProof/>
                <w:sz w:val="20"/>
                <w:szCs w:val="20"/>
                <w:lang w:val="es-ES"/>
              </w:rPr>
              <w:t>354,123,330.69</w:t>
            </w:r>
          </w:p>
        </w:tc>
        <w:tc>
          <w:tcPr>
            <w:tcW w:w="1936" w:type="dxa"/>
            <w:shd w:val="clear" w:color="auto" w:fill="auto"/>
            <w:noWrap/>
            <w:vAlign w:val="center"/>
          </w:tcPr>
          <w:p w14:paraId="09749851" w14:textId="31FC7773" w:rsidR="00041B32" w:rsidRPr="00041B32" w:rsidRDefault="0020764A">
            <w:pPr>
              <w:spacing w:after="0" w:line="240" w:lineRule="auto"/>
              <w:jc w:val="right"/>
              <w:rPr>
                <w:rFonts w:eastAsia="Calibri"/>
                <w:noProof/>
                <w:sz w:val="20"/>
                <w:szCs w:val="20"/>
                <w:lang w:val="es-ES"/>
              </w:rPr>
            </w:pPr>
            <w:r>
              <w:rPr>
                <w:rFonts w:eastAsia="Calibri"/>
                <w:noProof/>
                <w:sz w:val="20"/>
                <w:szCs w:val="20"/>
                <w:lang w:val="es-ES"/>
              </w:rPr>
              <w:t>348,599,023.73</w:t>
            </w:r>
          </w:p>
        </w:tc>
        <w:tc>
          <w:tcPr>
            <w:tcW w:w="1746" w:type="dxa"/>
            <w:shd w:val="clear" w:color="auto" w:fill="auto"/>
            <w:noWrap/>
            <w:vAlign w:val="center"/>
          </w:tcPr>
          <w:p w14:paraId="59040AC7" w14:textId="29C1175A" w:rsidR="00041B32" w:rsidRPr="00041B32" w:rsidRDefault="0020764A">
            <w:pPr>
              <w:spacing w:after="0" w:line="240" w:lineRule="auto"/>
              <w:jc w:val="right"/>
              <w:rPr>
                <w:rFonts w:eastAsia="Calibri"/>
                <w:noProof/>
                <w:sz w:val="20"/>
                <w:szCs w:val="20"/>
                <w:lang w:val="es-ES"/>
              </w:rPr>
            </w:pPr>
            <w:r>
              <w:rPr>
                <w:rFonts w:eastAsia="Calibri"/>
                <w:noProof/>
                <w:sz w:val="20"/>
                <w:szCs w:val="20"/>
                <w:lang w:val="es-ES"/>
              </w:rPr>
              <w:t>5,524,306.96</w:t>
            </w:r>
          </w:p>
        </w:tc>
        <w:tc>
          <w:tcPr>
            <w:tcW w:w="1041" w:type="dxa"/>
            <w:shd w:val="clear" w:color="auto" w:fill="auto"/>
            <w:noWrap/>
            <w:vAlign w:val="center"/>
          </w:tcPr>
          <w:p w14:paraId="0B1E6CB5" w14:textId="27851576" w:rsidR="00041B32" w:rsidRPr="00041B32" w:rsidRDefault="0020764A">
            <w:pPr>
              <w:spacing w:after="0" w:line="240" w:lineRule="auto"/>
              <w:jc w:val="center"/>
              <w:rPr>
                <w:rFonts w:eastAsia="Calibri"/>
                <w:noProof/>
                <w:sz w:val="20"/>
                <w:szCs w:val="20"/>
                <w:lang w:val="es-ES"/>
              </w:rPr>
            </w:pPr>
            <w:r>
              <w:rPr>
                <w:rFonts w:eastAsia="Calibri"/>
                <w:noProof/>
                <w:sz w:val="20"/>
                <w:szCs w:val="20"/>
                <w:lang w:val="es-ES"/>
              </w:rPr>
              <w:t>1.58</w:t>
            </w:r>
            <w:r w:rsidR="00041B32" w:rsidRPr="00041B32">
              <w:rPr>
                <w:rFonts w:eastAsia="Calibri"/>
                <w:noProof/>
                <w:sz w:val="20"/>
                <w:szCs w:val="20"/>
                <w:lang w:val="es-ES"/>
              </w:rPr>
              <w:t>%</w:t>
            </w:r>
          </w:p>
        </w:tc>
      </w:tr>
      <w:tr w:rsidR="00041B32" w:rsidRPr="00C571AB" w14:paraId="2FCDF695" w14:textId="77777777" w:rsidTr="00B715E3">
        <w:trPr>
          <w:trHeight w:val="661"/>
          <w:jc w:val="center"/>
        </w:trPr>
        <w:tc>
          <w:tcPr>
            <w:tcW w:w="1436" w:type="dxa"/>
            <w:shd w:val="clear" w:color="auto" w:fill="auto"/>
            <w:vAlign w:val="center"/>
            <w:hideMark/>
          </w:tcPr>
          <w:p w14:paraId="25E5C2F6" w14:textId="77777777" w:rsidR="00041B32" w:rsidRPr="00041B32" w:rsidRDefault="00041B32">
            <w:pPr>
              <w:spacing w:after="0" w:line="240" w:lineRule="auto"/>
              <w:jc w:val="center"/>
              <w:rPr>
                <w:rFonts w:eastAsia="Calibri"/>
                <w:noProof/>
                <w:sz w:val="20"/>
                <w:szCs w:val="20"/>
                <w:lang w:val="es-ES"/>
              </w:rPr>
            </w:pPr>
            <w:r w:rsidRPr="00041B32">
              <w:rPr>
                <w:rFonts w:eastAsia="Calibri"/>
                <w:noProof/>
                <w:sz w:val="20"/>
                <w:szCs w:val="20"/>
                <w:lang w:val="es-ES"/>
              </w:rPr>
              <w:t>Pensionados y Jubilados del Estado (Decreto 18-19)</w:t>
            </w:r>
          </w:p>
        </w:tc>
        <w:tc>
          <w:tcPr>
            <w:tcW w:w="1936" w:type="dxa"/>
            <w:shd w:val="clear" w:color="auto" w:fill="auto"/>
            <w:noWrap/>
            <w:vAlign w:val="center"/>
          </w:tcPr>
          <w:p w14:paraId="7A7524FD" w14:textId="7EAFD3D1" w:rsidR="00041B32" w:rsidRPr="00041B32" w:rsidRDefault="0020764A">
            <w:pPr>
              <w:spacing w:after="0" w:line="240" w:lineRule="auto"/>
              <w:jc w:val="right"/>
              <w:rPr>
                <w:rFonts w:eastAsia="Calibri"/>
                <w:noProof/>
                <w:sz w:val="20"/>
                <w:szCs w:val="20"/>
                <w:lang w:val="es-ES"/>
              </w:rPr>
            </w:pPr>
            <w:r>
              <w:rPr>
                <w:rFonts w:eastAsia="Calibri"/>
                <w:noProof/>
                <w:sz w:val="20"/>
                <w:szCs w:val="20"/>
                <w:lang w:val="es-ES"/>
              </w:rPr>
              <w:t>487,053,309.77</w:t>
            </w:r>
          </w:p>
        </w:tc>
        <w:tc>
          <w:tcPr>
            <w:tcW w:w="1936" w:type="dxa"/>
            <w:shd w:val="clear" w:color="auto" w:fill="auto"/>
            <w:noWrap/>
            <w:vAlign w:val="center"/>
          </w:tcPr>
          <w:p w14:paraId="7B190501" w14:textId="3E1A3C5D" w:rsidR="00041B32" w:rsidRPr="00041B32" w:rsidRDefault="0020764A">
            <w:pPr>
              <w:spacing w:after="0" w:line="240" w:lineRule="auto"/>
              <w:jc w:val="right"/>
              <w:rPr>
                <w:rFonts w:eastAsia="Calibri"/>
                <w:noProof/>
                <w:sz w:val="20"/>
                <w:szCs w:val="20"/>
                <w:lang w:val="es-ES"/>
              </w:rPr>
            </w:pPr>
            <w:r>
              <w:rPr>
                <w:rFonts w:eastAsia="Calibri"/>
                <w:noProof/>
                <w:sz w:val="20"/>
                <w:szCs w:val="20"/>
                <w:lang w:val="es-ES"/>
              </w:rPr>
              <w:t>363,803,620.32</w:t>
            </w:r>
          </w:p>
        </w:tc>
        <w:tc>
          <w:tcPr>
            <w:tcW w:w="1746" w:type="dxa"/>
            <w:shd w:val="clear" w:color="auto" w:fill="auto"/>
            <w:noWrap/>
            <w:vAlign w:val="center"/>
          </w:tcPr>
          <w:p w14:paraId="09E1E463" w14:textId="4C1C8C4F" w:rsidR="00041B32" w:rsidRPr="00041B32" w:rsidRDefault="0020764A">
            <w:pPr>
              <w:spacing w:after="0" w:line="240" w:lineRule="auto"/>
              <w:jc w:val="right"/>
              <w:rPr>
                <w:rFonts w:eastAsia="Calibri"/>
                <w:noProof/>
                <w:sz w:val="20"/>
                <w:szCs w:val="20"/>
                <w:lang w:val="es-ES"/>
              </w:rPr>
            </w:pPr>
            <w:r>
              <w:rPr>
                <w:rFonts w:eastAsia="Calibri"/>
                <w:noProof/>
                <w:sz w:val="20"/>
                <w:szCs w:val="20"/>
                <w:lang w:val="es-ES"/>
              </w:rPr>
              <w:t>123,249,689.45</w:t>
            </w:r>
          </w:p>
        </w:tc>
        <w:tc>
          <w:tcPr>
            <w:tcW w:w="1041" w:type="dxa"/>
            <w:shd w:val="clear" w:color="auto" w:fill="auto"/>
            <w:noWrap/>
            <w:vAlign w:val="center"/>
          </w:tcPr>
          <w:p w14:paraId="3A036888" w14:textId="22E17055" w:rsidR="00041B32" w:rsidRPr="00041B32" w:rsidRDefault="0020764A">
            <w:pPr>
              <w:spacing w:after="0" w:line="240" w:lineRule="auto"/>
              <w:jc w:val="center"/>
              <w:rPr>
                <w:rFonts w:eastAsia="Calibri"/>
                <w:noProof/>
                <w:sz w:val="20"/>
                <w:szCs w:val="20"/>
                <w:lang w:val="es-ES"/>
              </w:rPr>
            </w:pPr>
            <w:r>
              <w:rPr>
                <w:rFonts w:eastAsia="Calibri"/>
                <w:noProof/>
                <w:sz w:val="20"/>
                <w:szCs w:val="20"/>
                <w:lang w:val="es-ES"/>
              </w:rPr>
              <w:t>33.88</w:t>
            </w:r>
            <w:r w:rsidR="00041B32" w:rsidRPr="00041B32">
              <w:rPr>
                <w:rFonts w:eastAsia="Calibri"/>
                <w:noProof/>
                <w:sz w:val="20"/>
                <w:szCs w:val="20"/>
                <w:lang w:val="es-ES"/>
              </w:rPr>
              <w:t>%</w:t>
            </w:r>
          </w:p>
        </w:tc>
      </w:tr>
      <w:tr w:rsidR="00041B32" w:rsidRPr="00C571AB" w14:paraId="5C9CAF4B" w14:textId="77777777" w:rsidTr="00B715E3">
        <w:trPr>
          <w:trHeight w:val="226"/>
          <w:jc w:val="center"/>
        </w:trPr>
        <w:tc>
          <w:tcPr>
            <w:tcW w:w="1436" w:type="dxa"/>
            <w:shd w:val="clear" w:color="auto" w:fill="auto"/>
            <w:vAlign w:val="center"/>
            <w:hideMark/>
          </w:tcPr>
          <w:p w14:paraId="0B798F6B" w14:textId="58FFAF1D" w:rsidR="00041B32" w:rsidRPr="00B715E3" w:rsidRDefault="00B715E3">
            <w:pPr>
              <w:spacing w:after="0" w:line="240" w:lineRule="auto"/>
              <w:jc w:val="center"/>
              <w:rPr>
                <w:rFonts w:eastAsia="Calibri"/>
                <w:b/>
                <w:bCs/>
                <w:noProof/>
                <w:sz w:val="20"/>
                <w:szCs w:val="20"/>
                <w:lang w:val="es-ES"/>
              </w:rPr>
            </w:pPr>
            <w:r w:rsidRPr="00B715E3">
              <w:rPr>
                <w:rFonts w:eastAsia="Calibri"/>
                <w:b/>
                <w:bCs/>
                <w:noProof/>
                <w:sz w:val="20"/>
                <w:szCs w:val="20"/>
                <w:lang w:val="es-ES"/>
              </w:rPr>
              <w:t>TOTALES</w:t>
            </w:r>
          </w:p>
        </w:tc>
        <w:tc>
          <w:tcPr>
            <w:tcW w:w="1936" w:type="dxa"/>
            <w:shd w:val="clear" w:color="auto" w:fill="auto"/>
            <w:noWrap/>
            <w:vAlign w:val="center"/>
          </w:tcPr>
          <w:p w14:paraId="517FB4D1" w14:textId="574FF3D6" w:rsidR="00041B32" w:rsidRPr="00B715E3" w:rsidRDefault="0020764A">
            <w:pPr>
              <w:spacing w:after="0" w:line="240" w:lineRule="auto"/>
              <w:jc w:val="right"/>
              <w:rPr>
                <w:rFonts w:eastAsia="Calibri"/>
                <w:b/>
                <w:bCs/>
                <w:noProof/>
                <w:sz w:val="20"/>
                <w:szCs w:val="20"/>
                <w:lang w:val="es-ES"/>
              </w:rPr>
            </w:pPr>
            <w:r>
              <w:rPr>
                <w:rFonts w:eastAsia="Calibri"/>
                <w:b/>
                <w:bCs/>
                <w:noProof/>
                <w:sz w:val="20"/>
                <w:szCs w:val="20"/>
                <w:lang w:val="es-ES"/>
              </w:rPr>
              <w:t>2,045,615,515.08</w:t>
            </w:r>
          </w:p>
        </w:tc>
        <w:tc>
          <w:tcPr>
            <w:tcW w:w="1936" w:type="dxa"/>
            <w:shd w:val="clear" w:color="auto" w:fill="auto"/>
            <w:noWrap/>
            <w:vAlign w:val="center"/>
          </w:tcPr>
          <w:p w14:paraId="2B489191" w14:textId="1ED139E9" w:rsidR="00041B32" w:rsidRPr="00B715E3" w:rsidRDefault="0020764A">
            <w:pPr>
              <w:spacing w:after="0" w:line="240" w:lineRule="auto"/>
              <w:jc w:val="right"/>
              <w:rPr>
                <w:rFonts w:eastAsia="Calibri"/>
                <w:b/>
                <w:bCs/>
                <w:noProof/>
                <w:sz w:val="20"/>
                <w:szCs w:val="20"/>
                <w:lang w:val="es-ES"/>
              </w:rPr>
            </w:pPr>
            <w:r>
              <w:rPr>
                <w:rFonts w:eastAsia="Calibri"/>
                <w:b/>
                <w:bCs/>
                <w:noProof/>
                <w:sz w:val="20"/>
                <w:szCs w:val="20"/>
                <w:lang w:val="es-ES"/>
              </w:rPr>
              <w:t>1,744,070,276.52</w:t>
            </w:r>
          </w:p>
        </w:tc>
        <w:tc>
          <w:tcPr>
            <w:tcW w:w="1746" w:type="dxa"/>
            <w:shd w:val="clear" w:color="auto" w:fill="auto"/>
            <w:noWrap/>
            <w:vAlign w:val="center"/>
          </w:tcPr>
          <w:p w14:paraId="1A0520C6" w14:textId="4DFEB8DF" w:rsidR="00041B32" w:rsidRPr="00B715E3" w:rsidRDefault="0020764A">
            <w:pPr>
              <w:spacing w:after="0" w:line="240" w:lineRule="auto"/>
              <w:jc w:val="right"/>
              <w:rPr>
                <w:rFonts w:eastAsia="Calibri"/>
                <w:b/>
                <w:bCs/>
                <w:noProof/>
                <w:sz w:val="20"/>
                <w:szCs w:val="20"/>
                <w:lang w:val="es-ES"/>
              </w:rPr>
            </w:pPr>
            <w:r>
              <w:rPr>
                <w:rFonts w:eastAsia="Calibri"/>
                <w:b/>
                <w:bCs/>
                <w:noProof/>
                <w:sz w:val="20"/>
                <w:szCs w:val="20"/>
                <w:lang w:val="es-ES"/>
              </w:rPr>
              <w:t>301,545,238.56</w:t>
            </w:r>
          </w:p>
        </w:tc>
        <w:tc>
          <w:tcPr>
            <w:tcW w:w="1041" w:type="dxa"/>
            <w:shd w:val="clear" w:color="auto" w:fill="auto"/>
            <w:noWrap/>
            <w:vAlign w:val="center"/>
          </w:tcPr>
          <w:p w14:paraId="51C70F24" w14:textId="6ACB35CC" w:rsidR="00041B32" w:rsidRPr="00B715E3" w:rsidRDefault="00041B32">
            <w:pPr>
              <w:spacing w:after="0" w:line="240" w:lineRule="auto"/>
              <w:jc w:val="center"/>
              <w:rPr>
                <w:rFonts w:eastAsia="Calibri"/>
                <w:b/>
                <w:bCs/>
                <w:noProof/>
                <w:sz w:val="20"/>
                <w:szCs w:val="20"/>
                <w:lang w:val="es-ES"/>
              </w:rPr>
            </w:pPr>
            <w:r w:rsidRPr="00B715E3">
              <w:rPr>
                <w:rFonts w:eastAsia="Calibri"/>
                <w:b/>
                <w:bCs/>
                <w:noProof/>
                <w:sz w:val="20"/>
                <w:szCs w:val="20"/>
                <w:lang w:val="es-ES"/>
              </w:rPr>
              <w:t>17.</w:t>
            </w:r>
            <w:r w:rsidR="0020764A">
              <w:rPr>
                <w:rFonts w:eastAsia="Calibri"/>
                <w:b/>
                <w:bCs/>
                <w:noProof/>
                <w:sz w:val="20"/>
                <w:szCs w:val="20"/>
                <w:lang w:val="es-ES"/>
              </w:rPr>
              <w:t>2</w:t>
            </w:r>
            <w:r w:rsidRPr="00B715E3">
              <w:rPr>
                <w:rFonts w:eastAsia="Calibri"/>
                <w:b/>
                <w:bCs/>
                <w:noProof/>
                <w:sz w:val="20"/>
                <w:szCs w:val="20"/>
                <w:lang w:val="es-ES"/>
              </w:rPr>
              <w:t>9%</w:t>
            </w:r>
          </w:p>
        </w:tc>
      </w:tr>
    </w:tbl>
    <w:p w14:paraId="29140944" w14:textId="5A9550D1" w:rsidR="00041B32" w:rsidRPr="006A3FDE" w:rsidRDefault="00041B32" w:rsidP="00B715E3">
      <w:pPr>
        <w:pStyle w:val="xxmsonormal"/>
        <w:ind w:left="-90"/>
        <w:jc w:val="both"/>
        <w:rPr>
          <w:rFonts w:ascii="Times New Roman" w:eastAsia="Calibri" w:hAnsi="Times New Roman" w:cs="Times New Roman"/>
          <w:noProof/>
          <w:color w:val="767171"/>
          <w:spacing w:val="20"/>
          <w:sz w:val="18"/>
          <w:szCs w:val="18"/>
          <w:lang w:eastAsia="en-US"/>
        </w:rPr>
      </w:pPr>
      <w:r w:rsidRPr="00CA5ACB">
        <w:rPr>
          <w:rFonts w:ascii="Times New Roman" w:eastAsia="Calibri" w:hAnsi="Times New Roman" w:cs="Times New Roman"/>
          <w:b/>
          <w:bCs/>
          <w:noProof/>
          <w:color w:val="767171"/>
          <w:spacing w:val="20"/>
          <w:sz w:val="18"/>
          <w:szCs w:val="18"/>
          <w:lang w:eastAsia="en-US"/>
        </w:rPr>
        <w:t xml:space="preserve">Tabla </w:t>
      </w:r>
      <w:r>
        <w:rPr>
          <w:rFonts w:ascii="Times New Roman" w:eastAsia="Calibri" w:hAnsi="Times New Roman" w:cs="Times New Roman"/>
          <w:b/>
          <w:bCs/>
          <w:noProof/>
          <w:color w:val="767171"/>
          <w:spacing w:val="20"/>
          <w:sz w:val="18"/>
          <w:szCs w:val="18"/>
          <w:lang w:eastAsia="en-US"/>
        </w:rPr>
        <w:t>7</w:t>
      </w:r>
      <w:r w:rsidRPr="00CA5ACB">
        <w:rPr>
          <w:rFonts w:ascii="Times New Roman" w:eastAsia="Calibri" w:hAnsi="Times New Roman" w:cs="Times New Roman"/>
          <w:noProof/>
          <w:color w:val="767171"/>
          <w:spacing w:val="20"/>
          <w:sz w:val="18"/>
          <w:szCs w:val="18"/>
          <w:lang w:eastAsia="en-US"/>
        </w:rPr>
        <w:t xml:space="preserve">: Planes Especiales </w:t>
      </w:r>
      <w:r>
        <w:rPr>
          <w:rFonts w:ascii="Times New Roman" w:eastAsia="Calibri" w:hAnsi="Times New Roman" w:cs="Times New Roman"/>
          <w:noProof/>
          <w:color w:val="767171"/>
          <w:spacing w:val="20"/>
          <w:sz w:val="18"/>
          <w:szCs w:val="18"/>
          <w:lang w:eastAsia="en-US"/>
        </w:rPr>
        <w:t xml:space="preserve">Transitorios </w:t>
      </w:r>
      <w:r w:rsidRPr="00CA5ACB">
        <w:rPr>
          <w:rFonts w:ascii="Times New Roman" w:eastAsia="Calibri" w:hAnsi="Times New Roman" w:cs="Times New Roman"/>
          <w:noProof/>
          <w:color w:val="767171"/>
          <w:spacing w:val="20"/>
          <w:sz w:val="18"/>
          <w:szCs w:val="18"/>
          <w:lang w:eastAsia="en-US"/>
        </w:rPr>
        <w:t>de Servicio de Salud  enero-</w:t>
      </w:r>
      <w:r w:rsidR="00C50277">
        <w:rPr>
          <w:rFonts w:ascii="Times New Roman" w:eastAsia="Calibri" w:hAnsi="Times New Roman" w:cs="Times New Roman"/>
          <w:noProof/>
          <w:color w:val="767171"/>
          <w:spacing w:val="20"/>
          <w:sz w:val="18"/>
          <w:szCs w:val="18"/>
          <w:lang w:eastAsia="en-US"/>
        </w:rPr>
        <w:t>dic</w:t>
      </w:r>
      <w:r>
        <w:rPr>
          <w:rFonts w:ascii="Times New Roman" w:eastAsia="Calibri" w:hAnsi="Times New Roman" w:cs="Times New Roman"/>
          <w:noProof/>
          <w:color w:val="767171"/>
          <w:spacing w:val="20"/>
          <w:sz w:val="18"/>
          <w:szCs w:val="18"/>
          <w:lang w:eastAsia="en-US"/>
        </w:rPr>
        <w:t>iembre</w:t>
      </w:r>
      <w:r w:rsidRPr="00CA5ACB">
        <w:rPr>
          <w:rFonts w:ascii="Times New Roman" w:eastAsia="Calibri" w:hAnsi="Times New Roman" w:cs="Times New Roman"/>
          <w:noProof/>
          <w:color w:val="767171"/>
          <w:spacing w:val="20"/>
          <w:sz w:val="18"/>
          <w:szCs w:val="18"/>
          <w:lang w:eastAsia="en-US"/>
        </w:rPr>
        <w:t xml:space="preserve"> 2024.</w:t>
      </w:r>
    </w:p>
    <w:p w14:paraId="60DDD218" w14:textId="7F864998" w:rsidR="00041B32" w:rsidRPr="00B715E3" w:rsidRDefault="00041B32" w:rsidP="00B715E3">
      <w:pPr>
        <w:spacing w:line="360" w:lineRule="auto"/>
        <w:jc w:val="both"/>
        <w:rPr>
          <w:rFonts w:eastAsia="Calibri"/>
          <w:noProof/>
          <w:lang w:val="es-DO"/>
        </w:rPr>
      </w:pPr>
      <w:r w:rsidRPr="00B715E3">
        <w:rPr>
          <w:rFonts w:eastAsia="Calibri"/>
          <w:noProof/>
          <w:lang w:val="es-DO"/>
        </w:rPr>
        <w:lastRenderedPageBreak/>
        <w:t>Devolución  a Empleadores por pagos en exceso a las AFP:</w:t>
      </w:r>
    </w:p>
    <w:tbl>
      <w:tblPr>
        <w:tblW w:w="8100" w:type="dxa"/>
        <w:jc w:val="center"/>
        <w:tblLook w:val="04A0" w:firstRow="1" w:lastRow="0" w:firstColumn="1" w:lastColumn="0" w:noHBand="0" w:noVBand="1"/>
      </w:tblPr>
      <w:tblGrid>
        <w:gridCol w:w="1440"/>
        <w:gridCol w:w="1266"/>
        <w:gridCol w:w="1434"/>
        <w:gridCol w:w="1440"/>
        <w:gridCol w:w="2520"/>
      </w:tblGrid>
      <w:tr w:rsidR="00041B32" w:rsidRPr="00C571AB" w14:paraId="785574CC" w14:textId="77777777" w:rsidTr="00B715E3">
        <w:trPr>
          <w:trHeight w:val="346"/>
          <w:jc w:val="center"/>
        </w:trPr>
        <w:tc>
          <w:tcPr>
            <w:tcW w:w="1440" w:type="dxa"/>
            <w:vMerge w:val="restart"/>
            <w:tcBorders>
              <w:top w:val="single" w:sz="8" w:space="0" w:color="auto"/>
              <w:left w:val="nil"/>
              <w:bottom w:val="single" w:sz="4" w:space="0" w:color="000000"/>
              <w:right w:val="nil"/>
            </w:tcBorders>
            <w:shd w:val="clear" w:color="000000" w:fill="1F3864"/>
            <w:noWrap/>
            <w:vAlign w:val="center"/>
            <w:hideMark/>
          </w:tcPr>
          <w:p w14:paraId="6A628DD8" w14:textId="1A51DF81" w:rsidR="00041B32" w:rsidRPr="00041B32" w:rsidRDefault="00041B32">
            <w:pPr>
              <w:spacing w:after="0" w:line="240" w:lineRule="auto"/>
              <w:jc w:val="center"/>
              <w:rPr>
                <w:rFonts w:eastAsia="Times New Roman"/>
                <w:color w:val="FFFFFF"/>
                <w:spacing w:val="0"/>
                <w:sz w:val="20"/>
                <w:szCs w:val="20"/>
              </w:rPr>
            </w:pPr>
            <w:r w:rsidRPr="00041B32">
              <w:rPr>
                <w:rFonts w:eastAsia="Times New Roman"/>
                <w:color w:val="FFFFFF"/>
                <w:spacing w:val="0"/>
                <w:sz w:val="20"/>
                <w:szCs w:val="20"/>
                <w:lang w:val="es-DO"/>
              </w:rPr>
              <w:t xml:space="preserve">Enero - </w:t>
            </w:r>
            <w:r w:rsidR="00D45FD9">
              <w:rPr>
                <w:rFonts w:eastAsia="Times New Roman"/>
                <w:color w:val="FFFFFF"/>
                <w:spacing w:val="0"/>
                <w:sz w:val="20"/>
                <w:szCs w:val="20"/>
                <w:lang w:val="es-DO"/>
              </w:rPr>
              <w:t>Diciembre</w:t>
            </w:r>
          </w:p>
        </w:tc>
        <w:tc>
          <w:tcPr>
            <w:tcW w:w="1266" w:type="dxa"/>
            <w:tcBorders>
              <w:top w:val="single" w:sz="8" w:space="0" w:color="auto"/>
              <w:left w:val="single" w:sz="8" w:space="0" w:color="auto"/>
              <w:bottom w:val="single" w:sz="8" w:space="0" w:color="auto"/>
              <w:right w:val="single" w:sz="8" w:space="0" w:color="auto"/>
            </w:tcBorders>
            <w:shd w:val="clear" w:color="000000" w:fill="1F3864"/>
            <w:noWrap/>
            <w:vAlign w:val="center"/>
            <w:hideMark/>
          </w:tcPr>
          <w:p w14:paraId="61E874AE" w14:textId="77777777" w:rsidR="00041B32" w:rsidRPr="00B715E3" w:rsidRDefault="00041B32">
            <w:pPr>
              <w:spacing w:after="0" w:line="240" w:lineRule="auto"/>
              <w:jc w:val="center"/>
              <w:rPr>
                <w:rFonts w:eastAsia="Times New Roman"/>
                <w:b/>
                <w:bCs/>
                <w:color w:val="FFFFFF"/>
                <w:spacing w:val="0"/>
                <w:sz w:val="20"/>
                <w:szCs w:val="20"/>
              </w:rPr>
            </w:pPr>
            <w:r w:rsidRPr="00B715E3">
              <w:rPr>
                <w:rFonts w:eastAsia="Times New Roman"/>
                <w:b/>
                <w:bCs/>
                <w:color w:val="FFFFFF"/>
                <w:spacing w:val="0"/>
                <w:sz w:val="20"/>
                <w:szCs w:val="20"/>
                <w:lang w:val="es-DO"/>
              </w:rPr>
              <w:t>2024</w:t>
            </w:r>
          </w:p>
        </w:tc>
        <w:tc>
          <w:tcPr>
            <w:tcW w:w="1434" w:type="dxa"/>
            <w:tcBorders>
              <w:top w:val="single" w:sz="8" w:space="0" w:color="auto"/>
              <w:left w:val="nil"/>
              <w:bottom w:val="single" w:sz="8" w:space="0" w:color="auto"/>
              <w:right w:val="single" w:sz="8" w:space="0" w:color="auto"/>
            </w:tcBorders>
            <w:shd w:val="clear" w:color="000000" w:fill="1F3864"/>
            <w:noWrap/>
            <w:vAlign w:val="center"/>
            <w:hideMark/>
          </w:tcPr>
          <w:p w14:paraId="2DD10F8E" w14:textId="77777777" w:rsidR="00041B32" w:rsidRPr="00B715E3" w:rsidRDefault="00041B32">
            <w:pPr>
              <w:spacing w:after="0" w:line="240" w:lineRule="auto"/>
              <w:jc w:val="center"/>
              <w:rPr>
                <w:rFonts w:eastAsia="Times New Roman"/>
                <w:b/>
                <w:bCs/>
                <w:color w:val="FFFFFF"/>
                <w:spacing w:val="0"/>
                <w:sz w:val="20"/>
                <w:szCs w:val="20"/>
              </w:rPr>
            </w:pPr>
            <w:r w:rsidRPr="00B715E3">
              <w:rPr>
                <w:rFonts w:eastAsia="Times New Roman"/>
                <w:b/>
                <w:bCs/>
                <w:color w:val="FFFFFF"/>
                <w:spacing w:val="0"/>
                <w:sz w:val="20"/>
                <w:szCs w:val="20"/>
                <w:lang w:val="es-DO"/>
              </w:rPr>
              <w:t>2023</w:t>
            </w:r>
          </w:p>
        </w:tc>
        <w:tc>
          <w:tcPr>
            <w:tcW w:w="1440" w:type="dxa"/>
            <w:tcBorders>
              <w:top w:val="single" w:sz="8" w:space="0" w:color="auto"/>
              <w:left w:val="nil"/>
              <w:bottom w:val="single" w:sz="8" w:space="0" w:color="auto"/>
              <w:right w:val="single" w:sz="8" w:space="0" w:color="auto"/>
            </w:tcBorders>
            <w:shd w:val="clear" w:color="000000" w:fill="1F3864"/>
            <w:noWrap/>
            <w:vAlign w:val="center"/>
            <w:hideMark/>
          </w:tcPr>
          <w:p w14:paraId="484E73FB" w14:textId="77777777" w:rsidR="00041B32" w:rsidRPr="00B715E3" w:rsidRDefault="00041B32">
            <w:pPr>
              <w:spacing w:after="0" w:line="240" w:lineRule="auto"/>
              <w:jc w:val="center"/>
              <w:rPr>
                <w:rFonts w:eastAsia="Times New Roman"/>
                <w:b/>
                <w:bCs/>
                <w:color w:val="FFFFFF"/>
                <w:spacing w:val="0"/>
                <w:sz w:val="20"/>
                <w:szCs w:val="20"/>
              </w:rPr>
            </w:pPr>
            <w:r w:rsidRPr="00B715E3">
              <w:rPr>
                <w:rFonts w:eastAsia="Times New Roman"/>
                <w:b/>
                <w:bCs/>
                <w:color w:val="FFFFFF"/>
                <w:spacing w:val="0"/>
                <w:sz w:val="20"/>
                <w:szCs w:val="20"/>
                <w:lang w:val="es-DO"/>
              </w:rPr>
              <w:t>Variación</w:t>
            </w:r>
          </w:p>
        </w:tc>
        <w:tc>
          <w:tcPr>
            <w:tcW w:w="2520" w:type="dxa"/>
            <w:tcBorders>
              <w:top w:val="single" w:sz="8" w:space="0" w:color="auto"/>
              <w:left w:val="nil"/>
              <w:bottom w:val="single" w:sz="8" w:space="0" w:color="auto"/>
              <w:right w:val="single" w:sz="8" w:space="0" w:color="auto"/>
            </w:tcBorders>
            <w:shd w:val="clear" w:color="000000" w:fill="1F3864"/>
            <w:noWrap/>
            <w:vAlign w:val="center"/>
            <w:hideMark/>
          </w:tcPr>
          <w:p w14:paraId="04C44346" w14:textId="77777777" w:rsidR="00041B32" w:rsidRPr="00B715E3" w:rsidRDefault="00041B32">
            <w:pPr>
              <w:spacing w:after="0" w:line="240" w:lineRule="auto"/>
              <w:jc w:val="center"/>
              <w:rPr>
                <w:rFonts w:eastAsia="Times New Roman"/>
                <w:b/>
                <w:bCs/>
                <w:color w:val="FFFFFF"/>
                <w:spacing w:val="0"/>
                <w:sz w:val="20"/>
                <w:szCs w:val="20"/>
              </w:rPr>
            </w:pPr>
            <w:r w:rsidRPr="00B715E3">
              <w:rPr>
                <w:rFonts w:eastAsia="Times New Roman"/>
                <w:b/>
                <w:bCs/>
                <w:color w:val="FFFFFF"/>
                <w:spacing w:val="0"/>
                <w:sz w:val="20"/>
                <w:szCs w:val="20"/>
                <w:lang w:val="es-DO"/>
              </w:rPr>
              <w:t>%</w:t>
            </w:r>
          </w:p>
        </w:tc>
      </w:tr>
      <w:tr w:rsidR="00041B32" w:rsidRPr="00C571AB" w14:paraId="724FBC10" w14:textId="77777777" w:rsidTr="00B715E3">
        <w:trPr>
          <w:trHeight w:val="330"/>
          <w:jc w:val="center"/>
        </w:trPr>
        <w:tc>
          <w:tcPr>
            <w:tcW w:w="1440" w:type="dxa"/>
            <w:vMerge/>
            <w:tcBorders>
              <w:top w:val="single" w:sz="8" w:space="0" w:color="auto"/>
              <w:left w:val="nil"/>
              <w:bottom w:val="single" w:sz="4" w:space="0" w:color="000000"/>
              <w:right w:val="nil"/>
            </w:tcBorders>
            <w:vAlign w:val="center"/>
            <w:hideMark/>
          </w:tcPr>
          <w:p w14:paraId="016EA1EF" w14:textId="77777777" w:rsidR="00041B32" w:rsidRPr="00041B32" w:rsidRDefault="00041B32">
            <w:pPr>
              <w:spacing w:after="0" w:line="240" w:lineRule="auto"/>
              <w:rPr>
                <w:rFonts w:eastAsia="Times New Roman"/>
                <w:color w:val="FFFFFF"/>
                <w:spacing w:val="0"/>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70FFD" w14:textId="35AE07A3" w:rsidR="00041B32" w:rsidRPr="00041B32" w:rsidRDefault="00D45FD9">
            <w:pPr>
              <w:spacing w:after="0" w:line="240" w:lineRule="auto"/>
              <w:jc w:val="right"/>
              <w:rPr>
                <w:rFonts w:eastAsia="Times New Roman"/>
                <w:spacing w:val="0"/>
                <w:sz w:val="20"/>
                <w:szCs w:val="20"/>
              </w:rPr>
            </w:pPr>
            <w:r>
              <w:rPr>
                <w:rFonts w:eastAsia="Times New Roman"/>
                <w:spacing w:val="0"/>
                <w:sz w:val="20"/>
                <w:szCs w:val="20"/>
              </w:rPr>
              <w:t>3,024,021.48</w:t>
            </w:r>
          </w:p>
        </w:tc>
        <w:tc>
          <w:tcPr>
            <w:tcW w:w="1434" w:type="dxa"/>
            <w:tcBorders>
              <w:top w:val="single" w:sz="4" w:space="0" w:color="auto"/>
              <w:left w:val="nil"/>
              <w:bottom w:val="single" w:sz="4" w:space="0" w:color="auto"/>
              <w:right w:val="single" w:sz="4" w:space="0" w:color="auto"/>
            </w:tcBorders>
            <w:shd w:val="clear" w:color="auto" w:fill="auto"/>
            <w:vAlign w:val="center"/>
            <w:hideMark/>
          </w:tcPr>
          <w:p w14:paraId="1D3D1F4D" w14:textId="28221AC2" w:rsidR="00041B32" w:rsidRPr="00041B32" w:rsidRDefault="00D45FD9">
            <w:pPr>
              <w:spacing w:after="0" w:line="240" w:lineRule="auto"/>
              <w:jc w:val="right"/>
              <w:rPr>
                <w:rFonts w:eastAsia="Times New Roman"/>
                <w:spacing w:val="0"/>
                <w:sz w:val="20"/>
                <w:szCs w:val="20"/>
              </w:rPr>
            </w:pPr>
            <w:r>
              <w:rPr>
                <w:rFonts w:eastAsia="Times New Roman"/>
                <w:spacing w:val="0"/>
                <w:sz w:val="20"/>
                <w:szCs w:val="20"/>
              </w:rPr>
              <w:t>17,428,853.47</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4CE68967" w14:textId="7D7CDC54" w:rsidR="00041B32" w:rsidRPr="00041B32" w:rsidRDefault="00041B32">
            <w:pPr>
              <w:spacing w:after="0" w:line="240" w:lineRule="auto"/>
              <w:jc w:val="right"/>
              <w:rPr>
                <w:rFonts w:eastAsia="Times New Roman"/>
                <w:spacing w:val="0"/>
                <w:sz w:val="20"/>
                <w:szCs w:val="20"/>
              </w:rPr>
            </w:pPr>
            <w:r w:rsidRPr="00041B32">
              <w:rPr>
                <w:rFonts w:eastAsia="Times New Roman"/>
                <w:spacing w:val="0"/>
                <w:sz w:val="20"/>
                <w:szCs w:val="20"/>
                <w:lang w:val="es-ES"/>
              </w:rPr>
              <w:t>-14,</w:t>
            </w:r>
            <w:r w:rsidR="00D45FD9">
              <w:rPr>
                <w:rFonts w:eastAsia="Times New Roman"/>
                <w:spacing w:val="0"/>
                <w:sz w:val="20"/>
                <w:szCs w:val="20"/>
                <w:lang w:val="es-ES"/>
              </w:rPr>
              <w:t>404,831.99</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43320DFF" w14:textId="3093613E" w:rsidR="00041B32" w:rsidRPr="00041B32" w:rsidRDefault="00041B32">
            <w:pPr>
              <w:spacing w:after="0" w:line="240" w:lineRule="auto"/>
              <w:jc w:val="center"/>
              <w:rPr>
                <w:rFonts w:eastAsia="Times New Roman"/>
                <w:spacing w:val="0"/>
                <w:sz w:val="20"/>
                <w:szCs w:val="20"/>
              </w:rPr>
            </w:pPr>
            <w:r w:rsidRPr="00041B32">
              <w:rPr>
                <w:rFonts w:eastAsia="Times New Roman"/>
                <w:spacing w:val="0"/>
                <w:sz w:val="20"/>
                <w:szCs w:val="20"/>
                <w:lang w:val="es-ES"/>
              </w:rPr>
              <w:t>-82.</w:t>
            </w:r>
            <w:r w:rsidR="00D45FD9">
              <w:rPr>
                <w:rFonts w:eastAsia="Times New Roman"/>
                <w:spacing w:val="0"/>
                <w:sz w:val="20"/>
                <w:szCs w:val="20"/>
                <w:lang w:val="es-ES"/>
              </w:rPr>
              <w:t>65</w:t>
            </w:r>
          </w:p>
        </w:tc>
      </w:tr>
    </w:tbl>
    <w:p w14:paraId="2141446B" w14:textId="2349A46F" w:rsidR="00B86835" w:rsidRPr="000F57D8" w:rsidRDefault="000F57D8" w:rsidP="00B715E3">
      <w:pPr>
        <w:spacing w:line="360" w:lineRule="auto"/>
        <w:ind w:left="-90"/>
        <w:jc w:val="both"/>
        <w:rPr>
          <w:rFonts w:eastAsia="Calibri"/>
          <w:noProof/>
          <w:sz w:val="18"/>
          <w:szCs w:val="18"/>
          <w:lang w:val="es-ES"/>
        </w:rPr>
      </w:pPr>
      <w:r w:rsidRPr="000F57D8">
        <w:rPr>
          <w:rFonts w:eastAsia="Calibri"/>
          <w:b/>
          <w:bCs/>
          <w:noProof/>
          <w:sz w:val="18"/>
          <w:szCs w:val="18"/>
          <w:lang w:val="es-ES"/>
        </w:rPr>
        <w:t>Tabla 8:</w:t>
      </w:r>
      <w:r w:rsidRPr="000F57D8">
        <w:rPr>
          <w:rFonts w:eastAsia="Calibri"/>
          <w:noProof/>
          <w:sz w:val="18"/>
          <w:szCs w:val="18"/>
          <w:lang w:val="es-ES"/>
        </w:rPr>
        <w:t xml:space="preserve"> Devolución de aportes pagos enexcesos AFP</w:t>
      </w:r>
    </w:p>
    <w:p w14:paraId="267ED7FF" w14:textId="77777777" w:rsidR="00041B32" w:rsidRDefault="00041B32" w:rsidP="006E54BF">
      <w:pPr>
        <w:pStyle w:val="xxmsonormal"/>
        <w:rPr>
          <w:rFonts w:ascii="Times New Roman" w:eastAsia="Calibri" w:hAnsi="Times New Roman" w:cs="Times New Roman"/>
          <w:noProof/>
          <w:color w:val="767171"/>
          <w:spacing w:val="20"/>
          <w:sz w:val="24"/>
          <w:szCs w:val="24"/>
          <w:lang w:val="es-ES" w:eastAsia="en-US"/>
        </w:rPr>
      </w:pPr>
      <w:r w:rsidRPr="00643425">
        <w:rPr>
          <w:rFonts w:ascii="Times New Roman" w:eastAsia="Calibri" w:hAnsi="Times New Roman" w:cs="Times New Roman"/>
          <w:noProof/>
          <w:color w:val="767171"/>
          <w:spacing w:val="20"/>
          <w:sz w:val="24"/>
          <w:szCs w:val="24"/>
          <w:lang w:val="es-ES" w:eastAsia="en-US"/>
        </w:rPr>
        <w:t>Devolución de Aportes SFS Pensionados:</w:t>
      </w:r>
    </w:p>
    <w:p w14:paraId="2926C045" w14:textId="77777777" w:rsidR="00041B32" w:rsidRDefault="00041B32" w:rsidP="00041B32">
      <w:pPr>
        <w:pStyle w:val="xxmsonormal"/>
        <w:jc w:val="center"/>
        <w:rPr>
          <w:rFonts w:ascii="Times New Roman" w:eastAsia="Calibri" w:hAnsi="Times New Roman" w:cs="Times New Roman"/>
          <w:noProof/>
          <w:color w:val="767171"/>
          <w:spacing w:val="20"/>
          <w:sz w:val="24"/>
          <w:szCs w:val="24"/>
          <w:lang w:val="es-ES" w:eastAsia="en-US"/>
        </w:rPr>
      </w:pPr>
    </w:p>
    <w:tbl>
      <w:tblPr>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607"/>
        <w:gridCol w:w="1497"/>
        <w:gridCol w:w="1309"/>
        <w:gridCol w:w="2022"/>
      </w:tblGrid>
      <w:tr w:rsidR="00041B32" w:rsidRPr="00C571AB" w14:paraId="7E943F0A" w14:textId="77777777" w:rsidTr="00CB7EEC">
        <w:trPr>
          <w:trHeight w:val="336"/>
          <w:tblHeader/>
          <w:jc w:val="center"/>
        </w:trPr>
        <w:tc>
          <w:tcPr>
            <w:tcW w:w="1565" w:type="dxa"/>
            <w:shd w:val="clear" w:color="000000" w:fill="1F3864"/>
            <w:noWrap/>
            <w:vAlign w:val="center"/>
            <w:hideMark/>
          </w:tcPr>
          <w:p w14:paraId="66199B97" w14:textId="77777777" w:rsidR="00041B32" w:rsidRPr="00B715E3" w:rsidRDefault="00041B32">
            <w:pPr>
              <w:spacing w:after="0" w:line="240" w:lineRule="auto"/>
              <w:jc w:val="center"/>
              <w:rPr>
                <w:rFonts w:eastAsia="Times New Roman"/>
                <w:b/>
                <w:bCs/>
                <w:color w:val="FFFFFF" w:themeColor="background1"/>
                <w:spacing w:val="0"/>
                <w:sz w:val="20"/>
                <w:szCs w:val="20"/>
                <w:lang w:val="es-ES"/>
              </w:rPr>
            </w:pPr>
            <w:r w:rsidRPr="00B715E3">
              <w:rPr>
                <w:rFonts w:eastAsia="Times New Roman"/>
                <w:b/>
                <w:bCs/>
                <w:color w:val="FFFFFF" w:themeColor="background1"/>
                <w:spacing w:val="0"/>
                <w:sz w:val="20"/>
                <w:szCs w:val="20"/>
                <w:lang w:val="es-ES"/>
              </w:rPr>
              <w:t xml:space="preserve">Detalles </w:t>
            </w:r>
          </w:p>
        </w:tc>
        <w:tc>
          <w:tcPr>
            <w:tcW w:w="1607" w:type="dxa"/>
            <w:shd w:val="clear" w:color="000000" w:fill="1F3864"/>
            <w:noWrap/>
            <w:vAlign w:val="center"/>
            <w:hideMark/>
          </w:tcPr>
          <w:p w14:paraId="7F72DD9F" w14:textId="77777777" w:rsidR="00041B32" w:rsidRPr="00B715E3" w:rsidRDefault="00041B32">
            <w:pPr>
              <w:spacing w:after="0" w:line="240" w:lineRule="auto"/>
              <w:jc w:val="center"/>
              <w:rPr>
                <w:rFonts w:eastAsia="Times New Roman"/>
                <w:b/>
                <w:bCs/>
                <w:color w:val="FFFFFF" w:themeColor="background1"/>
                <w:spacing w:val="0"/>
                <w:sz w:val="20"/>
                <w:szCs w:val="20"/>
                <w:lang w:val="es-ES"/>
              </w:rPr>
            </w:pPr>
            <w:r w:rsidRPr="00B715E3">
              <w:rPr>
                <w:rFonts w:eastAsia="Times New Roman"/>
                <w:b/>
                <w:bCs/>
                <w:color w:val="FFFFFF" w:themeColor="background1"/>
                <w:spacing w:val="0"/>
                <w:sz w:val="20"/>
                <w:szCs w:val="20"/>
                <w:lang w:val="es-ES"/>
              </w:rPr>
              <w:t>2024</w:t>
            </w:r>
          </w:p>
        </w:tc>
        <w:tc>
          <w:tcPr>
            <w:tcW w:w="1497" w:type="dxa"/>
            <w:shd w:val="clear" w:color="000000" w:fill="1F3864"/>
            <w:noWrap/>
            <w:vAlign w:val="center"/>
            <w:hideMark/>
          </w:tcPr>
          <w:p w14:paraId="74AD20EF" w14:textId="77777777" w:rsidR="00041B32" w:rsidRPr="00B715E3" w:rsidRDefault="00041B32">
            <w:pPr>
              <w:spacing w:after="0" w:line="240" w:lineRule="auto"/>
              <w:jc w:val="center"/>
              <w:rPr>
                <w:rFonts w:eastAsia="Times New Roman"/>
                <w:b/>
                <w:bCs/>
                <w:color w:val="FFFFFF" w:themeColor="background1"/>
                <w:spacing w:val="0"/>
                <w:sz w:val="20"/>
                <w:szCs w:val="20"/>
                <w:lang w:val="es-ES"/>
              </w:rPr>
            </w:pPr>
            <w:r w:rsidRPr="00B715E3">
              <w:rPr>
                <w:rFonts w:eastAsia="Times New Roman"/>
                <w:b/>
                <w:bCs/>
                <w:color w:val="FFFFFF" w:themeColor="background1"/>
                <w:spacing w:val="0"/>
                <w:sz w:val="20"/>
                <w:szCs w:val="20"/>
                <w:lang w:val="es-ES"/>
              </w:rPr>
              <w:t>2023</w:t>
            </w:r>
          </w:p>
        </w:tc>
        <w:tc>
          <w:tcPr>
            <w:tcW w:w="1309" w:type="dxa"/>
            <w:shd w:val="clear" w:color="000000" w:fill="1F3864"/>
            <w:noWrap/>
            <w:vAlign w:val="center"/>
            <w:hideMark/>
          </w:tcPr>
          <w:p w14:paraId="30D55A8D" w14:textId="77777777" w:rsidR="00041B32" w:rsidRPr="00B715E3" w:rsidRDefault="00041B32">
            <w:pPr>
              <w:spacing w:after="0" w:line="240" w:lineRule="auto"/>
              <w:jc w:val="center"/>
              <w:rPr>
                <w:rFonts w:eastAsia="Times New Roman"/>
                <w:b/>
                <w:bCs/>
                <w:color w:val="FFFFFF" w:themeColor="background1"/>
                <w:spacing w:val="0"/>
                <w:sz w:val="20"/>
                <w:szCs w:val="20"/>
                <w:lang w:val="es-ES"/>
              </w:rPr>
            </w:pPr>
            <w:r w:rsidRPr="00B715E3">
              <w:rPr>
                <w:rFonts w:eastAsia="Times New Roman"/>
                <w:b/>
                <w:bCs/>
                <w:color w:val="FFFFFF" w:themeColor="background1"/>
                <w:spacing w:val="0"/>
                <w:sz w:val="20"/>
                <w:szCs w:val="20"/>
                <w:lang w:val="es-ES"/>
              </w:rPr>
              <w:t>Variación</w:t>
            </w:r>
          </w:p>
        </w:tc>
        <w:tc>
          <w:tcPr>
            <w:tcW w:w="2022" w:type="dxa"/>
            <w:shd w:val="clear" w:color="000000" w:fill="1F3864"/>
            <w:noWrap/>
            <w:vAlign w:val="center"/>
            <w:hideMark/>
          </w:tcPr>
          <w:p w14:paraId="03FF9217" w14:textId="77777777" w:rsidR="00041B32" w:rsidRPr="00B715E3" w:rsidRDefault="00041B32">
            <w:pPr>
              <w:spacing w:after="0" w:line="240" w:lineRule="auto"/>
              <w:jc w:val="center"/>
              <w:rPr>
                <w:rFonts w:eastAsia="Times New Roman"/>
                <w:b/>
                <w:bCs/>
                <w:color w:val="FFFFFF" w:themeColor="background1"/>
                <w:spacing w:val="0"/>
                <w:sz w:val="20"/>
                <w:szCs w:val="20"/>
                <w:lang w:val="es-ES"/>
              </w:rPr>
            </w:pPr>
            <w:r w:rsidRPr="00B715E3">
              <w:rPr>
                <w:rFonts w:eastAsia="Times New Roman"/>
                <w:b/>
                <w:bCs/>
                <w:color w:val="FFFFFF" w:themeColor="background1"/>
                <w:spacing w:val="0"/>
                <w:sz w:val="20"/>
                <w:szCs w:val="20"/>
                <w:lang w:val="es-ES"/>
              </w:rPr>
              <w:t>%</w:t>
            </w:r>
          </w:p>
        </w:tc>
      </w:tr>
      <w:tr w:rsidR="00041B32" w:rsidRPr="00C571AB" w14:paraId="24E6FAC6" w14:textId="77777777" w:rsidTr="00CB7EEC">
        <w:trPr>
          <w:trHeight w:val="536"/>
          <w:jc w:val="center"/>
        </w:trPr>
        <w:tc>
          <w:tcPr>
            <w:tcW w:w="1565" w:type="dxa"/>
            <w:shd w:val="clear" w:color="auto" w:fill="auto"/>
            <w:vAlign w:val="center"/>
            <w:hideMark/>
          </w:tcPr>
          <w:p w14:paraId="184355CD" w14:textId="77777777" w:rsidR="00041B32" w:rsidRPr="00041B32" w:rsidRDefault="00041B32">
            <w:pPr>
              <w:spacing w:after="0" w:line="240" w:lineRule="auto"/>
              <w:jc w:val="center"/>
              <w:rPr>
                <w:rFonts w:eastAsia="Times New Roman"/>
                <w:spacing w:val="0"/>
                <w:sz w:val="20"/>
                <w:szCs w:val="20"/>
                <w:lang w:val="es-ES"/>
              </w:rPr>
            </w:pPr>
            <w:r w:rsidRPr="00041B32">
              <w:rPr>
                <w:rFonts w:eastAsia="Times New Roman"/>
                <w:spacing w:val="0"/>
                <w:sz w:val="20"/>
                <w:szCs w:val="20"/>
                <w:lang w:val="es-ES"/>
              </w:rPr>
              <w:t xml:space="preserve">Pensionados y Jubilados P. N. </w:t>
            </w:r>
          </w:p>
        </w:tc>
        <w:tc>
          <w:tcPr>
            <w:tcW w:w="1607" w:type="dxa"/>
            <w:shd w:val="clear" w:color="auto" w:fill="auto"/>
            <w:noWrap/>
            <w:vAlign w:val="center"/>
            <w:hideMark/>
          </w:tcPr>
          <w:p w14:paraId="6A3F53FD" w14:textId="1918E7F7" w:rsidR="00041B32" w:rsidRPr="00041B32" w:rsidRDefault="00D94E44">
            <w:pPr>
              <w:spacing w:after="0" w:line="240" w:lineRule="auto"/>
              <w:jc w:val="right"/>
              <w:rPr>
                <w:rFonts w:eastAsia="Times New Roman"/>
                <w:spacing w:val="0"/>
                <w:sz w:val="20"/>
                <w:szCs w:val="20"/>
                <w:lang w:val="es-ES"/>
              </w:rPr>
            </w:pPr>
            <w:r>
              <w:rPr>
                <w:rFonts w:eastAsia="Times New Roman"/>
                <w:spacing w:val="0"/>
                <w:sz w:val="20"/>
                <w:szCs w:val="20"/>
                <w:lang w:val="es-ES"/>
              </w:rPr>
              <w:t>1,996,714.45</w:t>
            </w:r>
          </w:p>
        </w:tc>
        <w:tc>
          <w:tcPr>
            <w:tcW w:w="1497" w:type="dxa"/>
            <w:shd w:val="clear" w:color="auto" w:fill="auto"/>
            <w:noWrap/>
            <w:vAlign w:val="center"/>
            <w:hideMark/>
          </w:tcPr>
          <w:p w14:paraId="1A860BCC" w14:textId="6F99DE3D" w:rsidR="00041B32" w:rsidRPr="00041B32" w:rsidRDefault="00D94E44">
            <w:pPr>
              <w:spacing w:after="0" w:line="240" w:lineRule="auto"/>
              <w:jc w:val="right"/>
              <w:rPr>
                <w:rFonts w:eastAsia="Times New Roman"/>
                <w:spacing w:val="0"/>
                <w:sz w:val="20"/>
                <w:szCs w:val="20"/>
                <w:lang w:val="es-ES"/>
              </w:rPr>
            </w:pPr>
            <w:r>
              <w:rPr>
                <w:rFonts w:eastAsia="Times New Roman"/>
                <w:spacing w:val="0"/>
                <w:sz w:val="20"/>
                <w:szCs w:val="20"/>
                <w:lang w:val="es-ES"/>
              </w:rPr>
              <w:t>1,374,212.10</w:t>
            </w:r>
          </w:p>
        </w:tc>
        <w:tc>
          <w:tcPr>
            <w:tcW w:w="1309" w:type="dxa"/>
            <w:shd w:val="clear" w:color="auto" w:fill="auto"/>
            <w:noWrap/>
            <w:vAlign w:val="center"/>
            <w:hideMark/>
          </w:tcPr>
          <w:p w14:paraId="237F4064" w14:textId="2E5C55D1" w:rsidR="00041B32" w:rsidRPr="00041B32" w:rsidRDefault="00D94E44">
            <w:pPr>
              <w:spacing w:after="0" w:line="240" w:lineRule="auto"/>
              <w:jc w:val="right"/>
              <w:rPr>
                <w:rFonts w:eastAsia="Times New Roman"/>
                <w:spacing w:val="0"/>
                <w:sz w:val="20"/>
                <w:szCs w:val="20"/>
                <w:lang w:val="es-ES"/>
              </w:rPr>
            </w:pPr>
            <w:r>
              <w:rPr>
                <w:rFonts w:eastAsia="Times New Roman"/>
                <w:spacing w:val="0"/>
                <w:sz w:val="20"/>
                <w:szCs w:val="20"/>
                <w:lang w:val="es-ES"/>
              </w:rPr>
              <w:t>622,502.35</w:t>
            </w:r>
          </w:p>
        </w:tc>
        <w:tc>
          <w:tcPr>
            <w:tcW w:w="2022" w:type="dxa"/>
            <w:shd w:val="clear" w:color="auto" w:fill="auto"/>
            <w:noWrap/>
            <w:vAlign w:val="center"/>
            <w:hideMark/>
          </w:tcPr>
          <w:p w14:paraId="63D60768" w14:textId="766D8960" w:rsidR="00041B32" w:rsidRPr="00041B32" w:rsidRDefault="00041B32">
            <w:pPr>
              <w:spacing w:after="0" w:line="240" w:lineRule="auto"/>
              <w:jc w:val="center"/>
              <w:rPr>
                <w:rFonts w:eastAsia="Times New Roman"/>
                <w:spacing w:val="0"/>
                <w:sz w:val="20"/>
                <w:szCs w:val="20"/>
                <w:lang w:val="es-ES"/>
              </w:rPr>
            </w:pPr>
            <w:r w:rsidRPr="00041B32">
              <w:rPr>
                <w:rFonts w:eastAsia="Times New Roman"/>
                <w:spacing w:val="0"/>
                <w:sz w:val="20"/>
                <w:szCs w:val="20"/>
                <w:lang w:val="es-ES"/>
              </w:rPr>
              <w:t>4</w:t>
            </w:r>
            <w:r w:rsidR="00D94E44">
              <w:rPr>
                <w:rFonts w:eastAsia="Times New Roman"/>
                <w:spacing w:val="0"/>
                <w:sz w:val="20"/>
                <w:szCs w:val="20"/>
                <w:lang w:val="es-ES"/>
              </w:rPr>
              <w:t>5</w:t>
            </w:r>
            <w:r w:rsidRPr="00041B32">
              <w:rPr>
                <w:rFonts w:eastAsia="Times New Roman"/>
                <w:spacing w:val="0"/>
                <w:sz w:val="20"/>
                <w:szCs w:val="20"/>
                <w:lang w:val="es-ES"/>
              </w:rPr>
              <w:t>.</w:t>
            </w:r>
            <w:r w:rsidR="00D94E44">
              <w:rPr>
                <w:rFonts w:eastAsia="Times New Roman"/>
                <w:spacing w:val="0"/>
                <w:sz w:val="20"/>
                <w:szCs w:val="20"/>
                <w:lang w:val="es-ES"/>
              </w:rPr>
              <w:t>30</w:t>
            </w:r>
            <w:r w:rsidRPr="00041B32">
              <w:rPr>
                <w:rFonts w:eastAsia="Times New Roman"/>
                <w:spacing w:val="0"/>
                <w:sz w:val="20"/>
                <w:szCs w:val="20"/>
                <w:lang w:val="es-ES"/>
              </w:rPr>
              <w:t>%</w:t>
            </w:r>
          </w:p>
        </w:tc>
      </w:tr>
      <w:tr w:rsidR="00041B32" w:rsidRPr="00C571AB" w14:paraId="50C73215" w14:textId="77777777" w:rsidTr="00CB7EEC">
        <w:trPr>
          <w:trHeight w:val="536"/>
          <w:jc w:val="center"/>
        </w:trPr>
        <w:tc>
          <w:tcPr>
            <w:tcW w:w="1565" w:type="dxa"/>
            <w:shd w:val="clear" w:color="auto" w:fill="auto"/>
            <w:vAlign w:val="center"/>
            <w:hideMark/>
          </w:tcPr>
          <w:p w14:paraId="4C2F372D" w14:textId="77777777" w:rsidR="00041B32" w:rsidRPr="00041B32" w:rsidRDefault="00041B32">
            <w:pPr>
              <w:spacing w:after="0" w:line="240" w:lineRule="auto"/>
              <w:jc w:val="center"/>
              <w:rPr>
                <w:rFonts w:eastAsia="Times New Roman"/>
                <w:spacing w:val="0"/>
                <w:sz w:val="20"/>
                <w:szCs w:val="20"/>
                <w:lang w:val="es-ES"/>
              </w:rPr>
            </w:pPr>
            <w:r w:rsidRPr="00041B32">
              <w:rPr>
                <w:rFonts w:eastAsia="Times New Roman"/>
                <w:spacing w:val="0"/>
                <w:sz w:val="20"/>
                <w:szCs w:val="20"/>
                <w:lang w:val="es-ES"/>
              </w:rPr>
              <w:t xml:space="preserve">Pensionados y Jubilados Sector Salud </w:t>
            </w:r>
          </w:p>
        </w:tc>
        <w:tc>
          <w:tcPr>
            <w:tcW w:w="1607" w:type="dxa"/>
            <w:shd w:val="clear" w:color="auto" w:fill="auto"/>
            <w:noWrap/>
            <w:vAlign w:val="center"/>
            <w:hideMark/>
          </w:tcPr>
          <w:p w14:paraId="4A648A7F" w14:textId="1227A82D" w:rsidR="00041B32" w:rsidRPr="00041B32" w:rsidRDefault="00D94E44">
            <w:pPr>
              <w:spacing w:after="0" w:line="240" w:lineRule="auto"/>
              <w:jc w:val="right"/>
              <w:rPr>
                <w:rFonts w:eastAsia="Times New Roman"/>
                <w:spacing w:val="0"/>
                <w:sz w:val="20"/>
                <w:szCs w:val="20"/>
                <w:lang w:val="es-ES"/>
              </w:rPr>
            </w:pPr>
            <w:r>
              <w:rPr>
                <w:rFonts w:eastAsia="Times New Roman"/>
                <w:spacing w:val="0"/>
                <w:sz w:val="20"/>
                <w:szCs w:val="20"/>
                <w:lang w:val="es-ES"/>
              </w:rPr>
              <w:t>680,781,.82</w:t>
            </w:r>
          </w:p>
        </w:tc>
        <w:tc>
          <w:tcPr>
            <w:tcW w:w="1497" w:type="dxa"/>
            <w:shd w:val="clear" w:color="auto" w:fill="auto"/>
            <w:noWrap/>
            <w:vAlign w:val="center"/>
            <w:hideMark/>
          </w:tcPr>
          <w:p w14:paraId="0E21F91D" w14:textId="5DD85681" w:rsidR="00041B32" w:rsidRPr="00041B32" w:rsidRDefault="00D94E44">
            <w:pPr>
              <w:spacing w:after="0" w:line="240" w:lineRule="auto"/>
              <w:jc w:val="right"/>
              <w:rPr>
                <w:rFonts w:eastAsia="Times New Roman"/>
                <w:spacing w:val="0"/>
                <w:sz w:val="20"/>
                <w:szCs w:val="20"/>
                <w:lang w:val="es-ES"/>
              </w:rPr>
            </w:pPr>
            <w:r>
              <w:rPr>
                <w:rFonts w:eastAsia="Times New Roman"/>
                <w:spacing w:val="0"/>
                <w:sz w:val="20"/>
                <w:szCs w:val="20"/>
                <w:lang w:val="es-ES"/>
              </w:rPr>
              <w:t>577,723.08</w:t>
            </w:r>
          </w:p>
        </w:tc>
        <w:tc>
          <w:tcPr>
            <w:tcW w:w="1309" w:type="dxa"/>
            <w:shd w:val="clear" w:color="auto" w:fill="auto"/>
            <w:noWrap/>
            <w:vAlign w:val="center"/>
            <w:hideMark/>
          </w:tcPr>
          <w:p w14:paraId="485E923F" w14:textId="4A2ADD97" w:rsidR="00041B32" w:rsidRPr="00041B32" w:rsidRDefault="00D94E44">
            <w:pPr>
              <w:spacing w:after="0" w:line="240" w:lineRule="auto"/>
              <w:jc w:val="right"/>
              <w:rPr>
                <w:rFonts w:eastAsia="Times New Roman"/>
                <w:spacing w:val="0"/>
                <w:sz w:val="20"/>
                <w:szCs w:val="20"/>
                <w:lang w:val="es-ES"/>
              </w:rPr>
            </w:pPr>
            <w:r>
              <w:rPr>
                <w:rFonts w:eastAsia="Times New Roman"/>
                <w:spacing w:val="0"/>
                <w:sz w:val="20"/>
                <w:szCs w:val="20"/>
                <w:lang w:val="es-ES"/>
              </w:rPr>
              <w:t>103,058.74</w:t>
            </w:r>
          </w:p>
        </w:tc>
        <w:tc>
          <w:tcPr>
            <w:tcW w:w="2022" w:type="dxa"/>
            <w:shd w:val="clear" w:color="auto" w:fill="auto"/>
            <w:noWrap/>
            <w:vAlign w:val="center"/>
            <w:hideMark/>
          </w:tcPr>
          <w:p w14:paraId="6F1D4404" w14:textId="316C70BD" w:rsidR="00041B32" w:rsidRPr="00041B32" w:rsidRDefault="00D94E44">
            <w:pPr>
              <w:spacing w:after="0" w:line="240" w:lineRule="auto"/>
              <w:jc w:val="center"/>
              <w:rPr>
                <w:rFonts w:eastAsia="Times New Roman"/>
                <w:spacing w:val="0"/>
                <w:sz w:val="20"/>
                <w:szCs w:val="20"/>
                <w:lang w:val="es-ES"/>
              </w:rPr>
            </w:pPr>
            <w:r>
              <w:rPr>
                <w:rFonts w:eastAsia="Times New Roman"/>
                <w:spacing w:val="0"/>
                <w:sz w:val="20"/>
                <w:szCs w:val="20"/>
                <w:lang w:val="es-ES"/>
              </w:rPr>
              <w:t>17.84</w:t>
            </w:r>
            <w:r w:rsidR="00041B32" w:rsidRPr="00041B32">
              <w:rPr>
                <w:rFonts w:eastAsia="Times New Roman"/>
                <w:spacing w:val="0"/>
                <w:sz w:val="20"/>
                <w:szCs w:val="20"/>
                <w:lang w:val="es-ES"/>
              </w:rPr>
              <w:t>%</w:t>
            </w:r>
          </w:p>
        </w:tc>
      </w:tr>
      <w:tr w:rsidR="00041B32" w:rsidRPr="00C571AB" w14:paraId="113C27B9" w14:textId="77777777" w:rsidTr="00CB7EEC">
        <w:trPr>
          <w:trHeight w:val="536"/>
          <w:jc w:val="center"/>
        </w:trPr>
        <w:tc>
          <w:tcPr>
            <w:tcW w:w="1565" w:type="dxa"/>
            <w:shd w:val="clear" w:color="auto" w:fill="auto"/>
            <w:vAlign w:val="center"/>
            <w:hideMark/>
          </w:tcPr>
          <w:p w14:paraId="04D92760" w14:textId="77777777" w:rsidR="00041B32" w:rsidRPr="00041B32" w:rsidRDefault="00041B32">
            <w:pPr>
              <w:spacing w:after="0" w:line="240" w:lineRule="auto"/>
              <w:jc w:val="center"/>
              <w:rPr>
                <w:rFonts w:eastAsia="Times New Roman"/>
                <w:spacing w:val="0"/>
                <w:sz w:val="20"/>
                <w:szCs w:val="20"/>
                <w:lang w:val="es-ES"/>
              </w:rPr>
            </w:pPr>
            <w:r w:rsidRPr="00041B32">
              <w:rPr>
                <w:rFonts w:eastAsia="Times New Roman"/>
                <w:spacing w:val="0"/>
                <w:sz w:val="20"/>
                <w:szCs w:val="20"/>
                <w:lang w:val="es-ES"/>
              </w:rPr>
              <w:t xml:space="preserve">Pensionados y Jubilados del Estado (Decreto 18-19) </w:t>
            </w:r>
          </w:p>
        </w:tc>
        <w:tc>
          <w:tcPr>
            <w:tcW w:w="1607" w:type="dxa"/>
            <w:shd w:val="clear" w:color="auto" w:fill="auto"/>
            <w:noWrap/>
            <w:vAlign w:val="center"/>
            <w:hideMark/>
          </w:tcPr>
          <w:p w14:paraId="19C835E4" w14:textId="0AF05EB7" w:rsidR="00041B32" w:rsidRPr="00041B32" w:rsidRDefault="00D94E44">
            <w:pPr>
              <w:spacing w:after="0" w:line="240" w:lineRule="auto"/>
              <w:jc w:val="right"/>
              <w:rPr>
                <w:rFonts w:eastAsia="Times New Roman"/>
                <w:spacing w:val="0"/>
                <w:sz w:val="20"/>
                <w:szCs w:val="20"/>
                <w:lang w:val="es-ES"/>
              </w:rPr>
            </w:pPr>
            <w:r>
              <w:rPr>
                <w:rFonts w:eastAsia="Times New Roman"/>
                <w:spacing w:val="0"/>
                <w:sz w:val="20"/>
                <w:szCs w:val="20"/>
                <w:lang w:val="es-ES"/>
              </w:rPr>
              <w:t>7,308,540.85</w:t>
            </w:r>
          </w:p>
        </w:tc>
        <w:tc>
          <w:tcPr>
            <w:tcW w:w="1497" w:type="dxa"/>
            <w:shd w:val="clear" w:color="auto" w:fill="auto"/>
            <w:noWrap/>
            <w:vAlign w:val="center"/>
            <w:hideMark/>
          </w:tcPr>
          <w:p w14:paraId="30C81F28" w14:textId="694F8B6A" w:rsidR="00041B32" w:rsidRPr="00041B32" w:rsidRDefault="00041B32">
            <w:pPr>
              <w:spacing w:after="0" w:line="240" w:lineRule="auto"/>
              <w:jc w:val="right"/>
              <w:rPr>
                <w:rFonts w:eastAsia="Times New Roman"/>
                <w:spacing w:val="0"/>
                <w:sz w:val="20"/>
                <w:szCs w:val="20"/>
                <w:lang w:val="es-ES"/>
              </w:rPr>
            </w:pPr>
            <w:r w:rsidRPr="00041B32">
              <w:rPr>
                <w:rFonts w:eastAsia="Times New Roman"/>
                <w:spacing w:val="0"/>
                <w:sz w:val="20"/>
                <w:szCs w:val="20"/>
                <w:lang w:val="es-ES"/>
              </w:rPr>
              <w:t>4,</w:t>
            </w:r>
            <w:r w:rsidR="00D94E44">
              <w:rPr>
                <w:rFonts w:eastAsia="Times New Roman"/>
                <w:spacing w:val="0"/>
                <w:sz w:val="20"/>
                <w:szCs w:val="20"/>
                <w:lang w:val="es-ES"/>
              </w:rPr>
              <w:t>536,420.72</w:t>
            </w:r>
          </w:p>
        </w:tc>
        <w:tc>
          <w:tcPr>
            <w:tcW w:w="1309" w:type="dxa"/>
            <w:shd w:val="clear" w:color="auto" w:fill="auto"/>
            <w:noWrap/>
            <w:vAlign w:val="center"/>
            <w:hideMark/>
          </w:tcPr>
          <w:p w14:paraId="08600545" w14:textId="63B8205F" w:rsidR="00041B32" w:rsidRPr="00041B32" w:rsidRDefault="00D94E44">
            <w:pPr>
              <w:spacing w:after="0" w:line="240" w:lineRule="auto"/>
              <w:jc w:val="right"/>
              <w:rPr>
                <w:rFonts w:eastAsia="Times New Roman"/>
                <w:spacing w:val="0"/>
                <w:sz w:val="20"/>
                <w:szCs w:val="20"/>
                <w:lang w:val="es-ES"/>
              </w:rPr>
            </w:pPr>
            <w:r>
              <w:rPr>
                <w:rFonts w:eastAsia="Times New Roman"/>
                <w:spacing w:val="0"/>
                <w:sz w:val="20"/>
                <w:szCs w:val="20"/>
                <w:lang w:val="es-ES"/>
              </w:rPr>
              <w:t>2,772,120.13</w:t>
            </w:r>
          </w:p>
        </w:tc>
        <w:tc>
          <w:tcPr>
            <w:tcW w:w="2022" w:type="dxa"/>
            <w:shd w:val="clear" w:color="auto" w:fill="auto"/>
            <w:noWrap/>
            <w:vAlign w:val="center"/>
            <w:hideMark/>
          </w:tcPr>
          <w:p w14:paraId="66B6E355" w14:textId="58469131" w:rsidR="00041B32" w:rsidRPr="00041B32" w:rsidRDefault="00D94E44">
            <w:pPr>
              <w:spacing w:after="0" w:line="240" w:lineRule="auto"/>
              <w:jc w:val="center"/>
              <w:rPr>
                <w:rFonts w:eastAsia="Times New Roman"/>
                <w:spacing w:val="0"/>
                <w:sz w:val="20"/>
                <w:szCs w:val="20"/>
                <w:lang w:val="es-ES"/>
              </w:rPr>
            </w:pPr>
            <w:r>
              <w:rPr>
                <w:rFonts w:eastAsia="Times New Roman"/>
                <w:spacing w:val="0"/>
                <w:sz w:val="20"/>
                <w:szCs w:val="20"/>
                <w:lang w:val="es-ES"/>
              </w:rPr>
              <w:t>61.11</w:t>
            </w:r>
            <w:r w:rsidR="00041B32" w:rsidRPr="00041B32">
              <w:rPr>
                <w:rFonts w:eastAsia="Times New Roman"/>
                <w:spacing w:val="0"/>
                <w:sz w:val="20"/>
                <w:szCs w:val="20"/>
                <w:lang w:val="es-ES"/>
              </w:rPr>
              <w:t>%</w:t>
            </w:r>
          </w:p>
        </w:tc>
      </w:tr>
      <w:tr w:rsidR="00041B32" w:rsidRPr="00C571AB" w14:paraId="3F03ACFB" w14:textId="77777777" w:rsidTr="00CB7EEC">
        <w:trPr>
          <w:trHeight w:val="382"/>
          <w:jc w:val="center"/>
        </w:trPr>
        <w:tc>
          <w:tcPr>
            <w:tcW w:w="1565" w:type="dxa"/>
            <w:shd w:val="clear" w:color="auto" w:fill="auto"/>
            <w:noWrap/>
            <w:vAlign w:val="center"/>
            <w:hideMark/>
          </w:tcPr>
          <w:p w14:paraId="4BCC90A4" w14:textId="4AC2AE73" w:rsidR="00041B32" w:rsidRPr="00815618" w:rsidRDefault="00815618">
            <w:pPr>
              <w:spacing w:after="0" w:line="240" w:lineRule="auto"/>
              <w:jc w:val="center"/>
              <w:rPr>
                <w:rFonts w:eastAsia="Times New Roman"/>
                <w:b/>
                <w:bCs/>
                <w:spacing w:val="0"/>
                <w:sz w:val="20"/>
                <w:szCs w:val="20"/>
                <w:lang w:val="es-ES"/>
              </w:rPr>
            </w:pPr>
            <w:r w:rsidRPr="00815618">
              <w:rPr>
                <w:rFonts w:eastAsia="Times New Roman"/>
                <w:b/>
                <w:bCs/>
                <w:spacing w:val="0"/>
                <w:sz w:val="20"/>
                <w:szCs w:val="20"/>
                <w:lang w:val="es-ES"/>
              </w:rPr>
              <w:t xml:space="preserve"> TOTALES </w:t>
            </w:r>
          </w:p>
        </w:tc>
        <w:tc>
          <w:tcPr>
            <w:tcW w:w="1607" w:type="dxa"/>
            <w:shd w:val="clear" w:color="auto" w:fill="auto"/>
            <w:noWrap/>
            <w:vAlign w:val="center"/>
            <w:hideMark/>
          </w:tcPr>
          <w:p w14:paraId="01D5B268" w14:textId="799AF7D6" w:rsidR="00041B32" w:rsidRPr="00815618" w:rsidRDefault="00D94E44">
            <w:pPr>
              <w:spacing w:after="0" w:line="240" w:lineRule="auto"/>
              <w:jc w:val="right"/>
              <w:rPr>
                <w:rFonts w:eastAsia="Times New Roman"/>
                <w:b/>
                <w:bCs/>
                <w:spacing w:val="0"/>
                <w:sz w:val="20"/>
                <w:szCs w:val="20"/>
                <w:lang w:val="es-ES"/>
              </w:rPr>
            </w:pPr>
            <w:r>
              <w:rPr>
                <w:rFonts w:eastAsia="Times New Roman"/>
                <w:b/>
                <w:bCs/>
                <w:spacing w:val="0"/>
                <w:sz w:val="20"/>
                <w:szCs w:val="20"/>
                <w:lang w:val="es-ES"/>
              </w:rPr>
              <w:t>9,986,037.12</w:t>
            </w:r>
          </w:p>
        </w:tc>
        <w:tc>
          <w:tcPr>
            <w:tcW w:w="1497" w:type="dxa"/>
            <w:shd w:val="clear" w:color="auto" w:fill="auto"/>
            <w:noWrap/>
            <w:vAlign w:val="center"/>
            <w:hideMark/>
          </w:tcPr>
          <w:p w14:paraId="7E29F68D" w14:textId="00512FCB" w:rsidR="00041B32" w:rsidRPr="00815618" w:rsidRDefault="00D94E44">
            <w:pPr>
              <w:spacing w:after="0" w:line="240" w:lineRule="auto"/>
              <w:jc w:val="right"/>
              <w:rPr>
                <w:rFonts w:eastAsia="Times New Roman"/>
                <w:b/>
                <w:bCs/>
                <w:spacing w:val="0"/>
                <w:sz w:val="20"/>
                <w:szCs w:val="20"/>
                <w:lang w:val="es-ES"/>
              </w:rPr>
            </w:pPr>
            <w:r>
              <w:rPr>
                <w:rFonts w:eastAsia="Times New Roman"/>
                <w:b/>
                <w:bCs/>
                <w:spacing w:val="0"/>
                <w:sz w:val="20"/>
                <w:szCs w:val="20"/>
                <w:lang w:val="es-ES"/>
              </w:rPr>
              <w:t>6,488,355.90</w:t>
            </w:r>
          </w:p>
        </w:tc>
        <w:tc>
          <w:tcPr>
            <w:tcW w:w="1309" w:type="dxa"/>
            <w:shd w:val="clear" w:color="auto" w:fill="auto"/>
            <w:noWrap/>
            <w:vAlign w:val="center"/>
            <w:hideMark/>
          </w:tcPr>
          <w:p w14:paraId="2AE476F6" w14:textId="01D8563A" w:rsidR="00041B32" w:rsidRPr="00815618" w:rsidRDefault="00D94E44">
            <w:pPr>
              <w:spacing w:after="0" w:line="240" w:lineRule="auto"/>
              <w:jc w:val="right"/>
              <w:rPr>
                <w:rFonts w:eastAsia="Times New Roman"/>
                <w:b/>
                <w:bCs/>
                <w:spacing w:val="0"/>
                <w:sz w:val="20"/>
                <w:szCs w:val="20"/>
                <w:lang w:val="es-ES"/>
              </w:rPr>
            </w:pPr>
            <w:r>
              <w:rPr>
                <w:rFonts w:eastAsia="Times New Roman"/>
                <w:b/>
                <w:bCs/>
                <w:spacing w:val="0"/>
                <w:sz w:val="20"/>
                <w:szCs w:val="20"/>
                <w:lang w:val="es-ES"/>
              </w:rPr>
              <w:t>3,497,681.22</w:t>
            </w:r>
          </w:p>
        </w:tc>
        <w:tc>
          <w:tcPr>
            <w:tcW w:w="2022" w:type="dxa"/>
            <w:shd w:val="clear" w:color="auto" w:fill="auto"/>
            <w:noWrap/>
            <w:vAlign w:val="center"/>
            <w:hideMark/>
          </w:tcPr>
          <w:p w14:paraId="19B48FF7" w14:textId="592BC798" w:rsidR="00041B32" w:rsidRPr="00815618" w:rsidRDefault="00D94E44">
            <w:pPr>
              <w:spacing w:after="0" w:line="240" w:lineRule="auto"/>
              <w:jc w:val="center"/>
              <w:rPr>
                <w:rFonts w:eastAsia="Times New Roman"/>
                <w:b/>
                <w:bCs/>
                <w:spacing w:val="0"/>
                <w:sz w:val="20"/>
                <w:szCs w:val="20"/>
                <w:lang w:val="es-ES"/>
              </w:rPr>
            </w:pPr>
            <w:r>
              <w:rPr>
                <w:rFonts w:eastAsia="Times New Roman"/>
                <w:b/>
                <w:bCs/>
                <w:spacing w:val="0"/>
                <w:sz w:val="20"/>
                <w:szCs w:val="20"/>
                <w:lang w:val="es-ES"/>
              </w:rPr>
              <w:t>53.91</w:t>
            </w:r>
            <w:r w:rsidR="00815618" w:rsidRPr="00815618">
              <w:rPr>
                <w:rFonts w:eastAsia="Times New Roman"/>
                <w:b/>
                <w:bCs/>
                <w:spacing w:val="0"/>
                <w:sz w:val="20"/>
                <w:szCs w:val="20"/>
                <w:lang w:val="es-ES"/>
              </w:rPr>
              <w:t>%</w:t>
            </w:r>
          </w:p>
        </w:tc>
      </w:tr>
    </w:tbl>
    <w:p w14:paraId="688DE45E" w14:textId="63AE8A5F" w:rsidR="00041B32" w:rsidRPr="00041B32" w:rsidRDefault="00041B32" w:rsidP="00815618">
      <w:pPr>
        <w:spacing w:line="360" w:lineRule="auto"/>
        <w:ind w:left="-90"/>
        <w:jc w:val="both"/>
        <w:rPr>
          <w:rFonts w:eastAsia="Calibri"/>
          <w:noProof/>
          <w:sz w:val="20"/>
          <w:szCs w:val="20"/>
          <w:lang w:val="es-ES"/>
        </w:rPr>
      </w:pPr>
      <w:r w:rsidRPr="00643425">
        <w:rPr>
          <w:rFonts w:eastAsia="Calibri"/>
          <w:b/>
          <w:bCs/>
          <w:noProof/>
          <w:sz w:val="18"/>
          <w:szCs w:val="18"/>
          <w:lang w:val="es-ES"/>
        </w:rPr>
        <w:t>Tabl</w:t>
      </w:r>
      <w:r>
        <w:rPr>
          <w:rFonts w:eastAsia="Calibri"/>
          <w:b/>
          <w:bCs/>
          <w:noProof/>
          <w:sz w:val="18"/>
          <w:szCs w:val="18"/>
          <w:lang w:val="es-ES"/>
        </w:rPr>
        <w:t>a</w:t>
      </w:r>
      <w:r w:rsidRPr="00643425">
        <w:rPr>
          <w:rFonts w:eastAsia="Calibri"/>
          <w:b/>
          <w:bCs/>
          <w:noProof/>
          <w:sz w:val="18"/>
          <w:szCs w:val="18"/>
          <w:lang w:val="es-ES"/>
        </w:rPr>
        <w:t xml:space="preserve"> </w:t>
      </w:r>
      <w:r>
        <w:rPr>
          <w:rFonts w:eastAsia="Calibri"/>
          <w:b/>
          <w:bCs/>
          <w:noProof/>
          <w:sz w:val="18"/>
          <w:szCs w:val="18"/>
          <w:lang w:val="es-ES"/>
        </w:rPr>
        <w:t>9</w:t>
      </w:r>
      <w:r w:rsidRPr="00643425">
        <w:rPr>
          <w:rFonts w:eastAsia="Calibri"/>
          <w:b/>
          <w:bCs/>
          <w:noProof/>
          <w:sz w:val="18"/>
          <w:szCs w:val="18"/>
          <w:lang w:val="es-ES"/>
        </w:rPr>
        <w:t xml:space="preserve">: </w:t>
      </w:r>
      <w:r w:rsidRPr="00643425">
        <w:rPr>
          <w:rFonts w:eastAsia="Calibri"/>
          <w:noProof/>
          <w:sz w:val="18"/>
          <w:szCs w:val="18"/>
          <w:lang w:val="es-ES"/>
        </w:rPr>
        <w:t>Devolución de Aportes SFS enero-</w:t>
      </w:r>
      <w:r w:rsidR="00C50277">
        <w:rPr>
          <w:rFonts w:eastAsia="Calibri"/>
          <w:noProof/>
          <w:sz w:val="18"/>
          <w:szCs w:val="18"/>
          <w:lang w:val="es-ES"/>
        </w:rPr>
        <w:t>dic</w:t>
      </w:r>
      <w:r>
        <w:rPr>
          <w:rFonts w:eastAsia="Calibri"/>
          <w:noProof/>
          <w:sz w:val="18"/>
          <w:szCs w:val="18"/>
          <w:lang w:val="es-ES"/>
        </w:rPr>
        <w:t>iembre</w:t>
      </w:r>
      <w:r w:rsidRPr="00643425">
        <w:rPr>
          <w:rFonts w:eastAsia="Calibri"/>
          <w:noProof/>
          <w:sz w:val="18"/>
          <w:szCs w:val="18"/>
          <w:lang w:val="es-ES"/>
        </w:rPr>
        <w:t xml:space="preserve"> 202</w:t>
      </w:r>
      <w:r>
        <w:rPr>
          <w:rFonts w:eastAsia="Calibri"/>
          <w:noProof/>
          <w:sz w:val="18"/>
          <w:szCs w:val="18"/>
          <w:lang w:val="es-ES"/>
        </w:rPr>
        <w:t>4</w:t>
      </w:r>
    </w:p>
    <w:p w14:paraId="3022D82B" w14:textId="77777777" w:rsidR="00041B32" w:rsidRPr="00041B32" w:rsidRDefault="00041B32" w:rsidP="00815618">
      <w:pPr>
        <w:keepNext/>
        <w:keepLines/>
        <w:spacing w:after="80" w:line="360" w:lineRule="auto"/>
        <w:jc w:val="both"/>
        <w:outlineLvl w:val="0"/>
        <w:rPr>
          <w:rFonts w:eastAsia="Calibri"/>
          <w:b/>
          <w:bCs/>
          <w:noProof/>
          <w:lang w:val="es-ES"/>
        </w:rPr>
      </w:pPr>
      <w:bookmarkStart w:id="25" w:name="_Toc171677818"/>
      <w:bookmarkStart w:id="26" w:name="_Toc172118662"/>
      <w:bookmarkStart w:id="27" w:name="_Toc172119825"/>
      <w:bookmarkStart w:id="28" w:name="_Toc172120158"/>
      <w:bookmarkStart w:id="29" w:name="_Toc172121376"/>
      <w:bookmarkStart w:id="30" w:name="_Toc184981189"/>
      <w:bookmarkStart w:id="31" w:name="_Toc185245096"/>
      <w:r w:rsidRPr="00041B32">
        <w:rPr>
          <w:rFonts w:eastAsia="Calibri"/>
          <w:b/>
          <w:bCs/>
          <w:noProof/>
          <w:lang w:val="es-ES"/>
        </w:rPr>
        <w:t>Régimen Subsidiado</w:t>
      </w:r>
      <w:bookmarkEnd w:id="25"/>
      <w:bookmarkEnd w:id="26"/>
      <w:bookmarkEnd w:id="27"/>
      <w:bookmarkEnd w:id="28"/>
      <w:bookmarkEnd w:id="29"/>
      <w:bookmarkEnd w:id="30"/>
      <w:bookmarkEnd w:id="31"/>
      <w:r w:rsidRPr="00041B32">
        <w:rPr>
          <w:rFonts w:eastAsia="Calibri"/>
          <w:b/>
          <w:bCs/>
          <w:noProof/>
          <w:lang w:val="es-ES"/>
        </w:rPr>
        <w:t xml:space="preserve"> </w:t>
      </w:r>
    </w:p>
    <w:p w14:paraId="43CBB107" w14:textId="77777777" w:rsidR="00041B32" w:rsidRDefault="00041B32" w:rsidP="00815618">
      <w:pPr>
        <w:spacing w:after="0" w:line="360" w:lineRule="auto"/>
        <w:jc w:val="both"/>
        <w:rPr>
          <w:rFonts w:eastAsia="Calibri"/>
          <w:noProof/>
          <w:lang w:val="es-ES"/>
        </w:rPr>
      </w:pPr>
      <w:r w:rsidRPr="00041B32">
        <w:rPr>
          <w:rFonts w:eastAsia="Calibri"/>
          <w:noProof/>
          <w:lang w:val="es-ES"/>
        </w:rPr>
        <w:t>En cumplimiento con el acápite e) del Art.28 de la ley No. 87-01, a continuación, detallamos los siguientes procesos:</w:t>
      </w:r>
    </w:p>
    <w:p w14:paraId="7EB846E5" w14:textId="77777777" w:rsidR="00815618" w:rsidRPr="00041B32" w:rsidRDefault="00815618" w:rsidP="00815618">
      <w:pPr>
        <w:spacing w:after="0" w:line="360" w:lineRule="auto"/>
        <w:jc w:val="both"/>
        <w:rPr>
          <w:rFonts w:eastAsia="Calibri"/>
          <w:noProof/>
          <w:lang w:val="es-ES"/>
        </w:rPr>
      </w:pPr>
    </w:p>
    <w:p w14:paraId="7853375A" w14:textId="77777777" w:rsidR="00041B32" w:rsidRPr="00041B32" w:rsidRDefault="00041B32" w:rsidP="00815618">
      <w:pPr>
        <w:keepNext/>
        <w:keepLines/>
        <w:spacing w:after="0" w:line="360" w:lineRule="auto"/>
        <w:jc w:val="both"/>
        <w:outlineLvl w:val="0"/>
        <w:rPr>
          <w:rFonts w:eastAsia="Calibri"/>
          <w:b/>
          <w:bCs/>
          <w:noProof/>
          <w:lang w:val="es-ES"/>
        </w:rPr>
      </w:pPr>
      <w:bookmarkStart w:id="32" w:name="_Toc171677819"/>
      <w:bookmarkStart w:id="33" w:name="_Toc172118663"/>
      <w:bookmarkStart w:id="34" w:name="_Toc172119826"/>
      <w:bookmarkStart w:id="35" w:name="_Toc172120159"/>
      <w:bookmarkStart w:id="36" w:name="_Toc172121377"/>
      <w:bookmarkStart w:id="37" w:name="_Toc184981190"/>
      <w:bookmarkStart w:id="38" w:name="_Toc185245097"/>
      <w:r w:rsidRPr="00041B32">
        <w:rPr>
          <w:rFonts w:eastAsia="Calibri"/>
          <w:b/>
          <w:bCs/>
          <w:noProof/>
          <w:lang w:val="es-ES"/>
        </w:rPr>
        <w:t>Aportes del Estado</w:t>
      </w:r>
      <w:bookmarkEnd w:id="32"/>
      <w:bookmarkEnd w:id="33"/>
      <w:bookmarkEnd w:id="34"/>
      <w:bookmarkEnd w:id="35"/>
      <w:bookmarkEnd w:id="36"/>
      <w:bookmarkEnd w:id="37"/>
      <w:bookmarkEnd w:id="38"/>
    </w:p>
    <w:p w14:paraId="2B7F616C" w14:textId="22704BE9" w:rsidR="00041B32" w:rsidRPr="00041B32" w:rsidRDefault="00041B32" w:rsidP="00815618">
      <w:pPr>
        <w:spacing w:after="0" w:line="360" w:lineRule="auto"/>
        <w:jc w:val="both"/>
        <w:rPr>
          <w:rFonts w:eastAsia="Calibri"/>
          <w:noProof/>
          <w:lang w:val="es-ES"/>
        </w:rPr>
      </w:pPr>
      <w:r w:rsidRPr="00041B32">
        <w:rPr>
          <w:rFonts w:eastAsia="Calibri"/>
          <w:noProof/>
          <w:lang w:val="es-ES"/>
        </w:rPr>
        <w:t xml:space="preserve">Del valor consignado en el Presupuesto Nacional para el 2024, </w:t>
      </w:r>
      <w:r w:rsidR="00D94E44">
        <w:rPr>
          <w:rFonts w:eastAsia="Calibri"/>
          <w:noProof/>
          <w:lang w:val="es-ES"/>
        </w:rPr>
        <w:t xml:space="preserve">fue reformulado de </w:t>
      </w:r>
      <w:r w:rsidRPr="00041B32">
        <w:rPr>
          <w:rFonts w:eastAsia="Calibri"/>
          <w:noProof/>
          <w:lang w:val="es-ES"/>
        </w:rPr>
        <w:t xml:space="preserve"> RD$19,395,222,000.00, </w:t>
      </w:r>
      <w:r w:rsidR="006717EB">
        <w:rPr>
          <w:rFonts w:eastAsia="Calibri"/>
          <w:noProof/>
          <w:lang w:val="es-ES"/>
        </w:rPr>
        <w:t>a RD$18,395,222,000.00. En ese sentido,</w:t>
      </w:r>
      <w:r w:rsidRPr="00041B32">
        <w:rPr>
          <w:rFonts w:eastAsia="Calibri"/>
          <w:noProof/>
          <w:lang w:val="es-ES"/>
        </w:rPr>
        <w:t xml:space="preserve"> </w:t>
      </w:r>
      <w:r w:rsidR="006717EB">
        <w:rPr>
          <w:rFonts w:eastAsia="Calibri"/>
          <w:noProof/>
          <w:lang w:val="es-ES"/>
        </w:rPr>
        <w:t>hemos recibido doce (12) cuotas, por un monto total de RD$18,395,222,000.00 esto representa el 100% del total presupuestado.</w:t>
      </w:r>
    </w:p>
    <w:p w14:paraId="50C92B19" w14:textId="77777777" w:rsidR="00041B32" w:rsidRPr="00041B32" w:rsidRDefault="00041B32" w:rsidP="00041B32">
      <w:pPr>
        <w:keepNext/>
        <w:keepLines/>
        <w:spacing w:before="360" w:after="80" w:line="360" w:lineRule="auto"/>
        <w:jc w:val="both"/>
        <w:outlineLvl w:val="0"/>
        <w:rPr>
          <w:rFonts w:eastAsia="Calibri"/>
          <w:b/>
          <w:bCs/>
          <w:noProof/>
          <w:lang w:val="es-ES"/>
        </w:rPr>
      </w:pPr>
      <w:bookmarkStart w:id="39" w:name="_Toc171677820"/>
      <w:bookmarkStart w:id="40" w:name="_Toc172118664"/>
      <w:bookmarkStart w:id="41" w:name="_Toc172119827"/>
      <w:bookmarkStart w:id="42" w:name="_Toc172120160"/>
      <w:bookmarkStart w:id="43" w:name="_Toc172121378"/>
      <w:bookmarkStart w:id="44" w:name="_Toc184981191"/>
      <w:bookmarkStart w:id="45" w:name="_Toc185245098"/>
      <w:r w:rsidRPr="00041B32">
        <w:rPr>
          <w:rFonts w:eastAsia="Calibri"/>
          <w:b/>
          <w:bCs/>
          <w:noProof/>
          <w:lang w:val="es-ES"/>
        </w:rPr>
        <w:t>Pagos Realizados a SENASA</w:t>
      </w:r>
      <w:bookmarkEnd w:id="39"/>
      <w:bookmarkEnd w:id="40"/>
      <w:bookmarkEnd w:id="41"/>
      <w:bookmarkEnd w:id="42"/>
      <w:bookmarkEnd w:id="43"/>
      <w:bookmarkEnd w:id="44"/>
      <w:bookmarkEnd w:id="45"/>
      <w:r w:rsidRPr="00041B32">
        <w:rPr>
          <w:rFonts w:eastAsia="Calibri"/>
          <w:b/>
          <w:bCs/>
          <w:noProof/>
          <w:lang w:val="es-ES"/>
        </w:rPr>
        <w:t xml:space="preserve"> </w:t>
      </w:r>
    </w:p>
    <w:p w14:paraId="37360355" w14:textId="77777777" w:rsidR="006717EB" w:rsidRPr="006717EB" w:rsidRDefault="006717EB" w:rsidP="006717EB">
      <w:pPr>
        <w:spacing w:line="360" w:lineRule="auto"/>
        <w:jc w:val="both"/>
        <w:rPr>
          <w:rFonts w:eastAsia="Calibri"/>
          <w:noProof/>
          <w:lang w:val="es-ES"/>
        </w:rPr>
      </w:pPr>
      <w:r w:rsidRPr="006717EB">
        <w:rPr>
          <w:rFonts w:eastAsia="Calibri"/>
          <w:noProof/>
          <w:lang w:val="es-ES"/>
        </w:rPr>
        <w:t xml:space="preserve">Al 31 de diciembre del 2024, el Seguro Nacional de Salud (SENASA) ha recibido de esta Tesorería de la Seguridad Social el monto total de RD$18,564,920,747.35, incluyendo el valor total de RD$183,333,333.37, como transferencia de fondos, para el “Proyecto SeNaSa Cuida de </w:t>
      </w:r>
      <w:r w:rsidRPr="006717EB">
        <w:rPr>
          <w:rFonts w:eastAsia="Calibri"/>
          <w:noProof/>
          <w:lang w:val="es-ES"/>
        </w:rPr>
        <w:lastRenderedPageBreak/>
        <w:t>Ti” y desde que inicio el Régimen Subsidiado hasta la fecha un monto global ascendente a la suma de RD$163,431,148,145.92.</w:t>
      </w:r>
    </w:p>
    <w:p w14:paraId="23DABDF3" w14:textId="77777777" w:rsidR="006717EB" w:rsidRDefault="006717EB" w:rsidP="006717EB">
      <w:pPr>
        <w:spacing w:line="360" w:lineRule="auto"/>
        <w:jc w:val="both"/>
        <w:rPr>
          <w:rFonts w:eastAsia="Calibri"/>
          <w:noProof/>
          <w:lang w:val="es-ES"/>
        </w:rPr>
      </w:pPr>
      <w:r w:rsidRPr="006717EB">
        <w:rPr>
          <w:rFonts w:eastAsia="Calibri"/>
          <w:noProof/>
          <w:lang w:val="es-ES"/>
        </w:rPr>
        <w:t xml:space="preserve">Debemos señalar que la cobertura de salud en la última factura incluía 5,715,247 afiliados de los cuales 4,828,169 eran títulares y 887,078 dependientes del mes de noviembre 2024.  </w:t>
      </w:r>
    </w:p>
    <w:p w14:paraId="6DF86763" w14:textId="7A5468B0" w:rsidR="006717EB" w:rsidRPr="006717EB" w:rsidRDefault="006717EB" w:rsidP="006717EB">
      <w:pPr>
        <w:spacing w:before="240" w:after="0" w:line="360" w:lineRule="auto"/>
        <w:jc w:val="both"/>
        <w:rPr>
          <w:rFonts w:eastAsia="Calibri"/>
          <w:noProof/>
          <w:lang w:val="es-ES"/>
        </w:rPr>
      </w:pPr>
      <w:r w:rsidRPr="006717EB">
        <w:rPr>
          <w:rFonts w:eastAsia="Calibri"/>
          <w:noProof/>
          <w:lang w:val="es-ES"/>
        </w:rPr>
        <w:t>A continuación, detalle de los aportes recibidos del Gobierno Central y pagados por el Régimen Subsidiado al 31 de diciembre de 2024:</w:t>
      </w:r>
    </w:p>
    <w:tbl>
      <w:tblPr>
        <w:tblW w:w="8701" w:type="dxa"/>
        <w:tblLook w:val="04A0" w:firstRow="1" w:lastRow="0" w:firstColumn="1" w:lastColumn="0" w:noHBand="0" w:noVBand="1"/>
      </w:tblPr>
      <w:tblGrid>
        <w:gridCol w:w="4469"/>
        <w:gridCol w:w="2056"/>
        <w:gridCol w:w="2176"/>
      </w:tblGrid>
      <w:tr w:rsidR="00A741F1" w:rsidRPr="004B1D7E" w14:paraId="37650EC1" w14:textId="77777777" w:rsidTr="00C50277">
        <w:trPr>
          <w:trHeight w:val="881"/>
        </w:trPr>
        <w:tc>
          <w:tcPr>
            <w:tcW w:w="4469" w:type="dxa"/>
            <w:tcBorders>
              <w:top w:val="single" w:sz="8" w:space="0" w:color="auto"/>
              <w:left w:val="single" w:sz="8" w:space="0" w:color="auto"/>
              <w:bottom w:val="single" w:sz="4" w:space="0" w:color="auto"/>
              <w:right w:val="single" w:sz="4" w:space="0" w:color="auto"/>
            </w:tcBorders>
            <w:shd w:val="clear" w:color="000000" w:fill="002060"/>
            <w:noWrap/>
            <w:vAlign w:val="center"/>
            <w:hideMark/>
          </w:tcPr>
          <w:p w14:paraId="22421667" w14:textId="77777777" w:rsidR="00A741F1" w:rsidRPr="00A741F1" w:rsidRDefault="00A741F1" w:rsidP="00A741F1">
            <w:pPr>
              <w:spacing w:after="0" w:line="240" w:lineRule="auto"/>
              <w:jc w:val="center"/>
              <w:rPr>
                <w:rFonts w:eastAsia="Times New Roman"/>
                <w:b/>
                <w:bCs/>
                <w:color w:val="FFFFFF"/>
                <w:spacing w:val="0"/>
                <w:sz w:val="18"/>
                <w:szCs w:val="18"/>
              </w:rPr>
            </w:pPr>
            <w:r w:rsidRPr="00A741F1">
              <w:rPr>
                <w:rFonts w:eastAsia="Times New Roman"/>
                <w:b/>
                <w:bCs/>
                <w:color w:val="FFFFFF"/>
                <w:spacing w:val="0"/>
                <w:sz w:val="18"/>
                <w:szCs w:val="18"/>
              </w:rPr>
              <w:t>CONCEPTO</w:t>
            </w:r>
          </w:p>
        </w:tc>
        <w:tc>
          <w:tcPr>
            <w:tcW w:w="2056" w:type="dxa"/>
            <w:tcBorders>
              <w:top w:val="single" w:sz="8" w:space="0" w:color="auto"/>
              <w:left w:val="single" w:sz="4" w:space="0" w:color="auto"/>
              <w:bottom w:val="nil"/>
              <w:right w:val="single" w:sz="8" w:space="0" w:color="auto"/>
            </w:tcBorders>
            <w:shd w:val="clear" w:color="000000" w:fill="002060"/>
            <w:vAlign w:val="center"/>
            <w:hideMark/>
          </w:tcPr>
          <w:p w14:paraId="5C622444" w14:textId="77777777" w:rsidR="00A741F1" w:rsidRPr="00A741F1" w:rsidRDefault="00A741F1" w:rsidP="00A741F1">
            <w:pPr>
              <w:spacing w:after="0" w:line="240" w:lineRule="auto"/>
              <w:jc w:val="center"/>
              <w:rPr>
                <w:rFonts w:eastAsia="Times New Roman"/>
                <w:b/>
                <w:bCs/>
                <w:color w:val="FFFFFF"/>
                <w:spacing w:val="0"/>
                <w:sz w:val="18"/>
                <w:szCs w:val="18"/>
              </w:rPr>
            </w:pPr>
            <w:r w:rsidRPr="00A741F1">
              <w:rPr>
                <w:rFonts w:eastAsia="Times New Roman"/>
                <w:b/>
                <w:bCs/>
                <w:color w:val="FFFFFF"/>
                <w:spacing w:val="0"/>
                <w:sz w:val="18"/>
                <w:szCs w:val="18"/>
              </w:rPr>
              <w:t xml:space="preserve">APORTES RECIBIDOS Y PAGADOS </w:t>
            </w:r>
            <w:r w:rsidRPr="00A741F1">
              <w:rPr>
                <w:rFonts w:eastAsia="Times New Roman"/>
                <w:b/>
                <w:bCs/>
                <w:color w:val="FFFFFF"/>
                <w:spacing w:val="0"/>
                <w:sz w:val="18"/>
                <w:szCs w:val="18"/>
              </w:rPr>
              <w:br/>
              <w:t>2024</w:t>
            </w:r>
          </w:p>
        </w:tc>
        <w:tc>
          <w:tcPr>
            <w:tcW w:w="2176" w:type="dxa"/>
            <w:tcBorders>
              <w:top w:val="single" w:sz="8" w:space="0" w:color="auto"/>
              <w:left w:val="single" w:sz="4" w:space="0" w:color="auto"/>
              <w:bottom w:val="nil"/>
              <w:right w:val="single" w:sz="8" w:space="0" w:color="auto"/>
            </w:tcBorders>
            <w:shd w:val="clear" w:color="000000" w:fill="002060"/>
            <w:vAlign w:val="center"/>
            <w:hideMark/>
          </w:tcPr>
          <w:p w14:paraId="3C161D0B" w14:textId="77777777" w:rsidR="00A741F1" w:rsidRPr="00A741F1" w:rsidRDefault="00A741F1" w:rsidP="00A741F1">
            <w:pPr>
              <w:spacing w:after="0" w:line="240" w:lineRule="auto"/>
              <w:jc w:val="center"/>
              <w:rPr>
                <w:rFonts w:eastAsia="Times New Roman"/>
                <w:b/>
                <w:bCs/>
                <w:color w:val="FFFFFF"/>
                <w:spacing w:val="0"/>
                <w:sz w:val="18"/>
                <w:szCs w:val="18"/>
                <w:lang w:val="es-ES"/>
              </w:rPr>
            </w:pPr>
            <w:r w:rsidRPr="00A741F1">
              <w:rPr>
                <w:rFonts w:eastAsia="Times New Roman"/>
                <w:b/>
                <w:bCs/>
                <w:color w:val="FFFFFF"/>
                <w:spacing w:val="0"/>
                <w:sz w:val="18"/>
                <w:szCs w:val="18"/>
                <w:lang w:val="es-ES"/>
              </w:rPr>
              <w:t>HISTORICO APORTES RECIBIDOS Y PAGADOS</w:t>
            </w:r>
            <w:r w:rsidRPr="00A741F1">
              <w:rPr>
                <w:rFonts w:eastAsia="Times New Roman"/>
                <w:b/>
                <w:bCs/>
                <w:color w:val="FFFFFF"/>
                <w:spacing w:val="0"/>
                <w:sz w:val="18"/>
                <w:szCs w:val="18"/>
                <w:lang w:val="es-ES"/>
              </w:rPr>
              <w:br/>
              <w:t xml:space="preserve"> (2002-2024)</w:t>
            </w:r>
          </w:p>
        </w:tc>
      </w:tr>
      <w:tr w:rsidR="00A741F1" w:rsidRPr="00A741F1" w14:paraId="21C11590" w14:textId="77777777" w:rsidTr="00C50277">
        <w:trPr>
          <w:trHeight w:val="298"/>
        </w:trPr>
        <w:tc>
          <w:tcPr>
            <w:tcW w:w="4469" w:type="dxa"/>
            <w:tcBorders>
              <w:top w:val="nil"/>
              <w:left w:val="single" w:sz="4" w:space="0" w:color="auto"/>
              <w:bottom w:val="single" w:sz="4" w:space="0" w:color="auto"/>
              <w:right w:val="single" w:sz="4" w:space="0" w:color="auto"/>
            </w:tcBorders>
            <w:shd w:val="clear" w:color="000000" w:fill="002060"/>
            <w:noWrap/>
            <w:vAlign w:val="bottom"/>
            <w:hideMark/>
          </w:tcPr>
          <w:p w14:paraId="3AF3E133" w14:textId="77777777" w:rsidR="00A741F1" w:rsidRPr="00A741F1" w:rsidRDefault="00A741F1" w:rsidP="00A741F1">
            <w:pPr>
              <w:spacing w:after="0" w:line="240" w:lineRule="auto"/>
              <w:rPr>
                <w:rFonts w:eastAsia="Times New Roman"/>
                <w:b/>
                <w:bCs/>
                <w:color w:val="FFFFFF"/>
                <w:spacing w:val="0"/>
                <w:sz w:val="16"/>
                <w:szCs w:val="16"/>
              </w:rPr>
            </w:pPr>
            <w:r w:rsidRPr="00A741F1">
              <w:rPr>
                <w:rFonts w:eastAsia="Times New Roman"/>
                <w:b/>
                <w:bCs/>
                <w:color w:val="FFFFFF"/>
                <w:spacing w:val="0"/>
                <w:sz w:val="16"/>
                <w:szCs w:val="16"/>
              </w:rPr>
              <w:t xml:space="preserve">BALANCE INICIAL </w:t>
            </w:r>
          </w:p>
        </w:tc>
        <w:tc>
          <w:tcPr>
            <w:tcW w:w="2056" w:type="dxa"/>
            <w:tcBorders>
              <w:top w:val="single" w:sz="4" w:space="0" w:color="auto"/>
              <w:left w:val="nil"/>
              <w:bottom w:val="single" w:sz="4" w:space="0" w:color="auto"/>
              <w:right w:val="single" w:sz="4" w:space="0" w:color="auto"/>
            </w:tcBorders>
            <w:shd w:val="clear" w:color="000000" w:fill="002060"/>
            <w:noWrap/>
            <w:vAlign w:val="bottom"/>
            <w:hideMark/>
          </w:tcPr>
          <w:p w14:paraId="39132843" w14:textId="77777777" w:rsidR="00A741F1" w:rsidRPr="00A741F1" w:rsidRDefault="00A741F1" w:rsidP="00A741F1">
            <w:pPr>
              <w:spacing w:after="0" w:line="240" w:lineRule="auto"/>
              <w:rPr>
                <w:rFonts w:eastAsia="Times New Roman"/>
                <w:b/>
                <w:bCs/>
                <w:color w:val="FFFFFF"/>
                <w:spacing w:val="0"/>
                <w:sz w:val="16"/>
                <w:szCs w:val="16"/>
              </w:rPr>
            </w:pPr>
            <w:r w:rsidRPr="00A741F1">
              <w:rPr>
                <w:rFonts w:eastAsia="Times New Roman"/>
                <w:b/>
                <w:bCs/>
                <w:color w:val="FFFFFF"/>
                <w:spacing w:val="0"/>
                <w:sz w:val="16"/>
                <w:szCs w:val="16"/>
              </w:rPr>
              <w:t xml:space="preserve">               321,585,864.03 </w:t>
            </w:r>
          </w:p>
        </w:tc>
        <w:tc>
          <w:tcPr>
            <w:tcW w:w="2176" w:type="dxa"/>
            <w:tcBorders>
              <w:top w:val="single" w:sz="4" w:space="0" w:color="auto"/>
              <w:left w:val="nil"/>
              <w:bottom w:val="single" w:sz="4" w:space="0" w:color="auto"/>
              <w:right w:val="single" w:sz="4" w:space="0" w:color="auto"/>
            </w:tcBorders>
            <w:shd w:val="clear" w:color="000000" w:fill="002060"/>
            <w:noWrap/>
            <w:vAlign w:val="bottom"/>
            <w:hideMark/>
          </w:tcPr>
          <w:p w14:paraId="2EFC57CD" w14:textId="77777777" w:rsidR="00A741F1" w:rsidRPr="00A741F1" w:rsidRDefault="00A741F1" w:rsidP="00A741F1">
            <w:pPr>
              <w:spacing w:after="0" w:line="240" w:lineRule="auto"/>
              <w:rPr>
                <w:rFonts w:ascii="Arial" w:eastAsia="Times New Roman" w:hAnsi="Arial" w:cs="Arial"/>
                <w:b/>
                <w:bCs/>
                <w:color w:val="FFFFFF"/>
                <w:spacing w:val="0"/>
                <w:sz w:val="16"/>
                <w:szCs w:val="16"/>
              </w:rPr>
            </w:pPr>
            <w:r w:rsidRPr="00A741F1">
              <w:rPr>
                <w:rFonts w:ascii="Arial" w:eastAsia="Times New Roman" w:hAnsi="Arial" w:cs="Arial"/>
                <w:b/>
                <w:bCs/>
                <w:color w:val="FFFFFF"/>
                <w:spacing w:val="0"/>
                <w:sz w:val="16"/>
                <w:szCs w:val="16"/>
              </w:rPr>
              <w:t xml:space="preserve">                                      -   </w:t>
            </w:r>
          </w:p>
        </w:tc>
      </w:tr>
      <w:tr w:rsidR="00A741F1" w:rsidRPr="00A741F1" w14:paraId="051ACD0B" w14:textId="77777777" w:rsidTr="00C50277">
        <w:trPr>
          <w:trHeight w:val="403"/>
        </w:trPr>
        <w:tc>
          <w:tcPr>
            <w:tcW w:w="4469" w:type="dxa"/>
            <w:tcBorders>
              <w:top w:val="nil"/>
              <w:left w:val="single" w:sz="8" w:space="0" w:color="auto"/>
              <w:bottom w:val="single" w:sz="4" w:space="0" w:color="auto"/>
              <w:right w:val="nil"/>
            </w:tcBorders>
            <w:shd w:val="clear" w:color="auto" w:fill="auto"/>
            <w:noWrap/>
            <w:vAlign w:val="bottom"/>
            <w:hideMark/>
          </w:tcPr>
          <w:p w14:paraId="0764F0BC"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MAS:</w:t>
            </w:r>
          </w:p>
        </w:tc>
        <w:tc>
          <w:tcPr>
            <w:tcW w:w="2056" w:type="dxa"/>
            <w:tcBorders>
              <w:top w:val="nil"/>
              <w:left w:val="single" w:sz="4" w:space="0" w:color="auto"/>
              <w:bottom w:val="single" w:sz="4" w:space="0" w:color="auto"/>
              <w:right w:val="nil"/>
            </w:tcBorders>
            <w:shd w:val="clear" w:color="auto" w:fill="auto"/>
            <w:noWrap/>
            <w:vAlign w:val="bottom"/>
            <w:hideMark/>
          </w:tcPr>
          <w:p w14:paraId="46741159"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 </w:t>
            </w:r>
          </w:p>
        </w:tc>
        <w:tc>
          <w:tcPr>
            <w:tcW w:w="2176" w:type="dxa"/>
            <w:tcBorders>
              <w:top w:val="nil"/>
              <w:left w:val="single" w:sz="4" w:space="0" w:color="auto"/>
              <w:bottom w:val="single" w:sz="4" w:space="0" w:color="auto"/>
              <w:right w:val="single" w:sz="8" w:space="0" w:color="auto"/>
            </w:tcBorders>
            <w:shd w:val="clear" w:color="auto" w:fill="auto"/>
            <w:vAlign w:val="bottom"/>
            <w:hideMark/>
          </w:tcPr>
          <w:p w14:paraId="6DCA4DE2" w14:textId="77777777" w:rsidR="00A741F1" w:rsidRPr="00A741F1" w:rsidRDefault="00A741F1" w:rsidP="00A741F1">
            <w:pPr>
              <w:spacing w:after="0" w:line="240" w:lineRule="auto"/>
              <w:jc w:val="center"/>
              <w:rPr>
                <w:rFonts w:eastAsia="Calibri"/>
                <w:noProof/>
                <w:sz w:val="20"/>
                <w:szCs w:val="20"/>
                <w:lang w:val="es-ES"/>
              </w:rPr>
            </w:pPr>
            <w:r w:rsidRPr="00A741F1">
              <w:rPr>
                <w:rFonts w:eastAsia="Calibri"/>
                <w:noProof/>
                <w:sz w:val="20"/>
                <w:szCs w:val="20"/>
                <w:lang w:val="es-ES"/>
              </w:rPr>
              <w:t> </w:t>
            </w:r>
          </w:p>
        </w:tc>
      </w:tr>
      <w:tr w:rsidR="00A741F1" w:rsidRPr="00A741F1" w14:paraId="732995F8" w14:textId="77777777" w:rsidTr="00C50277">
        <w:trPr>
          <w:trHeight w:val="298"/>
        </w:trPr>
        <w:tc>
          <w:tcPr>
            <w:tcW w:w="4469" w:type="dxa"/>
            <w:tcBorders>
              <w:top w:val="nil"/>
              <w:left w:val="single" w:sz="8" w:space="0" w:color="auto"/>
              <w:bottom w:val="single" w:sz="4" w:space="0" w:color="auto"/>
              <w:right w:val="nil"/>
            </w:tcBorders>
            <w:shd w:val="clear" w:color="auto" w:fill="auto"/>
            <w:noWrap/>
            <w:vAlign w:val="bottom"/>
            <w:hideMark/>
          </w:tcPr>
          <w:p w14:paraId="7038CEDF"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APORTES RECIBIDOS DEL ESTADO DOMINICANO</w:t>
            </w:r>
          </w:p>
        </w:tc>
        <w:tc>
          <w:tcPr>
            <w:tcW w:w="2056" w:type="dxa"/>
            <w:tcBorders>
              <w:top w:val="nil"/>
              <w:left w:val="single" w:sz="4" w:space="0" w:color="auto"/>
              <w:bottom w:val="single" w:sz="4" w:space="0" w:color="auto"/>
              <w:right w:val="nil"/>
            </w:tcBorders>
            <w:shd w:val="clear" w:color="auto" w:fill="auto"/>
            <w:noWrap/>
            <w:vAlign w:val="bottom"/>
            <w:hideMark/>
          </w:tcPr>
          <w:p w14:paraId="4E6543D6" w14:textId="485C6E12"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18,395,222,000.00</w:t>
            </w:r>
          </w:p>
        </w:tc>
        <w:tc>
          <w:tcPr>
            <w:tcW w:w="2176" w:type="dxa"/>
            <w:tcBorders>
              <w:top w:val="nil"/>
              <w:left w:val="single" w:sz="4" w:space="0" w:color="auto"/>
              <w:bottom w:val="single" w:sz="4" w:space="0" w:color="auto"/>
              <w:right w:val="single" w:sz="8" w:space="0" w:color="auto"/>
            </w:tcBorders>
            <w:shd w:val="clear" w:color="auto" w:fill="auto"/>
            <w:noWrap/>
            <w:vAlign w:val="bottom"/>
            <w:hideMark/>
          </w:tcPr>
          <w:p w14:paraId="1DE84847" w14:textId="1DEC236D"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158,929,889,076.71</w:t>
            </w:r>
          </w:p>
        </w:tc>
      </w:tr>
      <w:tr w:rsidR="00A741F1" w:rsidRPr="00A741F1" w14:paraId="212F4BBA" w14:textId="77777777" w:rsidTr="00C50277">
        <w:trPr>
          <w:trHeight w:val="298"/>
        </w:trPr>
        <w:tc>
          <w:tcPr>
            <w:tcW w:w="4469" w:type="dxa"/>
            <w:tcBorders>
              <w:top w:val="nil"/>
              <w:left w:val="single" w:sz="8" w:space="0" w:color="auto"/>
              <w:bottom w:val="single" w:sz="4" w:space="0" w:color="auto"/>
              <w:right w:val="nil"/>
            </w:tcBorders>
            <w:shd w:val="clear" w:color="auto" w:fill="auto"/>
            <w:noWrap/>
            <w:vAlign w:val="bottom"/>
            <w:hideMark/>
          </w:tcPr>
          <w:p w14:paraId="1D6B448E"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APORTES EXTRAORDINARIOS DEL ESTADO DOMINICANO</w:t>
            </w:r>
          </w:p>
        </w:tc>
        <w:tc>
          <w:tcPr>
            <w:tcW w:w="2056" w:type="dxa"/>
            <w:tcBorders>
              <w:top w:val="nil"/>
              <w:left w:val="single" w:sz="4" w:space="0" w:color="auto"/>
              <w:bottom w:val="single" w:sz="4" w:space="0" w:color="auto"/>
              <w:right w:val="nil"/>
            </w:tcBorders>
            <w:shd w:val="clear" w:color="auto" w:fill="auto"/>
            <w:noWrap/>
            <w:vAlign w:val="bottom"/>
            <w:hideMark/>
          </w:tcPr>
          <w:p w14:paraId="3731BFFF" w14:textId="1CF7817B" w:rsidR="00A741F1" w:rsidRPr="00A741F1" w:rsidRDefault="00A741F1" w:rsidP="00AA31E0">
            <w:pPr>
              <w:spacing w:after="0" w:line="240" w:lineRule="auto"/>
              <w:jc w:val="center"/>
              <w:rPr>
                <w:rFonts w:eastAsia="Calibri"/>
                <w:noProof/>
                <w:sz w:val="20"/>
                <w:szCs w:val="20"/>
                <w:lang w:val="es-ES"/>
              </w:rPr>
            </w:pPr>
          </w:p>
        </w:tc>
        <w:tc>
          <w:tcPr>
            <w:tcW w:w="2176" w:type="dxa"/>
            <w:tcBorders>
              <w:top w:val="nil"/>
              <w:left w:val="single" w:sz="4" w:space="0" w:color="auto"/>
              <w:bottom w:val="single" w:sz="4" w:space="0" w:color="auto"/>
              <w:right w:val="single" w:sz="8" w:space="0" w:color="auto"/>
            </w:tcBorders>
            <w:shd w:val="clear" w:color="auto" w:fill="auto"/>
            <w:noWrap/>
            <w:vAlign w:val="bottom"/>
            <w:hideMark/>
          </w:tcPr>
          <w:p w14:paraId="0A9F6D43" w14:textId="34E88DCF"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3,520,945,324.00</w:t>
            </w:r>
          </w:p>
        </w:tc>
      </w:tr>
      <w:tr w:rsidR="00A741F1" w:rsidRPr="00A741F1" w14:paraId="498BC3B7" w14:textId="77777777" w:rsidTr="00C50277">
        <w:trPr>
          <w:trHeight w:val="522"/>
        </w:trPr>
        <w:tc>
          <w:tcPr>
            <w:tcW w:w="4469" w:type="dxa"/>
            <w:tcBorders>
              <w:top w:val="nil"/>
              <w:left w:val="single" w:sz="8" w:space="0" w:color="auto"/>
              <w:bottom w:val="single" w:sz="4" w:space="0" w:color="auto"/>
              <w:right w:val="nil"/>
            </w:tcBorders>
            <w:shd w:val="clear" w:color="auto" w:fill="auto"/>
            <w:vAlign w:val="bottom"/>
            <w:hideMark/>
          </w:tcPr>
          <w:p w14:paraId="2E78F4BD"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Fondos Atenciones Médicas Covid-19  en el mes   ( Aporte extraordinario)</w:t>
            </w:r>
          </w:p>
        </w:tc>
        <w:tc>
          <w:tcPr>
            <w:tcW w:w="2056" w:type="dxa"/>
            <w:tcBorders>
              <w:top w:val="nil"/>
              <w:left w:val="single" w:sz="4" w:space="0" w:color="auto"/>
              <w:bottom w:val="single" w:sz="4" w:space="0" w:color="auto"/>
              <w:right w:val="nil"/>
            </w:tcBorders>
            <w:shd w:val="clear" w:color="auto" w:fill="auto"/>
            <w:noWrap/>
            <w:vAlign w:val="bottom"/>
            <w:hideMark/>
          </w:tcPr>
          <w:p w14:paraId="7151CC27" w14:textId="5E2F1676" w:rsidR="00A741F1" w:rsidRPr="00A741F1" w:rsidRDefault="00A741F1" w:rsidP="00AA31E0">
            <w:pPr>
              <w:spacing w:after="0" w:line="240" w:lineRule="auto"/>
              <w:jc w:val="center"/>
              <w:rPr>
                <w:rFonts w:eastAsia="Calibri"/>
                <w:noProof/>
                <w:sz w:val="20"/>
                <w:szCs w:val="20"/>
                <w:lang w:val="es-ES"/>
              </w:rPr>
            </w:pPr>
          </w:p>
        </w:tc>
        <w:tc>
          <w:tcPr>
            <w:tcW w:w="2176" w:type="dxa"/>
            <w:tcBorders>
              <w:top w:val="nil"/>
              <w:left w:val="single" w:sz="4" w:space="0" w:color="auto"/>
              <w:bottom w:val="single" w:sz="4" w:space="0" w:color="auto"/>
              <w:right w:val="single" w:sz="8" w:space="0" w:color="auto"/>
            </w:tcBorders>
            <w:shd w:val="clear" w:color="auto" w:fill="auto"/>
            <w:noWrap/>
            <w:vAlign w:val="bottom"/>
            <w:hideMark/>
          </w:tcPr>
          <w:p w14:paraId="6A11D7AC" w14:textId="68E7FEE6"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1,498,481,601.68</w:t>
            </w:r>
          </w:p>
        </w:tc>
      </w:tr>
      <w:tr w:rsidR="00A741F1" w:rsidRPr="00A741F1" w14:paraId="2604DBCA" w14:textId="77777777" w:rsidTr="00C50277">
        <w:trPr>
          <w:trHeight w:val="298"/>
        </w:trPr>
        <w:tc>
          <w:tcPr>
            <w:tcW w:w="4469" w:type="dxa"/>
            <w:tcBorders>
              <w:top w:val="nil"/>
              <w:left w:val="single" w:sz="8" w:space="0" w:color="auto"/>
              <w:bottom w:val="single" w:sz="4" w:space="0" w:color="auto"/>
              <w:right w:val="nil"/>
            </w:tcBorders>
            <w:shd w:val="clear" w:color="auto" w:fill="auto"/>
            <w:vAlign w:val="bottom"/>
            <w:hideMark/>
          </w:tcPr>
          <w:p w14:paraId="11E02258"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 xml:space="preserve">Efectivo Proveniente  de Rendimiento en Inversiones </w:t>
            </w:r>
          </w:p>
        </w:tc>
        <w:tc>
          <w:tcPr>
            <w:tcW w:w="2056" w:type="dxa"/>
            <w:tcBorders>
              <w:top w:val="nil"/>
              <w:left w:val="single" w:sz="4" w:space="0" w:color="auto"/>
              <w:bottom w:val="single" w:sz="4" w:space="0" w:color="auto"/>
              <w:right w:val="nil"/>
            </w:tcBorders>
            <w:shd w:val="clear" w:color="auto" w:fill="auto"/>
            <w:noWrap/>
            <w:vAlign w:val="bottom"/>
            <w:hideMark/>
          </w:tcPr>
          <w:p w14:paraId="5E923BCB" w14:textId="1F3DCD10"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11,297,668.89</w:t>
            </w:r>
          </w:p>
        </w:tc>
        <w:tc>
          <w:tcPr>
            <w:tcW w:w="2176" w:type="dxa"/>
            <w:tcBorders>
              <w:top w:val="nil"/>
              <w:left w:val="single" w:sz="4" w:space="0" w:color="auto"/>
              <w:bottom w:val="single" w:sz="4" w:space="0" w:color="auto"/>
              <w:right w:val="single" w:sz="8" w:space="0" w:color="auto"/>
            </w:tcBorders>
            <w:shd w:val="clear" w:color="auto" w:fill="auto"/>
            <w:noWrap/>
            <w:vAlign w:val="bottom"/>
            <w:hideMark/>
          </w:tcPr>
          <w:p w14:paraId="2B0CD2EF" w14:textId="2D5431EF"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304,635,008.17</w:t>
            </w:r>
          </w:p>
        </w:tc>
      </w:tr>
      <w:tr w:rsidR="00A741F1" w:rsidRPr="00A741F1" w14:paraId="6A7924FA" w14:textId="77777777" w:rsidTr="00C50277">
        <w:trPr>
          <w:trHeight w:val="298"/>
        </w:trPr>
        <w:tc>
          <w:tcPr>
            <w:tcW w:w="4469" w:type="dxa"/>
            <w:tcBorders>
              <w:top w:val="nil"/>
              <w:left w:val="single" w:sz="8" w:space="0" w:color="auto"/>
              <w:bottom w:val="single" w:sz="4" w:space="0" w:color="auto"/>
              <w:right w:val="nil"/>
            </w:tcBorders>
            <w:shd w:val="clear" w:color="auto" w:fill="auto"/>
            <w:vAlign w:val="bottom"/>
            <w:hideMark/>
          </w:tcPr>
          <w:p w14:paraId="23709A5E"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 xml:space="preserve">Rendimientos Capitalizados </w:t>
            </w:r>
          </w:p>
        </w:tc>
        <w:tc>
          <w:tcPr>
            <w:tcW w:w="2056" w:type="dxa"/>
            <w:tcBorders>
              <w:top w:val="nil"/>
              <w:left w:val="single" w:sz="4" w:space="0" w:color="auto"/>
              <w:bottom w:val="single" w:sz="4" w:space="0" w:color="auto"/>
              <w:right w:val="nil"/>
            </w:tcBorders>
            <w:shd w:val="clear" w:color="auto" w:fill="auto"/>
            <w:noWrap/>
            <w:vAlign w:val="bottom"/>
            <w:hideMark/>
          </w:tcPr>
          <w:p w14:paraId="31DED4A7" w14:textId="4C61C1ED"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66,723,846.57</w:t>
            </w:r>
          </w:p>
        </w:tc>
        <w:tc>
          <w:tcPr>
            <w:tcW w:w="2176" w:type="dxa"/>
            <w:tcBorders>
              <w:top w:val="nil"/>
              <w:left w:val="single" w:sz="4" w:space="0" w:color="auto"/>
              <w:bottom w:val="single" w:sz="4" w:space="0" w:color="auto"/>
              <w:right w:val="single" w:sz="8" w:space="0" w:color="auto"/>
            </w:tcBorders>
            <w:shd w:val="clear" w:color="auto" w:fill="auto"/>
            <w:noWrap/>
            <w:vAlign w:val="bottom"/>
            <w:hideMark/>
          </w:tcPr>
          <w:p w14:paraId="4C90CF9A" w14:textId="0320E8E4"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127,108,367.52</w:t>
            </w:r>
          </w:p>
        </w:tc>
      </w:tr>
      <w:tr w:rsidR="00A741F1" w:rsidRPr="00A741F1" w14:paraId="12380E76" w14:textId="77777777" w:rsidTr="00C50277">
        <w:trPr>
          <w:trHeight w:val="313"/>
        </w:trPr>
        <w:tc>
          <w:tcPr>
            <w:tcW w:w="4469" w:type="dxa"/>
            <w:tcBorders>
              <w:top w:val="nil"/>
              <w:left w:val="single" w:sz="8" w:space="0" w:color="auto"/>
              <w:bottom w:val="single" w:sz="4" w:space="0" w:color="auto"/>
              <w:right w:val="nil"/>
            </w:tcBorders>
            <w:shd w:val="clear" w:color="auto" w:fill="auto"/>
            <w:vAlign w:val="bottom"/>
            <w:hideMark/>
          </w:tcPr>
          <w:p w14:paraId="448C8973"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 </w:t>
            </w:r>
          </w:p>
        </w:tc>
        <w:tc>
          <w:tcPr>
            <w:tcW w:w="2056" w:type="dxa"/>
            <w:tcBorders>
              <w:top w:val="nil"/>
              <w:left w:val="single" w:sz="4" w:space="0" w:color="auto"/>
              <w:bottom w:val="single" w:sz="4" w:space="0" w:color="auto"/>
              <w:right w:val="nil"/>
            </w:tcBorders>
            <w:shd w:val="clear" w:color="auto" w:fill="auto"/>
            <w:noWrap/>
            <w:vAlign w:val="bottom"/>
            <w:hideMark/>
          </w:tcPr>
          <w:p w14:paraId="5E81D991"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 </w:t>
            </w:r>
          </w:p>
        </w:tc>
        <w:tc>
          <w:tcPr>
            <w:tcW w:w="2176" w:type="dxa"/>
            <w:tcBorders>
              <w:top w:val="nil"/>
              <w:left w:val="single" w:sz="4" w:space="0" w:color="auto"/>
              <w:bottom w:val="single" w:sz="4" w:space="0" w:color="auto"/>
              <w:right w:val="single" w:sz="8" w:space="0" w:color="auto"/>
            </w:tcBorders>
            <w:shd w:val="clear" w:color="auto" w:fill="auto"/>
            <w:noWrap/>
            <w:vAlign w:val="bottom"/>
            <w:hideMark/>
          </w:tcPr>
          <w:p w14:paraId="368472E2"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 xml:space="preserve">                                      -   </w:t>
            </w:r>
          </w:p>
        </w:tc>
      </w:tr>
      <w:tr w:rsidR="00A741F1" w:rsidRPr="00A741F1" w14:paraId="29153F84" w14:textId="77777777" w:rsidTr="00C50277">
        <w:trPr>
          <w:trHeight w:val="298"/>
        </w:trPr>
        <w:tc>
          <w:tcPr>
            <w:tcW w:w="4469" w:type="dxa"/>
            <w:tcBorders>
              <w:top w:val="single" w:sz="8" w:space="0" w:color="auto"/>
              <w:left w:val="single" w:sz="8" w:space="0" w:color="auto"/>
              <w:bottom w:val="single" w:sz="4" w:space="0" w:color="auto"/>
              <w:right w:val="nil"/>
            </w:tcBorders>
            <w:shd w:val="clear" w:color="000000" w:fill="002060"/>
            <w:noWrap/>
            <w:vAlign w:val="bottom"/>
            <w:hideMark/>
          </w:tcPr>
          <w:p w14:paraId="0B8F8DDA" w14:textId="77777777" w:rsidR="00A741F1" w:rsidRPr="00A741F1" w:rsidRDefault="00A741F1" w:rsidP="00A741F1">
            <w:pPr>
              <w:spacing w:after="0" w:line="240" w:lineRule="auto"/>
              <w:rPr>
                <w:rFonts w:eastAsia="Calibri"/>
                <w:noProof/>
                <w:color w:val="FFFFFF" w:themeColor="background1"/>
                <w:sz w:val="20"/>
                <w:szCs w:val="20"/>
                <w:lang w:val="es-ES"/>
              </w:rPr>
            </w:pPr>
            <w:r w:rsidRPr="00A741F1">
              <w:rPr>
                <w:rFonts w:eastAsia="Calibri"/>
                <w:noProof/>
                <w:color w:val="FFFFFF" w:themeColor="background1"/>
                <w:sz w:val="20"/>
                <w:szCs w:val="20"/>
                <w:lang w:val="es-ES"/>
              </w:rPr>
              <w:t>TOTAL APORTES RECIBIDOS</w:t>
            </w:r>
          </w:p>
        </w:tc>
        <w:tc>
          <w:tcPr>
            <w:tcW w:w="2056" w:type="dxa"/>
            <w:tcBorders>
              <w:top w:val="nil"/>
              <w:left w:val="single" w:sz="4" w:space="0" w:color="auto"/>
              <w:bottom w:val="single" w:sz="4" w:space="0" w:color="auto"/>
              <w:right w:val="single" w:sz="8" w:space="0" w:color="auto"/>
            </w:tcBorders>
            <w:shd w:val="clear" w:color="000000" w:fill="002060"/>
            <w:noWrap/>
            <w:vAlign w:val="bottom"/>
            <w:hideMark/>
          </w:tcPr>
          <w:p w14:paraId="1D419487" w14:textId="6949134C" w:rsidR="00A741F1" w:rsidRPr="00A741F1" w:rsidRDefault="00A741F1" w:rsidP="00AA31E0">
            <w:pPr>
              <w:spacing w:after="0" w:line="240" w:lineRule="auto"/>
              <w:jc w:val="center"/>
              <w:rPr>
                <w:rFonts w:eastAsia="Calibri"/>
                <w:noProof/>
                <w:color w:val="FFFFFF" w:themeColor="background1"/>
                <w:sz w:val="20"/>
                <w:szCs w:val="20"/>
                <w:lang w:val="es-ES"/>
              </w:rPr>
            </w:pPr>
            <w:r w:rsidRPr="00A741F1">
              <w:rPr>
                <w:rFonts w:eastAsia="Calibri"/>
                <w:noProof/>
                <w:color w:val="FFFFFF" w:themeColor="background1"/>
                <w:sz w:val="20"/>
                <w:szCs w:val="20"/>
                <w:lang w:val="es-ES"/>
              </w:rPr>
              <w:t>18,794,829,379.49</w:t>
            </w:r>
          </w:p>
        </w:tc>
        <w:tc>
          <w:tcPr>
            <w:tcW w:w="2176" w:type="dxa"/>
            <w:tcBorders>
              <w:top w:val="nil"/>
              <w:left w:val="single" w:sz="4" w:space="0" w:color="auto"/>
              <w:bottom w:val="single" w:sz="4" w:space="0" w:color="auto"/>
              <w:right w:val="single" w:sz="8" w:space="0" w:color="auto"/>
            </w:tcBorders>
            <w:shd w:val="clear" w:color="000000" w:fill="002060"/>
            <w:noWrap/>
            <w:vAlign w:val="bottom"/>
            <w:hideMark/>
          </w:tcPr>
          <w:p w14:paraId="77EBB896" w14:textId="59ED7895" w:rsidR="00A741F1" w:rsidRPr="00A741F1" w:rsidRDefault="00A741F1" w:rsidP="00AA31E0">
            <w:pPr>
              <w:spacing w:after="0" w:line="240" w:lineRule="auto"/>
              <w:jc w:val="center"/>
              <w:rPr>
                <w:rFonts w:eastAsia="Calibri"/>
                <w:noProof/>
                <w:color w:val="FFFFFF" w:themeColor="background1"/>
                <w:sz w:val="20"/>
                <w:szCs w:val="20"/>
                <w:lang w:val="es-ES"/>
              </w:rPr>
            </w:pPr>
            <w:r w:rsidRPr="00A741F1">
              <w:rPr>
                <w:rFonts w:eastAsia="Calibri"/>
                <w:noProof/>
                <w:color w:val="FFFFFF" w:themeColor="background1"/>
                <w:sz w:val="20"/>
                <w:szCs w:val="20"/>
                <w:lang w:val="es-ES"/>
              </w:rPr>
              <w:t>164,381,059,378.08</w:t>
            </w:r>
          </w:p>
        </w:tc>
      </w:tr>
      <w:tr w:rsidR="00A741F1" w:rsidRPr="00A741F1" w14:paraId="00B761C3" w14:textId="77777777" w:rsidTr="00C50277">
        <w:trPr>
          <w:trHeight w:val="298"/>
        </w:trPr>
        <w:tc>
          <w:tcPr>
            <w:tcW w:w="4469" w:type="dxa"/>
            <w:tcBorders>
              <w:top w:val="nil"/>
              <w:left w:val="single" w:sz="8" w:space="0" w:color="auto"/>
              <w:bottom w:val="single" w:sz="4" w:space="0" w:color="auto"/>
              <w:right w:val="nil"/>
            </w:tcBorders>
            <w:shd w:val="clear" w:color="auto" w:fill="auto"/>
            <w:noWrap/>
            <w:vAlign w:val="bottom"/>
            <w:hideMark/>
          </w:tcPr>
          <w:p w14:paraId="2F326985"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 </w:t>
            </w:r>
          </w:p>
        </w:tc>
        <w:tc>
          <w:tcPr>
            <w:tcW w:w="2056" w:type="dxa"/>
            <w:tcBorders>
              <w:top w:val="nil"/>
              <w:left w:val="single" w:sz="4" w:space="0" w:color="auto"/>
              <w:bottom w:val="single" w:sz="4" w:space="0" w:color="auto"/>
              <w:right w:val="nil"/>
            </w:tcBorders>
            <w:shd w:val="clear" w:color="auto" w:fill="auto"/>
            <w:noWrap/>
            <w:vAlign w:val="bottom"/>
            <w:hideMark/>
          </w:tcPr>
          <w:p w14:paraId="3C06E07E"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 </w:t>
            </w:r>
          </w:p>
        </w:tc>
        <w:tc>
          <w:tcPr>
            <w:tcW w:w="2176" w:type="dxa"/>
            <w:tcBorders>
              <w:top w:val="nil"/>
              <w:left w:val="single" w:sz="4" w:space="0" w:color="auto"/>
              <w:bottom w:val="single" w:sz="4" w:space="0" w:color="auto"/>
              <w:right w:val="single" w:sz="8" w:space="0" w:color="auto"/>
            </w:tcBorders>
            <w:shd w:val="clear" w:color="auto" w:fill="auto"/>
            <w:noWrap/>
            <w:vAlign w:val="bottom"/>
            <w:hideMark/>
          </w:tcPr>
          <w:p w14:paraId="6EDF1F0E"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 </w:t>
            </w:r>
          </w:p>
        </w:tc>
      </w:tr>
      <w:tr w:rsidR="00A741F1" w:rsidRPr="00A741F1" w14:paraId="7FFF1332" w14:textId="77777777" w:rsidTr="00C50277">
        <w:trPr>
          <w:trHeight w:val="298"/>
        </w:trPr>
        <w:tc>
          <w:tcPr>
            <w:tcW w:w="4469" w:type="dxa"/>
            <w:tcBorders>
              <w:top w:val="nil"/>
              <w:left w:val="single" w:sz="8" w:space="0" w:color="auto"/>
              <w:bottom w:val="single" w:sz="4" w:space="0" w:color="auto"/>
              <w:right w:val="nil"/>
            </w:tcBorders>
            <w:shd w:val="clear" w:color="auto" w:fill="auto"/>
            <w:noWrap/>
            <w:vAlign w:val="bottom"/>
            <w:hideMark/>
          </w:tcPr>
          <w:p w14:paraId="162E2B1E"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MENOS:</w:t>
            </w:r>
          </w:p>
        </w:tc>
        <w:tc>
          <w:tcPr>
            <w:tcW w:w="2056" w:type="dxa"/>
            <w:tcBorders>
              <w:top w:val="nil"/>
              <w:left w:val="single" w:sz="4" w:space="0" w:color="auto"/>
              <w:bottom w:val="single" w:sz="4" w:space="0" w:color="auto"/>
              <w:right w:val="nil"/>
            </w:tcBorders>
            <w:shd w:val="clear" w:color="auto" w:fill="auto"/>
            <w:noWrap/>
            <w:vAlign w:val="bottom"/>
            <w:hideMark/>
          </w:tcPr>
          <w:p w14:paraId="0438D700"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 </w:t>
            </w:r>
          </w:p>
        </w:tc>
        <w:tc>
          <w:tcPr>
            <w:tcW w:w="2176" w:type="dxa"/>
            <w:tcBorders>
              <w:top w:val="nil"/>
              <w:left w:val="single" w:sz="4" w:space="0" w:color="auto"/>
              <w:bottom w:val="single" w:sz="4" w:space="0" w:color="auto"/>
              <w:right w:val="single" w:sz="8" w:space="0" w:color="auto"/>
            </w:tcBorders>
            <w:shd w:val="clear" w:color="auto" w:fill="auto"/>
            <w:noWrap/>
            <w:vAlign w:val="bottom"/>
            <w:hideMark/>
          </w:tcPr>
          <w:p w14:paraId="139CC35A"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 </w:t>
            </w:r>
          </w:p>
        </w:tc>
      </w:tr>
      <w:tr w:rsidR="00A741F1" w:rsidRPr="00A741F1" w14:paraId="242F6321" w14:textId="77777777" w:rsidTr="00C50277">
        <w:trPr>
          <w:trHeight w:val="298"/>
        </w:trPr>
        <w:tc>
          <w:tcPr>
            <w:tcW w:w="4469" w:type="dxa"/>
            <w:tcBorders>
              <w:top w:val="nil"/>
              <w:left w:val="single" w:sz="8" w:space="0" w:color="auto"/>
              <w:bottom w:val="single" w:sz="4" w:space="0" w:color="auto"/>
              <w:right w:val="nil"/>
            </w:tcBorders>
            <w:shd w:val="clear" w:color="auto" w:fill="auto"/>
            <w:noWrap/>
            <w:vAlign w:val="bottom"/>
            <w:hideMark/>
          </w:tcPr>
          <w:p w14:paraId="77904FE5"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PAGOS AL SEGURO NACIONAL DE SALUD (CSP)</w:t>
            </w:r>
          </w:p>
        </w:tc>
        <w:tc>
          <w:tcPr>
            <w:tcW w:w="2056" w:type="dxa"/>
            <w:tcBorders>
              <w:top w:val="nil"/>
              <w:left w:val="single" w:sz="4" w:space="0" w:color="auto"/>
              <w:bottom w:val="single" w:sz="4" w:space="0" w:color="auto"/>
              <w:right w:val="nil"/>
            </w:tcBorders>
            <w:shd w:val="clear" w:color="auto" w:fill="auto"/>
            <w:noWrap/>
            <w:vAlign w:val="bottom"/>
            <w:hideMark/>
          </w:tcPr>
          <w:p w14:paraId="76560DFB" w14:textId="503DB349"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17,949,940,167.31</w:t>
            </w:r>
          </w:p>
        </w:tc>
        <w:tc>
          <w:tcPr>
            <w:tcW w:w="2176" w:type="dxa"/>
            <w:tcBorders>
              <w:top w:val="nil"/>
              <w:left w:val="single" w:sz="4" w:space="0" w:color="auto"/>
              <w:bottom w:val="single" w:sz="4" w:space="0" w:color="auto"/>
              <w:right w:val="single" w:sz="8" w:space="0" w:color="auto"/>
            </w:tcBorders>
            <w:shd w:val="clear" w:color="auto" w:fill="auto"/>
            <w:noWrap/>
            <w:vAlign w:val="bottom"/>
            <w:hideMark/>
          </w:tcPr>
          <w:p w14:paraId="5E6357E2" w14:textId="16000056"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157,576,189,828.70</w:t>
            </w:r>
          </w:p>
        </w:tc>
      </w:tr>
      <w:tr w:rsidR="00A741F1" w:rsidRPr="00A741F1" w14:paraId="3BABB428" w14:textId="77777777" w:rsidTr="00C50277">
        <w:trPr>
          <w:trHeight w:val="313"/>
        </w:trPr>
        <w:tc>
          <w:tcPr>
            <w:tcW w:w="4469" w:type="dxa"/>
            <w:tcBorders>
              <w:top w:val="nil"/>
              <w:left w:val="single" w:sz="8" w:space="0" w:color="auto"/>
              <w:bottom w:val="single" w:sz="4" w:space="0" w:color="auto"/>
              <w:right w:val="nil"/>
            </w:tcBorders>
            <w:shd w:val="clear" w:color="auto" w:fill="auto"/>
            <w:noWrap/>
            <w:vAlign w:val="bottom"/>
            <w:hideMark/>
          </w:tcPr>
          <w:p w14:paraId="48FA9D4A"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PAGOS AL SEGURO NACIONAL DE SALUD (FONAMAT)</w:t>
            </w:r>
          </w:p>
        </w:tc>
        <w:tc>
          <w:tcPr>
            <w:tcW w:w="2056" w:type="dxa"/>
            <w:tcBorders>
              <w:top w:val="nil"/>
              <w:left w:val="single" w:sz="4" w:space="0" w:color="auto"/>
              <w:bottom w:val="single" w:sz="4" w:space="0" w:color="auto"/>
              <w:right w:val="nil"/>
            </w:tcBorders>
            <w:shd w:val="clear" w:color="auto" w:fill="auto"/>
            <w:noWrap/>
            <w:vAlign w:val="bottom"/>
            <w:hideMark/>
          </w:tcPr>
          <w:p w14:paraId="5170F17B" w14:textId="08D6FE91"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414,980,580.00</w:t>
            </w:r>
          </w:p>
        </w:tc>
        <w:tc>
          <w:tcPr>
            <w:tcW w:w="2176" w:type="dxa"/>
            <w:tcBorders>
              <w:top w:val="nil"/>
              <w:left w:val="single" w:sz="4" w:space="0" w:color="auto"/>
              <w:bottom w:val="single" w:sz="4" w:space="0" w:color="auto"/>
              <w:right w:val="single" w:sz="8" w:space="0" w:color="auto"/>
            </w:tcBorders>
            <w:shd w:val="clear" w:color="auto" w:fill="auto"/>
            <w:noWrap/>
            <w:vAlign w:val="bottom"/>
            <w:hideMark/>
          </w:tcPr>
          <w:p w14:paraId="74ECCE1A" w14:textId="3FF40590"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3,173,143,382.00</w:t>
            </w:r>
          </w:p>
        </w:tc>
      </w:tr>
      <w:tr w:rsidR="00A741F1" w:rsidRPr="00A741F1" w14:paraId="34407A87" w14:textId="77777777" w:rsidTr="00C50277">
        <w:trPr>
          <w:trHeight w:val="298"/>
        </w:trPr>
        <w:tc>
          <w:tcPr>
            <w:tcW w:w="4469" w:type="dxa"/>
            <w:tcBorders>
              <w:top w:val="nil"/>
              <w:left w:val="single" w:sz="8" w:space="0" w:color="auto"/>
              <w:bottom w:val="single" w:sz="4" w:space="0" w:color="auto"/>
              <w:right w:val="nil"/>
            </w:tcBorders>
            <w:shd w:val="clear" w:color="auto" w:fill="auto"/>
            <w:noWrap/>
            <w:vAlign w:val="bottom"/>
            <w:hideMark/>
          </w:tcPr>
          <w:p w14:paraId="452B2DFC"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PAGOS EXTRAORDINARIOS AL (SENASA)</w:t>
            </w:r>
          </w:p>
        </w:tc>
        <w:tc>
          <w:tcPr>
            <w:tcW w:w="2056" w:type="dxa"/>
            <w:tcBorders>
              <w:top w:val="nil"/>
              <w:left w:val="single" w:sz="4" w:space="0" w:color="auto"/>
              <w:bottom w:val="single" w:sz="4" w:space="0" w:color="auto"/>
              <w:right w:val="nil"/>
            </w:tcBorders>
            <w:shd w:val="clear" w:color="auto" w:fill="auto"/>
            <w:noWrap/>
            <w:vAlign w:val="bottom"/>
            <w:hideMark/>
          </w:tcPr>
          <w:p w14:paraId="248FF304" w14:textId="0F864380" w:rsidR="00A741F1" w:rsidRPr="00A741F1" w:rsidRDefault="00A741F1" w:rsidP="00AA31E0">
            <w:pPr>
              <w:spacing w:after="0" w:line="240" w:lineRule="auto"/>
              <w:jc w:val="center"/>
              <w:rPr>
                <w:rFonts w:eastAsia="Calibri"/>
                <w:noProof/>
                <w:sz w:val="20"/>
                <w:szCs w:val="20"/>
                <w:lang w:val="es-ES"/>
              </w:rPr>
            </w:pPr>
          </w:p>
        </w:tc>
        <w:tc>
          <w:tcPr>
            <w:tcW w:w="2176" w:type="dxa"/>
            <w:tcBorders>
              <w:top w:val="nil"/>
              <w:left w:val="single" w:sz="4" w:space="0" w:color="auto"/>
              <w:bottom w:val="single" w:sz="4" w:space="0" w:color="auto"/>
              <w:right w:val="single" w:sz="8" w:space="0" w:color="auto"/>
            </w:tcBorders>
            <w:shd w:val="clear" w:color="auto" w:fill="auto"/>
            <w:noWrap/>
            <w:vAlign w:val="bottom"/>
            <w:hideMark/>
          </w:tcPr>
          <w:p w14:paraId="416AAB75" w14:textId="7FE8EB26"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720,000,000.00</w:t>
            </w:r>
          </w:p>
        </w:tc>
      </w:tr>
      <w:tr w:rsidR="00A741F1" w:rsidRPr="00A741F1" w14:paraId="78DBC0F6" w14:textId="77777777" w:rsidTr="00C50277">
        <w:trPr>
          <w:trHeight w:val="298"/>
        </w:trPr>
        <w:tc>
          <w:tcPr>
            <w:tcW w:w="4469" w:type="dxa"/>
            <w:tcBorders>
              <w:top w:val="nil"/>
              <w:left w:val="single" w:sz="8" w:space="0" w:color="auto"/>
              <w:bottom w:val="single" w:sz="4" w:space="0" w:color="auto"/>
              <w:right w:val="nil"/>
            </w:tcBorders>
            <w:shd w:val="clear" w:color="auto" w:fill="auto"/>
            <w:noWrap/>
            <w:vAlign w:val="bottom"/>
            <w:hideMark/>
          </w:tcPr>
          <w:p w14:paraId="28A94A69"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SENASA (Atenciones Médicas Covid-19 .)</w:t>
            </w:r>
          </w:p>
        </w:tc>
        <w:tc>
          <w:tcPr>
            <w:tcW w:w="2056" w:type="dxa"/>
            <w:tcBorders>
              <w:top w:val="nil"/>
              <w:left w:val="single" w:sz="4" w:space="0" w:color="auto"/>
              <w:bottom w:val="single" w:sz="4" w:space="0" w:color="auto"/>
              <w:right w:val="nil"/>
            </w:tcBorders>
            <w:shd w:val="clear" w:color="auto" w:fill="auto"/>
            <w:noWrap/>
            <w:vAlign w:val="bottom"/>
            <w:hideMark/>
          </w:tcPr>
          <w:p w14:paraId="01986EEC" w14:textId="71275A16"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w:t>
            </w:r>
          </w:p>
        </w:tc>
        <w:tc>
          <w:tcPr>
            <w:tcW w:w="2176" w:type="dxa"/>
            <w:tcBorders>
              <w:top w:val="nil"/>
              <w:left w:val="single" w:sz="4" w:space="0" w:color="auto"/>
              <w:bottom w:val="single" w:sz="4" w:space="0" w:color="auto"/>
              <w:right w:val="single" w:sz="8" w:space="0" w:color="auto"/>
            </w:tcBorders>
            <w:shd w:val="clear" w:color="auto" w:fill="auto"/>
            <w:noWrap/>
            <w:vAlign w:val="bottom"/>
            <w:hideMark/>
          </w:tcPr>
          <w:p w14:paraId="4FE3FFDE" w14:textId="65C23FF1"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1,498,481,601.68</w:t>
            </w:r>
          </w:p>
        </w:tc>
      </w:tr>
      <w:tr w:rsidR="00A741F1" w:rsidRPr="00A741F1" w14:paraId="26EC9C31" w14:textId="77777777" w:rsidTr="00C50277">
        <w:trPr>
          <w:trHeight w:val="298"/>
        </w:trPr>
        <w:tc>
          <w:tcPr>
            <w:tcW w:w="4469" w:type="dxa"/>
            <w:tcBorders>
              <w:top w:val="nil"/>
              <w:left w:val="single" w:sz="8" w:space="0" w:color="auto"/>
              <w:bottom w:val="single" w:sz="4" w:space="0" w:color="auto"/>
              <w:right w:val="nil"/>
            </w:tcBorders>
            <w:shd w:val="clear" w:color="auto" w:fill="auto"/>
            <w:noWrap/>
            <w:vAlign w:val="bottom"/>
            <w:hideMark/>
          </w:tcPr>
          <w:p w14:paraId="21869674" w14:textId="77777777" w:rsidR="00A741F1" w:rsidRPr="00A741F1" w:rsidRDefault="00A741F1" w:rsidP="00A741F1">
            <w:pPr>
              <w:spacing w:after="0" w:line="240" w:lineRule="auto"/>
              <w:jc w:val="both"/>
              <w:rPr>
                <w:rFonts w:eastAsia="Calibri"/>
                <w:noProof/>
                <w:sz w:val="20"/>
                <w:szCs w:val="20"/>
                <w:lang w:val="es-ES"/>
              </w:rPr>
            </w:pPr>
            <w:r w:rsidRPr="00A741F1">
              <w:rPr>
                <w:rFonts w:eastAsia="Calibri"/>
                <w:noProof/>
                <w:sz w:val="20"/>
                <w:szCs w:val="20"/>
                <w:lang w:val="es-ES"/>
              </w:rPr>
              <w:t>Transferencia al SENASA "Proyecto SENASA Cuida de ti"</w:t>
            </w:r>
          </w:p>
        </w:tc>
        <w:tc>
          <w:tcPr>
            <w:tcW w:w="2056" w:type="dxa"/>
            <w:tcBorders>
              <w:top w:val="nil"/>
              <w:left w:val="single" w:sz="4" w:space="0" w:color="auto"/>
              <w:bottom w:val="single" w:sz="4" w:space="0" w:color="auto"/>
              <w:right w:val="nil"/>
            </w:tcBorders>
            <w:shd w:val="clear" w:color="auto" w:fill="auto"/>
            <w:noWrap/>
            <w:vAlign w:val="bottom"/>
            <w:hideMark/>
          </w:tcPr>
          <w:p w14:paraId="4346A7FF" w14:textId="132AF6C0"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200,000,000.04</w:t>
            </w:r>
          </w:p>
        </w:tc>
        <w:tc>
          <w:tcPr>
            <w:tcW w:w="2176" w:type="dxa"/>
            <w:tcBorders>
              <w:top w:val="nil"/>
              <w:left w:val="single" w:sz="4" w:space="0" w:color="auto"/>
              <w:bottom w:val="single" w:sz="4" w:space="0" w:color="auto"/>
              <w:right w:val="single" w:sz="8" w:space="0" w:color="auto"/>
            </w:tcBorders>
            <w:shd w:val="clear" w:color="auto" w:fill="auto"/>
            <w:noWrap/>
            <w:vAlign w:val="bottom"/>
            <w:hideMark/>
          </w:tcPr>
          <w:p w14:paraId="08A7C2E6" w14:textId="6DDA903C"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1,183,333,333.56</w:t>
            </w:r>
          </w:p>
        </w:tc>
      </w:tr>
      <w:tr w:rsidR="00A741F1" w:rsidRPr="00A741F1" w14:paraId="74C9FCAF" w14:textId="77777777" w:rsidTr="00C50277">
        <w:trPr>
          <w:trHeight w:val="313"/>
        </w:trPr>
        <w:tc>
          <w:tcPr>
            <w:tcW w:w="4469" w:type="dxa"/>
            <w:tcBorders>
              <w:top w:val="nil"/>
              <w:left w:val="single" w:sz="8" w:space="0" w:color="auto"/>
              <w:bottom w:val="single" w:sz="4" w:space="0" w:color="auto"/>
              <w:right w:val="nil"/>
            </w:tcBorders>
            <w:shd w:val="clear" w:color="auto" w:fill="auto"/>
            <w:noWrap/>
            <w:vAlign w:val="bottom"/>
            <w:hideMark/>
          </w:tcPr>
          <w:p w14:paraId="5E30C4D6" w14:textId="77777777" w:rsidR="00A741F1" w:rsidRPr="00A741F1" w:rsidRDefault="00A741F1" w:rsidP="00A741F1">
            <w:pPr>
              <w:spacing w:after="0" w:line="240" w:lineRule="auto"/>
              <w:rPr>
                <w:rFonts w:eastAsia="Calibri"/>
                <w:noProof/>
                <w:sz w:val="20"/>
                <w:szCs w:val="20"/>
                <w:lang w:val="es-ES"/>
              </w:rPr>
            </w:pPr>
            <w:r w:rsidRPr="00A741F1">
              <w:rPr>
                <w:rFonts w:eastAsia="Calibri"/>
                <w:noProof/>
                <w:sz w:val="20"/>
                <w:szCs w:val="20"/>
                <w:lang w:val="es-ES"/>
              </w:rPr>
              <w:t>Cargos Bancarios</w:t>
            </w:r>
          </w:p>
        </w:tc>
        <w:tc>
          <w:tcPr>
            <w:tcW w:w="2056" w:type="dxa"/>
            <w:tcBorders>
              <w:top w:val="nil"/>
              <w:left w:val="single" w:sz="4" w:space="0" w:color="auto"/>
              <w:bottom w:val="single" w:sz="4" w:space="0" w:color="auto"/>
              <w:right w:val="nil"/>
            </w:tcBorders>
            <w:shd w:val="clear" w:color="auto" w:fill="auto"/>
            <w:noWrap/>
            <w:vAlign w:val="bottom"/>
            <w:hideMark/>
          </w:tcPr>
          <w:p w14:paraId="0FFC390F" w14:textId="74DC351F" w:rsidR="00A741F1" w:rsidRPr="00A741F1" w:rsidRDefault="00A741F1" w:rsidP="00AA31E0">
            <w:pPr>
              <w:spacing w:after="0" w:line="240" w:lineRule="auto"/>
              <w:jc w:val="center"/>
              <w:rPr>
                <w:rFonts w:eastAsia="Calibri"/>
                <w:noProof/>
                <w:sz w:val="20"/>
                <w:szCs w:val="20"/>
                <w:lang w:val="es-ES"/>
              </w:rPr>
            </w:pPr>
          </w:p>
        </w:tc>
        <w:tc>
          <w:tcPr>
            <w:tcW w:w="2176" w:type="dxa"/>
            <w:tcBorders>
              <w:top w:val="nil"/>
              <w:left w:val="single" w:sz="4" w:space="0" w:color="auto"/>
              <w:bottom w:val="single" w:sz="4" w:space="0" w:color="auto"/>
              <w:right w:val="single" w:sz="8" w:space="0" w:color="auto"/>
            </w:tcBorders>
            <w:shd w:val="clear" w:color="auto" w:fill="auto"/>
            <w:noWrap/>
            <w:vAlign w:val="bottom"/>
            <w:hideMark/>
          </w:tcPr>
          <w:p w14:paraId="5A25BCD4" w14:textId="6B15571E" w:rsidR="00A741F1" w:rsidRPr="00A741F1" w:rsidRDefault="00A741F1" w:rsidP="00AA31E0">
            <w:pPr>
              <w:spacing w:after="0" w:line="240" w:lineRule="auto"/>
              <w:jc w:val="center"/>
              <w:rPr>
                <w:rFonts w:eastAsia="Calibri"/>
                <w:noProof/>
                <w:sz w:val="20"/>
                <w:szCs w:val="20"/>
                <w:lang w:val="es-ES"/>
              </w:rPr>
            </w:pPr>
            <w:r w:rsidRPr="00A741F1">
              <w:rPr>
                <w:rFonts w:eastAsia="Calibri"/>
                <w:noProof/>
                <w:sz w:val="20"/>
                <w:szCs w:val="20"/>
                <w:lang w:val="es-ES"/>
              </w:rPr>
              <w:t>2,600.00</w:t>
            </w:r>
          </w:p>
        </w:tc>
      </w:tr>
      <w:tr w:rsidR="00A741F1" w:rsidRPr="00A741F1" w14:paraId="31136250" w14:textId="77777777" w:rsidTr="00C50277">
        <w:trPr>
          <w:trHeight w:val="298"/>
        </w:trPr>
        <w:tc>
          <w:tcPr>
            <w:tcW w:w="4469" w:type="dxa"/>
            <w:tcBorders>
              <w:top w:val="single" w:sz="8" w:space="0" w:color="auto"/>
              <w:left w:val="single" w:sz="8" w:space="0" w:color="auto"/>
              <w:bottom w:val="single" w:sz="4" w:space="0" w:color="auto"/>
              <w:right w:val="nil"/>
            </w:tcBorders>
            <w:shd w:val="clear" w:color="000000" w:fill="002060"/>
            <w:noWrap/>
            <w:vAlign w:val="bottom"/>
            <w:hideMark/>
          </w:tcPr>
          <w:p w14:paraId="03EFC674" w14:textId="77777777" w:rsidR="00A741F1" w:rsidRPr="00A741F1" w:rsidRDefault="00A741F1" w:rsidP="00A741F1">
            <w:pPr>
              <w:spacing w:after="0" w:line="240" w:lineRule="auto"/>
              <w:rPr>
                <w:rFonts w:eastAsia="Times New Roman"/>
                <w:b/>
                <w:bCs/>
                <w:color w:val="FFFFFF"/>
                <w:spacing w:val="0"/>
                <w:sz w:val="16"/>
                <w:szCs w:val="16"/>
              </w:rPr>
            </w:pPr>
            <w:r w:rsidRPr="00A741F1">
              <w:rPr>
                <w:rFonts w:eastAsia="Times New Roman"/>
                <w:b/>
                <w:bCs/>
                <w:color w:val="FFFFFF"/>
                <w:spacing w:val="0"/>
                <w:sz w:val="16"/>
                <w:szCs w:val="16"/>
              </w:rPr>
              <w:t>TOTAL PAGADO</w:t>
            </w:r>
          </w:p>
        </w:tc>
        <w:tc>
          <w:tcPr>
            <w:tcW w:w="2056" w:type="dxa"/>
            <w:tcBorders>
              <w:top w:val="nil"/>
              <w:left w:val="nil"/>
              <w:bottom w:val="single" w:sz="4" w:space="0" w:color="auto"/>
              <w:right w:val="single" w:sz="4" w:space="0" w:color="auto"/>
            </w:tcBorders>
            <w:shd w:val="clear" w:color="000000" w:fill="002060"/>
            <w:noWrap/>
            <w:vAlign w:val="bottom"/>
            <w:hideMark/>
          </w:tcPr>
          <w:p w14:paraId="209D13CE" w14:textId="448D686F" w:rsidR="00A741F1" w:rsidRPr="00A741F1" w:rsidRDefault="00A741F1" w:rsidP="00AA31E0">
            <w:pPr>
              <w:spacing w:after="0" w:line="240" w:lineRule="auto"/>
              <w:jc w:val="center"/>
              <w:rPr>
                <w:rFonts w:eastAsia="Times New Roman"/>
                <w:b/>
                <w:bCs/>
                <w:color w:val="FFFFFF"/>
                <w:spacing w:val="0"/>
                <w:sz w:val="16"/>
                <w:szCs w:val="16"/>
              </w:rPr>
            </w:pPr>
            <w:r w:rsidRPr="00A741F1">
              <w:rPr>
                <w:rFonts w:eastAsia="Times New Roman"/>
                <w:b/>
                <w:bCs/>
                <w:color w:val="FFFFFF"/>
                <w:spacing w:val="0"/>
                <w:sz w:val="16"/>
                <w:szCs w:val="16"/>
              </w:rPr>
              <w:t>18,564,920,747.35</w:t>
            </w:r>
          </w:p>
        </w:tc>
        <w:tc>
          <w:tcPr>
            <w:tcW w:w="2176" w:type="dxa"/>
            <w:tcBorders>
              <w:top w:val="nil"/>
              <w:left w:val="nil"/>
              <w:bottom w:val="single" w:sz="4" w:space="0" w:color="auto"/>
              <w:right w:val="single" w:sz="8" w:space="0" w:color="auto"/>
            </w:tcBorders>
            <w:shd w:val="clear" w:color="000000" w:fill="002060"/>
            <w:noWrap/>
            <w:vAlign w:val="bottom"/>
            <w:hideMark/>
          </w:tcPr>
          <w:p w14:paraId="450D7A23" w14:textId="27616106" w:rsidR="00A741F1" w:rsidRPr="00A741F1" w:rsidRDefault="00A741F1" w:rsidP="00AA31E0">
            <w:pPr>
              <w:spacing w:after="0" w:line="240" w:lineRule="auto"/>
              <w:jc w:val="center"/>
              <w:rPr>
                <w:rFonts w:eastAsia="Times New Roman"/>
                <w:b/>
                <w:bCs/>
                <w:color w:val="FFFFFF"/>
                <w:spacing w:val="0"/>
                <w:sz w:val="16"/>
                <w:szCs w:val="16"/>
              </w:rPr>
            </w:pPr>
            <w:r w:rsidRPr="00A741F1">
              <w:rPr>
                <w:rFonts w:eastAsia="Times New Roman"/>
                <w:b/>
                <w:bCs/>
                <w:color w:val="FFFFFF"/>
                <w:spacing w:val="0"/>
                <w:sz w:val="16"/>
                <w:szCs w:val="16"/>
              </w:rPr>
              <w:t>164,151,150,745.94</w:t>
            </w:r>
          </w:p>
        </w:tc>
      </w:tr>
      <w:tr w:rsidR="00A741F1" w:rsidRPr="00A741F1" w14:paraId="10B0E40B" w14:textId="77777777" w:rsidTr="00C50277">
        <w:trPr>
          <w:trHeight w:val="358"/>
        </w:trPr>
        <w:tc>
          <w:tcPr>
            <w:tcW w:w="4469" w:type="dxa"/>
            <w:tcBorders>
              <w:top w:val="nil"/>
              <w:left w:val="single" w:sz="8" w:space="0" w:color="auto"/>
              <w:bottom w:val="single" w:sz="8" w:space="0" w:color="auto"/>
              <w:right w:val="single" w:sz="4" w:space="0" w:color="auto"/>
            </w:tcBorders>
            <w:shd w:val="clear" w:color="000000" w:fill="002060"/>
            <w:vAlign w:val="bottom"/>
            <w:hideMark/>
          </w:tcPr>
          <w:p w14:paraId="4FAF697C" w14:textId="77777777" w:rsidR="00A741F1" w:rsidRPr="00A741F1" w:rsidRDefault="00A741F1" w:rsidP="00A741F1">
            <w:pPr>
              <w:spacing w:after="0" w:line="240" w:lineRule="auto"/>
              <w:rPr>
                <w:rFonts w:eastAsia="Times New Roman"/>
                <w:b/>
                <w:bCs/>
                <w:color w:val="FFFFFF"/>
                <w:spacing w:val="0"/>
                <w:sz w:val="16"/>
                <w:szCs w:val="16"/>
              </w:rPr>
            </w:pPr>
            <w:r w:rsidRPr="00A741F1">
              <w:rPr>
                <w:rFonts w:eastAsia="Times New Roman"/>
                <w:b/>
                <w:bCs/>
                <w:color w:val="FFFFFF"/>
                <w:spacing w:val="0"/>
                <w:sz w:val="16"/>
                <w:szCs w:val="16"/>
              </w:rPr>
              <w:t>TOTAL APORTES DISPONIBLES</w:t>
            </w:r>
          </w:p>
        </w:tc>
        <w:tc>
          <w:tcPr>
            <w:tcW w:w="2056" w:type="dxa"/>
            <w:tcBorders>
              <w:top w:val="nil"/>
              <w:left w:val="nil"/>
              <w:bottom w:val="single" w:sz="8" w:space="0" w:color="auto"/>
              <w:right w:val="single" w:sz="8" w:space="0" w:color="auto"/>
            </w:tcBorders>
            <w:shd w:val="clear" w:color="000000" w:fill="002060"/>
            <w:noWrap/>
            <w:vAlign w:val="bottom"/>
            <w:hideMark/>
          </w:tcPr>
          <w:p w14:paraId="176E8C65" w14:textId="2756C93C" w:rsidR="00A741F1" w:rsidRPr="00A741F1" w:rsidRDefault="00A741F1" w:rsidP="00AA31E0">
            <w:pPr>
              <w:spacing w:after="0" w:line="240" w:lineRule="auto"/>
              <w:jc w:val="center"/>
              <w:rPr>
                <w:rFonts w:eastAsia="Times New Roman"/>
                <w:b/>
                <w:bCs/>
                <w:color w:val="FFFFFF"/>
                <w:spacing w:val="0"/>
                <w:sz w:val="16"/>
                <w:szCs w:val="16"/>
              </w:rPr>
            </w:pPr>
            <w:r w:rsidRPr="00A741F1">
              <w:rPr>
                <w:rFonts w:eastAsia="Times New Roman"/>
                <w:b/>
                <w:bCs/>
                <w:color w:val="FFFFFF"/>
                <w:spacing w:val="0"/>
                <w:sz w:val="16"/>
                <w:szCs w:val="16"/>
              </w:rPr>
              <w:t>229,908,632.14</w:t>
            </w:r>
          </w:p>
        </w:tc>
        <w:tc>
          <w:tcPr>
            <w:tcW w:w="2176" w:type="dxa"/>
            <w:tcBorders>
              <w:top w:val="nil"/>
              <w:left w:val="nil"/>
              <w:bottom w:val="single" w:sz="8" w:space="0" w:color="auto"/>
              <w:right w:val="single" w:sz="8" w:space="0" w:color="auto"/>
            </w:tcBorders>
            <w:shd w:val="clear" w:color="000000" w:fill="002060"/>
            <w:noWrap/>
            <w:vAlign w:val="bottom"/>
            <w:hideMark/>
          </w:tcPr>
          <w:p w14:paraId="070CCA13" w14:textId="18205D96" w:rsidR="00A741F1" w:rsidRPr="00A741F1" w:rsidRDefault="00A741F1" w:rsidP="00AA31E0">
            <w:pPr>
              <w:spacing w:after="0" w:line="240" w:lineRule="auto"/>
              <w:jc w:val="center"/>
              <w:rPr>
                <w:rFonts w:eastAsia="Times New Roman"/>
                <w:b/>
                <w:bCs/>
                <w:color w:val="FFFFFF"/>
                <w:spacing w:val="0"/>
                <w:sz w:val="16"/>
                <w:szCs w:val="16"/>
              </w:rPr>
            </w:pPr>
            <w:r w:rsidRPr="00A741F1">
              <w:rPr>
                <w:rFonts w:eastAsia="Times New Roman"/>
                <w:b/>
                <w:bCs/>
                <w:color w:val="FFFFFF"/>
                <w:spacing w:val="0"/>
                <w:sz w:val="16"/>
                <w:szCs w:val="16"/>
              </w:rPr>
              <w:t>229,908,632.14</w:t>
            </w:r>
          </w:p>
        </w:tc>
      </w:tr>
    </w:tbl>
    <w:p w14:paraId="2E2AA70D" w14:textId="3F808DBC" w:rsidR="006717EB" w:rsidRPr="006717EB" w:rsidRDefault="00C50277" w:rsidP="006717EB">
      <w:pPr>
        <w:spacing w:line="360" w:lineRule="auto"/>
        <w:jc w:val="both"/>
        <w:rPr>
          <w:rFonts w:eastAsia="Calibri"/>
          <w:noProof/>
          <w:sz w:val="18"/>
          <w:szCs w:val="18"/>
          <w:lang w:val="es-ES"/>
        </w:rPr>
      </w:pPr>
      <w:r w:rsidRPr="00C50277">
        <w:rPr>
          <w:rFonts w:eastAsia="Calibri"/>
          <w:b/>
          <w:bCs/>
          <w:noProof/>
          <w:sz w:val="18"/>
          <w:szCs w:val="18"/>
          <w:lang w:val="es-ES"/>
        </w:rPr>
        <w:t>Tabla 10:</w:t>
      </w:r>
      <w:r w:rsidRPr="00C50277">
        <w:rPr>
          <w:rFonts w:eastAsia="Calibri"/>
          <w:noProof/>
          <w:sz w:val="18"/>
          <w:szCs w:val="18"/>
          <w:lang w:val="es-ES"/>
        </w:rPr>
        <w:t xml:space="preserve"> Aportes recibidos del Gobierno y pagados al Régimen Subsidiado 2024</w:t>
      </w:r>
    </w:p>
    <w:p w14:paraId="41B9C246" w14:textId="70408818" w:rsidR="00295F77" w:rsidRPr="00D2665C" w:rsidRDefault="00295F77" w:rsidP="00D2665C">
      <w:pPr>
        <w:spacing w:line="360" w:lineRule="auto"/>
        <w:jc w:val="both"/>
        <w:rPr>
          <w:rFonts w:eastAsia="Calibri"/>
          <w:noProof/>
          <w:lang w:val="es-ES"/>
        </w:rPr>
      </w:pPr>
      <w:r w:rsidRPr="00D2665C">
        <w:rPr>
          <w:rFonts w:eastAsia="Calibri"/>
          <w:noProof/>
          <w:lang w:val="es-ES"/>
        </w:rPr>
        <w:lastRenderedPageBreak/>
        <w:t>La Dirección de Fiscalización Externa de la Tesorería de la Seguridad Social tiene como objetivo general desarrollar inspecciones y/o fiscalizaciones a los entes supervisados según lo establecido en la normativa vigente, a fin de garantizar la detección oportuna de la mora, evasión y elusión, combinando otras fuentes de información gubernamental y privada.</w:t>
      </w:r>
    </w:p>
    <w:p w14:paraId="007110A6" w14:textId="77777777" w:rsidR="00D2665C" w:rsidRPr="006A5542" w:rsidRDefault="00295F77" w:rsidP="00D2665C">
      <w:pPr>
        <w:spacing w:line="360" w:lineRule="auto"/>
        <w:jc w:val="both"/>
        <w:rPr>
          <w:lang w:val="es-ES"/>
        </w:rPr>
      </w:pPr>
      <w:r w:rsidRPr="00D2665C">
        <w:rPr>
          <w:lang w:val="es-ES"/>
        </w:rPr>
        <w:t>Como parte de las acciones realizadas para dar cumplimiento a las funciones de la Dirección, podemos citar:</w:t>
      </w:r>
    </w:p>
    <w:p w14:paraId="48845990" w14:textId="77777777" w:rsidR="00D2665C" w:rsidRPr="00D2665C" w:rsidRDefault="00295F77" w:rsidP="00D2665C">
      <w:pPr>
        <w:pStyle w:val="ListParagraph"/>
        <w:numPr>
          <w:ilvl w:val="0"/>
          <w:numId w:val="44"/>
        </w:numPr>
        <w:spacing w:before="240" w:after="240" w:line="360" w:lineRule="auto"/>
        <w:rPr>
          <w:rFonts w:ascii="Times New Roman" w:hAnsi="Times New Roman"/>
          <w:color w:val="767171"/>
          <w:spacing w:val="20"/>
          <w:sz w:val="24"/>
          <w:szCs w:val="24"/>
        </w:rPr>
      </w:pPr>
      <w:r w:rsidRPr="00D2665C">
        <w:rPr>
          <w:rFonts w:ascii="Times New Roman" w:hAnsi="Times New Roman"/>
          <w:color w:val="767171"/>
          <w:spacing w:val="20"/>
          <w:sz w:val="24"/>
          <w:szCs w:val="24"/>
        </w:rPr>
        <w:t>Auditorías a los empleadores; que abarca el cumplimiento de sus deberes formales, fiscalización ante presunción de fraude, uso correcto de la dispensa otorgada, entre otras.</w:t>
      </w:r>
    </w:p>
    <w:p w14:paraId="76AF83B9" w14:textId="4D837DF7" w:rsidR="00295F77" w:rsidRPr="00D2665C" w:rsidRDefault="00295F77" w:rsidP="00D2665C">
      <w:pPr>
        <w:pStyle w:val="ListParagraph"/>
        <w:numPr>
          <w:ilvl w:val="0"/>
          <w:numId w:val="44"/>
        </w:numPr>
        <w:spacing w:before="240" w:after="240" w:line="360" w:lineRule="auto"/>
        <w:rPr>
          <w:rFonts w:ascii="Times New Roman" w:hAnsi="Times New Roman"/>
          <w:color w:val="767171"/>
          <w:spacing w:val="20"/>
          <w:sz w:val="24"/>
          <w:szCs w:val="24"/>
        </w:rPr>
      </w:pPr>
      <w:r w:rsidRPr="00D2665C">
        <w:rPr>
          <w:rFonts w:ascii="Times New Roman" w:hAnsi="Times New Roman"/>
          <w:color w:val="767171"/>
          <w:spacing w:val="20"/>
          <w:sz w:val="24"/>
          <w:szCs w:val="24"/>
        </w:rPr>
        <w:t xml:space="preserve">Auditoría a las ARS sobre el reporte real de titulares y dependientes al Seguro Familiar de Salud, así como las novedades correspondientes de los núcleos familiares. </w:t>
      </w:r>
    </w:p>
    <w:p w14:paraId="465D3788" w14:textId="77777777" w:rsidR="00295F77" w:rsidRPr="00D2665C" w:rsidRDefault="00295F77" w:rsidP="00D2665C">
      <w:pPr>
        <w:pStyle w:val="ListParagraph"/>
        <w:numPr>
          <w:ilvl w:val="0"/>
          <w:numId w:val="44"/>
        </w:numPr>
        <w:spacing w:before="240" w:after="240" w:line="360" w:lineRule="auto"/>
        <w:rPr>
          <w:rFonts w:ascii="Times New Roman" w:hAnsi="Times New Roman"/>
          <w:color w:val="767171"/>
          <w:spacing w:val="20"/>
          <w:sz w:val="24"/>
          <w:szCs w:val="24"/>
        </w:rPr>
      </w:pPr>
      <w:r w:rsidRPr="00D2665C">
        <w:rPr>
          <w:rFonts w:ascii="Times New Roman" w:hAnsi="Times New Roman"/>
          <w:color w:val="767171"/>
          <w:spacing w:val="20"/>
          <w:sz w:val="24"/>
          <w:szCs w:val="24"/>
        </w:rPr>
        <w:t xml:space="preserve">Visitas de inspección a empleadores, a través del Cuerpo Especial de Inspección. </w:t>
      </w:r>
    </w:p>
    <w:p w14:paraId="012848D5" w14:textId="77777777" w:rsidR="00295F77" w:rsidRDefault="00295F77" w:rsidP="00D2665C">
      <w:pPr>
        <w:pStyle w:val="ListParagraph"/>
        <w:numPr>
          <w:ilvl w:val="0"/>
          <w:numId w:val="44"/>
        </w:numPr>
        <w:spacing w:before="240" w:after="240" w:line="360" w:lineRule="auto"/>
        <w:rPr>
          <w:rFonts w:ascii="Times New Roman" w:hAnsi="Times New Roman"/>
          <w:color w:val="767171"/>
          <w:spacing w:val="20"/>
          <w:sz w:val="24"/>
          <w:szCs w:val="24"/>
        </w:rPr>
      </w:pPr>
      <w:r w:rsidRPr="00D2665C">
        <w:rPr>
          <w:rFonts w:ascii="Times New Roman" w:hAnsi="Times New Roman"/>
          <w:color w:val="767171"/>
          <w:spacing w:val="20"/>
          <w:sz w:val="24"/>
          <w:szCs w:val="24"/>
        </w:rPr>
        <w:t xml:space="preserve">Evaluación de solicitudes realizadas por los empleadores. </w:t>
      </w:r>
    </w:p>
    <w:p w14:paraId="652E10FC" w14:textId="37765A6C" w:rsidR="00D2665C" w:rsidRPr="00D2665C" w:rsidRDefault="00D2665C" w:rsidP="00D2665C">
      <w:pPr>
        <w:pStyle w:val="ListParagraph"/>
        <w:numPr>
          <w:ilvl w:val="0"/>
          <w:numId w:val="44"/>
        </w:numPr>
        <w:spacing w:before="240" w:after="240" w:line="360" w:lineRule="auto"/>
        <w:rPr>
          <w:rFonts w:ascii="Times New Roman" w:hAnsi="Times New Roman"/>
          <w:color w:val="767171"/>
          <w:spacing w:val="20"/>
          <w:sz w:val="24"/>
          <w:szCs w:val="24"/>
        </w:rPr>
      </w:pPr>
      <w:r>
        <w:rPr>
          <w:rFonts w:ascii="Times New Roman" w:hAnsi="Times New Roman"/>
          <w:color w:val="767171"/>
          <w:spacing w:val="20"/>
          <w:sz w:val="24"/>
          <w:szCs w:val="24"/>
        </w:rPr>
        <w:t>Otras acciones de fiscalización.</w:t>
      </w:r>
    </w:p>
    <w:p w14:paraId="2232409E" w14:textId="52B50E36" w:rsidR="00295F77" w:rsidRPr="00D2665C" w:rsidRDefault="00295F77" w:rsidP="00D2665C">
      <w:pPr>
        <w:spacing w:line="360" w:lineRule="auto"/>
        <w:jc w:val="both"/>
        <w:rPr>
          <w:rFonts w:eastAsia="Calibri"/>
          <w:noProof/>
          <w:lang w:val="es-DO"/>
        </w:rPr>
      </w:pPr>
      <w:r w:rsidRPr="00D2665C">
        <w:rPr>
          <w:lang w:val="es-ES"/>
        </w:rPr>
        <w:t xml:space="preserve">Para el período enero </w:t>
      </w:r>
      <w:r w:rsidR="00AA31E0">
        <w:rPr>
          <w:lang w:val="es-ES"/>
        </w:rPr>
        <w:t>–</w:t>
      </w:r>
      <w:r w:rsidRPr="00D2665C">
        <w:rPr>
          <w:lang w:val="es-ES"/>
        </w:rPr>
        <w:t xml:space="preserve"> </w:t>
      </w:r>
      <w:r w:rsidR="00AA31E0">
        <w:rPr>
          <w:lang w:val="es-ES"/>
        </w:rPr>
        <w:t xml:space="preserve">diciembre </w:t>
      </w:r>
      <w:r w:rsidRPr="00D2665C">
        <w:rPr>
          <w:lang w:val="es-ES"/>
        </w:rPr>
        <w:t>de 2024, se procesaron 8,339 casos de fiscalización en toda la geografía nacional y se suministró información acorde a los tipos de casos o solicitudes, como se detalla a continuación</w:t>
      </w:r>
      <w:r w:rsidRPr="00D2665C">
        <w:rPr>
          <w:rFonts w:eastAsia="Calibri"/>
          <w:noProof/>
          <w:lang w:val="es-DO"/>
        </w:rPr>
        <w:t>:</w:t>
      </w:r>
    </w:p>
    <w:tbl>
      <w:tblPr>
        <w:tblW w:w="7915" w:type="dxa"/>
        <w:jc w:val="center"/>
        <w:tblLook w:val="04A0" w:firstRow="1" w:lastRow="0" w:firstColumn="1" w:lastColumn="0" w:noHBand="0" w:noVBand="1"/>
      </w:tblPr>
      <w:tblGrid>
        <w:gridCol w:w="4135"/>
        <w:gridCol w:w="3780"/>
      </w:tblGrid>
      <w:tr w:rsidR="00AA5CBC" w:rsidRPr="00AA5CBC" w14:paraId="1757D45D" w14:textId="77777777" w:rsidTr="00727938">
        <w:trPr>
          <w:trHeight w:val="315"/>
          <w:tblHeader/>
          <w:jc w:val="center"/>
        </w:trPr>
        <w:tc>
          <w:tcPr>
            <w:tcW w:w="413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751F019" w14:textId="77777777" w:rsidR="00AA5CBC" w:rsidRPr="00AA5CBC" w:rsidRDefault="00AA5CBC" w:rsidP="00727938">
            <w:pPr>
              <w:spacing w:after="0" w:line="240" w:lineRule="auto"/>
              <w:jc w:val="center"/>
              <w:rPr>
                <w:rFonts w:eastAsia="Times New Roman"/>
                <w:b/>
                <w:bCs/>
                <w:color w:val="FFFFFF"/>
                <w:spacing w:val="0"/>
              </w:rPr>
            </w:pPr>
            <w:r w:rsidRPr="00AA5CBC">
              <w:rPr>
                <w:rFonts w:eastAsia="Times New Roman"/>
                <w:b/>
                <w:bCs/>
                <w:color w:val="FFFFFF"/>
                <w:spacing w:val="0"/>
              </w:rPr>
              <w:t>Procesos</w:t>
            </w:r>
          </w:p>
        </w:tc>
        <w:tc>
          <w:tcPr>
            <w:tcW w:w="3780" w:type="dxa"/>
            <w:tcBorders>
              <w:top w:val="single" w:sz="4" w:space="0" w:color="auto"/>
              <w:left w:val="nil"/>
              <w:bottom w:val="single" w:sz="4" w:space="0" w:color="auto"/>
              <w:right w:val="single" w:sz="4" w:space="0" w:color="auto"/>
            </w:tcBorders>
            <w:shd w:val="clear" w:color="000000" w:fill="002060"/>
            <w:vAlign w:val="center"/>
            <w:hideMark/>
          </w:tcPr>
          <w:p w14:paraId="4D74DD3A" w14:textId="77777777" w:rsidR="00AA5CBC" w:rsidRPr="00AA5CBC" w:rsidRDefault="00AA5CBC" w:rsidP="00727938">
            <w:pPr>
              <w:spacing w:after="0" w:line="240" w:lineRule="auto"/>
              <w:jc w:val="center"/>
              <w:rPr>
                <w:rFonts w:eastAsia="Times New Roman"/>
                <w:b/>
                <w:bCs/>
                <w:color w:val="FFFFFF"/>
                <w:spacing w:val="0"/>
              </w:rPr>
            </w:pPr>
            <w:r w:rsidRPr="00AA5CBC">
              <w:rPr>
                <w:rFonts w:eastAsia="Times New Roman"/>
                <w:b/>
                <w:bCs/>
                <w:color w:val="FFFFFF"/>
                <w:spacing w:val="0"/>
              </w:rPr>
              <w:t>Casos</w:t>
            </w:r>
          </w:p>
        </w:tc>
      </w:tr>
      <w:tr w:rsidR="00AA5CBC" w:rsidRPr="00AA5CBC" w14:paraId="1147485F" w14:textId="77777777" w:rsidTr="00727938">
        <w:trPr>
          <w:trHeight w:val="330"/>
          <w:jc w:val="center"/>
        </w:trPr>
        <w:tc>
          <w:tcPr>
            <w:tcW w:w="4135" w:type="dxa"/>
            <w:tcBorders>
              <w:top w:val="nil"/>
              <w:left w:val="single" w:sz="4" w:space="0" w:color="auto"/>
              <w:bottom w:val="single" w:sz="4" w:space="0" w:color="auto"/>
              <w:right w:val="single" w:sz="4" w:space="0" w:color="auto"/>
            </w:tcBorders>
            <w:shd w:val="clear" w:color="000000" w:fill="FFFFFF"/>
            <w:noWrap/>
            <w:vAlign w:val="center"/>
            <w:hideMark/>
          </w:tcPr>
          <w:p w14:paraId="1F7AA28B" w14:textId="25EDE520" w:rsidR="00AA5CBC" w:rsidRPr="00D2665C" w:rsidRDefault="00D2665C" w:rsidP="00AA5CBC">
            <w:pPr>
              <w:spacing w:after="0" w:line="240" w:lineRule="auto"/>
              <w:rPr>
                <w:lang w:val="es-ES"/>
              </w:rPr>
            </w:pPr>
            <w:r w:rsidRPr="00D2665C">
              <w:rPr>
                <w:lang w:val="es-ES"/>
              </w:rPr>
              <w:t>Auditoría ARS</w:t>
            </w:r>
          </w:p>
        </w:tc>
        <w:tc>
          <w:tcPr>
            <w:tcW w:w="3780" w:type="dxa"/>
            <w:tcBorders>
              <w:top w:val="nil"/>
              <w:left w:val="nil"/>
              <w:bottom w:val="single" w:sz="8" w:space="0" w:color="000000"/>
              <w:right w:val="single" w:sz="8" w:space="0" w:color="000000"/>
            </w:tcBorders>
            <w:shd w:val="clear" w:color="000000" w:fill="FFFFFF"/>
            <w:noWrap/>
            <w:vAlign w:val="center"/>
            <w:hideMark/>
          </w:tcPr>
          <w:p w14:paraId="3EBA6F29" w14:textId="6AA0C502" w:rsidR="00AA5CBC" w:rsidRPr="00AA5CBC" w:rsidRDefault="00BE2E0F" w:rsidP="00AA5CBC">
            <w:pPr>
              <w:spacing w:after="0" w:line="240" w:lineRule="auto"/>
              <w:jc w:val="right"/>
              <w:rPr>
                <w:rFonts w:eastAsia="Times New Roman"/>
                <w:spacing w:val="0"/>
              </w:rPr>
            </w:pPr>
            <w:r>
              <w:rPr>
                <w:rFonts w:eastAsia="Times New Roman"/>
                <w:spacing w:val="0"/>
              </w:rPr>
              <w:t>35</w:t>
            </w:r>
          </w:p>
        </w:tc>
      </w:tr>
      <w:tr w:rsidR="00AA5CBC" w:rsidRPr="00AA5CBC" w14:paraId="761D8AEC" w14:textId="77777777" w:rsidTr="00727938">
        <w:trPr>
          <w:trHeight w:val="330"/>
          <w:jc w:val="center"/>
        </w:trPr>
        <w:tc>
          <w:tcPr>
            <w:tcW w:w="4135" w:type="dxa"/>
            <w:tcBorders>
              <w:top w:val="nil"/>
              <w:left w:val="single" w:sz="4" w:space="0" w:color="auto"/>
              <w:bottom w:val="single" w:sz="4" w:space="0" w:color="auto"/>
              <w:right w:val="single" w:sz="4" w:space="0" w:color="auto"/>
            </w:tcBorders>
            <w:shd w:val="clear" w:color="000000" w:fill="FFFFFF"/>
            <w:noWrap/>
            <w:vAlign w:val="center"/>
            <w:hideMark/>
          </w:tcPr>
          <w:p w14:paraId="76B01B22" w14:textId="1A0BC2FD" w:rsidR="00AA5CBC" w:rsidRPr="00D2665C" w:rsidRDefault="00D2665C" w:rsidP="00AA5CBC">
            <w:pPr>
              <w:spacing w:after="0" w:line="240" w:lineRule="auto"/>
              <w:rPr>
                <w:lang w:val="es-ES"/>
              </w:rPr>
            </w:pPr>
            <w:r w:rsidRPr="00D2665C">
              <w:rPr>
                <w:lang w:val="es-ES"/>
              </w:rPr>
              <w:t>Auditoría Empleadores</w:t>
            </w:r>
          </w:p>
        </w:tc>
        <w:tc>
          <w:tcPr>
            <w:tcW w:w="3780" w:type="dxa"/>
            <w:tcBorders>
              <w:top w:val="nil"/>
              <w:left w:val="nil"/>
              <w:bottom w:val="single" w:sz="8" w:space="0" w:color="000000"/>
              <w:right w:val="single" w:sz="8" w:space="0" w:color="000000"/>
            </w:tcBorders>
            <w:shd w:val="clear" w:color="000000" w:fill="FFFFFF"/>
            <w:noWrap/>
            <w:vAlign w:val="center"/>
            <w:hideMark/>
          </w:tcPr>
          <w:p w14:paraId="5D0DD126" w14:textId="30ADDBF7" w:rsidR="00AA5CBC" w:rsidRPr="00AA5CBC" w:rsidRDefault="00BE2E0F" w:rsidP="00AA5CBC">
            <w:pPr>
              <w:spacing w:after="0" w:line="240" w:lineRule="auto"/>
              <w:jc w:val="right"/>
              <w:rPr>
                <w:rFonts w:eastAsia="Times New Roman"/>
                <w:spacing w:val="0"/>
              </w:rPr>
            </w:pPr>
            <w:r>
              <w:rPr>
                <w:rFonts w:eastAsia="Times New Roman"/>
                <w:spacing w:val="0"/>
              </w:rPr>
              <w:t>853</w:t>
            </w:r>
          </w:p>
        </w:tc>
      </w:tr>
      <w:tr w:rsidR="00AA5CBC" w:rsidRPr="00AA5CBC" w14:paraId="7BC2B009" w14:textId="77777777" w:rsidTr="00727938">
        <w:trPr>
          <w:trHeight w:val="330"/>
          <w:jc w:val="center"/>
        </w:trPr>
        <w:tc>
          <w:tcPr>
            <w:tcW w:w="4135" w:type="dxa"/>
            <w:tcBorders>
              <w:top w:val="nil"/>
              <w:left w:val="single" w:sz="4" w:space="0" w:color="auto"/>
              <w:bottom w:val="single" w:sz="4" w:space="0" w:color="auto"/>
              <w:right w:val="single" w:sz="4" w:space="0" w:color="auto"/>
            </w:tcBorders>
            <w:shd w:val="clear" w:color="000000" w:fill="FFFFFF"/>
            <w:noWrap/>
            <w:vAlign w:val="center"/>
            <w:hideMark/>
          </w:tcPr>
          <w:p w14:paraId="6667840E" w14:textId="62FF3792" w:rsidR="00AA5CBC" w:rsidRPr="00D2665C" w:rsidRDefault="00D2665C" w:rsidP="00AA5CBC">
            <w:pPr>
              <w:spacing w:after="0" w:line="240" w:lineRule="auto"/>
              <w:rPr>
                <w:lang w:val="es-ES"/>
              </w:rPr>
            </w:pPr>
            <w:r w:rsidRPr="00D2665C">
              <w:rPr>
                <w:lang w:val="es-ES"/>
              </w:rPr>
              <w:t>Inspección Empleadores</w:t>
            </w:r>
          </w:p>
        </w:tc>
        <w:tc>
          <w:tcPr>
            <w:tcW w:w="3780" w:type="dxa"/>
            <w:tcBorders>
              <w:top w:val="nil"/>
              <w:left w:val="nil"/>
              <w:bottom w:val="single" w:sz="8" w:space="0" w:color="000000"/>
              <w:right w:val="single" w:sz="8" w:space="0" w:color="000000"/>
            </w:tcBorders>
            <w:shd w:val="clear" w:color="000000" w:fill="FFFFFF"/>
            <w:noWrap/>
            <w:vAlign w:val="center"/>
            <w:hideMark/>
          </w:tcPr>
          <w:p w14:paraId="2C4204E6" w14:textId="532D0A12" w:rsidR="00AA5CBC" w:rsidRPr="00AA5CBC" w:rsidRDefault="00BE2E0F" w:rsidP="00AA5CBC">
            <w:pPr>
              <w:spacing w:after="0" w:line="240" w:lineRule="auto"/>
              <w:jc w:val="right"/>
              <w:rPr>
                <w:rFonts w:eastAsia="Times New Roman"/>
                <w:spacing w:val="0"/>
              </w:rPr>
            </w:pPr>
            <w:r>
              <w:rPr>
                <w:rFonts w:eastAsia="Times New Roman"/>
                <w:spacing w:val="0"/>
              </w:rPr>
              <w:t>1,419</w:t>
            </w:r>
          </w:p>
        </w:tc>
      </w:tr>
      <w:tr w:rsidR="00AA5CBC" w:rsidRPr="00AA5CBC" w14:paraId="2D7E94BB" w14:textId="77777777" w:rsidTr="00727938">
        <w:trPr>
          <w:trHeight w:val="330"/>
          <w:jc w:val="center"/>
        </w:trPr>
        <w:tc>
          <w:tcPr>
            <w:tcW w:w="4135" w:type="dxa"/>
            <w:tcBorders>
              <w:top w:val="nil"/>
              <w:left w:val="single" w:sz="4" w:space="0" w:color="auto"/>
              <w:bottom w:val="single" w:sz="4" w:space="0" w:color="auto"/>
              <w:right w:val="single" w:sz="4" w:space="0" w:color="auto"/>
            </w:tcBorders>
            <w:shd w:val="clear" w:color="000000" w:fill="FFFFFF"/>
            <w:noWrap/>
            <w:vAlign w:val="center"/>
            <w:hideMark/>
          </w:tcPr>
          <w:p w14:paraId="76E84A38" w14:textId="4EA45C0E" w:rsidR="00AA5CBC" w:rsidRPr="00D2665C" w:rsidRDefault="00D2665C" w:rsidP="00AA5CBC">
            <w:pPr>
              <w:spacing w:after="0" w:line="240" w:lineRule="auto"/>
              <w:rPr>
                <w:lang w:val="es-ES"/>
              </w:rPr>
            </w:pPr>
            <w:r w:rsidRPr="00D2665C">
              <w:rPr>
                <w:lang w:val="es-ES"/>
              </w:rPr>
              <w:t>Procesos Internos</w:t>
            </w:r>
          </w:p>
        </w:tc>
        <w:tc>
          <w:tcPr>
            <w:tcW w:w="3780" w:type="dxa"/>
            <w:tcBorders>
              <w:top w:val="nil"/>
              <w:left w:val="nil"/>
              <w:bottom w:val="single" w:sz="8" w:space="0" w:color="000000"/>
              <w:right w:val="single" w:sz="8" w:space="0" w:color="000000"/>
            </w:tcBorders>
            <w:shd w:val="clear" w:color="000000" w:fill="FFFFFF"/>
            <w:noWrap/>
            <w:vAlign w:val="center"/>
            <w:hideMark/>
          </w:tcPr>
          <w:p w14:paraId="48743769" w14:textId="77777777" w:rsidR="00AA5CBC" w:rsidRPr="00AA5CBC" w:rsidRDefault="00AA5CBC" w:rsidP="00AA5CBC">
            <w:pPr>
              <w:spacing w:after="0" w:line="240" w:lineRule="auto"/>
              <w:jc w:val="right"/>
              <w:rPr>
                <w:rFonts w:eastAsia="Times New Roman"/>
                <w:spacing w:val="0"/>
              </w:rPr>
            </w:pPr>
            <w:r w:rsidRPr="00AA5CBC">
              <w:rPr>
                <w:rFonts w:eastAsia="Times New Roman"/>
                <w:spacing w:val="0"/>
              </w:rPr>
              <w:t>16</w:t>
            </w:r>
          </w:p>
        </w:tc>
      </w:tr>
      <w:tr w:rsidR="00AA5CBC" w:rsidRPr="00AA5CBC" w14:paraId="0F869ABD" w14:textId="77777777" w:rsidTr="00727938">
        <w:trPr>
          <w:trHeight w:val="330"/>
          <w:jc w:val="center"/>
        </w:trPr>
        <w:tc>
          <w:tcPr>
            <w:tcW w:w="4135" w:type="dxa"/>
            <w:tcBorders>
              <w:top w:val="nil"/>
              <w:left w:val="single" w:sz="4" w:space="0" w:color="auto"/>
              <w:bottom w:val="single" w:sz="4" w:space="0" w:color="auto"/>
              <w:right w:val="single" w:sz="4" w:space="0" w:color="auto"/>
            </w:tcBorders>
            <w:shd w:val="clear" w:color="000000" w:fill="FFFFFF"/>
            <w:noWrap/>
            <w:vAlign w:val="center"/>
            <w:hideMark/>
          </w:tcPr>
          <w:p w14:paraId="6C1C9EC0" w14:textId="62E4375F" w:rsidR="00AA5CBC" w:rsidRPr="00D2665C" w:rsidRDefault="00D2665C" w:rsidP="00AA5CBC">
            <w:pPr>
              <w:spacing w:after="0" w:line="240" w:lineRule="auto"/>
              <w:rPr>
                <w:lang w:val="es-ES"/>
              </w:rPr>
            </w:pPr>
            <w:r w:rsidRPr="00D2665C">
              <w:rPr>
                <w:lang w:val="es-ES"/>
              </w:rPr>
              <w:t>Solicitudes</w:t>
            </w:r>
          </w:p>
        </w:tc>
        <w:tc>
          <w:tcPr>
            <w:tcW w:w="3780" w:type="dxa"/>
            <w:tcBorders>
              <w:top w:val="nil"/>
              <w:left w:val="nil"/>
              <w:bottom w:val="single" w:sz="8" w:space="0" w:color="000000"/>
              <w:right w:val="single" w:sz="8" w:space="0" w:color="000000"/>
            </w:tcBorders>
            <w:shd w:val="clear" w:color="000000" w:fill="FFFFFF"/>
            <w:noWrap/>
            <w:vAlign w:val="center"/>
            <w:hideMark/>
          </w:tcPr>
          <w:p w14:paraId="21031D45" w14:textId="11C913C4" w:rsidR="00AA5CBC" w:rsidRPr="00AA5CBC" w:rsidRDefault="00AA5CBC" w:rsidP="00AA5CBC">
            <w:pPr>
              <w:spacing w:after="0" w:line="240" w:lineRule="auto"/>
              <w:jc w:val="right"/>
              <w:rPr>
                <w:rFonts w:eastAsia="Times New Roman"/>
                <w:spacing w:val="0"/>
              </w:rPr>
            </w:pPr>
            <w:r w:rsidRPr="00AA5CBC">
              <w:rPr>
                <w:rFonts w:eastAsia="Times New Roman"/>
                <w:spacing w:val="0"/>
              </w:rPr>
              <w:t>6,</w:t>
            </w:r>
            <w:r w:rsidR="00BE2E0F">
              <w:rPr>
                <w:rFonts w:eastAsia="Times New Roman"/>
                <w:spacing w:val="0"/>
              </w:rPr>
              <w:t>628</w:t>
            </w:r>
          </w:p>
        </w:tc>
      </w:tr>
      <w:tr w:rsidR="00AA5CBC" w:rsidRPr="00AA5CBC" w14:paraId="2341C8C8" w14:textId="77777777" w:rsidTr="00727938">
        <w:trPr>
          <w:trHeight w:val="330"/>
          <w:jc w:val="center"/>
        </w:trPr>
        <w:tc>
          <w:tcPr>
            <w:tcW w:w="4135" w:type="dxa"/>
            <w:tcBorders>
              <w:top w:val="nil"/>
              <w:left w:val="single" w:sz="4" w:space="0" w:color="auto"/>
              <w:bottom w:val="single" w:sz="4" w:space="0" w:color="auto"/>
              <w:right w:val="single" w:sz="4" w:space="0" w:color="auto"/>
            </w:tcBorders>
            <w:shd w:val="clear" w:color="000000" w:fill="FFFFFF"/>
            <w:noWrap/>
            <w:vAlign w:val="center"/>
            <w:hideMark/>
          </w:tcPr>
          <w:p w14:paraId="39EB00C1" w14:textId="6AC0A470" w:rsidR="00AA5CBC" w:rsidRPr="00AA5CBC" w:rsidRDefault="00D2665C" w:rsidP="00AA5CBC">
            <w:pPr>
              <w:spacing w:after="0" w:line="240" w:lineRule="auto"/>
              <w:rPr>
                <w:rFonts w:eastAsia="Times New Roman"/>
                <w:b/>
                <w:bCs/>
                <w:spacing w:val="0"/>
              </w:rPr>
            </w:pPr>
            <w:r w:rsidRPr="00AA5CBC">
              <w:rPr>
                <w:rFonts w:eastAsia="Times New Roman"/>
                <w:b/>
                <w:bCs/>
                <w:spacing w:val="0"/>
              </w:rPr>
              <w:t>TOTAL</w:t>
            </w:r>
          </w:p>
        </w:tc>
        <w:tc>
          <w:tcPr>
            <w:tcW w:w="3780" w:type="dxa"/>
            <w:tcBorders>
              <w:top w:val="nil"/>
              <w:left w:val="nil"/>
              <w:bottom w:val="single" w:sz="8" w:space="0" w:color="000000"/>
              <w:right w:val="single" w:sz="8" w:space="0" w:color="000000"/>
            </w:tcBorders>
            <w:shd w:val="clear" w:color="000000" w:fill="FFFFFF"/>
            <w:noWrap/>
            <w:vAlign w:val="center"/>
            <w:hideMark/>
          </w:tcPr>
          <w:p w14:paraId="0788B985" w14:textId="445DE317" w:rsidR="00AA5CBC" w:rsidRPr="00AA5CBC" w:rsidRDefault="00AA5CBC" w:rsidP="00AA5CBC">
            <w:pPr>
              <w:spacing w:after="0" w:line="240" w:lineRule="auto"/>
              <w:jc w:val="right"/>
              <w:rPr>
                <w:rFonts w:eastAsia="Times New Roman"/>
                <w:b/>
                <w:bCs/>
                <w:spacing w:val="0"/>
              </w:rPr>
            </w:pPr>
            <w:r w:rsidRPr="00AA5CBC">
              <w:rPr>
                <w:rFonts w:eastAsia="Times New Roman"/>
                <w:b/>
                <w:bCs/>
                <w:spacing w:val="0"/>
              </w:rPr>
              <w:t>8,</w:t>
            </w:r>
            <w:r w:rsidR="00BE2E0F">
              <w:rPr>
                <w:rFonts w:eastAsia="Times New Roman"/>
                <w:b/>
                <w:bCs/>
                <w:spacing w:val="0"/>
              </w:rPr>
              <w:t>951</w:t>
            </w:r>
          </w:p>
        </w:tc>
      </w:tr>
    </w:tbl>
    <w:p w14:paraId="74E81BAB" w14:textId="056C6455" w:rsidR="00AA5CBC" w:rsidRDefault="000F57D8" w:rsidP="00727938">
      <w:pPr>
        <w:spacing w:afterLines="160" w:after="384" w:line="360" w:lineRule="auto"/>
        <w:ind w:left="-810"/>
        <w:jc w:val="both"/>
        <w:rPr>
          <w:rFonts w:eastAsia="Calibri"/>
          <w:noProof/>
          <w:color w:val="4C4747"/>
          <w:lang w:val="es-DO"/>
        </w:rPr>
      </w:pPr>
      <w:r>
        <w:rPr>
          <w:rFonts w:eastAsia="Calibri"/>
          <w:b/>
          <w:bCs/>
          <w:noProof/>
          <w:color w:val="4C4747"/>
          <w:sz w:val="18"/>
          <w:szCs w:val="18"/>
          <w:lang w:val="es-DO"/>
        </w:rPr>
        <w:t xml:space="preserve">            </w:t>
      </w:r>
      <w:r w:rsidRPr="009E6B75">
        <w:rPr>
          <w:rFonts w:eastAsia="Calibri"/>
          <w:b/>
          <w:bCs/>
          <w:noProof/>
          <w:sz w:val="18"/>
          <w:szCs w:val="18"/>
          <w:lang w:val="es-DO"/>
        </w:rPr>
        <w:t>Tabla 1</w:t>
      </w:r>
      <w:r w:rsidR="00C50277">
        <w:rPr>
          <w:rFonts w:eastAsia="Calibri"/>
          <w:b/>
          <w:bCs/>
          <w:noProof/>
          <w:sz w:val="18"/>
          <w:szCs w:val="18"/>
          <w:lang w:val="es-DO"/>
        </w:rPr>
        <w:t>1</w:t>
      </w:r>
      <w:r w:rsidRPr="009E6B75">
        <w:rPr>
          <w:rFonts w:eastAsia="Calibri"/>
          <w:b/>
          <w:bCs/>
          <w:noProof/>
          <w:sz w:val="18"/>
          <w:szCs w:val="18"/>
          <w:lang w:val="es-DO"/>
        </w:rPr>
        <w:t>:</w:t>
      </w:r>
      <w:r w:rsidRPr="009E6B75">
        <w:rPr>
          <w:rFonts w:eastAsia="Calibri"/>
          <w:noProof/>
          <w:sz w:val="18"/>
          <w:szCs w:val="18"/>
          <w:lang w:val="es-DO"/>
        </w:rPr>
        <w:t xml:space="preserve"> Procesos de Auditoria</w:t>
      </w:r>
      <w:r w:rsidR="00461E24">
        <w:rPr>
          <w:rFonts w:eastAsia="Calibri"/>
          <w:noProof/>
          <w:sz w:val="18"/>
          <w:szCs w:val="18"/>
          <w:lang w:val="es-DO"/>
        </w:rPr>
        <w:t>.</w:t>
      </w:r>
    </w:p>
    <w:p w14:paraId="6FA96D49" w14:textId="77777777" w:rsidR="00295F77" w:rsidRPr="009E6B75" w:rsidRDefault="00295F77" w:rsidP="009E6B75">
      <w:pPr>
        <w:spacing w:after="0" w:line="240" w:lineRule="auto"/>
        <w:rPr>
          <w:rFonts w:eastAsia="Times New Roman"/>
          <w:b/>
          <w:bCs/>
          <w:spacing w:val="0"/>
        </w:rPr>
      </w:pPr>
      <w:r w:rsidRPr="009E6B75">
        <w:rPr>
          <w:rFonts w:eastAsia="Times New Roman"/>
          <w:b/>
          <w:bCs/>
          <w:noProof/>
          <w:spacing w:val="0"/>
        </w:rPr>
        <w:lastRenderedPageBreak/>
        <w:drawing>
          <wp:inline distT="0" distB="0" distL="0" distR="0" wp14:anchorId="53357939" wp14:editId="3218E919">
            <wp:extent cx="5002530" cy="2564524"/>
            <wp:effectExtent l="0" t="0" r="7620" b="7620"/>
            <wp:docPr id="1148226721" name="Chart 1">
              <a:extLst xmlns:a="http://schemas.openxmlformats.org/drawingml/2006/main">
                <a:ext uri="{FF2B5EF4-FFF2-40B4-BE49-F238E27FC236}">
                  <a16:creationId xmlns:a16="http://schemas.microsoft.com/office/drawing/2014/main" id="{8D3C18E0-2972-0F45-FA71-5C251A5B65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950743B" w14:textId="134BAF52" w:rsidR="000F57D8" w:rsidRPr="009E6B75" w:rsidRDefault="00CB7EEC" w:rsidP="009E6B75">
      <w:pPr>
        <w:spacing w:after="0" w:line="240" w:lineRule="auto"/>
        <w:rPr>
          <w:rFonts w:eastAsia="Calibri"/>
          <w:noProof/>
          <w:sz w:val="18"/>
          <w:szCs w:val="18"/>
          <w:lang w:val="es-DO"/>
        </w:rPr>
      </w:pPr>
      <w:r w:rsidRPr="009E6B75">
        <w:rPr>
          <w:rFonts w:eastAsia="Calibri"/>
          <w:noProof/>
          <w:lang w:val="es-DO"/>
        </w:rPr>
        <w:t xml:space="preserve"> </w:t>
      </w:r>
      <w:r w:rsidR="000F57D8" w:rsidRPr="009E6B75">
        <w:rPr>
          <w:rFonts w:eastAsia="Calibri"/>
          <w:b/>
          <w:bCs/>
          <w:noProof/>
          <w:sz w:val="18"/>
          <w:szCs w:val="18"/>
          <w:lang w:val="es-DO"/>
        </w:rPr>
        <w:t>Gráfico 1</w:t>
      </w:r>
      <w:r w:rsidR="000F57D8" w:rsidRPr="009E6B75">
        <w:rPr>
          <w:rFonts w:eastAsia="Calibri"/>
          <w:noProof/>
          <w:sz w:val="18"/>
          <w:szCs w:val="18"/>
          <w:lang w:val="es-DO"/>
        </w:rPr>
        <w:t>: Distribución de Procesos de Fiscalización Externa</w:t>
      </w:r>
    </w:p>
    <w:p w14:paraId="7C577094" w14:textId="77777777" w:rsidR="009E6B75" w:rsidRPr="009E6B75" w:rsidRDefault="009E6B75" w:rsidP="009E6B75">
      <w:pPr>
        <w:spacing w:after="0" w:line="240" w:lineRule="auto"/>
        <w:rPr>
          <w:rFonts w:eastAsia="Times New Roman"/>
          <w:b/>
          <w:bCs/>
          <w:spacing w:val="0"/>
          <w:lang w:val="es-ES"/>
        </w:rPr>
      </w:pPr>
    </w:p>
    <w:p w14:paraId="16EA9C2C" w14:textId="4CCE16E0" w:rsidR="00ED19B6" w:rsidRPr="00ED19B6" w:rsidRDefault="00295F77" w:rsidP="009E6B75">
      <w:pPr>
        <w:spacing w:afterLines="160" w:after="384" w:line="240" w:lineRule="auto"/>
        <w:jc w:val="both"/>
        <w:rPr>
          <w:rFonts w:eastAsia="Calibri"/>
          <w:b/>
          <w:bCs/>
          <w:noProof/>
          <w:lang w:val="es-DO"/>
        </w:rPr>
      </w:pPr>
      <w:r w:rsidRPr="00ED19B6">
        <w:rPr>
          <w:rFonts w:eastAsia="Calibri"/>
          <w:b/>
          <w:bCs/>
          <w:noProof/>
          <w:lang w:val="es-DO"/>
        </w:rPr>
        <w:t>Notificaciones de Pagos Generadas por Auditorías (NPA):</w:t>
      </w:r>
    </w:p>
    <w:p w14:paraId="480E7C75" w14:textId="270BFBF0" w:rsidR="00295F77" w:rsidRPr="00ED19B6" w:rsidRDefault="00295F77" w:rsidP="009E6B75">
      <w:pPr>
        <w:spacing w:afterLines="160" w:after="384" w:line="360" w:lineRule="auto"/>
        <w:jc w:val="both"/>
        <w:rPr>
          <w:rFonts w:eastAsia="Calibri"/>
          <w:noProof/>
          <w:lang w:val="es-DO"/>
        </w:rPr>
      </w:pPr>
      <w:r w:rsidRPr="00ED19B6">
        <w:rPr>
          <w:rFonts w:eastAsia="Calibri"/>
          <w:noProof/>
          <w:lang w:val="es-DO"/>
        </w:rPr>
        <w:t>Para el período</w:t>
      </w:r>
      <w:r w:rsidR="005C4045">
        <w:rPr>
          <w:rFonts w:eastAsia="Calibri"/>
          <w:noProof/>
          <w:lang w:val="es-DO"/>
        </w:rPr>
        <w:t xml:space="preserve"> </w:t>
      </w:r>
      <w:r w:rsidR="00AC10A4">
        <w:rPr>
          <w:rFonts w:eastAsia="Calibri"/>
          <w:noProof/>
          <w:lang w:val="es-DO"/>
        </w:rPr>
        <w:t>enero</w:t>
      </w:r>
      <w:r w:rsidRPr="00ED19B6">
        <w:rPr>
          <w:rFonts w:eastAsia="Calibri"/>
          <w:noProof/>
          <w:lang w:val="es-DO"/>
        </w:rPr>
        <w:t xml:space="preserve"> - diciembre de 2024, se realizaron 194 cargas de Notificaciones de Auditoría, las cuales ascienden a un monto de RD$88.4 MM, encontrándose el 65% en estatus pagado y el 35% en estatus vencido, tal como se indica a continuación:</w:t>
      </w:r>
    </w:p>
    <w:p w14:paraId="59D4545B" w14:textId="554E2A8B" w:rsidR="00AA5CBC" w:rsidRPr="004101C5" w:rsidRDefault="00AA5CBC" w:rsidP="00461E24">
      <w:pPr>
        <w:spacing w:afterLines="160" w:after="384" w:line="360" w:lineRule="auto"/>
        <w:rPr>
          <w:rFonts w:eastAsia="Calibri"/>
          <w:noProof/>
          <w:color w:val="4C4747"/>
          <w:lang w:val="es-DO"/>
        </w:rPr>
      </w:pPr>
      <w:r w:rsidRPr="00461E24">
        <w:rPr>
          <w:b/>
          <w:bCs/>
          <w:noProof/>
          <w:sz w:val="18"/>
          <w:szCs w:val="18"/>
        </w:rPr>
        <w:drawing>
          <wp:anchor distT="0" distB="0" distL="114300" distR="114300" simplePos="0" relativeHeight="251658263" behindDoc="0" locked="0" layoutInCell="1" allowOverlap="1" wp14:anchorId="5B57420A" wp14:editId="00B33156">
            <wp:simplePos x="0" y="0"/>
            <wp:positionH relativeFrom="margin">
              <wp:align>right</wp:align>
            </wp:positionH>
            <wp:positionV relativeFrom="paragraph">
              <wp:posOffset>0</wp:posOffset>
            </wp:positionV>
            <wp:extent cx="5007610" cy="2488565"/>
            <wp:effectExtent l="0" t="0" r="2540" b="6985"/>
            <wp:wrapTopAndBottom/>
            <wp:docPr id="1110231004" name="Chart 1">
              <a:extLst xmlns:a="http://schemas.openxmlformats.org/drawingml/2006/main">
                <a:ext uri="{FF2B5EF4-FFF2-40B4-BE49-F238E27FC236}">
                  <a16:creationId xmlns:a16="http://schemas.microsoft.com/office/drawing/2014/main" id="{BF661C02-E0AC-424B-8163-1DD2297F10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0F57D8" w:rsidRPr="00DB3220">
        <w:rPr>
          <w:rFonts w:eastAsia="Calibri"/>
          <w:b/>
          <w:bCs/>
          <w:noProof/>
          <w:color w:val="7B7B7B" w:themeColor="accent3" w:themeShade="BF"/>
          <w:sz w:val="18"/>
          <w:szCs w:val="18"/>
          <w:lang w:val="es-DO"/>
        </w:rPr>
        <w:t>Gráfico 2</w:t>
      </w:r>
      <w:r w:rsidR="000F57D8" w:rsidRPr="00DB3220">
        <w:rPr>
          <w:rFonts w:eastAsia="Calibri"/>
          <w:noProof/>
          <w:color w:val="7B7B7B" w:themeColor="accent3" w:themeShade="BF"/>
          <w:lang w:val="es-DO"/>
        </w:rPr>
        <w:t xml:space="preserve">: </w:t>
      </w:r>
      <w:r w:rsidR="000F57D8" w:rsidRPr="000F57D8">
        <w:rPr>
          <w:rFonts w:eastAsia="Calibri"/>
          <w:noProof/>
          <w:color w:val="4C4747"/>
          <w:sz w:val="18"/>
          <w:szCs w:val="18"/>
          <w:lang w:val="es-DO"/>
        </w:rPr>
        <w:t>Notificaciones de Pago por Auditorias</w:t>
      </w:r>
    </w:p>
    <w:tbl>
      <w:tblPr>
        <w:tblW w:w="7915" w:type="dxa"/>
        <w:tblLook w:val="04A0" w:firstRow="1" w:lastRow="0" w:firstColumn="1" w:lastColumn="0" w:noHBand="0" w:noVBand="1"/>
      </w:tblPr>
      <w:tblGrid>
        <w:gridCol w:w="1857"/>
        <w:gridCol w:w="2044"/>
        <w:gridCol w:w="1895"/>
        <w:gridCol w:w="2119"/>
      </w:tblGrid>
      <w:tr w:rsidR="009637D1" w:rsidRPr="009637D1" w14:paraId="18AB36FE" w14:textId="77777777" w:rsidTr="00D51790">
        <w:trPr>
          <w:trHeight w:val="485"/>
          <w:tblHeader/>
        </w:trPr>
        <w:tc>
          <w:tcPr>
            <w:tcW w:w="1857"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76D466B" w14:textId="77777777" w:rsidR="009637D1" w:rsidRPr="00714598" w:rsidRDefault="009637D1" w:rsidP="009637D1">
            <w:pPr>
              <w:spacing w:after="0" w:line="240" w:lineRule="auto"/>
              <w:jc w:val="center"/>
              <w:rPr>
                <w:rFonts w:eastAsia="Times New Roman"/>
                <w:b/>
                <w:bCs/>
                <w:color w:val="FFFFFF"/>
                <w:spacing w:val="0"/>
                <w:sz w:val="22"/>
                <w:szCs w:val="22"/>
              </w:rPr>
            </w:pPr>
            <w:r w:rsidRPr="00714598">
              <w:rPr>
                <w:rFonts w:eastAsia="Times New Roman"/>
                <w:b/>
                <w:bCs/>
                <w:color w:val="FFFFFF"/>
                <w:spacing w:val="0"/>
                <w:sz w:val="22"/>
                <w:szCs w:val="22"/>
                <w:lang w:val="es-DO"/>
              </w:rPr>
              <w:lastRenderedPageBreak/>
              <w:t>Mes Generación</w:t>
            </w:r>
          </w:p>
        </w:tc>
        <w:tc>
          <w:tcPr>
            <w:tcW w:w="2044" w:type="dxa"/>
            <w:tcBorders>
              <w:top w:val="single" w:sz="4" w:space="0" w:color="auto"/>
              <w:left w:val="nil"/>
              <w:bottom w:val="single" w:sz="4" w:space="0" w:color="auto"/>
              <w:right w:val="single" w:sz="4" w:space="0" w:color="auto"/>
            </w:tcBorders>
            <w:shd w:val="clear" w:color="000000" w:fill="002060"/>
            <w:vAlign w:val="center"/>
            <w:hideMark/>
          </w:tcPr>
          <w:p w14:paraId="56333BF4" w14:textId="77777777" w:rsidR="009637D1" w:rsidRPr="00714598" w:rsidRDefault="009637D1" w:rsidP="009637D1">
            <w:pPr>
              <w:spacing w:after="0" w:line="240" w:lineRule="auto"/>
              <w:jc w:val="center"/>
              <w:rPr>
                <w:rFonts w:eastAsia="Times New Roman"/>
                <w:b/>
                <w:bCs/>
                <w:color w:val="FFFFFF"/>
                <w:spacing w:val="0"/>
                <w:sz w:val="22"/>
                <w:szCs w:val="22"/>
              </w:rPr>
            </w:pPr>
            <w:r w:rsidRPr="00714598">
              <w:rPr>
                <w:rFonts w:eastAsia="Times New Roman"/>
                <w:b/>
                <w:bCs/>
                <w:color w:val="FFFFFF"/>
                <w:spacing w:val="0"/>
                <w:sz w:val="22"/>
                <w:szCs w:val="22"/>
                <w:lang w:val="es-DO"/>
              </w:rPr>
              <w:t>Pagada</w:t>
            </w:r>
          </w:p>
        </w:tc>
        <w:tc>
          <w:tcPr>
            <w:tcW w:w="1895" w:type="dxa"/>
            <w:tcBorders>
              <w:top w:val="single" w:sz="4" w:space="0" w:color="auto"/>
              <w:left w:val="nil"/>
              <w:bottom w:val="single" w:sz="4" w:space="0" w:color="auto"/>
              <w:right w:val="single" w:sz="4" w:space="0" w:color="auto"/>
            </w:tcBorders>
            <w:shd w:val="clear" w:color="000000" w:fill="002060"/>
            <w:vAlign w:val="center"/>
            <w:hideMark/>
          </w:tcPr>
          <w:p w14:paraId="068FEB9E" w14:textId="77777777" w:rsidR="009637D1" w:rsidRPr="00714598" w:rsidRDefault="009637D1" w:rsidP="009637D1">
            <w:pPr>
              <w:spacing w:after="0" w:line="240" w:lineRule="auto"/>
              <w:jc w:val="center"/>
              <w:rPr>
                <w:rFonts w:eastAsia="Times New Roman"/>
                <w:b/>
                <w:bCs/>
                <w:color w:val="FFFFFF"/>
                <w:spacing w:val="0"/>
                <w:sz w:val="22"/>
                <w:szCs w:val="22"/>
              </w:rPr>
            </w:pPr>
            <w:r w:rsidRPr="00714598">
              <w:rPr>
                <w:rFonts w:eastAsia="Times New Roman"/>
                <w:b/>
                <w:bCs/>
                <w:color w:val="FFFFFF"/>
                <w:spacing w:val="0"/>
                <w:sz w:val="22"/>
                <w:szCs w:val="22"/>
                <w:lang w:val="es-DO"/>
              </w:rPr>
              <w:t>Vencida</w:t>
            </w:r>
          </w:p>
        </w:tc>
        <w:tc>
          <w:tcPr>
            <w:tcW w:w="2119" w:type="dxa"/>
            <w:tcBorders>
              <w:top w:val="single" w:sz="4" w:space="0" w:color="auto"/>
              <w:left w:val="nil"/>
              <w:bottom w:val="single" w:sz="4" w:space="0" w:color="auto"/>
              <w:right w:val="single" w:sz="4" w:space="0" w:color="auto"/>
            </w:tcBorders>
            <w:shd w:val="clear" w:color="000000" w:fill="002060"/>
            <w:vAlign w:val="center"/>
            <w:hideMark/>
          </w:tcPr>
          <w:p w14:paraId="5A4EB60F" w14:textId="77777777" w:rsidR="009637D1" w:rsidRPr="00714598" w:rsidRDefault="009637D1" w:rsidP="009637D1">
            <w:pPr>
              <w:spacing w:after="0" w:line="240" w:lineRule="auto"/>
              <w:jc w:val="center"/>
              <w:rPr>
                <w:rFonts w:eastAsia="Times New Roman"/>
                <w:b/>
                <w:bCs/>
                <w:color w:val="FFFFFF"/>
                <w:spacing w:val="0"/>
                <w:sz w:val="22"/>
                <w:szCs w:val="22"/>
              </w:rPr>
            </w:pPr>
            <w:r w:rsidRPr="00714598">
              <w:rPr>
                <w:rFonts w:eastAsia="Times New Roman"/>
                <w:b/>
                <w:bCs/>
                <w:color w:val="FFFFFF"/>
                <w:spacing w:val="0"/>
                <w:sz w:val="22"/>
                <w:szCs w:val="22"/>
                <w:lang w:val="es-DO"/>
              </w:rPr>
              <w:t>Total</w:t>
            </w:r>
          </w:p>
        </w:tc>
      </w:tr>
      <w:tr w:rsidR="009637D1" w:rsidRPr="009637D1" w14:paraId="1B71DAC8" w14:textId="77777777" w:rsidTr="00D51790">
        <w:trPr>
          <w:trHeight w:val="272"/>
        </w:trPr>
        <w:tc>
          <w:tcPr>
            <w:tcW w:w="1857" w:type="dxa"/>
            <w:tcBorders>
              <w:top w:val="nil"/>
              <w:left w:val="single" w:sz="4" w:space="0" w:color="auto"/>
              <w:bottom w:val="single" w:sz="4" w:space="0" w:color="auto"/>
              <w:right w:val="single" w:sz="4" w:space="0" w:color="auto"/>
            </w:tcBorders>
            <w:shd w:val="clear" w:color="000000" w:fill="FFFFFF"/>
            <w:noWrap/>
            <w:vAlign w:val="center"/>
            <w:hideMark/>
          </w:tcPr>
          <w:p w14:paraId="7B696412"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Enero</w:t>
            </w:r>
          </w:p>
        </w:tc>
        <w:tc>
          <w:tcPr>
            <w:tcW w:w="2044" w:type="dxa"/>
            <w:tcBorders>
              <w:top w:val="nil"/>
              <w:left w:val="nil"/>
              <w:bottom w:val="single" w:sz="4" w:space="0" w:color="auto"/>
              <w:right w:val="single" w:sz="4" w:space="0" w:color="auto"/>
            </w:tcBorders>
            <w:shd w:val="clear" w:color="000000" w:fill="FFFFFF"/>
            <w:noWrap/>
            <w:vAlign w:val="center"/>
            <w:hideMark/>
          </w:tcPr>
          <w:p w14:paraId="1530F06A"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130,292.16</w:t>
            </w:r>
          </w:p>
        </w:tc>
        <w:tc>
          <w:tcPr>
            <w:tcW w:w="1895" w:type="dxa"/>
            <w:tcBorders>
              <w:top w:val="nil"/>
              <w:left w:val="nil"/>
              <w:bottom w:val="single" w:sz="4" w:space="0" w:color="auto"/>
              <w:right w:val="single" w:sz="4" w:space="0" w:color="auto"/>
            </w:tcBorders>
            <w:shd w:val="clear" w:color="000000" w:fill="FFFFFF"/>
            <w:noWrap/>
            <w:vAlign w:val="center"/>
            <w:hideMark/>
          </w:tcPr>
          <w:p w14:paraId="1183DF50"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508,363.43</w:t>
            </w:r>
          </w:p>
        </w:tc>
        <w:tc>
          <w:tcPr>
            <w:tcW w:w="2119" w:type="dxa"/>
            <w:tcBorders>
              <w:top w:val="nil"/>
              <w:left w:val="nil"/>
              <w:bottom w:val="single" w:sz="4" w:space="0" w:color="auto"/>
              <w:right w:val="single" w:sz="4" w:space="0" w:color="auto"/>
            </w:tcBorders>
            <w:shd w:val="clear" w:color="000000" w:fill="FFFFFF"/>
            <w:noWrap/>
            <w:vAlign w:val="center"/>
            <w:hideMark/>
          </w:tcPr>
          <w:p w14:paraId="0B1ABA83"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638,655.59</w:t>
            </w:r>
          </w:p>
        </w:tc>
      </w:tr>
      <w:tr w:rsidR="009637D1" w:rsidRPr="009637D1" w14:paraId="56D0E8FA" w14:textId="77777777" w:rsidTr="00D51790">
        <w:trPr>
          <w:trHeight w:val="272"/>
        </w:trPr>
        <w:tc>
          <w:tcPr>
            <w:tcW w:w="1857" w:type="dxa"/>
            <w:tcBorders>
              <w:top w:val="nil"/>
              <w:left w:val="single" w:sz="4" w:space="0" w:color="auto"/>
              <w:bottom w:val="single" w:sz="4" w:space="0" w:color="auto"/>
              <w:right w:val="single" w:sz="4" w:space="0" w:color="auto"/>
            </w:tcBorders>
            <w:shd w:val="clear" w:color="000000" w:fill="FFFFFF"/>
            <w:noWrap/>
            <w:vAlign w:val="center"/>
            <w:hideMark/>
          </w:tcPr>
          <w:p w14:paraId="79E2DE0E"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Febrero</w:t>
            </w:r>
          </w:p>
        </w:tc>
        <w:tc>
          <w:tcPr>
            <w:tcW w:w="2044" w:type="dxa"/>
            <w:tcBorders>
              <w:top w:val="nil"/>
              <w:left w:val="nil"/>
              <w:bottom w:val="single" w:sz="4" w:space="0" w:color="auto"/>
              <w:right w:val="single" w:sz="4" w:space="0" w:color="auto"/>
            </w:tcBorders>
            <w:shd w:val="clear" w:color="000000" w:fill="FFFFFF"/>
            <w:noWrap/>
            <w:vAlign w:val="center"/>
            <w:hideMark/>
          </w:tcPr>
          <w:p w14:paraId="0F6DB028"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222,189.94</w:t>
            </w:r>
          </w:p>
        </w:tc>
        <w:tc>
          <w:tcPr>
            <w:tcW w:w="1895" w:type="dxa"/>
            <w:tcBorders>
              <w:top w:val="nil"/>
              <w:left w:val="nil"/>
              <w:bottom w:val="single" w:sz="4" w:space="0" w:color="auto"/>
              <w:right w:val="single" w:sz="4" w:space="0" w:color="auto"/>
            </w:tcBorders>
            <w:shd w:val="clear" w:color="000000" w:fill="FFFFFF"/>
            <w:noWrap/>
            <w:vAlign w:val="center"/>
            <w:hideMark/>
          </w:tcPr>
          <w:p w14:paraId="7E0BA5C0"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327,439.86</w:t>
            </w:r>
          </w:p>
        </w:tc>
        <w:tc>
          <w:tcPr>
            <w:tcW w:w="2119" w:type="dxa"/>
            <w:tcBorders>
              <w:top w:val="nil"/>
              <w:left w:val="nil"/>
              <w:bottom w:val="single" w:sz="4" w:space="0" w:color="auto"/>
              <w:right w:val="single" w:sz="4" w:space="0" w:color="auto"/>
            </w:tcBorders>
            <w:shd w:val="clear" w:color="000000" w:fill="FFFFFF"/>
            <w:noWrap/>
            <w:vAlign w:val="center"/>
            <w:hideMark/>
          </w:tcPr>
          <w:p w14:paraId="1FE2B1EF"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549,629.80</w:t>
            </w:r>
          </w:p>
        </w:tc>
      </w:tr>
      <w:tr w:rsidR="009637D1" w:rsidRPr="009637D1" w14:paraId="43F2DBBA" w14:textId="77777777" w:rsidTr="00D51790">
        <w:trPr>
          <w:trHeight w:val="272"/>
        </w:trPr>
        <w:tc>
          <w:tcPr>
            <w:tcW w:w="1857" w:type="dxa"/>
            <w:tcBorders>
              <w:top w:val="nil"/>
              <w:left w:val="single" w:sz="4" w:space="0" w:color="auto"/>
              <w:bottom w:val="single" w:sz="4" w:space="0" w:color="auto"/>
              <w:right w:val="single" w:sz="4" w:space="0" w:color="auto"/>
            </w:tcBorders>
            <w:shd w:val="clear" w:color="000000" w:fill="FFFFFF"/>
            <w:noWrap/>
            <w:vAlign w:val="center"/>
            <w:hideMark/>
          </w:tcPr>
          <w:p w14:paraId="27869FC8"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Marzo</w:t>
            </w:r>
          </w:p>
        </w:tc>
        <w:tc>
          <w:tcPr>
            <w:tcW w:w="2044" w:type="dxa"/>
            <w:tcBorders>
              <w:top w:val="nil"/>
              <w:left w:val="nil"/>
              <w:bottom w:val="single" w:sz="4" w:space="0" w:color="auto"/>
              <w:right w:val="single" w:sz="4" w:space="0" w:color="auto"/>
            </w:tcBorders>
            <w:shd w:val="clear" w:color="000000" w:fill="FFFFFF"/>
            <w:noWrap/>
            <w:vAlign w:val="center"/>
            <w:hideMark/>
          </w:tcPr>
          <w:p w14:paraId="72AC70C7"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265,318.10</w:t>
            </w:r>
          </w:p>
        </w:tc>
        <w:tc>
          <w:tcPr>
            <w:tcW w:w="1895" w:type="dxa"/>
            <w:tcBorders>
              <w:top w:val="nil"/>
              <w:left w:val="nil"/>
              <w:bottom w:val="single" w:sz="4" w:space="0" w:color="auto"/>
              <w:right w:val="single" w:sz="4" w:space="0" w:color="auto"/>
            </w:tcBorders>
            <w:shd w:val="clear" w:color="000000" w:fill="FFFFFF"/>
            <w:noWrap/>
            <w:vAlign w:val="center"/>
            <w:hideMark/>
          </w:tcPr>
          <w:p w14:paraId="5C6F7A2D"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5,825.88</w:t>
            </w:r>
          </w:p>
        </w:tc>
        <w:tc>
          <w:tcPr>
            <w:tcW w:w="2119" w:type="dxa"/>
            <w:tcBorders>
              <w:top w:val="nil"/>
              <w:left w:val="nil"/>
              <w:bottom w:val="single" w:sz="4" w:space="0" w:color="auto"/>
              <w:right w:val="single" w:sz="4" w:space="0" w:color="auto"/>
            </w:tcBorders>
            <w:shd w:val="clear" w:color="000000" w:fill="FFFFFF"/>
            <w:noWrap/>
            <w:vAlign w:val="center"/>
            <w:hideMark/>
          </w:tcPr>
          <w:p w14:paraId="3BAF022A"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271,143.98</w:t>
            </w:r>
          </w:p>
        </w:tc>
      </w:tr>
      <w:tr w:rsidR="009637D1" w:rsidRPr="009637D1" w14:paraId="630F185C" w14:textId="77777777" w:rsidTr="00D51790">
        <w:trPr>
          <w:trHeight w:val="272"/>
        </w:trPr>
        <w:tc>
          <w:tcPr>
            <w:tcW w:w="1857" w:type="dxa"/>
            <w:tcBorders>
              <w:top w:val="nil"/>
              <w:left w:val="single" w:sz="4" w:space="0" w:color="auto"/>
              <w:bottom w:val="single" w:sz="4" w:space="0" w:color="auto"/>
              <w:right w:val="single" w:sz="4" w:space="0" w:color="auto"/>
            </w:tcBorders>
            <w:shd w:val="clear" w:color="000000" w:fill="FFFFFF"/>
            <w:noWrap/>
            <w:vAlign w:val="center"/>
            <w:hideMark/>
          </w:tcPr>
          <w:p w14:paraId="56E43993"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Abril</w:t>
            </w:r>
          </w:p>
        </w:tc>
        <w:tc>
          <w:tcPr>
            <w:tcW w:w="2044" w:type="dxa"/>
            <w:tcBorders>
              <w:top w:val="nil"/>
              <w:left w:val="nil"/>
              <w:bottom w:val="single" w:sz="4" w:space="0" w:color="auto"/>
              <w:right w:val="single" w:sz="4" w:space="0" w:color="auto"/>
            </w:tcBorders>
            <w:shd w:val="clear" w:color="000000" w:fill="FFFFFF"/>
            <w:noWrap/>
            <w:vAlign w:val="center"/>
            <w:hideMark/>
          </w:tcPr>
          <w:p w14:paraId="0C818F6D"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4,237,868.92</w:t>
            </w:r>
          </w:p>
        </w:tc>
        <w:tc>
          <w:tcPr>
            <w:tcW w:w="1895" w:type="dxa"/>
            <w:tcBorders>
              <w:top w:val="nil"/>
              <w:left w:val="nil"/>
              <w:bottom w:val="single" w:sz="4" w:space="0" w:color="auto"/>
              <w:right w:val="single" w:sz="4" w:space="0" w:color="auto"/>
            </w:tcBorders>
            <w:shd w:val="clear" w:color="000000" w:fill="FFFFFF"/>
            <w:noWrap/>
            <w:vAlign w:val="center"/>
            <w:hideMark/>
          </w:tcPr>
          <w:p w14:paraId="616805F6"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3,249,829.90</w:t>
            </w:r>
          </w:p>
        </w:tc>
        <w:tc>
          <w:tcPr>
            <w:tcW w:w="2119" w:type="dxa"/>
            <w:tcBorders>
              <w:top w:val="nil"/>
              <w:left w:val="nil"/>
              <w:bottom w:val="single" w:sz="4" w:space="0" w:color="auto"/>
              <w:right w:val="single" w:sz="4" w:space="0" w:color="auto"/>
            </w:tcBorders>
            <w:shd w:val="clear" w:color="000000" w:fill="FFFFFF"/>
            <w:noWrap/>
            <w:vAlign w:val="center"/>
            <w:hideMark/>
          </w:tcPr>
          <w:p w14:paraId="6EB9A580"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7,487,698.82</w:t>
            </w:r>
          </w:p>
        </w:tc>
      </w:tr>
      <w:tr w:rsidR="009637D1" w:rsidRPr="009637D1" w14:paraId="3D77B92F" w14:textId="77777777" w:rsidTr="00D51790">
        <w:trPr>
          <w:trHeight w:val="272"/>
        </w:trPr>
        <w:tc>
          <w:tcPr>
            <w:tcW w:w="1857" w:type="dxa"/>
            <w:tcBorders>
              <w:top w:val="nil"/>
              <w:left w:val="single" w:sz="4" w:space="0" w:color="auto"/>
              <w:bottom w:val="single" w:sz="4" w:space="0" w:color="auto"/>
              <w:right w:val="single" w:sz="4" w:space="0" w:color="auto"/>
            </w:tcBorders>
            <w:shd w:val="clear" w:color="000000" w:fill="FFFFFF"/>
            <w:noWrap/>
            <w:vAlign w:val="center"/>
            <w:hideMark/>
          </w:tcPr>
          <w:p w14:paraId="55265ACF"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Mayo</w:t>
            </w:r>
          </w:p>
        </w:tc>
        <w:tc>
          <w:tcPr>
            <w:tcW w:w="2044" w:type="dxa"/>
            <w:tcBorders>
              <w:top w:val="nil"/>
              <w:left w:val="nil"/>
              <w:bottom w:val="single" w:sz="4" w:space="0" w:color="auto"/>
              <w:right w:val="single" w:sz="4" w:space="0" w:color="auto"/>
            </w:tcBorders>
            <w:shd w:val="clear" w:color="000000" w:fill="FFFFFF"/>
            <w:noWrap/>
            <w:vAlign w:val="center"/>
            <w:hideMark/>
          </w:tcPr>
          <w:p w14:paraId="3B76ABCA"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411,167.70</w:t>
            </w:r>
          </w:p>
        </w:tc>
        <w:tc>
          <w:tcPr>
            <w:tcW w:w="1895" w:type="dxa"/>
            <w:tcBorders>
              <w:top w:val="nil"/>
              <w:left w:val="nil"/>
              <w:bottom w:val="single" w:sz="4" w:space="0" w:color="auto"/>
              <w:right w:val="single" w:sz="4" w:space="0" w:color="auto"/>
            </w:tcBorders>
            <w:shd w:val="clear" w:color="000000" w:fill="FFFFFF"/>
            <w:noWrap/>
            <w:vAlign w:val="center"/>
            <w:hideMark/>
          </w:tcPr>
          <w:p w14:paraId="52A93022"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279,230.76</w:t>
            </w:r>
          </w:p>
        </w:tc>
        <w:tc>
          <w:tcPr>
            <w:tcW w:w="2119" w:type="dxa"/>
            <w:tcBorders>
              <w:top w:val="nil"/>
              <w:left w:val="nil"/>
              <w:bottom w:val="single" w:sz="4" w:space="0" w:color="auto"/>
              <w:right w:val="single" w:sz="4" w:space="0" w:color="auto"/>
            </w:tcBorders>
            <w:shd w:val="clear" w:color="000000" w:fill="FFFFFF"/>
            <w:noWrap/>
            <w:vAlign w:val="center"/>
            <w:hideMark/>
          </w:tcPr>
          <w:p w14:paraId="3FA87AB1"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690,398.46</w:t>
            </w:r>
          </w:p>
        </w:tc>
      </w:tr>
      <w:tr w:rsidR="009637D1" w:rsidRPr="009637D1" w14:paraId="7A02E189" w14:textId="77777777" w:rsidTr="00D51790">
        <w:trPr>
          <w:trHeight w:val="272"/>
        </w:trPr>
        <w:tc>
          <w:tcPr>
            <w:tcW w:w="1857" w:type="dxa"/>
            <w:tcBorders>
              <w:top w:val="nil"/>
              <w:left w:val="single" w:sz="4" w:space="0" w:color="auto"/>
              <w:bottom w:val="single" w:sz="4" w:space="0" w:color="auto"/>
              <w:right w:val="single" w:sz="4" w:space="0" w:color="auto"/>
            </w:tcBorders>
            <w:shd w:val="clear" w:color="000000" w:fill="FFFFFF"/>
            <w:noWrap/>
            <w:vAlign w:val="center"/>
            <w:hideMark/>
          </w:tcPr>
          <w:p w14:paraId="35081498"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Junio</w:t>
            </w:r>
          </w:p>
        </w:tc>
        <w:tc>
          <w:tcPr>
            <w:tcW w:w="2044" w:type="dxa"/>
            <w:tcBorders>
              <w:top w:val="nil"/>
              <w:left w:val="nil"/>
              <w:bottom w:val="single" w:sz="4" w:space="0" w:color="auto"/>
              <w:right w:val="single" w:sz="4" w:space="0" w:color="auto"/>
            </w:tcBorders>
            <w:shd w:val="clear" w:color="000000" w:fill="FFFFFF"/>
            <w:noWrap/>
            <w:vAlign w:val="center"/>
            <w:hideMark/>
          </w:tcPr>
          <w:p w14:paraId="120AE0DD"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16,833,335.85</w:t>
            </w:r>
          </w:p>
        </w:tc>
        <w:tc>
          <w:tcPr>
            <w:tcW w:w="1895" w:type="dxa"/>
            <w:tcBorders>
              <w:top w:val="nil"/>
              <w:left w:val="nil"/>
              <w:bottom w:val="single" w:sz="4" w:space="0" w:color="auto"/>
              <w:right w:val="single" w:sz="4" w:space="0" w:color="auto"/>
            </w:tcBorders>
            <w:shd w:val="clear" w:color="000000" w:fill="FFFFFF"/>
            <w:noWrap/>
            <w:vAlign w:val="center"/>
            <w:hideMark/>
          </w:tcPr>
          <w:p w14:paraId="4661495D"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11,929,443.95</w:t>
            </w:r>
          </w:p>
        </w:tc>
        <w:tc>
          <w:tcPr>
            <w:tcW w:w="2119" w:type="dxa"/>
            <w:tcBorders>
              <w:top w:val="nil"/>
              <w:left w:val="nil"/>
              <w:bottom w:val="single" w:sz="4" w:space="0" w:color="auto"/>
              <w:right w:val="single" w:sz="4" w:space="0" w:color="auto"/>
            </w:tcBorders>
            <w:shd w:val="clear" w:color="000000" w:fill="FFFFFF"/>
            <w:noWrap/>
            <w:vAlign w:val="center"/>
            <w:hideMark/>
          </w:tcPr>
          <w:p w14:paraId="1D484EC7"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28,762,779.80</w:t>
            </w:r>
          </w:p>
        </w:tc>
      </w:tr>
      <w:tr w:rsidR="009637D1" w:rsidRPr="009637D1" w14:paraId="1A5A8663" w14:textId="77777777" w:rsidTr="00D51790">
        <w:trPr>
          <w:trHeight w:val="272"/>
        </w:trPr>
        <w:tc>
          <w:tcPr>
            <w:tcW w:w="1857" w:type="dxa"/>
            <w:tcBorders>
              <w:top w:val="nil"/>
              <w:left w:val="single" w:sz="4" w:space="0" w:color="auto"/>
              <w:bottom w:val="single" w:sz="4" w:space="0" w:color="auto"/>
              <w:right w:val="single" w:sz="4" w:space="0" w:color="auto"/>
            </w:tcBorders>
            <w:shd w:val="clear" w:color="000000" w:fill="FFFFFF"/>
            <w:noWrap/>
            <w:vAlign w:val="center"/>
            <w:hideMark/>
          </w:tcPr>
          <w:p w14:paraId="5B933C47"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Julio</w:t>
            </w:r>
          </w:p>
        </w:tc>
        <w:tc>
          <w:tcPr>
            <w:tcW w:w="2044" w:type="dxa"/>
            <w:tcBorders>
              <w:top w:val="nil"/>
              <w:left w:val="nil"/>
              <w:bottom w:val="single" w:sz="4" w:space="0" w:color="auto"/>
              <w:right w:val="single" w:sz="4" w:space="0" w:color="auto"/>
            </w:tcBorders>
            <w:shd w:val="clear" w:color="000000" w:fill="FFFFFF"/>
            <w:noWrap/>
            <w:vAlign w:val="center"/>
            <w:hideMark/>
          </w:tcPr>
          <w:p w14:paraId="3A7C6535"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9,496,494.64</w:t>
            </w:r>
          </w:p>
        </w:tc>
        <w:tc>
          <w:tcPr>
            <w:tcW w:w="1895" w:type="dxa"/>
            <w:tcBorders>
              <w:top w:val="nil"/>
              <w:left w:val="nil"/>
              <w:bottom w:val="single" w:sz="4" w:space="0" w:color="auto"/>
              <w:right w:val="single" w:sz="4" w:space="0" w:color="auto"/>
            </w:tcBorders>
            <w:shd w:val="clear" w:color="000000" w:fill="FFFFFF"/>
            <w:noWrap/>
            <w:vAlign w:val="center"/>
            <w:hideMark/>
          </w:tcPr>
          <w:p w14:paraId="51436DEE"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770,272.50</w:t>
            </w:r>
          </w:p>
        </w:tc>
        <w:tc>
          <w:tcPr>
            <w:tcW w:w="2119" w:type="dxa"/>
            <w:tcBorders>
              <w:top w:val="nil"/>
              <w:left w:val="nil"/>
              <w:bottom w:val="single" w:sz="4" w:space="0" w:color="auto"/>
              <w:right w:val="single" w:sz="4" w:space="0" w:color="auto"/>
            </w:tcBorders>
            <w:shd w:val="clear" w:color="000000" w:fill="FFFFFF"/>
            <w:noWrap/>
            <w:vAlign w:val="center"/>
            <w:hideMark/>
          </w:tcPr>
          <w:p w14:paraId="22DD2ED6"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10,266,767.14</w:t>
            </w:r>
          </w:p>
        </w:tc>
      </w:tr>
      <w:tr w:rsidR="009637D1" w:rsidRPr="009637D1" w14:paraId="513218E8" w14:textId="77777777" w:rsidTr="00D51790">
        <w:trPr>
          <w:trHeight w:val="272"/>
        </w:trPr>
        <w:tc>
          <w:tcPr>
            <w:tcW w:w="1857" w:type="dxa"/>
            <w:tcBorders>
              <w:top w:val="nil"/>
              <w:left w:val="single" w:sz="4" w:space="0" w:color="auto"/>
              <w:bottom w:val="single" w:sz="4" w:space="0" w:color="auto"/>
              <w:right w:val="single" w:sz="4" w:space="0" w:color="auto"/>
            </w:tcBorders>
            <w:shd w:val="clear" w:color="000000" w:fill="FFFFFF"/>
            <w:noWrap/>
            <w:vAlign w:val="center"/>
            <w:hideMark/>
          </w:tcPr>
          <w:p w14:paraId="1DE231C0"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Agosto</w:t>
            </w:r>
          </w:p>
        </w:tc>
        <w:tc>
          <w:tcPr>
            <w:tcW w:w="2044" w:type="dxa"/>
            <w:tcBorders>
              <w:top w:val="nil"/>
              <w:left w:val="nil"/>
              <w:bottom w:val="single" w:sz="4" w:space="0" w:color="auto"/>
              <w:right w:val="single" w:sz="4" w:space="0" w:color="auto"/>
            </w:tcBorders>
            <w:shd w:val="clear" w:color="000000" w:fill="FFFFFF"/>
            <w:noWrap/>
            <w:vAlign w:val="center"/>
            <w:hideMark/>
          </w:tcPr>
          <w:p w14:paraId="099B458E"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20,594,199.57</w:t>
            </w:r>
          </w:p>
        </w:tc>
        <w:tc>
          <w:tcPr>
            <w:tcW w:w="1895" w:type="dxa"/>
            <w:tcBorders>
              <w:top w:val="nil"/>
              <w:left w:val="nil"/>
              <w:bottom w:val="single" w:sz="4" w:space="0" w:color="auto"/>
              <w:right w:val="single" w:sz="4" w:space="0" w:color="auto"/>
            </w:tcBorders>
            <w:shd w:val="clear" w:color="000000" w:fill="FFFFFF"/>
            <w:noWrap/>
            <w:vAlign w:val="center"/>
            <w:hideMark/>
          </w:tcPr>
          <w:p w14:paraId="24C811E8"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4,731,314.98</w:t>
            </w:r>
          </w:p>
        </w:tc>
        <w:tc>
          <w:tcPr>
            <w:tcW w:w="2119" w:type="dxa"/>
            <w:tcBorders>
              <w:top w:val="nil"/>
              <w:left w:val="nil"/>
              <w:bottom w:val="single" w:sz="4" w:space="0" w:color="auto"/>
              <w:right w:val="single" w:sz="4" w:space="0" w:color="auto"/>
            </w:tcBorders>
            <w:shd w:val="clear" w:color="000000" w:fill="FFFFFF"/>
            <w:noWrap/>
            <w:vAlign w:val="center"/>
            <w:hideMark/>
          </w:tcPr>
          <w:p w14:paraId="2A63C966"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25,325,514.55</w:t>
            </w:r>
          </w:p>
        </w:tc>
      </w:tr>
      <w:tr w:rsidR="009637D1" w:rsidRPr="009637D1" w14:paraId="10D8CAB9" w14:textId="77777777" w:rsidTr="00D51790">
        <w:trPr>
          <w:trHeight w:val="272"/>
        </w:trPr>
        <w:tc>
          <w:tcPr>
            <w:tcW w:w="1857" w:type="dxa"/>
            <w:tcBorders>
              <w:top w:val="nil"/>
              <w:left w:val="single" w:sz="4" w:space="0" w:color="auto"/>
              <w:bottom w:val="single" w:sz="4" w:space="0" w:color="auto"/>
              <w:right w:val="single" w:sz="4" w:space="0" w:color="auto"/>
            </w:tcBorders>
            <w:shd w:val="clear" w:color="000000" w:fill="FFFFFF"/>
            <w:noWrap/>
            <w:vAlign w:val="center"/>
            <w:hideMark/>
          </w:tcPr>
          <w:p w14:paraId="09F267BB"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Septiembre</w:t>
            </w:r>
          </w:p>
        </w:tc>
        <w:tc>
          <w:tcPr>
            <w:tcW w:w="2044" w:type="dxa"/>
            <w:tcBorders>
              <w:top w:val="nil"/>
              <w:left w:val="nil"/>
              <w:bottom w:val="single" w:sz="4" w:space="0" w:color="auto"/>
              <w:right w:val="single" w:sz="4" w:space="0" w:color="auto"/>
            </w:tcBorders>
            <w:shd w:val="clear" w:color="000000" w:fill="FFFFFF"/>
            <w:noWrap/>
            <w:vAlign w:val="center"/>
            <w:hideMark/>
          </w:tcPr>
          <w:p w14:paraId="3382368B"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4,788,966.49</w:t>
            </w:r>
          </w:p>
        </w:tc>
        <w:tc>
          <w:tcPr>
            <w:tcW w:w="1895" w:type="dxa"/>
            <w:tcBorders>
              <w:top w:val="nil"/>
              <w:left w:val="nil"/>
              <w:bottom w:val="single" w:sz="4" w:space="0" w:color="auto"/>
              <w:right w:val="single" w:sz="4" w:space="0" w:color="auto"/>
            </w:tcBorders>
            <w:shd w:val="clear" w:color="000000" w:fill="FFFFFF"/>
            <w:noWrap/>
            <w:vAlign w:val="center"/>
            <w:hideMark/>
          </w:tcPr>
          <w:p w14:paraId="25734285"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1,724,590.94</w:t>
            </w:r>
          </w:p>
        </w:tc>
        <w:tc>
          <w:tcPr>
            <w:tcW w:w="2119" w:type="dxa"/>
            <w:tcBorders>
              <w:top w:val="nil"/>
              <w:left w:val="nil"/>
              <w:bottom w:val="single" w:sz="4" w:space="0" w:color="auto"/>
              <w:right w:val="single" w:sz="4" w:space="0" w:color="auto"/>
            </w:tcBorders>
            <w:shd w:val="clear" w:color="000000" w:fill="FFFFFF"/>
            <w:noWrap/>
            <w:vAlign w:val="center"/>
            <w:hideMark/>
          </w:tcPr>
          <w:p w14:paraId="51CBC1DB"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6,513,557.43</w:t>
            </w:r>
          </w:p>
        </w:tc>
      </w:tr>
      <w:tr w:rsidR="009637D1" w:rsidRPr="009637D1" w14:paraId="08F15D69" w14:textId="77777777" w:rsidTr="00D51790">
        <w:trPr>
          <w:trHeight w:val="272"/>
        </w:trPr>
        <w:tc>
          <w:tcPr>
            <w:tcW w:w="1857" w:type="dxa"/>
            <w:tcBorders>
              <w:top w:val="nil"/>
              <w:left w:val="single" w:sz="4" w:space="0" w:color="auto"/>
              <w:bottom w:val="single" w:sz="4" w:space="0" w:color="auto"/>
              <w:right w:val="single" w:sz="4" w:space="0" w:color="auto"/>
            </w:tcBorders>
            <w:shd w:val="clear" w:color="000000" w:fill="FFFFFF"/>
            <w:noWrap/>
            <w:vAlign w:val="center"/>
            <w:hideMark/>
          </w:tcPr>
          <w:p w14:paraId="67E5DEB7"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Octubre</w:t>
            </w:r>
          </w:p>
        </w:tc>
        <w:tc>
          <w:tcPr>
            <w:tcW w:w="2044" w:type="dxa"/>
            <w:tcBorders>
              <w:top w:val="nil"/>
              <w:left w:val="nil"/>
              <w:bottom w:val="single" w:sz="4" w:space="0" w:color="auto"/>
              <w:right w:val="single" w:sz="4" w:space="0" w:color="auto"/>
            </w:tcBorders>
            <w:shd w:val="clear" w:color="000000" w:fill="FFFFFF"/>
            <w:noWrap/>
            <w:vAlign w:val="center"/>
            <w:hideMark/>
          </w:tcPr>
          <w:p w14:paraId="789E0591"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297,907.53</w:t>
            </w:r>
          </w:p>
        </w:tc>
        <w:tc>
          <w:tcPr>
            <w:tcW w:w="1895" w:type="dxa"/>
            <w:tcBorders>
              <w:top w:val="nil"/>
              <w:left w:val="nil"/>
              <w:bottom w:val="single" w:sz="4" w:space="0" w:color="auto"/>
              <w:right w:val="single" w:sz="4" w:space="0" w:color="auto"/>
            </w:tcBorders>
            <w:shd w:val="clear" w:color="000000" w:fill="FFFFFF"/>
            <w:noWrap/>
            <w:vAlign w:val="center"/>
            <w:hideMark/>
          </w:tcPr>
          <w:p w14:paraId="61488BE0"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1,822,769.55</w:t>
            </w:r>
          </w:p>
        </w:tc>
        <w:tc>
          <w:tcPr>
            <w:tcW w:w="2119" w:type="dxa"/>
            <w:tcBorders>
              <w:top w:val="nil"/>
              <w:left w:val="nil"/>
              <w:bottom w:val="single" w:sz="4" w:space="0" w:color="auto"/>
              <w:right w:val="single" w:sz="4" w:space="0" w:color="auto"/>
            </w:tcBorders>
            <w:shd w:val="clear" w:color="000000" w:fill="FFFFFF"/>
            <w:noWrap/>
            <w:vAlign w:val="center"/>
            <w:hideMark/>
          </w:tcPr>
          <w:p w14:paraId="372B087C"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2,120,677.08</w:t>
            </w:r>
          </w:p>
        </w:tc>
      </w:tr>
      <w:tr w:rsidR="009637D1" w:rsidRPr="009637D1" w14:paraId="2CA2D62B" w14:textId="77777777" w:rsidTr="00D51790">
        <w:trPr>
          <w:trHeight w:val="272"/>
        </w:trPr>
        <w:tc>
          <w:tcPr>
            <w:tcW w:w="1857" w:type="dxa"/>
            <w:tcBorders>
              <w:top w:val="nil"/>
              <w:left w:val="single" w:sz="4" w:space="0" w:color="auto"/>
              <w:bottom w:val="single" w:sz="4" w:space="0" w:color="auto"/>
              <w:right w:val="single" w:sz="4" w:space="0" w:color="auto"/>
            </w:tcBorders>
            <w:shd w:val="clear" w:color="000000" w:fill="FFFFFF"/>
            <w:noWrap/>
            <w:vAlign w:val="center"/>
            <w:hideMark/>
          </w:tcPr>
          <w:p w14:paraId="2E9928E3"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Noviembre</w:t>
            </w:r>
          </w:p>
        </w:tc>
        <w:tc>
          <w:tcPr>
            <w:tcW w:w="2044" w:type="dxa"/>
            <w:tcBorders>
              <w:top w:val="nil"/>
              <w:left w:val="nil"/>
              <w:bottom w:val="single" w:sz="4" w:space="0" w:color="auto"/>
              <w:right w:val="single" w:sz="4" w:space="0" w:color="auto"/>
            </w:tcBorders>
            <w:shd w:val="clear" w:color="000000" w:fill="FFFFFF"/>
            <w:noWrap/>
            <w:vAlign w:val="center"/>
            <w:hideMark/>
          </w:tcPr>
          <w:p w14:paraId="44C25898"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317,381.59</w:t>
            </w:r>
          </w:p>
        </w:tc>
        <w:tc>
          <w:tcPr>
            <w:tcW w:w="1895" w:type="dxa"/>
            <w:tcBorders>
              <w:top w:val="nil"/>
              <w:left w:val="nil"/>
              <w:bottom w:val="single" w:sz="4" w:space="0" w:color="auto"/>
              <w:right w:val="single" w:sz="4" w:space="0" w:color="auto"/>
            </w:tcBorders>
            <w:shd w:val="clear" w:color="000000" w:fill="FFFFFF"/>
            <w:noWrap/>
            <w:vAlign w:val="center"/>
            <w:hideMark/>
          </w:tcPr>
          <w:p w14:paraId="6ECD87AC"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5,472,490.44</w:t>
            </w:r>
          </w:p>
        </w:tc>
        <w:tc>
          <w:tcPr>
            <w:tcW w:w="2119" w:type="dxa"/>
            <w:tcBorders>
              <w:top w:val="nil"/>
              <w:left w:val="nil"/>
              <w:bottom w:val="single" w:sz="4" w:space="0" w:color="auto"/>
              <w:right w:val="single" w:sz="4" w:space="0" w:color="auto"/>
            </w:tcBorders>
            <w:shd w:val="clear" w:color="000000" w:fill="FFFFFF"/>
            <w:noWrap/>
            <w:vAlign w:val="center"/>
            <w:hideMark/>
          </w:tcPr>
          <w:p w14:paraId="5DDAC420" w14:textId="77777777" w:rsidR="009637D1" w:rsidRPr="00714598" w:rsidRDefault="009637D1" w:rsidP="009637D1">
            <w:pPr>
              <w:spacing w:after="0" w:line="240" w:lineRule="auto"/>
              <w:jc w:val="center"/>
              <w:rPr>
                <w:rFonts w:eastAsia="Calibri"/>
                <w:noProof/>
                <w:sz w:val="22"/>
                <w:szCs w:val="22"/>
                <w:lang w:val="es-DO"/>
              </w:rPr>
            </w:pPr>
            <w:r w:rsidRPr="00714598">
              <w:rPr>
                <w:rFonts w:eastAsia="Calibri"/>
                <w:noProof/>
                <w:sz w:val="22"/>
                <w:szCs w:val="22"/>
                <w:lang w:val="es-DO"/>
              </w:rPr>
              <w:t>5,789,872.03</w:t>
            </w:r>
          </w:p>
        </w:tc>
      </w:tr>
      <w:tr w:rsidR="009637D1" w:rsidRPr="00B45256" w14:paraId="4A67962E" w14:textId="77777777" w:rsidTr="00D51790">
        <w:trPr>
          <w:trHeight w:val="272"/>
        </w:trPr>
        <w:tc>
          <w:tcPr>
            <w:tcW w:w="1857" w:type="dxa"/>
            <w:tcBorders>
              <w:top w:val="nil"/>
              <w:left w:val="single" w:sz="4" w:space="0" w:color="auto"/>
              <w:bottom w:val="single" w:sz="4" w:space="0" w:color="auto"/>
              <w:right w:val="single" w:sz="4" w:space="0" w:color="auto"/>
            </w:tcBorders>
            <w:shd w:val="clear" w:color="000000" w:fill="FFFFFF"/>
            <w:noWrap/>
            <w:vAlign w:val="center"/>
            <w:hideMark/>
          </w:tcPr>
          <w:p w14:paraId="7DFF0197" w14:textId="07DB18EB" w:rsidR="009637D1" w:rsidRPr="00714598" w:rsidRDefault="00714598" w:rsidP="009637D1">
            <w:pPr>
              <w:spacing w:after="0" w:line="240" w:lineRule="auto"/>
              <w:jc w:val="center"/>
              <w:rPr>
                <w:rFonts w:eastAsia="Calibri"/>
                <w:b/>
                <w:bCs/>
                <w:noProof/>
                <w:sz w:val="22"/>
                <w:szCs w:val="22"/>
                <w:lang w:val="es-DO"/>
              </w:rPr>
            </w:pPr>
            <w:r w:rsidRPr="00714598">
              <w:rPr>
                <w:rFonts w:eastAsia="Calibri"/>
                <w:b/>
                <w:bCs/>
                <w:noProof/>
                <w:sz w:val="22"/>
                <w:szCs w:val="22"/>
                <w:lang w:val="es-DO"/>
              </w:rPr>
              <w:t>TOTAL</w:t>
            </w:r>
          </w:p>
        </w:tc>
        <w:tc>
          <w:tcPr>
            <w:tcW w:w="2044" w:type="dxa"/>
            <w:tcBorders>
              <w:top w:val="nil"/>
              <w:left w:val="nil"/>
              <w:bottom w:val="single" w:sz="4" w:space="0" w:color="auto"/>
              <w:right w:val="single" w:sz="4" w:space="0" w:color="auto"/>
            </w:tcBorders>
            <w:shd w:val="clear" w:color="000000" w:fill="FFFFFF"/>
            <w:noWrap/>
            <w:vAlign w:val="center"/>
            <w:hideMark/>
          </w:tcPr>
          <w:p w14:paraId="3AECF31E" w14:textId="6A54846B" w:rsidR="009637D1" w:rsidRPr="00714598" w:rsidRDefault="00714598" w:rsidP="009637D1">
            <w:pPr>
              <w:spacing w:after="0" w:line="240" w:lineRule="auto"/>
              <w:jc w:val="center"/>
              <w:rPr>
                <w:rFonts w:eastAsia="Calibri"/>
                <w:b/>
                <w:bCs/>
                <w:noProof/>
                <w:sz w:val="22"/>
                <w:szCs w:val="22"/>
                <w:lang w:val="es-DO"/>
              </w:rPr>
            </w:pPr>
            <w:r w:rsidRPr="00714598">
              <w:rPr>
                <w:rFonts w:eastAsia="Calibri"/>
                <w:b/>
                <w:bCs/>
                <w:noProof/>
                <w:sz w:val="22"/>
                <w:szCs w:val="22"/>
                <w:lang w:val="es-DO"/>
              </w:rPr>
              <w:t>57,595,122.49</w:t>
            </w:r>
          </w:p>
        </w:tc>
        <w:tc>
          <w:tcPr>
            <w:tcW w:w="1895" w:type="dxa"/>
            <w:tcBorders>
              <w:top w:val="nil"/>
              <w:left w:val="nil"/>
              <w:bottom w:val="single" w:sz="4" w:space="0" w:color="auto"/>
              <w:right w:val="single" w:sz="4" w:space="0" w:color="auto"/>
            </w:tcBorders>
            <w:shd w:val="clear" w:color="000000" w:fill="FFFFFF"/>
            <w:noWrap/>
            <w:vAlign w:val="center"/>
            <w:hideMark/>
          </w:tcPr>
          <w:p w14:paraId="2F37AA14" w14:textId="1F0FB29D" w:rsidR="009637D1" w:rsidRPr="00714598" w:rsidRDefault="00714598" w:rsidP="009637D1">
            <w:pPr>
              <w:spacing w:after="0" w:line="240" w:lineRule="auto"/>
              <w:jc w:val="center"/>
              <w:rPr>
                <w:rFonts w:eastAsia="Calibri"/>
                <w:b/>
                <w:bCs/>
                <w:noProof/>
                <w:sz w:val="22"/>
                <w:szCs w:val="22"/>
                <w:lang w:val="es-DO"/>
              </w:rPr>
            </w:pPr>
            <w:r w:rsidRPr="00714598">
              <w:rPr>
                <w:rFonts w:eastAsia="Calibri"/>
                <w:b/>
                <w:bCs/>
                <w:noProof/>
                <w:sz w:val="22"/>
                <w:szCs w:val="22"/>
                <w:lang w:val="es-DO"/>
              </w:rPr>
              <w:t>30,821,572.19</w:t>
            </w:r>
          </w:p>
        </w:tc>
        <w:tc>
          <w:tcPr>
            <w:tcW w:w="2119" w:type="dxa"/>
            <w:tcBorders>
              <w:top w:val="nil"/>
              <w:left w:val="nil"/>
              <w:bottom w:val="single" w:sz="4" w:space="0" w:color="auto"/>
              <w:right w:val="single" w:sz="4" w:space="0" w:color="auto"/>
            </w:tcBorders>
            <w:shd w:val="clear" w:color="000000" w:fill="FFFFFF"/>
            <w:noWrap/>
            <w:vAlign w:val="center"/>
            <w:hideMark/>
          </w:tcPr>
          <w:p w14:paraId="0584957D" w14:textId="240ED44F" w:rsidR="009637D1" w:rsidRPr="00714598" w:rsidRDefault="00714598" w:rsidP="009637D1">
            <w:pPr>
              <w:spacing w:after="0" w:line="240" w:lineRule="auto"/>
              <w:jc w:val="center"/>
              <w:rPr>
                <w:rFonts w:eastAsia="Calibri"/>
                <w:b/>
                <w:bCs/>
                <w:noProof/>
                <w:sz w:val="22"/>
                <w:szCs w:val="22"/>
                <w:lang w:val="es-DO"/>
              </w:rPr>
            </w:pPr>
            <w:r w:rsidRPr="00714598">
              <w:rPr>
                <w:rFonts w:eastAsia="Calibri"/>
                <w:b/>
                <w:bCs/>
                <w:noProof/>
                <w:sz w:val="22"/>
                <w:szCs w:val="22"/>
                <w:lang w:val="es-DO"/>
              </w:rPr>
              <w:t>88,416,694.68</w:t>
            </w:r>
          </w:p>
        </w:tc>
      </w:tr>
    </w:tbl>
    <w:p w14:paraId="182F343B" w14:textId="1E3FC4B9" w:rsidR="00955A30" w:rsidRPr="00AF6623" w:rsidRDefault="00B45256" w:rsidP="00E37E86">
      <w:pPr>
        <w:spacing w:afterLines="160" w:after="384" w:line="360" w:lineRule="auto"/>
        <w:jc w:val="both"/>
        <w:rPr>
          <w:rFonts w:eastAsia="Calibri"/>
          <w:noProof/>
          <w:sz w:val="18"/>
          <w:szCs w:val="18"/>
          <w:lang w:val="es-DO"/>
        </w:rPr>
      </w:pPr>
      <w:r w:rsidRPr="00AF6623">
        <w:rPr>
          <w:rFonts w:eastAsia="Calibri"/>
          <w:b/>
          <w:bCs/>
          <w:noProof/>
          <w:sz w:val="18"/>
          <w:szCs w:val="18"/>
          <w:lang w:val="es-DO"/>
        </w:rPr>
        <w:t>Tabla</w:t>
      </w:r>
      <w:r w:rsidR="00DB3220">
        <w:rPr>
          <w:rFonts w:eastAsia="Calibri"/>
          <w:b/>
          <w:bCs/>
          <w:noProof/>
          <w:sz w:val="18"/>
          <w:szCs w:val="18"/>
          <w:lang w:val="es-DO"/>
        </w:rPr>
        <w:t xml:space="preserve"> 1</w:t>
      </w:r>
      <w:r w:rsidR="00C50277">
        <w:rPr>
          <w:rFonts w:eastAsia="Calibri"/>
          <w:b/>
          <w:bCs/>
          <w:noProof/>
          <w:sz w:val="18"/>
          <w:szCs w:val="18"/>
          <w:lang w:val="es-DO"/>
        </w:rPr>
        <w:t>2</w:t>
      </w:r>
      <w:r w:rsidRPr="00AF6623">
        <w:rPr>
          <w:rFonts w:eastAsia="Calibri"/>
          <w:noProof/>
          <w:sz w:val="18"/>
          <w:szCs w:val="18"/>
          <w:lang w:val="es-DO"/>
        </w:rPr>
        <w:t>: Cantidad de notificaciones de pago por auditoria.</w:t>
      </w:r>
    </w:p>
    <w:p w14:paraId="00562631" w14:textId="46E69D59" w:rsidR="00295F77" w:rsidRPr="00437C56" w:rsidRDefault="00295F77" w:rsidP="00CB7EEC">
      <w:pPr>
        <w:spacing w:line="360" w:lineRule="auto"/>
        <w:jc w:val="both"/>
        <w:rPr>
          <w:rFonts w:eastAsia="Calibri"/>
          <w:lang w:val="es-DO"/>
        </w:rPr>
      </w:pPr>
      <w:r w:rsidRPr="00437C56">
        <w:rPr>
          <w:rFonts w:eastAsia="Calibri"/>
          <w:lang w:val="es-DO"/>
        </w:rPr>
        <w:t>Cabe destacar que el 26% de las NPA fueron incluidas dentro de un acuerdo de pago; quedando así un 78.75% del monto total de NPA pagado, y solo un 21.25% en estatus vencido.</w:t>
      </w:r>
    </w:p>
    <w:p w14:paraId="1671EB7F" w14:textId="4EE8093D" w:rsidR="00E12BB6" w:rsidRPr="00CB7EEC" w:rsidRDefault="00295F77" w:rsidP="00CB7EEC">
      <w:pPr>
        <w:spacing w:line="360" w:lineRule="auto"/>
        <w:jc w:val="both"/>
        <w:rPr>
          <w:rFonts w:eastAsia="Calibri"/>
          <w:b/>
          <w:bCs/>
          <w:lang w:val="es-DO"/>
        </w:rPr>
      </w:pPr>
      <w:r w:rsidRPr="00CB7EEC">
        <w:rPr>
          <w:rFonts w:eastAsia="Calibri"/>
          <w:b/>
          <w:bCs/>
          <w:lang w:val="es-DO"/>
        </w:rPr>
        <w:t>Supervisión sobre Dispensas otorgadas</w:t>
      </w:r>
    </w:p>
    <w:p w14:paraId="061C63F5" w14:textId="77777777" w:rsidR="00714598" w:rsidRDefault="00295F77" w:rsidP="00CB7EEC">
      <w:pPr>
        <w:spacing w:line="360" w:lineRule="auto"/>
        <w:jc w:val="both"/>
        <w:rPr>
          <w:rFonts w:eastAsia="Calibri"/>
          <w:noProof/>
          <w:lang w:val="es-DO"/>
        </w:rPr>
      </w:pPr>
      <w:r w:rsidRPr="00437C56">
        <w:rPr>
          <w:rFonts w:eastAsia="Calibri"/>
          <w:lang w:val="es-DO"/>
        </w:rPr>
        <w:t>La Dirección de Fiscalización Externa se mantiene en un proceso permanente de análisis y verificación de las Dispensas otorgadas a</w:t>
      </w:r>
      <w:r w:rsidRPr="00437C56">
        <w:rPr>
          <w:rFonts w:eastAsia="Calibri"/>
          <w:noProof/>
          <w:lang w:val="es-DO"/>
        </w:rPr>
        <w:t xml:space="preserve"> los empleadores registrados al Sistema Dominicano de la Seguridad </w:t>
      </w:r>
    </w:p>
    <w:p w14:paraId="27B16E18" w14:textId="6710AF27" w:rsidR="00295F77" w:rsidRPr="00E12BB6" w:rsidRDefault="00295F77" w:rsidP="00CB7EEC">
      <w:pPr>
        <w:spacing w:line="360" w:lineRule="auto"/>
        <w:jc w:val="both"/>
        <w:rPr>
          <w:rFonts w:eastAsia="Calibri"/>
          <w:b/>
          <w:bCs/>
          <w:noProof/>
          <w:lang w:val="es-DO"/>
        </w:rPr>
      </w:pPr>
      <w:r w:rsidRPr="00437C56">
        <w:rPr>
          <w:rFonts w:eastAsia="Calibri"/>
          <w:noProof/>
          <w:lang w:val="es-DO"/>
        </w:rPr>
        <w:t>Social, acorde con las disposiciones de la Resolución 471-02 emitida por el Consejo Nacional de la Seguridad Social, de fecha 23 de mayo de 2019.</w:t>
      </w:r>
    </w:p>
    <w:p w14:paraId="5CD9471A" w14:textId="77777777" w:rsidR="00295F77" w:rsidRPr="00437C56" w:rsidRDefault="00295F77" w:rsidP="00CB7EEC">
      <w:pPr>
        <w:spacing w:line="360" w:lineRule="auto"/>
        <w:jc w:val="both"/>
        <w:rPr>
          <w:rFonts w:eastAsia="Calibri"/>
          <w:lang w:val="es-DO"/>
        </w:rPr>
      </w:pPr>
      <w:r w:rsidRPr="00437C56">
        <w:rPr>
          <w:rFonts w:eastAsia="Calibri"/>
          <w:noProof/>
          <w:lang w:val="es-DO"/>
        </w:rPr>
        <w:t xml:space="preserve">En fecha 25 de junio de 2021, el Tribunal Superior Administrativo en virtud de la Sentencia No. 0030-01-2021-SSMC-00106, suspendió de manera provisional la Resolución del Consejo Nacional de la Seguridad Social No. 471-02, y los demás actos administrativos que se hayan dictado como consecuencia de dicha Resolución, producto del recurso de amparo sometido por Federación Dominicana de </w:t>
      </w:r>
      <w:r w:rsidRPr="00437C56">
        <w:rPr>
          <w:rFonts w:eastAsia="Calibri"/>
          <w:lang w:val="es-DO"/>
        </w:rPr>
        <w:t>Municipios (FEDOMU) y la Asociación Dominicana de Distritos Municipales (ADODIM).</w:t>
      </w:r>
    </w:p>
    <w:p w14:paraId="1689915E" w14:textId="77777777" w:rsidR="00295F77" w:rsidRPr="00437C56" w:rsidRDefault="00295F77" w:rsidP="00CB7EEC">
      <w:pPr>
        <w:spacing w:line="360" w:lineRule="auto"/>
        <w:jc w:val="both"/>
        <w:rPr>
          <w:rFonts w:eastAsia="Calibri"/>
          <w:lang w:val="es-DO"/>
        </w:rPr>
      </w:pPr>
      <w:r w:rsidRPr="00437C56">
        <w:rPr>
          <w:rFonts w:eastAsia="Calibri"/>
          <w:lang w:val="es-DO"/>
        </w:rPr>
        <w:lastRenderedPageBreak/>
        <w:t>El 11 de abril de 2023, el Tribunal Superior Administrativo acogió el desistimiento presentado por FEDOMU y FEDODIM, quedando así en vigor nuevamente la Resolución 471-02 del CNSS.</w:t>
      </w:r>
    </w:p>
    <w:p w14:paraId="369A87EF" w14:textId="77777777" w:rsidR="00295F77" w:rsidRPr="00437C56" w:rsidRDefault="00295F77" w:rsidP="00CB7EEC">
      <w:pPr>
        <w:spacing w:line="360" w:lineRule="auto"/>
        <w:jc w:val="both"/>
        <w:rPr>
          <w:rFonts w:eastAsia="Calibri"/>
          <w:lang w:val="es-DO"/>
        </w:rPr>
      </w:pPr>
      <w:r w:rsidRPr="00437C56">
        <w:rPr>
          <w:rFonts w:eastAsia="Calibri"/>
          <w:lang w:val="es-DO"/>
        </w:rPr>
        <w:t>Esta Dirección evalúa de forma permanente y continua el comportamiento de los salarios registrados de los trabajadores correspondientes a aquellos empleadores a quienes se le ha otorgado dispensas en el SUIR, a fin de verificar que no exista falsedad de datos en la información reportada.</w:t>
      </w:r>
    </w:p>
    <w:p w14:paraId="615DABEC" w14:textId="59090E14" w:rsidR="00295F77" w:rsidRPr="00437C56" w:rsidRDefault="00295F77" w:rsidP="00CB7EEC">
      <w:pPr>
        <w:spacing w:line="360" w:lineRule="auto"/>
        <w:jc w:val="both"/>
        <w:rPr>
          <w:rFonts w:eastAsia="Calibri"/>
          <w:lang w:val="es-DO"/>
        </w:rPr>
      </w:pPr>
      <w:r w:rsidRPr="00437C56">
        <w:rPr>
          <w:rFonts w:eastAsia="Calibri"/>
          <w:lang w:val="es-DO"/>
        </w:rPr>
        <w:t xml:space="preserve">Producto de esta evaluación, </w:t>
      </w:r>
      <w:r w:rsidR="00FE5CF5">
        <w:rPr>
          <w:rFonts w:eastAsia="Calibri"/>
          <w:lang w:val="es-DO"/>
        </w:rPr>
        <w:t>hemos</w:t>
      </w:r>
      <w:r w:rsidRPr="00437C56">
        <w:rPr>
          <w:rFonts w:eastAsia="Calibri"/>
          <w:lang w:val="es-DO"/>
        </w:rPr>
        <w:t xml:space="preserve"> tramitado 597 casos de empleadores que tienen dispensa, o bien que la han solicitado, de las cuales fueron declinadas o revocadas 568 nóminas dispensadas</w:t>
      </w:r>
      <w:r w:rsidR="00A20F1B">
        <w:rPr>
          <w:rFonts w:eastAsia="Calibri"/>
          <w:lang w:val="es-DO"/>
        </w:rPr>
        <w:t xml:space="preserve"> en este periodo </w:t>
      </w:r>
      <w:r w:rsidRPr="00437C56">
        <w:rPr>
          <w:rFonts w:eastAsia="Calibri"/>
          <w:lang w:val="es-DO"/>
        </w:rPr>
        <w:t>2024.</w:t>
      </w:r>
    </w:p>
    <w:p w14:paraId="539AEB90" w14:textId="7E46E70F" w:rsidR="00295F77" w:rsidRPr="00CB7EEC" w:rsidRDefault="00295F77" w:rsidP="00CB7EEC">
      <w:pPr>
        <w:rPr>
          <w:b/>
          <w:bCs/>
          <w:lang w:val="es-DO"/>
        </w:rPr>
      </w:pPr>
      <w:r w:rsidRPr="00CB7EEC">
        <w:rPr>
          <w:b/>
          <w:bCs/>
          <w:lang w:val="es-DO"/>
        </w:rPr>
        <w:t>Presunción de Fraude</w:t>
      </w:r>
    </w:p>
    <w:p w14:paraId="6FD120D8" w14:textId="77777777" w:rsidR="00CB7EEC" w:rsidRPr="00235582" w:rsidRDefault="00295F77" w:rsidP="00CB7EEC">
      <w:pPr>
        <w:spacing w:line="360" w:lineRule="auto"/>
        <w:jc w:val="both"/>
        <w:rPr>
          <w:lang w:val="es-ES"/>
        </w:rPr>
      </w:pPr>
      <w:r w:rsidRPr="00235582">
        <w:rPr>
          <w:lang w:val="es-ES"/>
        </w:rPr>
        <w:t>Con la finalidad de preservar la sostenibilidad financiera del Sistema Dominicano de la Seguridad Social, la Dirección monitorea, de forma permanente y continua, el comportamiento de los empleadores en el reporte de las novedades de sus trabajadores, a través de su base de datos.</w:t>
      </w:r>
    </w:p>
    <w:p w14:paraId="6E7FA684" w14:textId="433F55F3" w:rsidR="00295F77" w:rsidRPr="00F0709F" w:rsidRDefault="00295F77" w:rsidP="00F0709F">
      <w:pPr>
        <w:spacing w:line="360" w:lineRule="auto"/>
        <w:jc w:val="both"/>
        <w:rPr>
          <w:rFonts w:eastAsia="Calibri"/>
          <w:lang w:val="es-DO"/>
        </w:rPr>
      </w:pPr>
      <w:r w:rsidRPr="00F0709F">
        <w:rPr>
          <w:rFonts w:eastAsia="Calibri"/>
          <w:lang w:val="es-DO"/>
        </w:rPr>
        <w:t>Producto de esta revisión, se tomaron las siguientes acciones:</w:t>
      </w:r>
    </w:p>
    <w:p w14:paraId="322401A0" w14:textId="77777777" w:rsidR="00295F77" w:rsidRPr="00F0709F" w:rsidRDefault="00295F77" w:rsidP="00F0709F">
      <w:pPr>
        <w:pStyle w:val="ListParagraph"/>
        <w:numPr>
          <w:ilvl w:val="0"/>
          <w:numId w:val="4"/>
        </w:numPr>
        <w:spacing w:line="360" w:lineRule="auto"/>
        <w:rPr>
          <w:rFonts w:ascii="Times New Roman" w:eastAsiaTheme="minorHAnsi" w:hAnsi="Times New Roman"/>
          <w:color w:val="767171"/>
          <w:spacing w:val="20"/>
          <w:sz w:val="24"/>
          <w:szCs w:val="24"/>
          <w:lang w:val="es-ES"/>
        </w:rPr>
      </w:pPr>
      <w:r w:rsidRPr="00F0709F">
        <w:rPr>
          <w:rFonts w:ascii="Times New Roman" w:eastAsiaTheme="minorHAnsi" w:hAnsi="Times New Roman"/>
          <w:color w:val="767171"/>
          <w:spacing w:val="20"/>
          <w:sz w:val="24"/>
          <w:szCs w:val="24"/>
          <w:lang w:val="es-ES"/>
        </w:rPr>
        <w:t>Suspensión de 598 RNC por presunción de fraude, lo cual inhabilita al empleador para interactuar con el SUIR.</w:t>
      </w:r>
    </w:p>
    <w:p w14:paraId="2A5F31B7" w14:textId="77777777" w:rsidR="00295F77" w:rsidRPr="00F0709F" w:rsidRDefault="00295F77" w:rsidP="00F0709F">
      <w:pPr>
        <w:pStyle w:val="ListParagraph"/>
        <w:numPr>
          <w:ilvl w:val="0"/>
          <w:numId w:val="4"/>
        </w:numPr>
        <w:spacing w:line="360" w:lineRule="auto"/>
        <w:rPr>
          <w:rFonts w:ascii="Times New Roman" w:eastAsiaTheme="minorHAnsi" w:hAnsi="Times New Roman"/>
          <w:color w:val="767171"/>
          <w:spacing w:val="20"/>
          <w:sz w:val="24"/>
          <w:szCs w:val="24"/>
          <w:lang w:val="es-ES"/>
        </w:rPr>
      </w:pPr>
      <w:r w:rsidRPr="00F0709F">
        <w:rPr>
          <w:rFonts w:ascii="Times New Roman" w:eastAsiaTheme="minorHAnsi" w:hAnsi="Times New Roman"/>
          <w:color w:val="767171"/>
          <w:spacing w:val="20"/>
          <w:sz w:val="24"/>
          <w:szCs w:val="24"/>
          <w:lang w:val="es-ES"/>
        </w:rPr>
        <w:t>Bloqueo del acceso al SUIR de los representantes realizados por el empleador.</w:t>
      </w:r>
    </w:p>
    <w:p w14:paraId="2103041C" w14:textId="77777777" w:rsidR="00295F77" w:rsidRPr="00F0709F" w:rsidRDefault="00295F77" w:rsidP="00F0709F">
      <w:pPr>
        <w:pStyle w:val="ListParagraph"/>
        <w:numPr>
          <w:ilvl w:val="0"/>
          <w:numId w:val="4"/>
        </w:numPr>
        <w:spacing w:line="360" w:lineRule="auto"/>
        <w:rPr>
          <w:rFonts w:ascii="Times New Roman" w:eastAsiaTheme="minorHAnsi" w:hAnsi="Times New Roman"/>
          <w:color w:val="767171"/>
          <w:spacing w:val="20"/>
          <w:sz w:val="24"/>
          <w:szCs w:val="24"/>
          <w:lang w:val="es-ES"/>
        </w:rPr>
      </w:pPr>
      <w:r w:rsidRPr="00F0709F">
        <w:rPr>
          <w:rFonts w:ascii="Times New Roman" w:eastAsiaTheme="minorHAnsi" w:hAnsi="Times New Roman"/>
          <w:color w:val="767171"/>
          <w:spacing w:val="20"/>
          <w:sz w:val="24"/>
          <w:szCs w:val="24"/>
          <w:lang w:val="es-ES"/>
        </w:rPr>
        <w:t>Entrega de 101 expedientes a la Dirección Jurídica, los cuales serán depositados ante el Ministerio Público para fines de investigación.</w:t>
      </w:r>
    </w:p>
    <w:p w14:paraId="47B8F1BE" w14:textId="77777777" w:rsidR="00295F77" w:rsidRPr="00F0709F" w:rsidRDefault="00295F77" w:rsidP="00B948A5">
      <w:pPr>
        <w:spacing w:line="360" w:lineRule="auto"/>
        <w:jc w:val="both"/>
        <w:rPr>
          <w:rFonts w:eastAsia="Calibri"/>
          <w:lang w:val="es-DO"/>
        </w:rPr>
      </w:pPr>
      <w:r w:rsidRPr="00F0709F">
        <w:rPr>
          <w:rFonts w:eastAsia="Calibri"/>
          <w:lang w:val="es-DO"/>
        </w:rPr>
        <w:t xml:space="preserve">Por otra parte, verificamos la integridad de la cartera de afiliados al Seguro Familiar de Salud, gestionada por las Administradoras de </w:t>
      </w:r>
      <w:r w:rsidRPr="00F0709F">
        <w:rPr>
          <w:rFonts w:eastAsia="Calibri"/>
          <w:lang w:val="es-DO"/>
        </w:rPr>
        <w:lastRenderedPageBreak/>
        <w:t>Riesgos de Salud (ARS), identificando mediante las auditorías realizadas 348 NSS duplicados, logrando recuperar mediante procesos de cobro el monto total de RD$12,528,152.48.</w:t>
      </w:r>
    </w:p>
    <w:p w14:paraId="1D1EE20A" w14:textId="77777777" w:rsidR="00295F77" w:rsidRPr="00F0709F" w:rsidRDefault="00295F77" w:rsidP="00B948A5">
      <w:pPr>
        <w:spacing w:line="360" w:lineRule="auto"/>
        <w:jc w:val="both"/>
        <w:rPr>
          <w:rFonts w:eastAsia="Calibri"/>
          <w:lang w:val="es-DO"/>
        </w:rPr>
      </w:pPr>
      <w:r w:rsidRPr="00F0709F">
        <w:rPr>
          <w:rFonts w:eastAsia="Calibri"/>
          <w:lang w:val="es-DO"/>
        </w:rPr>
        <w:t>Al inhabilitar las duplicidades mencionadas, se logra un ahorro en la dispersión a la cuenta de cuidado de la salud equivalente a RD$596,980.08 mensuales a partir de julio 2024, es decir, RD$3,581,880.48 al 31 de diciembre 2024.</w:t>
      </w:r>
    </w:p>
    <w:p w14:paraId="181A2A55" w14:textId="77777777" w:rsidR="00EB4BC6" w:rsidRPr="00B948A5" w:rsidRDefault="00295F77" w:rsidP="00B948A5">
      <w:pPr>
        <w:spacing w:line="360" w:lineRule="auto"/>
        <w:jc w:val="both"/>
        <w:rPr>
          <w:rFonts w:eastAsia="Calibri"/>
          <w:lang w:val="es-DO"/>
        </w:rPr>
      </w:pPr>
      <w:r w:rsidRPr="00B948A5">
        <w:rPr>
          <w:rFonts w:eastAsia="Calibri"/>
          <w:lang w:val="es-DO"/>
        </w:rPr>
        <w:t>Por otra parte, se incorporó personal para la Sección de Sanciones y Multas, quienes serán los responsables de dar curso a la imposición de multas a través de resoluciones sancionadoras, a aquellos empleadores que se encuentren en incumplimiento de las disposiciones de la Ley 87-01 y sus normas complementarias; siempre respetando el debido proceso establecido a través de la Ley 107-13 que regula las relaciones entre los particulares y la Administración Pública y los Procedimientos Administrativos.</w:t>
      </w:r>
    </w:p>
    <w:p w14:paraId="44D24F35" w14:textId="3ED6C77C" w:rsidR="00295F77" w:rsidRPr="00B948A5" w:rsidRDefault="00295F77" w:rsidP="00B948A5">
      <w:pPr>
        <w:spacing w:line="360" w:lineRule="auto"/>
        <w:jc w:val="both"/>
        <w:rPr>
          <w:rFonts w:eastAsia="Calibri"/>
          <w:lang w:val="es-DO"/>
        </w:rPr>
      </w:pPr>
      <w:r w:rsidRPr="00B948A5">
        <w:rPr>
          <w:rFonts w:eastAsia="Calibri"/>
          <w:lang w:val="es-DO"/>
        </w:rPr>
        <w:t>En ese sentido, se elaboró el Manual de Procedimiento Administrativo Sancionador, el cual enmarcará dichas actuaciones.</w:t>
      </w:r>
    </w:p>
    <w:p w14:paraId="11D498A4" w14:textId="77777777" w:rsidR="00CB7EEC" w:rsidRPr="00E12BB6" w:rsidRDefault="00CB7EEC" w:rsidP="00295F77">
      <w:pPr>
        <w:spacing w:line="360" w:lineRule="auto"/>
        <w:jc w:val="both"/>
        <w:rPr>
          <w:rFonts w:eastAsia="Calibri"/>
          <w:noProof/>
          <w:color w:val="808080" w:themeColor="background1" w:themeShade="80"/>
          <w:lang w:val="es-DO"/>
        </w:rPr>
      </w:pPr>
    </w:p>
    <w:p w14:paraId="7CE8C479" w14:textId="77777777" w:rsidR="00F13E16" w:rsidRPr="00900C53" w:rsidRDefault="00F13E16" w:rsidP="00900C53">
      <w:pPr>
        <w:rPr>
          <w:b/>
          <w:bCs/>
          <w:lang w:val="es-DO"/>
        </w:rPr>
      </w:pPr>
      <w:bookmarkStart w:id="46" w:name="_Toc171677824"/>
      <w:bookmarkStart w:id="47" w:name="_Toc172118667"/>
      <w:bookmarkStart w:id="48" w:name="_Toc172119830"/>
      <w:bookmarkStart w:id="49" w:name="_Toc172120163"/>
      <w:bookmarkStart w:id="50" w:name="_Toc172121381"/>
      <w:r w:rsidRPr="00900C53">
        <w:rPr>
          <w:b/>
          <w:bCs/>
          <w:lang w:val="es-DO"/>
        </w:rPr>
        <w:t>Registro de Empresas</w:t>
      </w:r>
      <w:bookmarkEnd w:id="46"/>
      <w:bookmarkEnd w:id="47"/>
      <w:bookmarkEnd w:id="48"/>
      <w:bookmarkEnd w:id="49"/>
      <w:bookmarkEnd w:id="50"/>
    </w:p>
    <w:p w14:paraId="08C649CD" w14:textId="77777777" w:rsidR="00F13E16" w:rsidRPr="00E01C8E" w:rsidRDefault="00F13E16" w:rsidP="00F13E16">
      <w:pPr>
        <w:spacing w:before="240" w:after="0" w:line="360" w:lineRule="auto"/>
        <w:jc w:val="both"/>
        <w:rPr>
          <w:rFonts w:eastAsia="Calibri"/>
          <w:noProof/>
          <w:lang w:val="es-ES"/>
        </w:rPr>
      </w:pPr>
      <w:r w:rsidRPr="00E01C8E">
        <w:rPr>
          <w:rFonts w:eastAsia="Calibri"/>
          <w:noProof/>
          <w:lang w:val="es-ES"/>
        </w:rPr>
        <w:t>El servicio de registro de empresas de la Tesorería de la Seguridad Social (TSS) es una herramienta crucial para garantizar que las empresas operen dentro del marco legal y contribuyan al sistema de seguridad social siendo sus principales objetivos:</w:t>
      </w:r>
    </w:p>
    <w:p w14:paraId="3A09EA0E" w14:textId="77777777" w:rsidR="00F13E16" w:rsidRPr="00E01C8E" w:rsidRDefault="00F13E16" w:rsidP="00F13E16">
      <w:pPr>
        <w:pStyle w:val="ListParagraph"/>
        <w:numPr>
          <w:ilvl w:val="0"/>
          <w:numId w:val="14"/>
        </w:numPr>
        <w:spacing w:before="240" w:after="0" w:line="360" w:lineRule="auto"/>
        <w:rPr>
          <w:rFonts w:ascii="Times New Roman" w:hAnsi="Times New Roman"/>
          <w:noProof/>
          <w:color w:val="767171"/>
          <w:spacing w:val="20"/>
          <w:sz w:val="24"/>
          <w:szCs w:val="24"/>
          <w:lang w:val="es-ES"/>
        </w:rPr>
      </w:pPr>
      <w:r w:rsidRPr="00647680">
        <w:rPr>
          <w:rFonts w:ascii="Times New Roman" w:hAnsi="Times New Roman"/>
          <w:b/>
          <w:bCs/>
          <w:noProof/>
          <w:color w:val="767171"/>
          <w:spacing w:val="20"/>
          <w:sz w:val="24"/>
          <w:szCs w:val="24"/>
          <w:lang w:val="es-ES"/>
        </w:rPr>
        <w:t>Inscripción Formal:</w:t>
      </w:r>
      <w:r w:rsidRPr="00E01C8E">
        <w:rPr>
          <w:rFonts w:ascii="Times New Roman" w:hAnsi="Times New Roman"/>
          <w:noProof/>
          <w:color w:val="767171"/>
          <w:spacing w:val="20"/>
          <w:sz w:val="24"/>
          <w:szCs w:val="24"/>
          <w:lang w:val="es-ES"/>
        </w:rPr>
        <w:t xml:space="preserve"> Garantizar que todas las empresas se inscriban formalmente en el sistema de seguridad social y puedan acceder a la plataforma de registro de novedades.</w:t>
      </w:r>
    </w:p>
    <w:p w14:paraId="2964F7D9" w14:textId="77777777" w:rsidR="00F13E16" w:rsidRPr="00E01C8E" w:rsidRDefault="00F13E16" w:rsidP="00F13E16">
      <w:pPr>
        <w:pStyle w:val="ListParagraph"/>
        <w:numPr>
          <w:ilvl w:val="0"/>
          <w:numId w:val="14"/>
        </w:numPr>
        <w:spacing w:before="240" w:after="0" w:line="360" w:lineRule="auto"/>
        <w:rPr>
          <w:rFonts w:ascii="Times New Roman" w:hAnsi="Times New Roman"/>
          <w:noProof/>
          <w:color w:val="767171"/>
          <w:spacing w:val="20"/>
          <w:sz w:val="24"/>
          <w:szCs w:val="24"/>
          <w:lang w:val="es-ES"/>
        </w:rPr>
      </w:pPr>
      <w:r w:rsidRPr="00647680">
        <w:rPr>
          <w:rFonts w:ascii="Times New Roman" w:hAnsi="Times New Roman"/>
          <w:b/>
          <w:bCs/>
          <w:noProof/>
          <w:color w:val="767171"/>
          <w:spacing w:val="20"/>
          <w:sz w:val="24"/>
          <w:szCs w:val="24"/>
          <w:lang w:val="es-ES"/>
        </w:rPr>
        <w:t>Cumplimiento Legal:</w:t>
      </w:r>
      <w:r w:rsidRPr="00E01C8E">
        <w:rPr>
          <w:rFonts w:ascii="Times New Roman" w:hAnsi="Times New Roman"/>
          <w:noProof/>
          <w:color w:val="767171"/>
          <w:spacing w:val="20"/>
          <w:sz w:val="24"/>
          <w:szCs w:val="24"/>
          <w:lang w:val="es-ES"/>
        </w:rPr>
        <w:t xml:space="preserve"> Asegurar que las empresas cumplan con las normativas vigentes del SDSS.</w:t>
      </w:r>
    </w:p>
    <w:p w14:paraId="218514BA" w14:textId="77777777" w:rsidR="00F13E16" w:rsidRPr="00E01C8E" w:rsidRDefault="00F13E16" w:rsidP="00F13E16">
      <w:pPr>
        <w:pStyle w:val="ListParagraph"/>
        <w:numPr>
          <w:ilvl w:val="0"/>
          <w:numId w:val="14"/>
        </w:numPr>
        <w:spacing w:before="240" w:after="0" w:line="360" w:lineRule="auto"/>
        <w:rPr>
          <w:rFonts w:ascii="Times New Roman" w:hAnsi="Times New Roman"/>
          <w:noProof/>
          <w:color w:val="767171"/>
          <w:spacing w:val="20"/>
          <w:sz w:val="24"/>
          <w:szCs w:val="24"/>
          <w:lang w:val="es-ES"/>
        </w:rPr>
      </w:pPr>
      <w:r w:rsidRPr="00647680">
        <w:rPr>
          <w:rFonts w:ascii="Times New Roman" w:hAnsi="Times New Roman"/>
          <w:b/>
          <w:bCs/>
          <w:noProof/>
          <w:color w:val="767171"/>
          <w:spacing w:val="20"/>
          <w:sz w:val="24"/>
          <w:szCs w:val="24"/>
          <w:lang w:val="es-ES"/>
        </w:rPr>
        <w:lastRenderedPageBreak/>
        <w:t>Recaudación Eficiente</w:t>
      </w:r>
      <w:r w:rsidRPr="00E01C8E">
        <w:rPr>
          <w:rFonts w:ascii="Times New Roman" w:hAnsi="Times New Roman"/>
          <w:noProof/>
          <w:color w:val="767171"/>
          <w:spacing w:val="20"/>
          <w:sz w:val="24"/>
          <w:szCs w:val="24"/>
          <w:lang w:val="es-ES"/>
        </w:rPr>
        <w:t>: Facilitar la recaudación de los aportes y contribuciones.</w:t>
      </w:r>
    </w:p>
    <w:p w14:paraId="0978F5B2" w14:textId="77777777" w:rsidR="00F13E16" w:rsidRPr="00E01C8E" w:rsidRDefault="00F13E16" w:rsidP="00F13E16">
      <w:pPr>
        <w:pStyle w:val="ListParagraph"/>
        <w:numPr>
          <w:ilvl w:val="0"/>
          <w:numId w:val="14"/>
        </w:numPr>
        <w:spacing w:before="240" w:after="0" w:line="360" w:lineRule="auto"/>
        <w:rPr>
          <w:rFonts w:ascii="Times New Roman" w:hAnsi="Times New Roman"/>
          <w:noProof/>
          <w:color w:val="767171"/>
          <w:spacing w:val="20"/>
          <w:sz w:val="24"/>
          <w:szCs w:val="24"/>
          <w:lang w:val="es-ES"/>
        </w:rPr>
      </w:pPr>
      <w:r w:rsidRPr="00647680">
        <w:rPr>
          <w:rFonts w:ascii="Times New Roman" w:hAnsi="Times New Roman"/>
          <w:b/>
          <w:bCs/>
          <w:noProof/>
          <w:color w:val="767171"/>
          <w:spacing w:val="20"/>
          <w:sz w:val="24"/>
          <w:szCs w:val="24"/>
          <w:lang w:val="es-ES"/>
        </w:rPr>
        <w:t>Protección de los Trabajadores:</w:t>
      </w:r>
      <w:r w:rsidRPr="00E01C8E">
        <w:rPr>
          <w:rFonts w:ascii="Times New Roman" w:hAnsi="Times New Roman"/>
          <w:noProof/>
          <w:color w:val="767171"/>
          <w:spacing w:val="20"/>
          <w:sz w:val="24"/>
          <w:szCs w:val="24"/>
          <w:lang w:val="es-ES"/>
        </w:rPr>
        <w:t xml:space="preserve"> Proveer un marco que garantice los derechos y beneficios de seguridad social para los empleados.</w:t>
      </w:r>
    </w:p>
    <w:p w14:paraId="3028C03A" w14:textId="77777777" w:rsidR="00647680" w:rsidRPr="00647680" w:rsidRDefault="00647680" w:rsidP="00BC081A">
      <w:pPr>
        <w:rPr>
          <w:b/>
          <w:bCs/>
          <w:sz w:val="8"/>
          <w:szCs w:val="8"/>
          <w:lang w:val="es-DO"/>
        </w:rPr>
      </w:pPr>
      <w:bookmarkStart w:id="51" w:name="_Toc171677825"/>
      <w:bookmarkStart w:id="52" w:name="_Toc172118668"/>
      <w:bookmarkStart w:id="53" w:name="_Toc172119831"/>
      <w:bookmarkStart w:id="54" w:name="_Toc172120164"/>
      <w:bookmarkStart w:id="55" w:name="_Toc172121382"/>
    </w:p>
    <w:p w14:paraId="00766424" w14:textId="4D28C560" w:rsidR="00F13E16" w:rsidRPr="00BC081A" w:rsidRDefault="00F13E16" w:rsidP="00BC081A">
      <w:pPr>
        <w:rPr>
          <w:b/>
          <w:bCs/>
          <w:lang w:val="es-DO"/>
        </w:rPr>
      </w:pPr>
      <w:r w:rsidRPr="00BC081A">
        <w:rPr>
          <w:b/>
          <w:bCs/>
          <w:lang w:val="es-DO"/>
        </w:rPr>
        <w:t>Certificaciones</w:t>
      </w:r>
      <w:bookmarkEnd w:id="51"/>
      <w:bookmarkEnd w:id="52"/>
      <w:bookmarkEnd w:id="53"/>
      <w:bookmarkEnd w:id="54"/>
      <w:bookmarkEnd w:id="55"/>
    </w:p>
    <w:p w14:paraId="58EC6E93" w14:textId="77777777" w:rsidR="00F13E16" w:rsidRPr="00647680" w:rsidRDefault="00F13E16" w:rsidP="00F13E16">
      <w:pPr>
        <w:spacing w:before="240" w:after="0" w:line="360" w:lineRule="auto"/>
        <w:jc w:val="both"/>
        <w:rPr>
          <w:rFonts w:eastAsia="Calibri"/>
          <w:noProof/>
          <w:lang w:val="es-ES"/>
        </w:rPr>
      </w:pPr>
      <w:bookmarkStart w:id="56" w:name="_Hlk184306307"/>
      <w:r w:rsidRPr="00647680">
        <w:rPr>
          <w:rFonts w:eastAsia="Calibri"/>
          <w:noProof/>
          <w:lang w:val="es-ES"/>
        </w:rPr>
        <w:t xml:space="preserve">Las certificaciones automáticas son productos que los usuarios generan a través del SUIR o vía la Oficina Virtual TSS permitiéndoles con esta información, la verificación de datos y la emisión pruebas de sus cotizaciones al Sistema Dominicano de Seguridad Social, eliminando la necesidad de intervención de terceros en el proceso de generación.  </w:t>
      </w:r>
    </w:p>
    <w:p w14:paraId="3C4241C7" w14:textId="01858529" w:rsidR="00647680" w:rsidRPr="00421E0E" w:rsidRDefault="00F13E16" w:rsidP="00647680">
      <w:pPr>
        <w:spacing w:before="240" w:after="0" w:line="360" w:lineRule="auto"/>
        <w:jc w:val="both"/>
        <w:rPr>
          <w:noProof/>
          <w:lang w:val="es-ES"/>
        </w:rPr>
      </w:pPr>
      <w:r w:rsidRPr="00647680">
        <w:rPr>
          <w:rFonts w:eastAsia="Calibri"/>
          <w:noProof/>
          <w:lang w:val="es-ES"/>
        </w:rPr>
        <w:t xml:space="preserve">En 2024, la TSS ha generado </w:t>
      </w:r>
      <w:r w:rsidR="00D01179" w:rsidRPr="00647680">
        <w:rPr>
          <w:rFonts w:eastAsia="Calibri"/>
          <w:noProof/>
          <w:lang w:val="es-ES"/>
        </w:rPr>
        <w:t>1,107,729</w:t>
      </w:r>
      <w:r w:rsidRPr="00647680">
        <w:rPr>
          <w:rFonts w:eastAsia="Calibri"/>
          <w:noProof/>
          <w:lang w:val="es-ES"/>
        </w:rPr>
        <w:t xml:space="preserve"> certificaciones, divididas en dos categorías: automática y manual. En ambas categorías se destacan las cifras y resultados de satisfacción de los usuarios que supera el </w:t>
      </w:r>
      <w:r w:rsidR="00D01179" w:rsidRPr="00647680">
        <w:rPr>
          <w:rFonts w:eastAsia="Calibri"/>
          <w:noProof/>
          <w:lang w:val="es-ES"/>
        </w:rPr>
        <w:t>100</w:t>
      </w:r>
      <w:r w:rsidRPr="00647680">
        <w:rPr>
          <w:rFonts w:eastAsia="Calibri"/>
          <w:noProof/>
          <w:lang w:val="es-ES"/>
        </w:rPr>
        <w:t>%, gracias a la eficiencia de del servicio, la facilidad de uso del portal en línea, la rapidez en la emisión, la disponibilidad a través de</w:t>
      </w:r>
      <w:r w:rsidRPr="00421E0E">
        <w:rPr>
          <w:noProof/>
          <w:lang w:val="es-ES"/>
        </w:rPr>
        <w:t xml:space="preserve"> cualquier dispositivo tecnológico y la minimización de posibilidad de errores en la información por intervención humana.</w:t>
      </w:r>
    </w:p>
    <w:p w14:paraId="3B916421" w14:textId="77777777" w:rsidR="00647680" w:rsidRPr="00462962" w:rsidRDefault="00647680" w:rsidP="00647680">
      <w:pPr>
        <w:spacing w:line="360" w:lineRule="auto"/>
        <w:rPr>
          <w:b/>
          <w:bCs/>
          <w:sz w:val="8"/>
          <w:szCs w:val="8"/>
          <w:lang w:val="es-DO"/>
        </w:rPr>
      </w:pPr>
      <w:bookmarkStart w:id="57" w:name="_Toc184981192"/>
      <w:bookmarkEnd w:id="56"/>
    </w:p>
    <w:p w14:paraId="146788C9" w14:textId="7A521F8D" w:rsidR="00D01179" w:rsidRPr="00647680" w:rsidRDefault="00D01179" w:rsidP="00647680">
      <w:pPr>
        <w:spacing w:line="360" w:lineRule="auto"/>
        <w:rPr>
          <w:b/>
          <w:bCs/>
          <w:lang w:val="es-DO"/>
        </w:rPr>
      </w:pPr>
      <w:r w:rsidRPr="00647680">
        <w:rPr>
          <w:b/>
          <w:bCs/>
          <w:lang w:val="es-DO"/>
        </w:rPr>
        <w:t>Asistencia y Capacitaciones a Empleadores</w:t>
      </w:r>
      <w:bookmarkEnd w:id="57"/>
    </w:p>
    <w:p w14:paraId="5E886360" w14:textId="434E33F4" w:rsidR="00FF46AB" w:rsidRPr="00462962" w:rsidRDefault="00FF46AB" w:rsidP="00462962">
      <w:pPr>
        <w:spacing w:before="240" w:after="0" w:line="360" w:lineRule="auto"/>
        <w:jc w:val="both"/>
        <w:rPr>
          <w:rFonts w:eastAsia="Calibri"/>
          <w:noProof/>
          <w:lang w:val="es-ES"/>
        </w:rPr>
      </w:pPr>
      <w:r w:rsidRPr="00462962">
        <w:rPr>
          <w:rFonts w:eastAsia="Calibri"/>
          <w:noProof/>
          <w:lang w:val="es-ES"/>
        </w:rPr>
        <w:t xml:space="preserve">De igual forma, en el firme compromiso de orientar sobre el uso y manejo eficiente del Sistema Único de Información y Recaudo (SUIR) invertimos un total de catorce mil setenta (14,070) horas/hombre de capacitación. Este esfuerzo se </w:t>
      </w:r>
      <w:r w:rsidR="00BC081A" w:rsidRPr="00462962">
        <w:rPr>
          <w:rFonts w:eastAsia="Calibri"/>
          <w:noProof/>
          <w:lang w:val="es-ES"/>
        </w:rPr>
        <w:t>tradujo</w:t>
      </w:r>
      <w:r w:rsidRPr="00462962">
        <w:rPr>
          <w:rFonts w:eastAsia="Calibri"/>
          <w:noProof/>
          <w:lang w:val="es-ES"/>
        </w:rPr>
        <w:t xml:space="preserve"> en la formación exitosa de tres mil novecientos doce (3,912) empleadores, incluyendo la participación del Hospital SEMMA, Ministerio de Industria, Comercio y MIPYMES, Universidad O&amp;M, Instituto Politécnico M</w:t>
      </w:r>
      <w:r w:rsidR="0081074D" w:rsidRPr="00462962">
        <w:rPr>
          <w:rFonts w:eastAsia="Calibri"/>
          <w:noProof/>
          <w:lang w:val="es-ES"/>
        </w:rPr>
        <w:t>a</w:t>
      </w:r>
      <w:r w:rsidRPr="00462962">
        <w:rPr>
          <w:rFonts w:eastAsia="Calibri"/>
          <w:noProof/>
          <w:lang w:val="es-ES"/>
        </w:rPr>
        <w:t xml:space="preserve">x Henríquez Ureña, Ministerio de Relaciones </w:t>
      </w:r>
      <w:r w:rsidRPr="00462962">
        <w:rPr>
          <w:rFonts w:eastAsia="Calibri"/>
          <w:noProof/>
          <w:lang w:val="es-ES"/>
        </w:rPr>
        <w:lastRenderedPageBreak/>
        <w:t>Exteriores, AFP Reservas, Ministerio de Administración Pública, Policía Nacional, entre otros representantes y público en general.</w:t>
      </w:r>
    </w:p>
    <w:p w14:paraId="31593E21" w14:textId="77777777" w:rsidR="00FF46AB" w:rsidRPr="00462962" w:rsidRDefault="00FF46AB" w:rsidP="00462962">
      <w:pPr>
        <w:spacing w:before="240" w:after="0" w:line="360" w:lineRule="auto"/>
        <w:jc w:val="both"/>
        <w:rPr>
          <w:rFonts w:eastAsia="Calibri"/>
          <w:noProof/>
          <w:lang w:val="es-ES"/>
        </w:rPr>
      </w:pPr>
      <w:r w:rsidRPr="00462962">
        <w:rPr>
          <w:rFonts w:eastAsia="Calibri"/>
          <w:noProof/>
          <w:lang w:val="es-ES"/>
        </w:rPr>
        <w:t>Con este total de capacitaciones hemos logrado superar la meta de este año y seguimos con trabajando arduamente para continuar acercando y dotando de conocimiento a la ciudadanía sobre el uso del Sistema Único de Información y Recaudo (SUIR) así como el empoderamiento de la ciudadanía en la formalización de todas las empresas y sus trabajadores, para que con nuestros esfuerzos fortalezcamos los objetivos interinstitucionales de trasmitir información de los deberes y derechos de todos los dominicanos.</w:t>
      </w:r>
    </w:p>
    <w:p w14:paraId="47B1532D" w14:textId="661D1128" w:rsidR="00FF46AB" w:rsidRDefault="00560EE6" w:rsidP="00462962">
      <w:pPr>
        <w:spacing w:before="240" w:after="0" w:line="360" w:lineRule="auto"/>
        <w:jc w:val="both"/>
        <w:rPr>
          <w:rFonts w:eastAsia="Calibri"/>
          <w:noProof/>
          <w:lang w:val="es-ES"/>
        </w:rPr>
      </w:pPr>
      <w:r w:rsidRPr="00462962">
        <w:rPr>
          <w:rFonts w:eastAsia="Calibri"/>
          <w:noProof/>
          <w:lang w:val="es-ES"/>
        </w:rPr>
        <w:t>A</w:t>
      </w:r>
      <w:r w:rsidR="00FF46AB" w:rsidRPr="00462962">
        <w:rPr>
          <w:rFonts w:eastAsia="Calibri"/>
          <w:noProof/>
          <w:lang w:val="es-ES"/>
        </w:rPr>
        <w:t xml:space="preserve"> lo largo de este año 2024, </w:t>
      </w:r>
      <w:r w:rsidRPr="00462962">
        <w:rPr>
          <w:rFonts w:eastAsia="Calibri"/>
          <w:noProof/>
          <w:lang w:val="es-ES"/>
        </w:rPr>
        <w:t>hemos</w:t>
      </w:r>
      <w:r w:rsidR="00FF46AB" w:rsidRPr="00462962">
        <w:rPr>
          <w:rFonts w:eastAsia="Calibri"/>
          <w:noProof/>
          <w:lang w:val="es-ES"/>
        </w:rPr>
        <w:t xml:space="preserve"> brinda</w:t>
      </w:r>
      <w:r w:rsidRPr="00462962">
        <w:rPr>
          <w:rFonts w:eastAsia="Calibri"/>
          <w:noProof/>
          <w:lang w:val="es-ES"/>
        </w:rPr>
        <w:t>do</w:t>
      </w:r>
      <w:r w:rsidR="00FF46AB" w:rsidRPr="00462962">
        <w:rPr>
          <w:rFonts w:eastAsia="Calibri"/>
          <w:noProof/>
          <w:lang w:val="es-ES"/>
        </w:rPr>
        <w:t xml:space="preserve"> a nuestra ciudadanía doscientos cincuenta y cinco mil trescientos treinta y cuatro (255,334) asistencias y con el objetivo de continuar nuestra cultura de mejora continua optimizando aún más los trámites para nuestros usuarios, acercándonos a la ciudadanía, fortaleciendo los lazos interinstitucionales a favor del Sistema Dominicano de Seguridad y dinamizando la innovación, la automatización de los servicios y la facilitación de los procesos por y para todos.</w:t>
      </w:r>
    </w:p>
    <w:p w14:paraId="25EF525A" w14:textId="77777777" w:rsidR="00704421" w:rsidRPr="00462962" w:rsidRDefault="00704421" w:rsidP="00704421">
      <w:pPr>
        <w:spacing w:after="0" w:line="360" w:lineRule="auto"/>
        <w:jc w:val="both"/>
        <w:rPr>
          <w:rFonts w:eastAsia="Calibri"/>
          <w:noProof/>
          <w:lang w:val="es-ES"/>
        </w:rPr>
      </w:pPr>
    </w:p>
    <w:p w14:paraId="39697D5B" w14:textId="77777777" w:rsidR="003227C2" w:rsidRPr="00BC081A" w:rsidRDefault="003227C2" w:rsidP="00704421">
      <w:pPr>
        <w:spacing w:line="360" w:lineRule="auto"/>
        <w:rPr>
          <w:b/>
          <w:bCs/>
          <w:lang w:val="es-DO"/>
        </w:rPr>
      </w:pPr>
      <w:bookmarkStart w:id="58" w:name="_Toc153781771"/>
      <w:bookmarkStart w:id="59" w:name="_Toc153782118"/>
      <w:bookmarkStart w:id="60" w:name="_Toc154736698"/>
      <w:r w:rsidRPr="00BC081A">
        <w:rPr>
          <w:b/>
          <w:bCs/>
          <w:lang w:val="es-DO"/>
        </w:rPr>
        <w:t>Disponibilidad del SUIR</w:t>
      </w:r>
      <w:bookmarkEnd w:id="58"/>
      <w:bookmarkEnd w:id="59"/>
      <w:bookmarkEnd w:id="60"/>
    </w:p>
    <w:p w14:paraId="1EFAE2B7" w14:textId="405A4D2F" w:rsidR="003227C2" w:rsidRPr="005F472D" w:rsidRDefault="003227C2" w:rsidP="00704421">
      <w:pPr>
        <w:spacing w:line="360" w:lineRule="auto"/>
        <w:jc w:val="both"/>
        <w:rPr>
          <w:lang w:val="es-ES"/>
        </w:rPr>
      </w:pPr>
      <w:r w:rsidRPr="005F472D">
        <w:rPr>
          <w:lang w:val="es-ES"/>
        </w:rPr>
        <w:t>En relación con la disponibilidad de nuestra plataforma principal, el Sistema Único de Información y Recaudo (SUIR), nos complace informar que durante el período comprendido entre enero y diciembre de 2024, hemos alcanzado un destacado desempeño del 98.18%. Este logro refleja nuestro compromiso con la eficiencia operativa y la calidad del servicio.</w:t>
      </w:r>
    </w:p>
    <w:tbl>
      <w:tblPr>
        <w:tblW w:w="7829" w:type="dxa"/>
        <w:tblInd w:w="85" w:type="dxa"/>
        <w:tblLayout w:type="fixed"/>
        <w:tblLook w:val="04A0" w:firstRow="1" w:lastRow="0" w:firstColumn="1" w:lastColumn="0" w:noHBand="0" w:noVBand="1"/>
      </w:tblPr>
      <w:tblGrid>
        <w:gridCol w:w="3420"/>
        <w:gridCol w:w="1170"/>
        <w:gridCol w:w="3239"/>
      </w:tblGrid>
      <w:tr w:rsidR="003227C2" w:rsidRPr="00DF1742" w14:paraId="455BF064" w14:textId="77777777" w:rsidTr="003F1875">
        <w:trPr>
          <w:trHeight w:val="537"/>
        </w:trPr>
        <w:tc>
          <w:tcPr>
            <w:tcW w:w="342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19D84FC3" w14:textId="4D1C7D25" w:rsidR="003227C2" w:rsidRPr="003F1875" w:rsidRDefault="003F1875">
            <w:pPr>
              <w:pStyle w:val="xxmsonormal"/>
              <w:jc w:val="center"/>
              <w:rPr>
                <w:rFonts w:ascii="Times New Roman" w:hAnsi="Times New Roman" w:cs="Times New Roman"/>
                <w:b/>
                <w:bCs/>
                <w:color w:val="FFFFFF" w:themeColor="background1"/>
                <w:spacing w:val="20"/>
                <w:sz w:val="24"/>
                <w:szCs w:val="24"/>
                <w:lang w:eastAsia="en-US"/>
              </w:rPr>
            </w:pPr>
            <w:r w:rsidRPr="003F1875">
              <w:rPr>
                <w:rFonts w:ascii="Times New Roman" w:hAnsi="Times New Roman" w:cs="Times New Roman"/>
                <w:b/>
                <w:bCs/>
                <w:color w:val="FFFFFF" w:themeColor="background1"/>
                <w:spacing w:val="20"/>
                <w:sz w:val="24"/>
                <w:szCs w:val="24"/>
                <w:lang w:eastAsia="en-US"/>
              </w:rPr>
              <w:t>Tiempo de Disponibilidad</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1A78B80B" w14:textId="1CF1D913" w:rsidR="003227C2" w:rsidRPr="00DF1742" w:rsidRDefault="003227C2">
            <w:pPr>
              <w:spacing w:after="0" w:line="240" w:lineRule="auto"/>
              <w:jc w:val="center"/>
              <w:rPr>
                <w:rFonts w:eastAsia="Calibri"/>
                <w:lang w:val="es-DO"/>
              </w:rPr>
            </w:pPr>
            <w:r w:rsidRPr="00DF1742">
              <w:rPr>
                <w:rFonts w:eastAsia="Calibri"/>
                <w:lang w:val="es-DO"/>
              </w:rPr>
              <w:t>98.</w:t>
            </w:r>
            <w:r>
              <w:rPr>
                <w:rFonts w:eastAsia="Calibri"/>
                <w:lang w:val="es-DO"/>
              </w:rPr>
              <w:t>18</w:t>
            </w:r>
            <w:r w:rsidRPr="00DF1742">
              <w:rPr>
                <w:rFonts w:eastAsia="Calibri"/>
                <w:lang w:val="es-DO"/>
              </w:rPr>
              <w:t>%</w:t>
            </w:r>
          </w:p>
        </w:tc>
        <w:tc>
          <w:tcPr>
            <w:tcW w:w="3239" w:type="dxa"/>
            <w:tcBorders>
              <w:top w:val="single" w:sz="4" w:space="0" w:color="auto"/>
              <w:left w:val="nil"/>
              <w:bottom w:val="single" w:sz="4" w:space="0" w:color="auto"/>
              <w:right w:val="single" w:sz="4" w:space="0" w:color="000000"/>
            </w:tcBorders>
            <w:shd w:val="clear" w:color="auto" w:fill="auto"/>
            <w:noWrap/>
            <w:vAlign w:val="center"/>
            <w:hideMark/>
          </w:tcPr>
          <w:p w14:paraId="24394D6C" w14:textId="042640F3" w:rsidR="003227C2" w:rsidRPr="00DF1742" w:rsidRDefault="003227C2" w:rsidP="003F1875">
            <w:pPr>
              <w:spacing w:after="0" w:line="240" w:lineRule="auto"/>
              <w:rPr>
                <w:rFonts w:eastAsia="Calibri"/>
                <w:lang w:val="es-DO"/>
              </w:rPr>
            </w:pPr>
            <w:r>
              <w:rPr>
                <w:rFonts w:eastAsia="Calibri"/>
                <w:lang w:val="es-DO"/>
              </w:rPr>
              <w:t>2,167</w:t>
            </w:r>
            <w:r w:rsidRPr="00DF1742">
              <w:rPr>
                <w:rFonts w:eastAsia="Calibri"/>
                <w:lang w:val="es-DO"/>
              </w:rPr>
              <w:t xml:space="preserve"> horas, </w:t>
            </w:r>
            <w:r>
              <w:rPr>
                <w:rFonts w:eastAsia="Calibri"/>
                <w:lang w:val="es-DO"/>
              </w:rPr>
              <w:t>82</w:t>
            </w:r>
            <w:r w:rsidRPr="00DF1742">
              <w:rPr>
                <w:rFonts w:eastAsia="Calibri"/>
                <w:lang w:val="es-DO"/>
              </w:rPr>
              <w:t xml:space="preserve"> minutos</w:t>
            </w:r>
          </w:p>
        </w:tc>
      </w:tr>
      <w:tr w:rsidR="003227C2" w:rsidRPr="00DF1742" w14:paraId="3CE3FA13" w14:textId="77777777" w:rsidTr="003F1875">
        <w:trPr>
          <w:trHeight w:val="576"/>
        </w:trPr>
        <w:tc>
          <w:tcPr>
            <w:tcW w:w="342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73220318" w14:textId="01EA17A7" w:rsidR="003227C2" w:rsidRPr="003F1875" w:rsidRDefault="003F1875">
            <w:pPr>
              <w:pStyle w:val="xxmsonormal"/>
              <w:jc w:val="center"/>
              <w:rPr>
                <w:rFonts w:ascii="Times New Roman" w:hAnsi="Times New Roman" w:cs="Times New Roman"/>
                <w:b/>
                <w:bCs/>
                <w:color w:val="FFFFFF" w:themeColor="background1"/>
                <w:spacing w:val="20"/>
                <w:sz w:val="24"/>
                <w:szCs w:val="24"/>
                <w:lang w:eastAsia="en-US"/>
              </w:rPr>
            </w:pPr>
            <w:r w:rsidRPr="003F1875">
              <w:rPr>
                <w:rFonts w:ascii="Times New Roman" w:hAnsi="Times New Roman" w:cs="Times New Roman"/>
                <w:b/>
                <w:bCs/>
                <w:color w:val="FFFFFF" w:themeColor="background1"/>
                <w:spacing w:val="20"/>
                <w:sz w:val="24"/>
                <w:szCs w:val="24"/>
                <w:lang w:eastAsia="en-US"/>
              </w:rPr>
              <w:lastRenderedPageBreak/>
              <w:t>Tiempo Fuera de Servicio</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7ADD9698" w14:textId="38E183D0" w:rsidR="003227C2" w:rsidRPr="00DF1742" w:rsidRDefault="003227C2">
            <w:pPr>
              <w:spacing w:after="0" w:line="240" w:lineRule="auto"/>
              <w:jc w:val="center"/>
              <w:rPr>
                <w:rFonts w:eastAsia="Calibri"/>
                <w:lang w:val="es-DO"/>
              </w:rPr>
            </w:pPr>
            <w:r w:rsidRPr="00DF1742">
              <w:rPr>
                <w:rFonts w:eastAsia="Calibri"/>
                <w:lang w:val="es-DO"/>
              </w:rPr>
              <w:t>1.</w:t>
            </w:r>
            <w:r>
              <w:rPr>
                <w:rFonts w:eastAsia="Calibri"/>
                <w:lang w:val="es-DO"/>
              </w:rPr>
              <w:t>82</w:t>
            </w:r>
            <w:r w:rsidRPr="00DF1742">
              <w:rPr>
                <w:rFonts w:eastAsia="Calibri"/>
                <w:lang w:val="es-DO"/>
              </w:rPr>
              <w:t>%</w:t>
            </w:r>
          </w:p>
        </w:tc>
        <w:tc>
          <w:tcPr>
            <w:tcW w:w="3239" w:type="dxa"/>
            <w:tcBorders>
              <w:top w:val="single" w:sz="4" w:space="0" w:color="auto"/>
              <w:left w:val="nil"/>
              <w:bottom w:val="single" w:sz="4" w:space="0" w:color="auto"/>
              <w:right w:val="single" w:sz="4" w:space="0" w:color="000000"/>
            </w:tcBorders>
            <w:shd w:val="clear" w:color="auto" w:fill="auto"/>
            <w:noWrap/>
            <w:vAlign w:val="center"/>
            <w:hideMark/>
          </w:tcPr>
          <w:p w14:paraId="21E72E32" w14:textId="35857B76" w:rsidR="003227C2" w:rsidRPr="00DF1742" w:rsidRDefault="003227C2" w:rsidP="003F1875">
            <w:pPr>
              <w:spacing w:after="0" w:line="240" w:lineRule="auto"/>
              <w:rPr>
                <w:rFonts w:eastAsia="Calibri"/>
                <w:lang w:val="es-DO"/>
              </w:rPr>
            </w:pPr>
            <w:r>
              <w:rPr>
                <w:rFonts w:eastAsia="Calibri"/>
                <w:lang w:val="es-DO"/>
              </w:rPr>
              <w:t>40</w:t>
            </w:r>
            <w:r w:rsidRPr="00DF1742">
              <w:rPr>
                <w:rFonts w:eastAsia="Calibri"/>
                <w:lang w:val="es-DO"/>
              </w:rPr>
              <w:t xml:space="preserve"> horas, </w:t>
            </w:r>
            <w:r>
              <w:rPr>
                <w:rFonts w:eastAsia="Calibri"/>
                <w:lang w:val="es-DO"/>
              </w:rPr>
              <w:t>18</w:t>
            </w:r>
            <w:r w:rsidRPr="00DF1742">
              <w:rPr>
                <w:rFonts w:eastAsia="Calibri"/>
                <w:lang w:val="es-DO"/>
              </w:rPr>
              <w:t xml:space="preserve"> minutos</w:t>
            </w:r>
          </w:p>
        </w:tc>
      </w:tr>
    </w:tbl>
    <w:p w14:paraId="09DBCD5D" w14:textId="6C7DAB59" w:rsidR="003227C2" w:rsidRDefault="00B6091C" w:rsidP="003227C2">
      <w:pPr>
        <w:rPr>
          <w:rFonts w:eastAsia="Calibri"/>
          <w:sz w:val="18"/>
          <w:szCs w:val="18"/>
          <w:lang w:val="es-DO"/>
        </w:rPr>
      </w:pPr>
      <w:r>
        <w:rPr>
          <w:rFonts w:eastAsia="Calibri"/>
          <w:b/>
          <w:bCs/>
          <w:sz w:val="18"/>
          <w:szCs w:val="18"/>
          <w:lang w:val="es-DO"/>
        </w:rPr>
        <w:t xml:space="preserve">  </w:t>
      </w:r>
      <w:r w:rsidR="003227C2" w:rsidRPr="00DF1742">
        <w:rPr>
          <w:rFonts w:eastAsia="Calibri"/>
          <w:b/>
          <w:bCs/>
          <w:sz w:val="18"/>
          <w:szCs w:val="18"/>
          <w:lang w:val="es-DO"/>
        </w:rPr>
        <w:t>Tabla 1</w:t>
      </w:r>
      <w:r w:rsidR="00C50277">
        <w:rPr>
          <w:rFonts w:eastAsia="Calibri"/>
          <w:b/>
          <w:bCs/>
          <w:sz w:val="18"/>
          <w:szCs w:val="18"/>
          <w:lang w:val="es-DO"/>
        </w:rPr>
        <w:t>3</w:t>
      </w:r>
      <w:r w:rsidR="003227C2" w:rsidRPr="00DF1742">
        <w:rPr>
          <w:rFonts w:eastAsia="Calibri"/>
          <w:b/>
          <w:bCs/>
          <w:sz w:val="18"/>
          <w:szCs w:val="18"/>
          <w:lang w:val="es-DO"/>
        </w:rPr>
        <w:t>:</w:t>
      </w:r>
      <w:r w:rsidR="003227C2" w:rsidRPr="00DF1742">
        <w:rPr>
          <w:rFonts w:eastAsia="Calibri"/>
          <w:sz w:val="18"/>
          <w:szCs w:val="18"/>
          <w:lang w:val="es-DO"/>
        </w:rPr>
        <w:t xml:space="preserve"> Porcentaje y tiempo disponible del SUIR 202</w:t>
      </w:r>
      <w:r w:rsidR="003227C2">
        <w:rPr>
          <w:rFonts w:eastAsia="Calibri"/>
          <w:sz w:val="18"/>
          <w:szCs w:val="18"/>
          <w:lang w:val="es-DO"/>
        </w:rPr>
        <w:t>4</w:t>
      </w:r>
      <w:r w:rsidR="003227C2" w:rsidRPr="00DF1742">
        <w:rPr>
          <w:rFonts w:eastAsia="Calibri"/>
          <w:sz w:val="18"/>
          <w:szCs w:val="18"/>
          <w:lang w:val="es-DO"/>
        </w:rPr>
        <w:t>.</w:t>
      </w:r>
    </w:p>
    <w:p w14:paraId="19912A23" w14:textId="77777777" w:rsidR="003F1875" w:rsidRPr="00DF1742" w:rsidRDefault="003F1875" w:rsidP="003227C2">
      <w:pPr>
        <w:rPr>
          <w:rFonts w:eastAsia="Calibri"/>
          <w:sz w:val="18"/>
          <w:szCs w:val="18"/>
          <w:lang w:val="es-DO"/>
        </w:rPr>
      </w:pPr>
    </w:p>
    <w:p w14:paraId="5A2AE51C" w14:textId="0DB1D468" w:rsidR="00B462AE" w:rsidRDefault="009B7F1B" w:rsidP="003F1875">
      <w:pPr>
        <w:spacing w:line="360" w:lineRule="auto"/>
        <w:ind w:left="90"/>
        <w:rPr>
          <w:lang w:val="es-DO"/>
        </w:rPr>
      </w:pPr>
      <w:r w:rsidRPr="00DF1742">
        <w:rPr>
          <w:noProof/>
          <w:lang w:val="es-DO"/>
        </w:rPr>
        <w:drawing>
          <wp:inline distT="0" distB="0" distL="0" distR="0" wp14:anchorId="156E4090" wp14:editId="0EFB7D2E">
            <wp:extent cx="4960883" cy="2816225"/>
            <wp:effectExtent l="0" t="0" r="11430" b="3175"/>
            <wp:docPr id="134145688" name="Chart 134145688">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DB3220" w:rsidRPr="00DB3220">
        <w:rPr>
          <w:b/>
          <w:bCs/>
          <w:sz w:val="18"/>
          <w:szCs w:val="18"/>
          <w:lang w:val="es-DO"/>
        </w:rPr>
        <w:t>Gráfico 3</w:t>
      </w:r>
      <w:r w:rsidR="00DB3220" w:rsidRPr="00DB3220">
        <w:rPr>
          <w:sz w:val="18"/>
          <w:szCs w:val="18"/>
          <w:lang w:val="es-DO"/>
        </w:rPr>
        <w:t>: Disponibilidad del SUIR</w:t>
      </w:r>
      <w:r w:rsidR="005878DD">
        <w:rPr>
          <w:sz w:val="18"/>
          <w:szCs w:val="18"/>
          <w:lang w:val="es-DO"/>
        </w:rPr>
        <w:t>.</w:t>
      </w:r>
    </w:p>
    <w:p w14:paraId="632DC4BC" w14:textId="77777777" w:rsidR="00840D69" w:rsidRDefault="00840D69" w:rsidP="00FF46AB">
      <w:pPr>
        <w:spacing w:line="360" w:lineRule="auto"/>
        <w:jc w:val="both"/>
        <w:rPr>
          <w:lang w:val="es-DO"/>
        </w:rPr>
        <w:sectPr w:rsidR="00840D69" w:rsidSect="00D51790">
          <w:pgSz w:w="12240" w:h="15840"/>
          <w:pgMar w:top="1440" w:right="2160" w:bottom="1440" w:left="2160" w:header="720" w:footer="720" w:gutter="0"/>
          <w:cols w:space="720"/>
          <w:docGrid w:linePitch="360"/>
        </w:sectPr>
      </w:pPr>
    </w:p>
    <w:p w14:paraId="064D59E5" w14:textId="77777777" w:rsidR="009B7F1B" w:rsidRPr="005878DD" w:rsidRDefault="009B7F1B" w:rsidP="005878DD">
      <w:pPr>
        <w:spacing w:line="360" w:lineRule="auto"/>
        <w:rPr>
          <w:b/>
          <w:bCs/>
          <w:lang w:val="es-DO"/>
        </w:rPr>
      </w:pPr>
      <w:bookmarkStart w:id="61" w:name="_Toc153781772"/>
      <w:bookmarkStart w:id="62" w:name="_Toc153782119"/>
      <w:bookmarkStart w:id="63" w:name="_Toc154736699"/>
      <w:bookmarkStart w:id="64" w:name="_Toc184981193"/>
      <w:r w:rsidRPr="005878DD">
        <w:rPr>
          <w:b/>
          <w:bCs/>
          <w:lang w:val="es-DO"/>
        </w:rPr>
        <w:lastRenderedPageBreak/>
        <w:t>Principales Indicadores de los Procesos Misionales:</w:t>
      </w:r>
      <w:bookmarkEnd w:id="61"/>
      <w:bookmarkEnd w:id="62"/>
      <w:bookmarkEnd w:id="63"/>
      <w:bookmarkEnd w:id="64"/>
    </w:p>
    <w:tbl>
      <w:tblPr>
        <w:tblW w:w="11514" w:type="dxa"/>
        <w:tblInd w:w="-10" w:type="dxa"/>
        <w:tblLayout w:type="fixed"/>
        <w:tblLook w:val="04A0" w:firstRow="1" w:lastRow="0" w:firstColumn="1" w:lastColumn="0" w:noHBand="0" w:noVBand="1"/>
      </w:tblPr>
      <w:tblGrid>
        <w:gridCol w:w="1710"/>
        <w:gridCol w:w="1907"/>
        <w:gridCol w:w="3984"/>
        <w:gridCol w:w="3913"/>
      </w:tblGrid>
      <w:tr w:rsidR="009B7F1B" w:rsidRPr="009B7F1B" w14:paraId="065A81EF" w14:textId="77777777" w:rsidTr="006E7F20">
        <w:trPr>
          <w:trHeight w:val="574"/>
          <w:tblHeader/>
        </w:trPr>
        <w:tc>
          <w:tcPr>
            <w:tcW w:w="1710"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607E62F5" w14:textId="77777777" w:rsidR="009B7F1B" w:rsidRPr="009B7F1B" w:rsidRDefault="009B7F1B" w:rsidP="009B7F1B">
            <w:pPr>
              <w:spacing w:after="0" w:line="240" w:lineRule="auto"/>
              <w:jc w:val="center"/>
              <w:rPr>
                <w:rFonts w:eastAsia="Times New Roman"/>
                <w:b/>
                <w:bCs/>
                <w:color w:val="FFFFFF" w:themeColor="background1"/>
                <w:spacing w:val="0"/>
                <w:sz w:val="22"/>
                <w:szCs w:val="22"/>
                <w:lang w:val="es-DO"/>
              </w:rPr>
            </w:pPr>
            <w:r w:rsidRPr="009B7F1B">
              <w:rPr>
                <w:rFonts w:eastAsia="Times New Roman"/>
                <w:b/>
                <w:bCs/>
                <w:color w:val="FFFFFF" w:themeColor="background1"/>
                <w:spacing w:val="0"/>
                <w:sz w:val="22"/>
                <w:szCs w:val="22"/>
                <w:lang w:val="es-DO"/>
              </w:rPr>
              <w:t>POLÍTICA PRIORIZADA</w:t>
            </w:r>
          </w:p>
        </w:tc>
        <w:tc>
          <w:tcPr>
            <w:tcW w:w="1907" w:type="dxa"/>
            <w:tcBorders>
              <w:top w:val="single" w:sz="8" w:space="0" w:color="auto"/>
              <w:left w:val="nil"/>
              <w:bottom w:val="single" w:sz="4" w:space="0" w:color="auto"/>
              <w:right w:val="single" w:sz="4" w:space="0" w:color="auto"/>
            </w:tcBorders>
            <w:shd w:val="clear" w:color="000000" w:fill="002060"/>
            <w:vAlign w:val="center"/>
            <w:hideMark/>
          </w:tcPr>
          <w:p w14:paraId="6BA736C1" w14:textId="77777777" w:rsidR="009B7F1B" w:rsidRPr="009B7F1B" w:rsidRDefault="009B7F1B" w:rsidP="009B7F1B">
            <w:pPr>
              <w:spacing w:after="0" w:line="240" w:lineRule="auto"/>
              <w:jc w:val="center"/>
              <w:rPr>
                <w:rFonts w:eastAsia="Times New Roman"/>
                <w:b/>
                <w:bCs/>
                <w:color w:val="FFFFFF" w:themeColor="background1"/>
                <w:spacing w:val="0"/>
                <w:sz w:val="22"/>
                <w:szCs w:val="22"/>
                <w:lang w:val="es-DO"/>
              </w:rPr>
            </w:pPr>
            <w:r w:rsidRPr="009B7F1B">
              <w:rPr>
                <w:rFonts w:eastAsia="Times New Roman"/>
                <w:b/>
                <w:bCs/>
                <w:color w:val="FFFFFF" w:themeColor="background1"/>
                <w:spacing w:val="0"/>
                <w:sz w:val="22"/>
                <w:szCs w:val="22"/>
                <w:lang w:val="es-DO"/>
              </w:rPr>
              <w:t>RESULTADOS PNPSP</w:t>
            </w:r>
          </w:p>
        </w:tc>
        <w:tc>
          <w:tcPr>
            <w:tcW w:w="3984" w:type="dxa"/>
            <w:tcBorders>
              <w:top w:val="single" w:sz="8" w:space="0" w:color="auto"/>
              <w:left w:val="nil"/>
              <w:bottom w:val="single" w:sz="4" w:space="0" w:color="auto"/>
              <w:right w:val="single" w:sz="4" w:space="0" w:color="auto"/>
            </w:tcBorders>
            <w:shd w:val="clear" w:color="000000" w:fill="002060"/>
            <w:vAlign w:val="center"/>
            <w:hideMark/>
          </w:tcPr>
          <w:p w14:paraId="08EC7D95" w14:textId="77777777" w:rsidR="009B7F1B" w:rsidRPr="009B7F1B" w:rsidRDefault="009B7F1B" w:rsidP="009B7F1B">
            <w:pPr>
              <w:spacing w:after="0" w:line="240" w:lineRule="auto"/>
              <w:jc w:val="center"/>
              <w:rPr>
                <w:rFonts w:eastAsia="Times New Roman"/>
                <w:b/>
                <w:bCs/>
                <w:color w:val="FFFFFF" w:themeColor="background1"/>
                <w:spacing w:val="0"/>
                <w:sz w:val="22"/>
                <w:szCs w:val="22"/>
                <w:lang w:val="es-DO"/>
              </w:rPr>
            </w:pPr>
            <w:r w:rsidRPr="009B7F1B">
              <w:rPr>
                <w:rFonts w:eastAsia="Times New Roman"/>
                <w:b/>
                <w:bCs/>
                <w:color w:val="FFFFFF" w:themeColor="background1"/>
                <w:spacing w:val="0"/>
                <w:sz w:val="22"/>
                <w:szCs w:val="22"/>
                <w:lang w:val="es-DO"/>
              </w:rPr>
              <w:t>RESULTADOS ESTRATÉGICOS</w:t>
            </w:r>
          </w:p>
        </w:tc>
        <w:tc>
          <w:tcPr>
            <w:tcW w:w="3913" w:type="dxa"/>
            <w:tcBorders>
              <w:top w:val="single" w:sz="8" w:space="0" w:color="auto"/>
              <w:left w:val="nil"/>
              <w:bottom w:val="single" w:sz="4" w:space="0" w:color="auto"/>
              <w:right w:val="single" w:sz="8" w:space="0" w:color="auto"/>
            </w:tcBorders>
            <w:shd w:val="clear" w:color="000000" w:fill="002060"/>
            <w:vAlign w:val="center"/>
            <w:hideMark/>
          </w:tcPr>
          <w:p w14:paraId="739A6D28" w14:textId="77777777" w:rsidR="009B7F1B" w:rsidRPr="009B7F1B" w:rsidRDefault="009B7F1B" w:rsidP="009B7F1B">
            <w:pPr>
              <w:spacing w:after="0" w:line="240" w:lineRule="auto"/>
              <w:jc w:val="center"/>
              <w:rPr>
                <w:rFonts w:eastAsia="Times New Roman"/>
                <w:b/>
                <w:bCs/>
                <w:color w:val="FFFFFF" w:themeColor="background1"/>
                <w:spacing w:val="0"/>
                <w:sz w:val="22"/>
                <w:szCs w:val="22"/>
                <w:lang w:val="es-DO"/>
              </w:rPr>
            </w:pPr>
            <w:r w:rsidRPr="009B7F1B">
              <w:rPr>
                <w:rFonts w:eastAsia="Times New Roman"/>
                <w:b/>
                <w:bCs/>
                <w:color w:val="FFFFFF" w:themeColor="background1"/>
                <w:spacing w:val="0"/>
                <w:sz w:val="22"/>
                <w:szCs w:val="22"/>
                <w:lang w:val="es-DO"/>
              </w:rPr>
              <w:t>PRODUCTOS Y ACCIONES</w:t>
            </w:r>
          </w:p>
        </w:tc>
      </w:tr>
      <w:tr w:rsidR="009B7F1B" w:rsidRPr="004B1D7E" w14:paraId="58327047" w14:textId="77777777" w:rsidTr="006E7F20">
        <w:trPr>
          <w:trHeight w:val="1986"/>
        </w:trPr>
        <w:tc>
          <w:tcPr>
            <w:tcW w:w="1710" w:type="dxa"/>
            <w:tcBorders>
              <w:top w:val="nil"/>
              <w:left w:val="single" w:sz="8" w:space="0" w:color="auto"/>
              <w:bottom w:val="single" w:sz="4" w:space="0" w:color="auto"/>
              <w:right w:val="single" w:sz="4" w:space="0" w:color="auto"/>
            </w:tcBorders>
            <w:shd w:val="clear" w:color="auto" w:fill="auto"/>
            <w:vAlign w:val="center"/>
            <w:hideMark/>
          </w:tcPr>
          <w:p w14:paraId="59375E9A" w14:textId="77777777" w:rsidR="009B7F1B" w:rsidRPr="00044655" w:rsidRDefault="009B7F1B" w:rsidP="009B7F1B">
            <w:pPr>
              <w:spacing w:after="0" w:line="360" w:lineRule="auto"/>
              <w:jc w:val="both"/>
              <w:rPr>
                <w:rFonts w:eastAsia="Calibri"/>
                <w:lang w:val="es-DO"/>
              </w:rPr>
            </w:pPr>
            <w:r w:rsidRPr="00044655">
              <w:rPr>
                <w:rFonts w:eastAsia="Calibri"/>
                <w:lang w:val="es-DO"/>
              </w:rPr>
              <w:t>Acceso a salud universal</w:t>
            </w:r>
          </w:p>
        </w:tc>
        <w:tc>
          <w:tcPr>
            <w:tcW w:w="1907" w:type="dxa"/>
            <w:tcBorders>
              <w:top w:val="nil"/>
              <w:left w:val="nil"/>
              <w:bottom w:val="single" w:sz="4" w:space="0" w:color="auto"/>
              <w:right w:val="single" w:sz="4" w:space="0" w:color="auto"/>
            </w:tcBorders>
            <w:shd w:val="clear" w:color="auto" w:fill="auto"/>
            <w:vAlign w:val="center"/>
            <w:hideMark/>
          </w:tcPr>
          <w:p w14:paraId="3C351D4D" w14:textId="77777777" w:rsidR="009B7F1B" w:rsidRPr="00044655" w:rsidRDefault="009B7F1B" w:rsidP="009B7F1B">
            <w:pPr>
              <w:spacing w:after="0" w:line="360" w:lineRule="auto"/>
              <w:jc w:val="both"/>
              <w:rPr>
                <w:rFonts w:eastAsia="Calibri"/>
                <w:lang w:val="es-DO"/>
              </w:rPr>
            </w:pPr>
            <w:r w:rsidRPr="00044655">
              <w:rPr>
                <w:rFonts w:eastAsia="Calibri"/>
                <w:lang w:val="es-DO"/>
              </w:rPr>
              <w:t>Garantizada la cobertura universal de aseguramiento en salud de la población</w:t>
            </w:r>
          </w:p>
        </w:tc>
        <w:tc>
          <w:tcPr>
            <w:tcW w:w="3984" w:type="dxa"/>
            <w:tcBorders>
              <w:top w:val="nil"/>
              <w:left w:val="nil"/>
              <w:bottom w:val="single" w:sz="4" w:space="0" w:color="auto"/>
              <w:right w:val="single" w:sz="4" w:space="0" w:color="auto"/>
            </w:tcBorders>
            <w:shd w:val="clear" w:color="auto" w:fill="auto"/>
            <w:vAlign w:val="center"/>
            <w:hideMark/>
          </w:tcPr>
          <w:p w14:paraId="5CB1E744" w14:textId="77777777" w:rsidR="009B7F1B" w:rsidRPr="00044655" w:rsidRDefault="009B7F1B" w:rsidP="009B7F1B">
            <w:pPr>
              <w:spacing w:after="0" w:line="360" w:lineRule="auto"/>
              <w:jc w:val="both"/>
              <w:rPr>
                <w:rFonts w:eastAsia="Calibri"/>
                <w:lang w:val="es-DO"/>
              </w:rPr>
            </w:pPr>
            <w:r w:rsidRPr="00044655">
              <w:rPr>
                <w:rFonts w:eastAsia="Calibri"/>
                <w:lang w:val="es-DO"/>
              </w:rPr>
              <w:t>Disminuido los índices de evasión y omisión para el fortalecimiento del SDSS tomando acción apalancándonos sobre las alianzas estratégicas interinstitucionales, así como para el fortalecimiento de las estadísticas internas / </w:t>
            </w:r>
            <w:r w:rsidRPr="00044655">
              <w:rPr>
                <w:rFonts w:eastAsia="Calibri"/>
                <w:b/>
                <w:bCs/>
                <w:lang w:val="es-DO"/>
              </w:rPr>
              <w:t>Cantidad de auditorías realizadas a empleadores y unidades receptoras de fondos.</w:t>
            </w:r>
          </w:p>
        </w:tc>
        <w:tc>
          <w:tcPr>
            <w:tcW w:w="3913" w:type="dxa"/>
            <w:tcBorders>
              <w:top w:val="nil"/>
              <w:left w:val="nil"/>
              <w:bottom w:val="single" w:sz="4" w:space="0" w:color="auto"/>
              <w:right w:val="single" w:sz="8" w:space="0" w:color="auto"/>
            </w:tcBorders>
            <w:shd w:val="clear" w:color="auto" w:fill="auto"/>
            <w:vAlign w:val="center"/>
            <w:hideMark/>
          </w:tcPr>
          <w:p w14:paraId="300202CE" w14:textId="37AC9158" w:rsidR="009B7F1B" w:rsidRPr="00044655" w:rsidRDefault="009B7F1B" w:rsidP="009B7F1B">
            <w:pPr>
              <w:spacing w:after="0" w:line="360" w:lineRule="auto"/>
              <w:jc w:val="both"/>
              <w:rPr>
                <w:rFonts w:eastAsia="Calibri"/>
                <w:lang w:val="es-DO"/>
              </w:rPr>
            </w:pPr>
            <w:r w:rsidRPr="00044655">
              <w:rPr>
                <w:rFonts w:eastAsia="Calibri"/>
                <w:lang w:val="es-DO"/>
              </w:rPr>
              <w:t xml:space="preserve">Se realizaron </w:t>
            </w:r>
            <w:r w:rsidR="002053DE" w:rsidRPr="00044655">
              <w:rPr>
                <w:rFonts w:eastAsia="Calibri"/>
                <w:lang w:val="es-DO"/>
              </w:rPr>
              <w:t>8,339</w:t>
            </w:r>
            <w:r w:rsidRPr="00044655">
              <w:rPr>
                <w:rFonts w:eastAsia="Calibri"/>
                <w:lang w:val="es-DO"/>
              </w:rPr>
              <w:t xml:space="preserve"> </w:t>
            </w:r>
            <w:r w:rsidR="00560EE6" w:rsidRPr="00044655">
              <w:rPr>
                <w:rFonts w:eastAsia="Calibri"/>
                <w:lang w:val="es-DO"/>
              </w:rPr>
              <w:t xml:space="preserve">casos de </w:t>
            </w:r>
            <w:r w:rsidR="00BC081A" w:rsidRPr="00044655">
              <w:rPr>
                <w:rFonts w:eastAsia="Calibri"/>
                <w:lang w:val="es-DO"/>
              </w:rPr>
              <w:t>fiscalización</w:t>
            </w:r>
            <w:r w:rsidRPr="00044655">
              <w:rPr>
                <w:rFonts w:eastAsia="Calibri"/>
                <w:lang w:val="es-DO"/>
              </w:rPr>
              <w:t xml:space="preserve"> durante año 202</w:t>
            </w:r>
            <w:r w:rsidR="00BD3280" w:rsidRPr="00044655">
              <w:rPr>
                <w:rFonts w:eastAsia="Calibri"/>
                <w:lang w:val="es-DO"/>
              </w:rPr>
              <w:t>4</w:t>
            </w:r>
            <w:r w:rsidRPr="00044655">
              <w:rPr>
                <w:rFonts w:eastAsia="Calibri"/>
                <w:lang w:val="es-DO"/>
              </w:rPr>
              <w:t>.</w:t>
            </w:r>
            <w:r w:rsidRPr="00044655">
              <w:rPr>
                <w:rFonts w:eastAsia="Calibri"/>
                <w:lang w:val="es-DO"/>
              </w:rPr>
              <w:br/>
              <w:t xml:space="preserve">Se han generado facturación de Notificación de Pagos por Auditorías por RD$ </w:t>
            </w:r>
            <w:r w:rsidR="002053DE" w:rsidRPr="00044655">
              <w:rPr>
                <w:rFonts w:eastAsia="Calibri"/>
                <w:lang w:val="es-DO"/>
              </w:rPr>
              <w:t>88.4</w:t>
            </w:r>
            <w:r w:rsidRPr="00044655">
              <w:rPr>
                <w:rFonts w:eastAsia="Calibri"/>
                <w:lang w:val="es-DO"/>
              </w:rPr>
              <w:t xml:space="preserve"> MM, a favor del SDSS.</w:t>
            </w:r>
            <w:r w:rsidRPr="00044655">
              <w:rPr>
                <w:rFonts w:eastAsia="Calibri"/>
                <w:lang w:val="es-DO"/>
              </w:rPr>
              <w:br/>
            </w:r>
            <w:r w:rsidR="002053DE" w:rsidRPr="00044655">
              <w:rPr>
                <w:rFonts w:eastAsia="Calibri"/>
                <w:lang w:val="es-DO"/>
              </w:rPr>
              <w:t>65</w:t>
            </w:r>
            <w:r w:rsidRPr="00044655">
              <w:rPr>
                <w:rFonts w:eastAsia="Calibri"/>
                <w:lang w:val="es-DO"/>
              </w:rPr>
              <w:t>%</w:t>
            </w:r>
            <w:r w:rsidR="00560EE6" w:rsidRPr="00044655">
              <w:rPr>
                <w:rFonts w:eastAsia="Calibri"/>
                <w:lang w:val="es-DO"/>
              </w:rPr>
              <w:t xml:space="preserve"> encontrándose</w:t>
            </w:r>
            <w:r w:rsidR="002053DE" w:rsidRPr="00044655">
              <w:rPr>
                <w:rFonts w:eastAsia="Calibri"/>
                <w:lang w:val="es-DO"/>
              </w:rPr>
              <w:t xml:space="preserve"> paga</w:t>
            </w:r>
            <w:r w:rsidR="00560EE6" w:rsidRPr="00044655">
              <w:rPr>
                <w:rFonts w:eastAsia="Calibri"/>
                <w:lang w:val="es-DO"/>
              </w:rPr>
              <w:t>das</w:t>
            </w:r>
            <w:r w:rsidR="002053DE" w:rsidRPr="00044655">
              <w:rPr>
                <w:rFonts w:eastAsia="Calibri"/>
                <w:lang w:val="es-DO"/>
              </w:rPr>
              <w:t xml:space="preserve"> y el 35% en </w:t>
            </w:r>
            <w:r w:rsidR="00035F71" w:rsidRPr="00044655">
              <w:rPr>
                <w:rFonts w:eastAsia="Calibri"/>
                <w:lang w:val="es-DO"/>
              </w:rPr>
              <w:t>estatus</w:t>
            </w:r>
            <w:r w:rsidR="002053DE" w:rsidRPr="00044655">
              <w:rPr>
                <w:rFonts w:eastAsia="Calibri"/>
                <w:lang w:val="es-DO"/>
              </w:rPr>
              <w:t xml:space="preserve"> vencido.</w:t>
            </w:r>
          </w:p>
        </w:tc>
      </w:tr>
      <w:tr w:rsidR="009B7F1B" w:rsidRPr="004B1D7E" w14:paraId="51071ACC" w14:textId="77777777" w:rsidTr="006E7F20">
        <w:trPr>
          <w:trHeight w:val="1444"/>
        </w:trPr>
        <w:tc>
          <w:tcPr>
            <w:tcW w:w="1710" w:type="dxa"/>
            <w:tcBorders>
              <w:top w:val="nil"/>
              <w:left w:val="single" w:sz="8" w:space="0" w:color="auto"/>
              <w:bottom w:val="single" w:sz="4" w:space="0" w:color="auto"/>
              <w:right w:val="single" w:sz="4" w:space="0" w:color="auto"/>
            </w:tcBorders>
            <w:shd w:val="clear" w:color="auto" w:fill="auto"/>
            <w:vAlign w:val="center"/>
            <w:hideMark/>
          </w:tcPr>
          <w:p w14:paraId="220A2CA9" w14:textId="77777777" w:rsidR="009B7F1B" w:rsidRPr="00044655" w:rsidRDefault="009B7F1B" w:rsidP="009B7F1B">
            <w:pPr>
              <w:spacing w:after="0" w:line="360" w:lineRule="auto"/>
              <w:jc w:val="both"/>
              <w:rPr>
                <w:rFonts w:eastAsia="Calibri"/>
                <w:lang w:val="es-DO"/>
              </w:rPr>
            </w:pPr>
            <w:r w:rsidRPr="00044655">
              <w:rPr>
                <w:rFonts w:eastAsia="Calibri"/>
                <w:lang w:val="es-DO"/>
              </w:rPr>
              <w:t>Acceso a salud universal</w:t>
            </w:r>
          </w:p>
        </w:tc>
        <w:tc>
          <w:tcPr>
            <w:tcW w:w="1907" w:type="dxa"/>
            <w:tcBorders>
              <w:top w:val="nil"/>
              <w:left w:val="nil"/>
              <w:bottom w:val="single" w:sz="4" w:space="0" w:color="auto"/>
              <w:right w:val="single" w:sz="4" w:space="0" w:color="auto"/>
            </w:tcBorders>
            <w:shd w:val="clear" w:color="auto" w:fill="auto"/>
            <w:vAlign w:val="center"/>
            <w:hideMark/>
          </w:tcPr>
          <w:p w14:paraId="7B601334" w14:textId="77777777" w:rsidR="009B7F1B" w:rsidRPr="00044655" w:rsidRDefault="009B7F1B" w:rsidP="009B7F1B">
            <w:pPr>
              <w:spacing w:after="0" w:line="360" w:lineRule="auto"/>
              <w:jc w:val="both"/>
              <w:rPr>
                <w:rFonts w:eastAsia="Calibri"/>
                <w:lang w:val="es-DO"/>
              </w:rPr>
            </w:pPr>
            <w:r w:rsidRPr="00044655">
              <w:rPr>
                <w:rFonts w:eastAsia="Calibri"/>
                <w:lang w:val="es-DO"/>
              </w:rPr>
              <w:t>Garantizada la cobertura universal de aseguramiento en salud de la población</w:t>
            </w:r>
          </w:p>
        </w:tc>
        <w:tc>
          <w:tcPr>
            <w:tcW w:w="3984" w:type="dxa"/>
            <w:tcBorders>
              <w:top w:val="nil"/>
              <w:left w:val="nil"/>
              <w:bottom w:val="single" w:sz="4" w:space="0" w:color="auto"/>
              <w:right w:val="single" w:sz="4" w:space="0" w:color="auto"/>
            </w:tcBorders>
            <w:shd w:val="clear" w:color="auto" w:fill="auto"/>
            <w:vAlign w:val="center"/>
            <w:hideMark/>
          </w:tcPr>
          <w:p w14:paraId="2FCD9A7E" w14:textId="77777777" w:rsidR="009B7F1B" w:rsidRPr="00044655" w:rsidRDefault="009B7F1B" w:rsidP="009B7F1B">
            <w:pPr>
              <w:spacing w:after="0" w:line="360" w:lineRule="auto"/>
              <w:jc w:val="both"/>
              <w:rPr>
                <w:rFonts w:eastAsia="Calibri"/>
                <w:lang w:val="es-DO"/>
              </w:rPr>
            </w:pPr>
            <w:r w:rsidRPr="00044655">
              <w:rPr>
                <w:rFonts w:eastAsia="Calibri"/>
                <w:lang w:val="es-DO"/>
              </w:rPr>
              <w:t xml:space="preserve">Mayor efectividad en la ejecución del procedimiento de cobros y aplicación de multas para someter infractores </w:t>
            </w:r>
            <w:r w:rsidRPr="00044655">
              <w:rPr>
                <w:rFonts w:eastAsia="Calibri"/>
                <w:b/>
                <w:bCs/>
                <w:lang w:val="es-DO"/>
              </w:rPr>
              <w:t>/ Índice de Recaudo.</w:t>
            </w:r>
          </w:p>
        </w:tc>
        <w:tc>
          <w:tcPr>
            <w:tcW w:w="3913" w:type="dxa"/>
            <w:tcBorders>
              <w:top w:val="nil"/>
              <w:left w:val="nil"/>
              <w:bottom w:val="single" w:sz="4" w:space="0" w:color="auto"/>
              <w:right w:val="single" w:sz="8" w:space="0" w:color="auto"/>
            </w:tcBorders>
            <w:shd w:val="clear" w:color="auto" w:fill="auto"/>
            <w:vAlign w:val="center"/>
            <w:hideMark/>
          </w:tcPr>
          <w:p w14:paraId="6214CE28" w14:textId="71EE3C7A" w:rsidR="009B7F1B" w:rsidRPr="00044655" w:rsidRDefault="002D0A83" w:rsidP="009B7F1B">
            <w:pPr>
              <w:spacing w:before="200" w:after="0" w:line="360" w:lineRule="auto"/>
              <w:jc w:val="both"/>
              <w:rPr>
                <w:rFonts w:eastAsia="Calibri"/>
                <w:lang w:val="es-DO"/>
              </w:rPr>
            </w:pPr>
            <w:r w:rsidRPr="00044655">
              <w:rPr>
                <w:rFonts w:eastAsia="Calibri"/>
                <w:lang w:val="es-DO"/>
              </w:rPr>
              <w:t xml:space="preserve">Al cierre del mes de </w:t>
            </w:r>
            <w:r w:rsidR="001762C7">
              <w:rPr>
                <w:rFonts w:eastAsia="Calibri"/>
                <w:lang w:val="es-DO"/>
              </w:rPr>
              <w:t>dic</w:t>
            </w:r>
            <w:r w:rsidRPr="00044655">
              <w:rPr>
                <w:rFonts w:eastAsia="Calibri"/>
                <w:lang w:val="es-DO"/>
              </w:rPr>
              <w:t xml:space="preserve">iembre los montos recuperados en la gestión de cobranza ascendieron a un total de Treinta y Dos Mil Cuatrocientos Veintidós Millones Ochocientos Sesenta y Siete Mil Quinientos Cinco </w:t>
            </w:r>
            <w:r w:rsidR="00035F71" w:rsidRPr="00044655">
              <w:rPr>
                <w:rFonts w:eastAsia="Calibri"/>
                <w:lang w:val="es-DO"/>
              </w:rPr>
              <w:lastRenderedPageBreak/>
              <w:t>pesos dominicanos</w:t>
            </w:r>
            <w:r w:rsidRPr="00044655">
              <w:rPr>
                <w:rFonts w:eastAsia="Calibri"/>
                <w:lang w:val="es-DO"/>
              </w:rPr>
              <w:t xml:space="preserve"> con 09/100 (RD$32,422,867,505.09</w:t>
            </w:r>
            <w:r w:rsidR="00035F71" w:rsidRPr="00044655">
              <w:rPr>
                <w:rFonts w:eastAsia="Calibri"/>
                <w:lang w:val="es-DO"/>
              </w:rPr>
              <w:t>), con</w:t>
            </w:r>
            <w:r w:rsidRPr="00044655">
              <w:rPr>
                <w:rFonts w:eastAsia="Calibri"/>
                <w:lang w:val="es-DO"/>
              </w:rPr>
              <w:t xml:space="preserve"> un total de 240,588 notificaciones en atraso.</w:t>
            </w:r>
          </w:p>
          <w:p w14:paraId="5335C659" w14:textId="77777777" w:rsidR="009B7F1B" w:rsidRPr="00044655" w:rsidRDefault="009B7F1B" w:rsidP="009B7F1B">
            <w:pPr>
              <w:spacing w:after="0" w:line="360" w:lineRule="auto"/>
              <w:jc w:val="both"/>
              <w:rPr>
                <w:rFonts w:eastAsia="Calibri"/>
                <w:lang w:val="es-DO"/>
              </w:rPr>
            </w:pPr>
          </w:p>
        </w:tc>
      </w:tr>
      <w:tr w:rsidR="009B7F1B" w:rsidRPr="009B7F1B" w14:paraId="0F0970F4" w14:textId="77777777" w:rsidTr="006E7F20">
        <w:trPr>
          <w:trHeight w:val="2696"/>
        </w:trPr>
        <w:tc>
          <w:tcPr>
            <w:tcW w:w="1710" w:type="dxa"/>
            <w:tcBorders>
              <w:top w:val="nil"/>
              <w:left w:val="single" w:sz="8" w:space="0" w:color="auto"/>
              <w:bottom w:val="single" w:sz="4" w:space="0" w:color="auto"/>
              <w:right w:val="single" w:sz="4" w:space="0" w:color="auto"/>
            </w:tcBorders>
            <w:shd w:val="clear" w:color="auto" w:fill="auto"/>
            <w:vAlign w:val="center"/>
          </w:tcPr>
          <w:p w14:paraId="189BF57B" w14:textId="77777777" w:rsidR="009B7F1B" w:rsidRPr="00044655" w:rsidRDefault="009B7F1B" w:rsidP="009B7F1B">
            <w:pPr>
              <w:spacing w:after="0" w:line="360" w:lineRule="auto"/>
              <w:jc w:val="both"/>
              <w:rPr>
                <w:rFonts w:eastAsia="Calibri"/>
                <w:lang w:val="es-DO"/>
              </w:rPr>
            </w:pPr>
            <w:r w:rsidRPr="00044655">
              <w:rPr>
                <w:rFonts w:eastAsia="Calibri"/>
                <w:lang w:val="es-DO"/>
              </w:rPr>
              <w:lastRenderedPageBreak/>
              <w:t>Hacia un Estado Moderno e Institucional</w:t>
            </w:r>
          </w:p>
        </w:tc>
        <w:tc>
          <w:tcPr>
            <w:tcW w:w="1907" w:type="dxa"/>
            <w:tcBorders>
              <w:top w:val="nil"/>
              <w:left w:val="nil"/>
              <w:bottom w:val="single" w:sz="4" w:space="0" w:color="auto"/>
              <w:right w:val="single" w:sz="4" w:space="0" w:color="auto"/>
            </w:tcBorders>
            <w:shd w:val="clear" w:color="auto" w:fill="auto"/>
            <w:vAlign w:val="center"/>
          </w:tcPr>
          <w:p w14:paraId="32251C58" w14:textId="77777777" w:rsidR="009B7F1B" w:rsidRPr="00044655" w:rsidRDefault="009B7F1B" w:rsidP="009B7F1B">
            <w:pPr>
              <w:spacing w:after="0" w:line="360" w:lineRule="auto"/>
              <w:jc w:val="both"/>
              <w:rPr>
                <w:rFonts w:eastAsia="Calibri"/>
                <w:lang w:val="es-DO"/>
              </w:rPr>
            </w:pPr>
            <w:r w:rsidRPr="00044655">
              <w:rPr>
                <w:rFonts w:eastAsia="Calibri"/>
                <w:lang w:val="es-DO"/>
              </w:rPr>
              <w:t>Mejorada la calidad de los servicios públicos</w:t>
            </w:r>
          </w:p>
        </w:tc>
        <w:tc>
          <w:tcPr>
            <w:tcW w:w="3984" w:type="dxa"/>
            <w:tcBorders>
              <w:top w:val="nil"/>
              <w:left w:val="nil"/>
              <w:bottom w:val="single" w:sz="4" w:space="0" w:color="auto"/>
              <w:right w:val="single" w:sz="4" w:space="0" w:color="auto"/>
            </w:tcBorders>
            <w:shd w:val="clear" w:color="auto" w:fill="auto"/>
            <w:vAlign w:val="center"/>
          </w:tcPr>
          <w:p w14:paraId="54BD1956" w14:textId="77777777" w:rsidR="009B7F1B" w:rsidRPr="00044655" w:rsidRDefault="009B7F1B" w:rsidP="009B7F1B">
            <w:pPr>
              <w:spacing w:after="0" w:line="360" w:lineRule="auto"/>
              <w:jc w:val="both"/>
              <w:rPr>
                <w:rFonts w:eastAsia="Calibri"/>
                <w:lang w:val="es-DO"/>
              </w:rPr>
            </w:pPr>
            <w:r w:rsidRPr="00044655">
              <w:rPr>
                <w:rFonts w:eastAsia="Calibri"/>
                <w:lang w:val="es-DO"/>
              </w:rPr>
              <w:t xml:space="preserve">Garantizado el acceso y disponibilidad de la información hacia los empleadores mediante la ampliación y mejora de los servicios a través de herramientas tecnológicas innovadoras / </w:t>
            </w:r>
            <w:r w:rsidRPr="00044655">
              <w:rPr>
                <w:rFonts w:eastAsia="Calibri"/>
                <w:b/>
                <w:bCs/>
                <w:lang w:val="es-DO"/>
              </w:rPr>
              <w:t>Índice de Satisfacción del Usuario</w:t>
            </w:r>
          </w:p>
        </w:tc>
        <w:tc>
          <w:tcPr>
            <w:tcW w:w="3913" w:type="dxa"/>
            <w:tcBorders>
              <w:top w:val="nil"/>
              <w:left w:val="nil"/>
              <w:bottom w:val="single" w:sz="4" w:space="0" w:color="auto"/>
              <w:right w:val="single" w:sz="8" w:space="0" w:color="auto"/>
            </w:tcBorders>
            <w:shd w:val="clear" w:color="auto" w:fill="auto"/>
            <w:vAlign w:val="center"/>
          </w:tcPr>
          <w:p w14:paraId="7581C903" w14:textId="79D8C036" w:rsidR="009B7F1B" w:rsidRPr="00044655" w:rsidRDefault="009B7F1B" w:rsidP="009B7F1B">
            <w:pPr>
              <w:spacing w:after="0" w:line="360" w:lineRule="auto"/>
              <w:rPr>
                <w:rFonts w:eastAsia="Calibri"/>
                <w:lang w:val="es-DO"/>
              </w:rPr>
            </w:pPr>
            <w:r w:rsidRPr="00044655">
              <w:rPr>
                <w:rFonts w:eastAsia="Calibri"/>
                <w:lang w:val="es-DO"/>
              </w:rPr>
              <w:t>95% (meta)</w:t>
            </w:r>
            <w:r w:rsidRPr="00044655">
              <w:rPr>
                <w:rFonts w:eastAsia="Calibri"/>
                <w:lang w:val="es-DO"/>
              </w:rPr>
              <w:br/>
              <w:t>9</w:t>
            </w:r>
            <w:r w:rsidR="00035F71" w:rsidRPr="00044655">
              <w:rPr>
                <w:rFonts w:eastAsia="Calibri"/>
                <w:lang w:val="es-DO"/>
              </w:rPr>
              <w:t>5</w:t>
            </w:r>
            <w:r w:rsidRPr="00044655">
              <w:rPr>
                <w:rFonts w:eastAsia="Calibri"/>
                <w:lang w:val="es-DO"/>
              </w:rPr>
              <w:t>% (cumplimiento)</w:t>
            </w:r>
          </w:p>
        </w:tc>
      </w:tr>
      <w:tr w:rsidR="009B7F1B" w:rsidRPr="004B1D7E" w14:paraId="5AECA0FA" w14:textId="77777777" w:rsidTr="006E7F20">
        <w:trPr>
          <w:trHeight w:val="2941"/>
        </w:trPr>
        <w:tc>
          <w:tcPr>
            <w:tcW w:w="1710" w:type="dxa"/>
            <w:tcBorders>
              <w:top w:val="nil"/>
              <w:left w:val="single" w:sz="8" w:space="0" w:color="auto"/>
              <w:bottom w:val="single" w:sz="4" w:space="0" w:color="auto"/>
              <w:right w:val="single" w:sz="4" w:space="0" w:color="auto"/>
            </w:tcBorders>
            <w:shd w:val="clear" w:color="auto" w:fill="auto"/>
            <w:vAlign w:val="center"/>
          </w:tcPr>
          <w:p w14:paraId="783EF3AA" w14:textId="77777777" w:rsidR="009B7F1B" w:rsidRPr="00044655" w:rsidRDefault="009B7F1B" w:rsidP="009B7F1B">
            <w:pPr>
              <w:spacing w:after="0" w:line="360" w:lineRule="auto"/>
              <w:jc w:val="both"/>
              <w:rPr>
                <w:rFonts w:eastAsia="Calibri"/>
                <w:lang w:val="es-DO"/>
              </w:rPr>
            </w:pPr>
            <w:r w:rsidRPr="00044655">
              <w:rPr>
                <w:rFonts w:eastAsia="Calibri"/>
                <w:lang w:val="es-DO"/>
              </w:rPr>
              <w:t>Acceso a salud universal</w:t>
            </w:r>
          </w:p>
        </w:tc>
        <w:tc>
          <w:tcPr>
            <w:tcW w:w="1907" w:type="dxa"/>
            <w:tcBorders>
              <w:top w:val="nil"/>
              <w:left w:val="nil"/>
              <w:bottom w:val="single" w:sz="4" w:space="0" w:color="auto"/>
              <w:right w:val="single" w:sz="4" w:space="0" w:color="auto"/>
            </w:tcBorders>
            <w:shd w:val="clear" w:color="auto" w:fill="auto"/>
            <w:vAlign w:val="center"/>
          </w:tcPr>
          <w:p w14:paraId="2216B559" w14:textId="77777777" w:rsidR="009B7F1B" w:rsidRPr="00044655" w:rsidRDefault="009B7F1B" w:rsidP="009B7F1B">
            <w:pPr>
              <w:spacing w:after="0" w:line="360" w:lineRule="auto"/>
              <w:jc w:val="both"/>
              <w:rPr>
                <w:rFonts w:eastAsia="Calibri"/>
                <w:lang w:val="es-DO"/>
              </w:rPr>
            </w:pPr>
            <w:r w:rsidRPr="00044655">
              <w:rPr>
                <w:rFonts w:eastAsia="Calibri"/>
                <w:lang w:val="es-DO"/>
              </w:rPr>
              <w:t>Garantizada la cobertura universal de aseguramiento en salud de la población</w:t>
            </w:r>
          </w:p>
        </w:tc>
        <w:tc>
          <w:tcPr>
            <w:tcW w:w="3984" w:type="dxa"/>
            <w:tcBorders>
              <w:top w:val="nil"/>
              <w:left w:val="nil"/>
              <w:bottom w:val="single" w:sz="4" w:space="0" w:color="auto"/>
              <w:right w:val="single" w:sz="4" w:space="0" w:color="auto"/>
            </w:tcBorders>
            <w:shd w:val="clear" w:color="auto" w:fill="auto"/>
            <w:vAlign w:val="center"/>
          </w:tcPr>
          <w:p w14:paraId="5C37E315" w14:textId="77777777" w:rsidR="009B7F1B" w:rsidRPr="00044655" w:rsidRDefault="009B7F1B" w:rsidP="009B7F1B">
            <w:pPr>
              <w:spacing w:after="0" w:line="360" w:lineRule="auto"/>
              <w:jc w:val="both"/>
              <w:rPr>
                <w:rFonts w:eastAsia="Calibri"/>
                <w:lang w:val="es-DO"/>
              </w:rPr>
            </w:pPr>
            <w:r w:rsidRPr="00044655">
              <w:rPr>
                <w:rFonts w:eastAsia="Calibri"/>
                <w:lang w:val="es-DO"/>
              </w:rPr>
              <w:t>Mayor efectividad en la ejecución del procedimiento de cobros y aplicación de multas para someter infractores /</w:t>
            </w:r>
            <w:r w:rsidRPr="00044655">
              <w:rPr>
                <w:rFonts w:eastAsia="Calibri"/>
                <w:b/>
                <w:bCs/>
                <w:lang w:val="es-DO"/>
              </w:rPr>
              <w:t> Disminuir el Índice de Morosidad</w:t>
            </w:r>
          </w:p>
        </w:tc>
        <w:tc>
          <w:tcPr>
            <w:tcW w:w="3913" w:type="dxa"/>
            <w:tcBorders>
              <w:top w:val="nil"/>
              <w:left w:val="nil"/>
              <w:bottom w:val="single" w:sz="4" w:space="0" w:color="auto"/>
              <w:right w:val="single" w:sz="8" w:space="0" w:color="auto"/>
            </w:tcBorders>
            <w:shd w:val="clear" w:color="auto" w:fill="auto"/>
            <w:vAlign w:val="center"/>
          </w:tcPr>
          <w:p w14:paraId="670F8EF8" w14:textId="688A5AB2" w:rsidR="009B7F1B" w:rsidRPr="00044655" w:rsidRDefault="009B7F1B" w:rsidP="009B7F1B">
            <w:pPr>
              <w:spacing w:after="0" w:line="360" w:lineRule="auto"/>
              <w:jc w:val="both"/>
              <w:rPr>
                <w:rFonts w:eastAsia="Calibri"/>
                <w:lang w:val="es-DO"/>
              </w:rPr>
            </w:pPr>
            <w:r w:rsidRPr="00044655">
              <w:rPr>
                <w:rFonts w:eastAsia="Calibri"/>
                <w:lang w:val="es-DO"/>
              </w:rPr>
              <w:t>24%(meta)</w:t>
            </w:r>
            <w:r w:rsidRPr="00044655">
              <w:rPr>
                <w:rFonts w:eastAsia="Calibri"/>
                <w:lang w:val="es-DO"/>
              </w:rPr>
              <w:br/>
              <w:t xml:space="preserve">1-Al cierre del año se depositaron </w:t>
            </w:r>
            <w:r w:rsidR="00D92020" w:rsidRPr="00044655">
              <w:rPr>
                <w:rFonts w:eastAsia="Calibri"/>
                <w:lang w:val="es-DO"/>
              </w:rPr>
              <w:t>2 casos pendientes del periodo 2023 lo que suma un total de 103</w:t>
            </w:r>
            <w:r w:rsidRPr="00044655">
              <w:rPr>
                <w:rFonts w:eastAsia="Calibri"/>
                <w:lang w:val="es-DO"/>
              </w:rPr>
              <w:t xml:space="preserve"> denuncias en la Procuraduría General de la República, lo que representan un perjuicio económico para el </w:t>
            </w:r>
            <w:r w:rsidRPr="00044655">
              <w:rPr>
                <w:rFonts w:eastAsia="Calibri"/>
                <w:lang w:val="es-DO"/>
              </w:rPr>
              <w:lastRenderedPageBreak/>
              <w:t xml:space="preserve">Sistema Dominicano de Seguridad Social (SDSS), </w:t>
            </w:r>
            <w:r w:rsidR="00D92020" w:rsidRPr="00044655">
              <w:rPr>
                <w:rFonts w:eastAsia="Calibri"/>
                <w:lang w:val="es-DO"/>
              </w:rPr>
              <w:t>las cuales se asocian a un registro irregular que involucra 15,272 personas como supuestos trabajadores, lo que se traduce en una pérdida económica detectada que ascendió a los Sesenta y Seis Millones de Pesos Dominicanos con 00/100 (RD$66,000,000.00),</w:t>
            </w:r>
            <w:r w:rsidRPr="00044655">
              <w:rPr>
                <w:rFonts w:eastAsia="Calibri"/>
                <w:lang w:val="es-DO"/>
              </w:rPr>
              <w:br/>
              <w:t xml:space="preserve">2-Fueron generados </w:t>
            </w:r>
            <w:r w:rsidR="00D92020" w:rsidRPr="00044655">
              <w:rPr>
                <w:rFonts w:eastAsia="Calibri"/>
                <w:lang w:val="es-DO"/>
              </w:rPr>
              <w:t>1,249</w:t>
            </w:r>
            <w:r w:rsidRPr="00044655">
              <w:rPr>
                <w:rFonts w:eastAsia="Calibri"/>
                <w:lang w:val="es-DO"/>
              </w:rPr>
              <w:t xml:space="preserve"> Acuerdos de Pagos a empleadores morosos</w:t>
            </w:r>
            <w:r w:rsidR="00D92020" w:rsidRPr="00044655">
              <w:rPr>
                <w:rFonts w:eastAsia="Calibri"/>
                <w:lang w:val="es-DO"/>
              </w:rPr>
              <w:t>.</w:t>
            </w:r>
          </w:p>
        </w:tc>
      </w:tr>
      <w:tr w:rsidR="009B7F1B" w:rsidRPr="004B1D7E" w14:paraId="68C9CF1A" w14:textId="77777777" w:rsidTr="006E7F20">
        <w:trPr>
          <w:trHeight w:val="80"/>
        </w:trPr>
        <w:tc>
          <w:tcPr>
            <w:tcW w:w="1710" w:type="dxa"/>
            <w:tcBorders>
              <w:top w:val="nil"/>
              <w:left w:val="single" w:sz="8" w:space="0" w:color="auto"/>
              <w:bottom w:val="single" w:sz="4" w:space="0" w:color="auto"/>
              <w:right w:val="single" w:sz="4" w:space="0" w:color="auto"/>
            </w:tcBorders>
            <w:shd w:val="clear" w:color="auto" w:fill="auto"/>
            <w:vAlign w:val="center"/>
          </w:tcPr>
          <w:p w14:paraId="42E86B57" w14:textId="77777777" w:rsidR="009B7F1B" w:rsidRPr="00044655" w:rsidRDefault="009B7F1B" w:rsidP="009B7F1B">
            <w:pPr>
              <w:spacing w:after="0" w:line="360" w:lineRule="auto"/>
              <w:jc w:val="both"/>
              <w:rPr>
                <w:rFonts w:eastAsia="Calibri"/>
                <w:lang w:val="es-DO"/>
              </w:rPr>
            </w:pPr>
            <w:r w:rsidRPr="00044655">
              <w:rPr>
                <w:rFonts w:eastAsia="Calibri"/>
                <w:lang w:val="es-DO"/>
              </w:rPr>
              <w:lastRenderedPageBreak/>
              <w:t xml:space="preserve">Gestión de datos para análisis y toma de decisiones / Crear </w:t>
            </w:r>
            <w:r w:rsidRPr="00044655">
              <w:rPr>
                <w:rFonts w:eastAsia="Calibri"/>
                <w:lang w:val="es-DO"/>
              </w:rPr>
              <w:lastRenderedPageBreak/>
              <w:t>oportunidades para la juventud</w:t>
            </w:r>
          </w:p>
        </w:tc>
        <w:tc>
          <w:tcPr>
            <w:tcW w:w="1907" w:type="dxa"/>
            <w:tcBorders>
              <w:top w:val="nil"/>
              <w:left w:val="nil"/>
              <w:bottom w:val="single" w:sz="4" w:space="0" w:color="auto"/>
              <w:right w:val="single" w:sz="4" w:space="0" w:color="auto"/>
            </w:tcBorders>
            <w:shd w:val="clear" w:color="auto" w:fill="auto"/>
            <w:vAlign w:val="center"/>
          </w:tcPr>
          <w:p w14:paraId="696ABE3F" w14:textId="77777777" w:rsidR="009B7F1B" w:rsidRPr="00044655" w:rsidRDefault="009B7F1B" w:rsidP="009B7F1B">
            <w:pPr>
              <w:spacing w:after="0" w:line="360" w:lineRule="auto"/>
              <w:jc w:val="both"/>
              <w:rPr>
                <w:rFonts w:eastAsia="Calibri"/>
                <w:lang w:val="es-DO"/>
              </w:rPr>
            </w:pPr>
            <w:r w:rsidRPr="00044655">
              <w:rPr>
                <w:rFonts w:eastAsia="Calibri"/>
                <w:lang w:val="es-DO"/>
              </w:rPr>
              <w:lastRenderedPageBreak/>
              <w:t xml:space="preserve">Aumentada la producción de estadísticas e indicadores económicos </w:t>
            </w:r>
            <w:r w:rsidRPr="00044655">
              <w:rPr>
                <w:rFonts w:eastAsia="Calibri"/>
                <w:lang w:val="es-DO"/>
              </w:rPr>
              <w:lastRenderedPageBreak/>
              <w:t>desagregados en el territorio</w:t>
            </w:r>
          </w:p>
        </w:tc>
        <w:tc>
          <w:tcPr>
            <w:tcW w:w="3984" w:type="dxa"/>
            <w:tcBorders>
              <w:top w:val="nil"/>
              <w:left w:val="nil"/>
              <w:bottom w:val="single" w:sz="4" w:space="0" w:color="auto"/>
              <w:right w:val="single" w:sz="4" w:space="0" w:color="auto"/>
            </w:tcBorders>
            <w:shd w:val="clear" w:color="auto" w:fill="auto"/>
            <w:vAlign w:val="center"/>
          </w:tcPr>
          <w:p w14:paraId="3F116854" w14:textId="77777777" w:rsidR="009B7F1B" w:rsidRPr="00044655" w:rsidRDefault="009B7F1B" w:rsidP="009B7F1B">
            <w:pPr>
              <w:spacing w:after="0" w:line="360" w:lineRule="auto"/>
              <w:jc w:val="both"/>
              <w:rPr>
                <w:rFonts w:eastAsia="Calibri"/>
                <w:lang w:val="es-DO"/>
              </w:rPr>
            </w:pPr>
            <w:r w:rsidRPr="00044655">
              <w:rPr>
                <w:rFonts w:eastAsia="Calibri"/>
                <w:lang w:val="es-DO"/>
              </w:rPr>
              <w:lastRenderedPageBreak/>
              <w:t>Fortalecido el acceso a las informaciones del sistema para mejorar el análisis y la toma de decisiones basadas en evidencia / </w:t>
            </w:r>
            <w:r w:rsidRPr="00044655">
              <w:rPr>
                <w:rFonts w:eastAsia="Calibri"/>
                <w:b/>
                <w:bCs/>
                <w:lang w:val="es-DO"/>
              </w:rPr>
              <w:t>Cantidad de informes publicados</w:t>
            </w:r>
          </w:p>
        </w:tc>
        <w:tc>
          <w:tcPr>
            <w:tcW w:w="3913" w:type="dxa"/>
            <w:tcBorders>
              <w:top w:val="nil"/>
              <w:left w:val="nil"/>
              <w:bottom w:val="single" w:sz="4" w:space="0" w:color="auto"/>
              <w:right w:val="single" w:sz="8" w:space="0" w:color="auto"/>
            </w:tcBorders>
            <w:shd w:val="clear" w:color="auto" w:fill="auto"/>
            <w:vAlign w:val="center"/>
          </w:tcPr>
          <w:p w14:paraId="19DC3882" w14:textId="77777777" w:rsidR="009B7F1B" w:rsidRPr="00044655" w:rsidRDefault="009B7F1B" w:rsidP="009B7F1B">
            <w:pPr>
              <w:spacing w:after="0" w:line="360" w:lineRule="auto"/>
              <w:jc w:val="both"/>
              <w:rPr>
                <w:rFonts w:eastAsia="Calibri"/>
                <w:lang w:val="es-DO"/>
              </w:rPr>
            </w:pPr>
            <w:r w:rsidRPr="00044655">
              <w:rPr>
                <w:rFonts w:eastAsia="Calibri"/>
                <w:lang w:val="es-DO"/>
              </w:rPr>
              <w:t>-Informe estadístico sobre la cobertura de salud del SDSS</w:t>
            </w:r>
            <w:r w:rsidRPr="00044655">
              <w:rPr>
                <w:rFonts w:eastAsia="Calibri"/>
                <w:lang w:val="es-DO"/>
              </w:rPr>
              <w:br/>
              <w:t>-Panorama laboral del SDSS / Estadísticas de recaudo/ Historial Boletín Estadístico de Recaudo 2014 – 2020</w:t>
            </w:r>
            <w:r w:rsidRPr="00044655">
              <w:rPr>
                <w:rFonts w:eastAsia="Calibri"/>
                <w:lang w:val="es-DO"/>
              </w:rPr>
              <w:br/>
            </w:r>
            <w:r w:rsidRPr="00044655">
              <w:rPr>
                <w:rFonts w:eastAsia="Calibri"/>
                <w:lang w:val="es-DO"/>
              </w:rPr>
              <w:lastRenderedPageBreak/>
              <w:t>-Análisis trabajadores suspendidos</w:t>
            </w:r>
            <w:r w:rsidRPr="00044655">
              <w:rPr>
                <w:rFonts w:eastAsia="Calibri"/>
                <w:lang w:val="es-DO"/>
              </w:rPr>
              <w:br/>
              <w:t>Estas informaciones están siendo el principal referente por instituciones gubernamentales y de consumo particular del ciudadano para fines de estudio, medición y evaluación del comportamiento del SDSS y toma de decisiones para la formulación de políticas públicas.</w:t>
            </w:r>
            <w:r w:rsidRPr="00044655">
              <w:rPr>
                <w:rFonts w:eastAsia="Calibri"/>
                <w:lang w:val="es-DO"/>
              </w:rPr>
              <w:br/>
              <w:t>-Tableros interactivos</w:t>
            </w:r>
          </w:p>
          <w:p w14:paraId="30708C79" w14:textId="77777777" w:rsidR="009B7F1B" w:rsidRPr="00044655" w:rsidRDefault="009B7F1B" w:rsidP="009B7F1B">
            <w:pPr>
              <w:spacing w:after="0" w:line="360" w:lineRule="auto"/>
              <w:jc w:val="both"/>
              <w:rPr>
                <w:rFonts w:eastAsia="Calibri"/>
                <w:lang w:val="es-DO"/>
              </w:rPr>
            </w:pPr>
            <w:r w:rsidRPr="00044655">
              <w:rPr>
                <w:rFonts w:eastAsia="Calibri"/>
                <w:lang w:val="es-DO"/>
              </w:rPr>
              <w:t>-Histórico de cotizantes / Tablas Dinámicas</w:t>
            </w:r>
            <w:r w:rsidRPr="00044655">
              <w:rPr>
                <w:rFonts w:eastAsia="Calibri"/>
                <w:lang w:val="es-DO"/>
              </w:rPr>
              <w:br/>
            </w:r>
          </w:p>
        </w:tc>
      </w:tr>
      <w:tr w:rsidR="009B7F1B" w:rsidRPr="004B1D7E" w14:paraId="45043BB8" w14:textId="77777777" w:rsidTr="006E7F20">
        <w:trPr>
          <w:trHeight w:val="651"/>
        </w:trPr>
        <w:tc>
          <w:tcPr>
            <w:tcW w:w="1710"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211B0DC9" w14:textId="77777777" w:rsidR="009B7F1B" w:rsidRPr="009B7F1B" w:rsidRDefault="009B7F1B" w:rsidP="009B7F1B">
            <w:pPr>
              <w:spacing w:after="0" w:line="240" w:lineRule="auto"/>
              <w:jc w:val="center"/>
              <w:rPr>
                <w:rFonts w:asciiTheme="minorHAnsi" w:eastAsia="Times New Roman" w:hAnsiTheme="minorHAnsi" w:cstheme="minorBidi"/>
                <w:b/>
                <w:bCs/>
                <w:color w:val="auto"/>
                <w:spacing w:val="0"/>
                <w:sz w:val="22"/>
                <w:szCs w:val="22"/>
                <w:lang w:val="es-DO"/>
              </w:rPr>
            </w:pPr>
            <w:r w:rsidRPr="009B7F1B">
              <w:rPr>
                <w:rFonts w:asciiTheme="minorHAnsi" w:eastAsia="Times New Roman" w:hAnsiTheme="minorHAnsi" w:cstheme="minorBidi"/>
                <w:b/>
                <w:bCs/>
                <w:color w:val="auto"/>
                <w:spacing w:val="0"/>
                <w:sz w:val="22"/>
                <w:szCs w:val="22"/>
                <w:lang w:val="es-DO"/>
              </w:rPr>
              <w:lastRenderedPageBreak/>
              <w:t> </w:t>
            </w:r>
          </w:p>
        </w:tc>
        <w:tc>
          <w:tcPr>
            <w:tcW w:w="1907" w:type="dxa"/>
            <w:tcBorders>
              <w:top w:val="single" w:sz="8" w:space="0" w:color="auto"/>
              <w:left w:val="nil"/>
              <w:bottom w:val="single" w:sz="4" w:space="0" w:color="auto"/>
              <w:right w:val="single" w:sz="4" w:space="0" w:color="auto"/>
            </w:tcBorders>
            <w:shd w:val="clear" w:color="000000" w:fill="002060"/>
            <w:vAlign w:val="center"/>
            <w:hideMark/>
          </w:tcPr>
          <w:p w14:paraId="25EC9CBB" w14:textId="77777777" w:rsidR="009B7F1B" w:rsidRPr="009B7F1B" w:rsidRDefault="009B7F1B" w:rsidP="009B7F1B">
            <w:pPr>
              <w:spacing w:after="0" w:line="240" w:lineRule="auto"/>
              <w:jc w:val="center"/>
              <w:rPr>
                <w:rFonts w:asciiTheme="minorHAnsi" w:eastAsia="Times New Roman" w:hAnsiTheme="minorHAnsi" w:cstheme="minorBidi"/>
                <w:b/>
                <w:bCs/>
                <w:color w:val="auto"/>
                <w:spacing w:val="0"/>
                <w:sz w:val="22"/>
                <w:szCs w:val="22"/>
                <w:lang w:val="es-DO"/>
              </w:rPr>
            </w:pPr>
            <w:r w:rsidRPr="009B7F1B">
              <w:rPr>
                <w:rFonts w:asciiTheme="minorHAnsi" w:eastAsia="Times New Roman" w:hAnsiTheme="minorHAnsi" w:cstheme="minorBidi"/>
                <w:b/>
                <w:bCs/>
                <w:color w:val="auto"/>
                <w:spacing w:val="0"/>
                <w:sz w:val="22"/>
                <w:szCs w:val="22"/>
                <w:lang w:val="es-DO"/>
              </w:rPr>
              <w:t> </w:t>
            </w:r>
          </w:p>
        </w:tc>
        <w:tc>
          <w:tcPr>
            <w:tcW w:w="3984" w:type="dxa"/>
            <w:tcBorders>
              <w:top w:val="single" w:sz="8" w:space="0" w:color="auto"/>
              <w:left w:val="nil"/>
              <w:bottom w:val="single" w:sz="4" w:space="0" w:color="auto"/>
              <w:right w:val="single" w:sz="4" w:space="0" w:color="auto"/>
            </w:tcBorders>
            <w:shd w:val="clear" w:color="000000" w:fill="002060"/>
            <w:vAlign w:val="center"/>
            <w:hideMark/>
          </w:tcPr>
          <w:p w14:paraId="01457B11" w14:textId="77777777" w:rsidR="009B7F1B" w:rsidRPr="009B7F1B" w:rsidRDefault="009B7F1B" w:rsidP="009B7F1B">
            <w:pPr>
              <w:spacing w:after="0" w:line="240" w:lineRule="auto"/>
              <w:jc w:val="center"/>
              <w:rPr>
                <w:rFonts w:asciiTheme="minorHAnsi" w:eastAsia="Times New Roman" w:hAnsiTheme="minorHAnsi" w:cstheme="minorBidi"/>
                <w:b/>
                <w:bCs/>
                <w:color w:val="auto"/>
                <w:spacing w:val="0"/>
                <w:sz w:val="22"/>
                <w:szCs w:val="22"/>
                <w:lang w:val="es-DO"/>
              </w:rPr>
            </w:pPr>
            <w:r w:rsidRPr="009B7F1B">
              <w:rPr>
                <w:rFonts w:asciiTheme="minorHAnsi" w:eastAsia="Times New Roman" w:hAnsiTheme="minorHAnsi" w:cstheme="minorBidi"/>
                <w:b/>
                <w:bCs/>
                <w:color w:val="auto"/>
                <w:spacing w:val="0"/>
                <w:sz w:val="22"/>
                <w:szCs w:val="22"/>
                <w:lang w:val="es-DO"/>
              </w:rPr>
              <w:t> </w:t>
            </w:r>
          </w:p>
        </w:tc>
        <w:tc>
          <w:tcPr>
            <w:tcW w:w="3913" w:type="dxa"/>
            <w:tcBorders>
              <w:top w:val="single" w:sz="8" w:space="0" w:color="auto"/>
              <w:left w:val="nil"/>
              <w:bottom w:val="single" w:sz="4" w:space="0" w:color="auto"/>
              <w:right w:val="single" w:sz="8" w:space="0" w:color="auto"/>
            </w:tcBorders>
            <w:shd w:val="clear" w:color="000000" w:fill="002060"/>
            <w:vAlign w:val="center"/>
            <w:hideMark/>
          </w:tcPr>
          <w:p w14:paraId="618EF971" w14:textId="77777777" w:rsidR="009B7F1B" w:rsidRPr="009B7F1B" w:rsidRDefault="009B7F1B" w:rsidP="009B7F1B">
            <w:pPr>
              <w:spacing w:after="0" w:line="240" w:lineRule="auto"/>
              <w:jc w:val="center"/>
              <w:rPr>
                <w:rFonts w:asciiTheme="minorHAnsi" w:eastAsia="Times New Roman" w:hAnsiTheme="minorHAnsi" w:cstheme="minorBidi"/>
                <w:b/>
                <w:bCs/>
                <w:color w:val="auto"/>
                <w:spacing w:val="0"/>
                <w:sz w:val="22"/>
                <w:szCs w:val="22"/>
                <w:lang w:val="es-DO"/>
              </w:rPr>
            </w:pPr>
            <w:r w:rsidRPr="009B7F1B">
              <w:rPr>
                <w:rFonts w:asciiTheme="minorHAnsi" w:eastAsia="Times New Roman" w:hAnsiTheme="minorHAnsi" w:cstheme="minorBidi"/>
                <w:b/>
                <w:bCs/>
                <w:color w:val="auto"/>
                <w:spacing w:val="0"/>
                <w:sz w:val="22"/>
                <w:szCs w:val="22"/>
                <w:lang w:val="es-DO"/>
              </w:rPr>
              <w:t> </w:t>
            </w:r>
          </w:p>
        </w:tc>
      </w:tr>
    </w:tbl>
    <w:p w14:paraId="4E73D4B7" w14:textId="65A34E7C" w:rsidR="009B7F1B" w:rsidRPr="009B7F1B" w:rsidRDefault="00DB3220" w:rsidP="009B7F1B">
      <w:pPr>
        <w:ind w:left="-720"/>
        <w:rPr>
          <w:rFonts w:asciiTheme="minorHAnsi" w:hAnsiTheme="minorHAnsi" w:cstheme="minorBidi"/>
          <w:b/>
          <w:color w:val="auto"/>
          <w:spacing w:val="0"/>
          <w:sz w:val="22"/>
          <w:szCs w:val="22"/>
          <w:lang w:val="es-DO"/>
        </w:rPr>
        <w:sectPr w:rsidR="009B7F1B" w:rsidRPr="009B7F1B" w:rsidSect="0024725E">
          <w:footerReference w:type="default" r:id="rId23"/>
          <w:pgSz w:w="15840" w:h="12240" w:orient="landscape"/>
          <w:pgMar w:top="1440" w:right="2160" w:bottom="1440" w:left="2160" w:header="720" w:footer="720" w:gutter="0"/>
          <w:cols w:space="720"/>
          <w:docGrid w:linePitch="360"/>
        </w:sectPr>
      </w:pPr>
      <w:r>
        <w:rPr>
          <w:rFonts w:eastAsia="Calibri"/>
          <w:b/>
          <w:bCs/>
          <w:sz w:val="18"/>
          <w:szCs w:val="18"/>
          <w:lang w:val="es-DO"/>
        </w:rPr>
        <w:t xml:space="preserve">          </w:t>
      </w:r>
      <w:r w:rsidR="009B7F1B" w:rsidRPr="009B7F1B">
        <w:rPr>
          <w:rFonts w:eastAsia="Calibri"/>
          <w:b/>
          <w:bCs/>
          <w:sz w:val="18"/>
          <w:szCs w:val="18"/>
          <w:lang w:val="es-DO"/>
        </w:rPr>
        <w:t>Tabla</w:t>
      </w:r>
      <w:r w:rsidR="009B7F1B" w:rsidRPr="009B7F1B">
        <w:rPr>
          <w:rFonts w:asciiTheme="minorHAnsi" w:hAnsiTheme="minorHAnsi" w:cstheme="minorBidi"/>
          <w:color w:val="auto"/>
          <w:spacing w:val="0"/>
          <w:sz w:val="22"/>
          <w:szCs w:val="22"/>
          <w:lang w:val="es-DO"/>
        </w:rPr>
        <w:t xml:space="preserve"> </w:t>
      </w:r>
      <w:r w:rsidR="009B7F1B" w:rsidRPr="009B7F1B">
        <w:rPr>
          <w:rFonts w:eastAsia="Calibri"/>
          <w:b/>
          <w:bCs/>
          <w:sz w:val="18"/>
          <w:szCs w:val="18"/>
          <w:lang w:val="es-DO"/>
        </w:rPr>
        <w:t>1</w:t>
      </w:r>
      <w:r w:rsidR="00C50277">
        <w:rPr>
          <w:rFonts w:eastAsia="Calibri"/>
          <w:b/>
          <w:bCs/>
          <w:sz w:val="18"/>
          <w:szCs w:val="18"/>
          <w:lang w:val="es-DO"/>
        </w:rPr>
        <w:t>4</w:t>
      </w:r>
      <w:r w:rsidR="009B7F1B" w:rsidRPr="009B7F1B">
        <w:rPr>
          <w:rFonts w:eastAsia="Calibri"/>
          <w:b/>
          <w:bCs/>
          <w:sz w:val="18"/>
          <w:szCs w:val="18"/>
          <w:lang w:val="es-DO"/>
        </w:rPr>
        <w:t xml:space="preserve">:  </w:t>
      </w:r>
      <w:r w:rsidR="009B7F1B" w:rsidRPr="009B7F1B">
        <w:rPr>
          <w:rFonts w:eastAsia="Calibri"/>
          <w:sz w:val="18"/>
          <w:szCs w:val="18"/>
          <w:lang w:val="es-DO"/>
        </w:rPr>
        <w:t>Principales indicadores misionales al 202</w:t>
      </w:r>
      <w:r w:rsidR="00BD3280">
        <w:rPr>
          <w:rFonts w:eastAsia="Calibri"/>
          <w:sz w:val="18"/>
          <w:szCs w:val="18"/>
          <w:lang w:val="es-DO"/>
        </w:rPr>
        <w:t>4</w:t>
      </w:r>
    </w:p>
    <w:bookmarkStart w:id="65" w:name="_Toc185245099"/>
    <w:p w14:paraId="480AB252" w14:textId="6C35C0AB" w:rsidR="00654164" w:rsidRPr="00771010" w:rsidRDefault="00771010" w:rsidP="00771010">
      <w:pPr>
        <w:pStyle w:val="Heading1"/>
        <w:spacing w:after="240"/>
        <w:ind w:left="270" w:hanging="360"/>
        <w:rPr>
          <w:spacing w:val="0"/>
          <w:lang w:val="es-DO"/>
        </w:rPr>
      </w:pPr>
      <w:r w:rsidRPr="0082260F">
        <w:rPr>
          <w:rFonts w:eastAsia="Calibri"/>
          <w:noProof/>
          <w:color w:val="4C4747"/>
          <w:sz w:val="18"/>
        </w:rPr>
        <w:lastRenderedPageBreak/>
        <mc:AlternateContent>
          <mc:Choice Requires="wps">
            <w:drawing>
              <wp:anchor distT="0" distB="0" distL="114300" distR="114300" simplePos="0" relativeHeight="251658254" behindDoc="0" locked="0" layoutInCell="1" allowOverlap="1" wp14:anchorId="76EDFA29" wp14:editId="0BAE9CF2">
                <wp:simplePos x="0" y="0"/>
                <wp:positionH relativeFrom="margin">
                  <wp:posOffset>2238616</wp:posOffset>
                </wp:positionH>
                <wp:positionV relativeFrom="paragraph">
                  <wp:posOffset>680720</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CEF68" id="Straight Connector 15" o:spid="_x0000_s1026" style="position:absolute;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25pt,53.6pt" to="212.7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" strokecolor="#ee2a24" strokeweight="2.25pt">
                <v:stroke joinstyle="miter"/>
                <w10:wrap anchorx="margin"/>
              </v:line>
            </w:pict>
          </mc:Fallback>
        </mc:AlternateContent>
      </w:r>
      <w:r>
        <w:rPr>
          <w:spacing w:val="0"/>
          <w:lang w:val="es-DO"/>
        </w:rPr>
        <w:t xml:space="preserve">IV. </w:t>
      </w:r>
      <w:r w:rsidR="00654164" w:rsidRPr="00771010">
        <w:rPr>
          <w:spacing w:val="0"/>
          <w:lang w:val="es-DO"/>
        </w:rPr>
        <w:t>RESULTADOS DE LAS ÁREAS TRANSVERSALES Y DE APOYO</w:t>
      </w:r>
      <w:bookmarkEnd w:id="65"/>
    </w:p>
    <w:p w14:paraId="742E354D" w14:textId="2F1BD3AF" w:rsidR="00654164" w:rsidRPr="00B86835" w:rsidRDefault="00771010" w:rsidP="00771010">
      <w:pPr>
        <w:spacing w:line="360" w:lineRule="auto"/>
        <w:jc w:val="both"/>
        <w:rPr>
          <w:sz w:val="22"/>
          <w:szCs w:val="36"/>
          <w:lang w:val="es-DO"/>
        </w:rPr>
      </w:pPr>
      <w:r>
        <w:rPr>
          <w:sz w:val="22"/>
          <w:szCs w:val="36"/>
          <w:lang w:val="es-DO"/>
        </w:rPr>
        <w:t xml:space="preserve">                                    </w:t>
      </w:r>
      <w:r w:rsidR="00654164" w:rsidRPr="00B86835">
        <w:rPr>
          <w:sz w:val="22"/>
          <w:szCs w:val="36"/>
          <w:lang w:val="es-DO"/>
        </w:rPr>
        <w:t xml:space="preserve">Memoria </w:t>
      </w:r>
      <w:r w:rsidR="00F05DF4" w:rsidRPr="00B86835">
        <w:rPr>
          <w:sz w:val="22"/>
          <w:szCs w:val="36"/>
          <w:lang w:val="es-DO"/>
        </w:rPr>
        <w:t>I</w:t>
      </w:r>
      <w:r w:rsidR="00654164" w:rsidRPr="00B86835">
        <w:rPr>
          <w:sz w:val="22"/>
          <w:szCs w:val="36"/>
          <w:lang w:val="es-DO"/>
        </w:rPr>
        <w:t xml:space="preserve">nstitucional </w:t>
      </w:r>
      <w:r w:rsidR="000025D4" w:rsidRPr="00B86835">
        <w:rPr>
          <w:sz w:val="22"/>
          <w:szCs w:val="36"/>
          <w:lang w:val="es-DO"/>
        </w:rPr>
        <w:t>2024</w:t>
      </w:r>
    </w:p>
    <w:p w14:paraId="681CE754" w14:textId="117FA82D" w:rsidR="00771010" w:rsidRPr="00F20655" w:rsidRDefault="00044655" w:rsidP="00044655">
      <w:pPr>
        <w:pStyle w:val="Heading1"/>
        <w:spacing w:after="240" w:line="259" w:lineRule="auto"/>
        <w:jc w:val="both"/>
        <w:rPr>
          <w:spacing w:val="0"/>
          <w:lang w:val="es-DO"/>
        </w:rPr>
      </w:pPr>
      <w:bookmarkStart w:id="66" w:name="_Toc154736701"/>
      <w:bookmarkStart w:id="67" w:name="_Toc185245100"/>
      <w:r>
        <w:rPr>
          <w:spacing w:val="0"/>
          <w:lang w:val="es-DO"/>
        </w:rPr>
        <w:t xml:space="preserve">4.1 </w:t>
      </w:r>
      <w:r w:rsidR="00771010" w:rsidRPr="00F20655">
        <w:rPr>
          <w:spacing w:val="0"/>
          <w:lang w:val="es-DO"/>
        </w:rPr>
        <w:t>Desempeño Área Administrativa y Financiera</w:t>
      </w:r>
      <w:bookmarkEnd w:id="66"/>
      <w:bookmarkEnd w:id="67"/>
    </w:p>
    <w:p w14:paraId="1DE35B0E" w14:textId="43EA13B5" w:rsidR="00A02E84" w:rsidRPr="00A02E84" w:rsidRDefault="00A02E84" w:rsidP="00667D63">
      <w:pPr>
        <w:spacing w:line="360" w:lineRule="auto"/>
        <w:jc w:val="both"/>
        <w:rPr>
          <w:rFonts w:eastAsia="Calibri"/>
          <w:noProof/>
          <w:color w:val="808080" w:themeColor="background1" w:themeShade="80"/>
          <w:lang w:val="es-DO"/>
        </w:rPr>
      </w:pPr>
      <w:r w:rsidRPr="00A02E84">
        <w:rPr>
          <w:rFonts w:eastAsia="Calibri"/>
          <w:noProof/>
          <w:color w:val="808080" w:themeColor="background1" w:themeShade="80"/>
          <w:lang w:val="es-DO"/>
        </w:rPr>
        <w:t>La Gestión Administrativa de la TSS sigue fortaleciéndose y consolidando jun</w:t>
      </w:r>
      <w:r w:rsidR="005C6E7B">
        <w:rPr>
          <w:rFonts w:eastAsia="Calibri"/>
          <w:noProof/>
          <w:color w:val="808080" w:themeColor="background1" w:themeShade="80"/>
          <w:lang w:val="es-DO"/>
        </w:rPr>
        <w:t>t</w:t>
      </w:r>
      <w:r w:rsidRPr="00A02E84">
        <w:rPr>
          <w:rFonts w:eastAsia="Calibri"/>
          <w:noProof/>
          <w:color w:val="808080" w:themeColor="background1" w:themeShade="80"/>
          <w:lang w:val="es-DO"/>
        </w:rPr>
        <w:t xml:space="preserve">o al crecimiento y desarrollo de la institución, sirviendo con claros estándares de ética, transparencia y excelencia que dan vida a nuestra filosofía institucional. </w:t>
      </w:r>
    </w:p>
    <w:p w14:paraId="3628EA66" w14:textId="77777777" w:rsidR="00A02E84" w:rsidRPr="00BC081A" w:rsidRDefault="00A02E84" w:rsidP="00667D63">
      <w:pPr>
        <w:spacing w:line="360" w:lineRule="auto"/>
        <w:jc w:val="both"/>
        <w:rPr>
          <w:b/>
          <w:bCs/>
          <w:lang w:val="es-DO"/>
        </w:rPr>
      </w:pPr>
      <w:bookmarkStart w:id="68" w:name="_Toc140587624"/>
      <w:bookmarkStart w:id="69" w:name="_Toc171677830"/>
      <w:bookmarkStart w:id="70" w:name="_Toc172118689"/>
      <w:bookmarkStart w:id="71" w:name="_Toc172119842"/>
      <w:bookmarkStart w:id="72" w:name="_Toc172120175"/>
      <w:bookmarkStart w:id="73" w:name="_Toc172121393"/>
      <w:r w:rsidRPr="00BC081A">
        <w:rPr>
          <w:b/>
          <w:bCs/>
          <w:lang w:val="es-DO"/>
        </w:rPr>
        <w:t>Gestión de Compras y Contrataciones</w:t>
      </w:r>
      <w:bookmarkEnd w:id="68"/>
      <w:bookmarkEnd w:id="69"/>
      <w:bookmarkEnd w:id="70"/>
      <w:bookmarkEnd w:id="71"/>
      <w:bookmarkEnd w:id="72"/>
      <w:bookmarkEnd w:id="73"/>
    </w:p>
    <w:p w14:paraId="5AB51B60" w14:textId="77777777" w:rsidR="00A02E84" w:rsidRPr="00A02E84" w:rsidRDefault="00A02E84" w:rsidP="00667D63">
      <w:pPr>
        <w:spacing w:before="240" w:line="360" w:lineRule="auto"/>
        <w:jc w:val="both"/>
        <w:rPr>
          <w:rFonts w:eastAsia="Calibri"/>
          <w:noProof/>
          <w:color w:val="808080" w:themeColor="background1" w:themeShade="80"/>
          <w:lang w:val="es-DO"/>
        </w:rPr>
      </w:pPr>
      <w:bookmarkStart w:id="74" w:name="_Toc139461512"/>
      <w:bookmarkStart w:id="75" w:name="_Toc140587631"/>
      <w:r w:rsidRPr="00A02E84">
        <w:rPr>
          <w:rFonts w:eastAsia="Calibri"/>
          <w:noProof/>
          <w:color w:val="808080" w:themeColor="background1" w:themeShade="80"/>
          <w:lang w:val="es-DO"/>
        </w:rPr>
        <w:t>La Gestión de Compras y Contrataciones de la TSS fue impactada durante el año 2024 con la entrada en vigor del nuevo Reglamento de Compras y Contrataciones aprobado mediante el Decreto no. 416-23. Se fortalecieron los procesos adaptándolos a la nueva normativa y se actualizaron los documentos estandarizados de la gestión.</w:t>
      </w:r>
    </w:p>
    <w:p w14:paraId="70E82749" w14:textId="499FB6A3" w:rsidR="00A02E84" w:rsidRPr="00A02E84" w:rsidRDefault="00A02E84" w:rsidP="00667D63">
      <w:pPr>
        <w:spacing w:before="240" w:line="360" w:lineRule="auto"/>
        <w:jc w:val="both"/>
        <w:rPr>
          <w:rFonts w:eastAsia="Calibri"/>
          <w:noProof/>
          <w:color w:val="808080" w:themeColor="background1" w:themeShade="80"/>
          <w:lang w:val="es-DO"/>
        </w:rPr>
      </w:pPr>
      <w:r w:rsidRPr="00A02E84">
        <w:rPr>
          <w:rFonts w:eastAsia="Calibri"/>
          <w:noProof/>
          <w:color w:val="808080" w:themeColor="background1" w:themeShade="80"/>
          <w:lang w:val="es-DO"/>
        </w:rPr>
        <w:t xml:space="preserve">Todo proceso de compras inicia con la planificación. En el área de compras y contrataciones se formaliza a través del Plan Anual de Compras y Contrataciones, que incluye todos los bienes, servicios y obras que serán adquiridos durante el período de un (01) año, actualizado trimestralmente. Al </w:t>
      </w:r>
      <w:r w:rsidR="00975E5A">
        <w:rPr>
          <w:rFonts w:eastAsia="Calibri"/>
          <w:noProof/>
          <w:color w:val="808080" w:themeColor="background1" w:themeShade="80"/>
          <w:lang w:val="es-DO"/>
        </w:rPr>
        <w:t>19</w:t>
      </w:r>
      <w:r w:rsidRPr="00A02E84">
        <w:rPr>
          <w:rFonts w:eastAsia="Calibri"/>
          <w:noProof/>
          <w:color w:val="808080" w:themeColor="background1" w:themeShade="80"/>
          <w:lang w:val="es-DO"/>
        </w:rPr>
        <w:t xml:space="preserve"> de </w:t>
      </w:r>
      <w:r w:rsidR="00975E5A">
        <w:rPr>
          <w:rFonts w:eastAsia="Calibri"/>
          <w:noProof/>
          <w:color w:val="808080" w:themeColor="background1" w:themeShade="80"/>
          <w:lang w:val="es-DO"/>
        </w:rPr>
        <w:t>dic</w:t>
      </w:r>
      <w:r w:rsidRPr="00A02E84">
        <w:rPr>
          <w:rFonts w:eastAsia="Calibri"/>
          <w:noProof/>
          <w:color w:val="808080" w:themeColor="background1" w:themeShade="80"/>
          <w:lang w:val="es-DO"/>
        </w:rPr>
        <w:t>iembre 2024 se encontraban publicados en el Sistema Electrónico de Contrataciones Públicas (SECP) un total de 2</w:t>
      </w:r>
      <w:r w:rsidR="00975E5A">
        <w:rPr>
          <w:rFonts w:eastAsia="Calibri"/>
          <w:noProof/>
          <w:color w:val="808080" w:themeColor="background1" w:themeShade="80"/>
          <w:lang w:val="es-DO"/>
        </w:rPr>
        <w:t>82</w:t>
      </w:r>
      <w:r w:rsidRPr="00A02E84">
        <w:rPr>
          <w:rFonts w:eastAsia="Calibri"/>
          <w:noProof/>
          <w:color w:val="808080" w:themeColor="background1" w:themeShade="80"/>
          <w:lang w:val="es-DO"/>
        </w:rPr>
        <w:t xml:space="preserve"> procesos de</w:t>
      </w:r>
      <w:r w:rsidRPr="00A02E84">
        <w:rPr>
          <w:color w:val="808080" w:themeColor="background1" w:themeShade="80"/>
          <w:lang w:val="es-DO"/>
        </w:rPr>
        <w:t xml:space="preserve"> </w:t>
      </w:r>
      <w:r w:rsidRPr="00A02E84">
        <w:rPr>
          <w:rFonts w:eastAsia="Calibri"/>
          <w:noProof/>
          <w:color w:val="808080" w:themeColor="background1" w:themeShade="80"/>
          <w:lang w:val="es-DO"/>
        </w:rPr>
        <w:t>compras con un monto total presupuestado de RD$</w:t>
      </w:r>
      <w:r w:rsidR="00975E5A">
        <w:rPr>
          <w:rFonts w:eastAsia="Calibri"/>
          <w:noProof/>
          <w:color w:val="808080" w:themeColor="background1" w:themeShade="80"/>
          <w:lang w:val="es-DO"/>
        </w:rPr>
        <w:t>408,104,813.82</w:t>
      </w:r>
      <w:r w:rsidRPr="00A02E84">
        <w:rPr>
          <w:rFonts w:eastAsia="Calibri"/>
          <w:noProof/>
          <w:color w:val="808080" w:themeColor="background1" w:themeShade="80"/>
          <w:lang w:val="es-DO"/>
        </w:rPr>
        <w:t>, de los cuales se han adjudicado RD$</w:t>
      </w:r>
      <w:r w:rsidR="00975E5A">
        <w:rPr>
          <w:rFonts w:eastAsia="Calibri"/>
          <w:noProof/>
          <w:color w:val="808080" w:themeColor="background1" w:themeShade="80"/>
          <w:lang w:val="es-DO"/>
        </w:rPr>
        <w:t>372,260,781.00</w:t>
      </w:r>
      <w:r w:rsidRPr="00A02E84">
        <w:rPr>
          <w:rFonts w:eastAsia="Calibri"/>
          <w:noProof/>
          <w:color w:val="808080" w:themeColor="background1" w:themeShade="80"/>
          <w:lang w:val="es-DO"/>
        </w:rPr>
        <w:t xml:space="preserve"> para una ejecución del </w:t>
      </w:r>
      <w:r w:rsidR="00975E5A">
        <w:rPr>
          <w:rFonts w:eastAsia="Calibri"/>
          <w:noProof/>
          <w:color w:val="808080" w:themeColor="background1" w:themeShade="80"/>
          <w:lang w:val="es-DO"/>
        </w:rPr>
        <w:t>91</w:t>
      </w:r>
      <w:r w:rsidRPr="00A02E84">
        <w:rPr>
          <w:rFonts w:eastAsia="Calibri"/>
          <w:noProof/>
          <w:color w:val="808080" w:themeColor="background1" w:themeShade="80"/>
          <w:lang w:val="es-DO"/>
        </w:rPr>
        <w:t xml:space="preserve">%. </w:t>
      </w:r>
    </w:p>
    <w:p w14:paraId="15380D90" w14:textId="77777777" w:rsidR="00A02E84" w:rsidRPr="00A02E84" w:rsidRDefault="00A02E84" w:rsidP="00A02E84">
      <w:pPr>
        <w:spacing w:before="240" w:line="360" w:lineRule="auto"/>
        <w:jc w:val="both"/>
        <w:rPr>
          <w:rFonts w:eastAsia="Calibri"/>
          <w:noProof/>
          <w:color w:val="808080" w:themeColor="background1" w:themeShade="80"/>
          <w:lang w:val="es-DO"/>
        </w:rPr>
      </w:pPr>
      <w:r w:rsidRPr="00A02E84">
        <w:rPr>
          <w:rFonts w:eastAsia="Calibri"/>
          <w:noProof/>
          <w:color w:val="808080" w:themeColor="background1" w:themeShade="80"/>
          <w:lang w:val="es-DO"/>
        </w:rPr>
        <w:t xml:space="preserve">La ejecución del Plan Anual de Compras y Contrataciones se mide en el Indicador de Uso del Sistema Nacional de Contrataciones Públicas por medio del subindicador Planificación de Compras, </w:t>
      </w:r>
      <w:r w:rsidRPr="00A02E84">
        <w:rPr>
          <w:rFonts w:eastAsia="Calibri"/>
          <w:noProof/>
          <w:color w:val="808080" w:themeColor="background1" w:themeShade="80"/>
          <w:lang w:val="es-DO"/>
        </w:rPr>
        <w:lastRenderedPageBreak/>
        <w:t>con un total de 20 puntos. Una ponderación de 5 puntos a la Publicación del PACC, que mide que al 31 de enero se haya publicado el PACC del año en curso, y una ponderación de 15 puntos a la Gestión Eficiente del PACC, que evalúa la correcta ejecución de las adquisiciones planificadas en el trimestre y que todo lo convocado esté contemplado en alguna etapa del plan. Al finalizar el tercer trimestre del año 2024 obtuvimos la puntuación de 17.18/20 un poco por debajo de los trimestres anteriores, debido al período de adaptación a los nuevos procesos y normativas.</w:t>
      </w:r>
    </w:p>
    <w:p w14:paraId="226D1279" w14:textId="77777777" w:rsidR="00A02E84" w:rsidRPr="00A02E84" w:rsidRDefault="00A02E84" w:rsidP="00A02E84">
      <w:pPr>
        <w:spacing w:after="0" w:line="360" w:lineRule="auto"/>
        <w:jc w:val="center"/>
        <w:rPr>
          <w:rFonts w:eastAsia="Calibri"/>
          <w:b/>
          <w:bCs/>
          <w:noProof/>
          <w:color w:val="808080" w:themeColor="background1" w:themeShade="80"/>
          <w:lang w:val="es-ES"/>
        </w:rPr>
      </w:pPr>
      <w:r w:rsidRPr="00A02E84">
        <w:rPr>
          <w:noProof/>
          <w:color w:val="808080" w:themeColor="background1" w:themeShade="80"/>
        </w:rPr>
        <w:drawing>
          <wp:inline distT="0" distB="0" distL="0" distR="0" wp14:anchorId="5D90F5EA" wp14:editId="29429C7E">
            <wp:extent cx="4750676" cy="2071370"/>
            <wp:effectExtent l="0" t="0" r="0" b="5080"/>
            <wp:docPr id="967865942" name="Gráfico 4">
              <a:extLst xmlns:a="http://schemas.openxmlformats.org/drawingml/2006/main">
                <a:ext uri="{FF2B5EF4-FFF2-40B4-BE49-F238E27FC236}">
                  <a16:creationId xmlns:a16="http://schemas.microsoft.com/office/drawing/2014/main" id="{F967B1AB-5E61-41E6-8D25-3BCE96335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A02E84">
        <w:rPr>
          <w:rFonts w:eastAsia="Calibri"/>
          <w:b/>
          <w:bCs/>
          <w:noProof/>
          <w:color w:val="808080" w:themeColor="background1" w:themeShade="80"/>
          <w:lang w:val="es-ES"/>
        </w:rPr>
        <w:t xml:space="preserve"> </w:t>
      </w:r>
    </w:p>
    <w:p w14:paraId="4D6A7889" w14:textId="48095469" w:rsidR="00A02E84" w:rsidRPr="003D03F0" w:rsidRDefault="00A02E84" w:rsidP="00667D63">
      <w:pPr>
        <w:spacing w:before="240" w:after="0" w:line="360" w:lineRule="auto"/>
        <w:rPr>
          <w:rFonts w:eastAsia="Calibri"/>
          <w:noProof/>
          <w:color w:val="808080" w:themeColor="background1" w:themeShade="80"/>
          <w:sz w:val="18"/>
          <w:szCs w:val="18"/>
          <w:lang w:val="es-DO"/>
        </w:rPr>
      </w:pPr>
      <w:r w:rsidRPr="009E6B75">
        <w:rPr>
          <w:rFonts w:eastAsia="Calibri"/>
          <w:b/>
          <w:bCs/>
          <w:noProof/>
          <w:color w:val="808080" w:themeColor="background1" w:themeShade="80"/>
          <w:sz w:val="18"/>
          <w:szCs w:val="18"/>
          <w:lang w:val="es-ES"/>
        </w:rPr>
        <w:t xml:space="preserve">Gráfico </w:t>
      </w:r>
      <w:r w:rsidR="009E6B75" w:rsidRPr="009E6B75">
        <w:rPr>
          <w:rFonts w:eastAsia="Calibri"/>
          <w:b/>
          <w:bCs/>
          <w:noProof/>
          <w:color w:val="808080" w:themeColor="background1" w:themeShade="80"/>
          <w:sz w:val="18"/>
          <w:szCs w:val="18"/>
          <w:lang w:val="es-ES"/>
        </w:rPr>
        <w:t>4</w:t>
      </w:r>
      <w:r w:rsidRPr="003D03F0">
        <w:rPr>
          <w:rFonts w:eastAsia="Calibri"/>
          <w:b/>
          <w:bCs/>
          <w:noProof/>
          <w:color w:val="808080" w:themeColor="background1" w:themeShade="80"/>
          <w:sz w:val="18"/>
          <w:szCs w:val="18"/>
          <w:lang w:val="es-ES"/>
        </w:rPr>
        <w:t>:</w:t>
      </w:r>
      <w:r w:rsidRPr="003D03F0">
        <w:rPr>
          <w:rFonts w:eastAsia="Calibri"/>
          <w:noProof/>
          <w:color w:val="808080" w:themeColor="background1" w:themeShade="80"/>
          <w:sz w:val="18"/>
          <w:szCs w:val="18"/>
          <w:lang w:val="es-ES"/>
        </w:rPr>
        <w:t>Subindicador planificación de compras al T3 2024.</w:t>
      </w:r>
    </w:p>
    <w:p w14:paraId="089EEBAD" w14:textId="5223C726" w:rsidR="00A02E84" w:rsidRPr="00A02E84" w:rsidRDefault="00A02E84" w:rsidP="00A02E84">
      <w:pPr>
        <w:spacing w:before="240" w:line="360" w:lineRule="auto"/>
        <w:jc w:val="both"/>
        <w:rPr>
          <w:rFonts w:eastAsia="Calibri"/>
          <w:noProof/>
          <w:color w:val="808080" w:themeColor="background1" w:themeShade="80"/>
          <w:lang w:val="es-DO"/>
        </w:rPr>
      </w:pPr>
      <w:r w:rsidRPr="00A02E84">
        <w:rPr>
          <w:rFonts w:eastAsia="Calibri"/>
          <w:noProof/>
          <w:color w:val="808080" w:themeColor="background1" w:themeShade="80"/>
          <w:lang w:val="es-DO"/>
        </w:rPr>
        <w:t>En e</w:t>
      </w:r>
      <w:r w:rsidR="005D45DF">
        <w:rPr>
          <w:rFonts w:eastAsia="Calibri"/>
          <w:noProof/>
          <w:color w:val="808080" w:themeColor="background1" w:themeShade="80"/>
          <w:lang w:val="es-DO"/>
        </w:rPr>
        <w:t>ste</w:t>
      </w:r>
      <w:r w:rsidRPr="00A02E84">
        <w:rPr>
          <w:rFonts w:eastAsia="Calibri"/>
          <w:noProof/>
          <w:color w:val="808080" w:themeColor="background1" w:themeShade="80"/>
          <w:lang w:val="es-DO"/>
        </w:rPr>
        <w:t xml:space="preserve"> período se </w:t>
      </w:r>
      <w:r w:rsidR="005D45DF">
        <w:rPr>
          <w:rFonts w:eastAsia="Calibri"/>
          <w:noProof/>
          <w:color w:val="808080" w:themeColor="background1" w:themeShade="80"/>
          <w:lang w:val="es-DO"/>
        </w:rPr>
        <w:t xml:space="preserve">han </w:t>
      </w:r>
      <w:r w:rsidRPr="00A02E84">
        <w:rPr>
          <w:rFonts w:eastAsia="Calibri"/>
          <w:noProof/>
          <w:color w:val="808080" w:themeColor="background1" w:themeShade="80"/>
          <w:lang w:val="es-DO"/>
        </w:rPr>
        <w:t>gestiona</w:t>
      </w:r>
      <w:r w:rsidR="005D45DF">
        <w:rPr>
          <w:rFonts w:eastAsia="Calibri"/>
          <w:noProof/>
          <w:color w:val="808080" w:themeColor="background1" w:themeShade="80"/>
          <w:lang w:val="es-DO"/>
        </w:rPr>
        <w:t>do</w:t>
      </w:r>
      <w:r w:rsidRPr="00A02E84">
        <w:rPr>
          <w:rFonts w:eastAsia="Calibri"/>
          <w:noProof/>
          <w:color w:val="808080" w:themeColor="background1" w:themeShade="80"/>
          <w:lang w:val="es-DO"/>
        </w:rPr>
        <w:t xml:space="preserve"> un total de 2</w:t>
      </w:r>
      <w:r w:rsidR="00977008">
        <w:rPr>
          <w:rFonts w:eastAsia="Calibri"/>
          <w:noProof/>
          <w:color w:val="808080" w:themeColor="background1" w:themeShade="80"/>
          <w:lang w:val="es-DO"/>
        </w:rPr>
        <w:t>82</w:t>
      </w:r>
      <w:r w:rsidRPr="00A02E84">
        <w:rPr>
          <w:rFonts w:eastAsia="Calibri"/>
          <w:noProof/>
          <w:color w:val="808080" w:themeColor="background1" w:themeShade="80"/>
          <w:lang w:val="es-DO"/>
        </w:rPr>
        <w:t xml:space="preserve"> procesos de compras en el Sistema Electrónico de Compras y Contrataciones, de los cuales 2</w:t>
      </w:r>
      <w:r w:rsidR="00977008">
        <w:rPr>
          <w:rFonts w:eastAsia="Calibri"/>
          <w:noProof/>
          <w:color w:val="808080" w:themeColor="background1" w:themeShade="80"/>
          <w:lang w:val="es-DO"/>
        </w:rPr>
        <w:t>55</w:t>
      </w:r>
      <w:r w:rsidRPr="00A02E84">
        <w:rPr>
          <w:rFonts w:eastAsia="Calibri"/>
          <w:noProof/>
          <w:color w:val="808080" w:themeColor="background1" w:themeShade="80"/>
          <w:lang w:val="es-DO"/>
        </w:rPr>
        <w:t xml:space="preserve"> se encuentran adjudicados.</w:t>
      </w:r>
    </w:p>
    <w:tbl>
      <w:tblPr>
        <w:tblW w:w="76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1659"/>
        <w:gridCol w:w="2370"/>
      </w:tblGrid>
      <w:tr w:rsidR="00A02E84" w:rsidRPr="00A02E84" w14:paraId="712F606C" w14:textId="77777777" w:rsidTr="00667D63">
        <w:trPr>
          <w:trHeight w:val="300"/>
          <w:tblHeader/>
        </w:trPr>
        <w:tc>
          <w:tcPr>
            <w:tcW w:w="3621" w:type="dxa"/>
            <w:shd w:val="clear" w:color="000000" w:fill="203764"/>
            <w:noWrap/>
            <w:vAlign w:val="center"/>
            <w:hideMark/>
          </w:tcPr>
          <w:p w14:paraId="53C3FF66" w14:textId="5A7D40CE" w:rsidR="00A02E84" w:rsidRPr="00A84E0E" w:rsidRDefault="00A02E84">
            <w:pPr>
              <w:spacing w:after="0" w:line="240" w:lineRule="auto"/>
              <w:jc w:val="center"/>
              <w:rPr>
                <w:rFonts w:eastAsia="Times New Roman"/>
                <w:b/>
                <w:bCs/>
                <w:color w:val="FFFFFF" w:themeColor="background1"/>
                <w:spacing w:val="0"/>
                <w:sz w:val="22"/>
                <w:szCs w:val="22"/>
              </w:rPr>
            </w:pPr>
            <w:r w:rsidRPr="00A84E0E">
              <w:rPr>
                <w:rFonts w:eastAsia="Times New Roman"/>
                <w:b/>
                <w:bCs/>
                <w:color w:val="FFFFFF" w:themeColor="background1"/>
                <w:spacing w:val="0"/>
                <w:sz w:val="22"/>
                <w:szCs w:val="22"/>
              </w:rPr>
              <w:t>M</w:t>
            </w:r>
            <w:r w:rsidR="00B34ACE" w:rsidRPr="00A84E0E">
              <w:rPr>
                <w:rFonts w:eastAsia="Times New Roman"/>
                <w:b/>
                <w:bCs/>
                <w:color w:val="FFFFFF" w:themeColor="background1"/>
                <w:spacing w:val="0"/>
                <w:sz w:val="22"/>
                <w:szCs w:val="22"/>
              </w:rPr>
              <w:t>odalidad</w:t>
            </w:r>
          </w:p>
        </w:tc>
        <w:tc>
          <w:tcPr>
            <w:tcW w:w="1659" w:type="dxa"/>
            <w:shd w:val="clear" w:color="000000" w:fill="203764"/>
            <w:noWrap/>
            <w:vAlign w:val="center"/>
            <w:hideMark/>
          </w:tcPr>
          <w:p w14:paraId="2129C4B2" w14:textId="1E8F27CD" w:rsidR="00A02E84" w:rsidRPr="00A84E0E" w:rsidRDefault="00B34ACE">
            <w:pPr>
              <w:spacing w:after="0" w:line="240" w:lineRule="auto"/>
              <w:jc w:val="center"/>
              <w:rPr>
                <w:rFonts w:eastAsia="Times New Roman"/>
                <w:b/>
                <w:bCs/>
                <w:color w:val="FFFFFF" w:themeColor="background1"/>
                <w:spacing w:val="0"/>
                <w:sz w:val="22"/>
                <w:szCs w:val="22"/>
              </w:rPr>
            </w:pPr>
            <w:r w:rsidRPr="00A84E0E">
              <w:rPr>
                <w:rFonts w:eastAsia="Times New Roman"/>
                <w:b/>
                <w:bCs/>
                <w:color w:val="FFFFFF" w:themeColor="background1"/>
                <w:spacing w:val="0"/>
                <w:sz w:val="22"/>
                <w:szCs w:val="22"/>
              </w:rPr>
              <w:t>Publicados</w:t>
            </w:r>
          </w:p>
        </w:tc>
        <w:tc>
          <w:tcPr>
            <w:tcW w:w="2370" w:type="dxa"/>
            <w:shd w:val="clear" w:color="000000" w:fill="203764"/>
            <w:noWrap/>
            <w:vAlign w:val="center"/>
            <w:hideMark/>
          </w:tcPr>
          <w:p w14:paraId="5A6BB5EE" w14:textId="793AE80A" w:rsidR="00A02E84" w:rsidRPr="00A84E0E" w:rsidRDefault="00B34ACE">
            <w:pPr>
              <w:spacing w:after="0" w:line="240" w:lineRule="auto"/>
              <w:jc w:val="center"/>
              <w:rPr>
                <w:rFonts w:eastAsia="Times New Roman"/>
                <w:b/>
                <w:bCs/>
                <w:color w:val="FFFFFF" w:themeColor="background1"/>
                <w:spacing w:val="0"/>
                <w:sz w:val="22"/>
                <w:szCs w:val="22"/>
              </w:rPr>
            </w:pPr>
            <w:r w:rsidRPr="00A84E0E">
              <w:rPr>
                <w:rFonts w:eastAsia="Times New Roman"/>
                <w:b/>
                <w:bCs/>
                <w:color w:val="FFFFFF" w:themeColor="background1"/>
                <w:spacing w:val="0"/>
                <w:sz w:val="22"/>
                <w:szCs w:val="22"/>
              </w:rPr>
              <w:t>Adjudicados</w:t>
            </w:r>
          </w:p>
        </w:tc>
      </w:tr>
      <w:tr w:rsidR="00A02E84" w:rsidRPr="00A02E84" w14:paraId="745E6922" w14:textId="77777777" w:rsidTr="00667D63">
        <w:trPr>
          <w:trHeight w:val="330"/>
        </w:trPr>
        <w:tc>
          <w:tcPr>
            <w:tcW w:w="3621" w:type="dxa"/>
            <w:shd w:val="clear" w:color="auto" w:fill="auto"/>
            <w:noWrap/>
            <w:vAlign w:val="center"/>
            <w:hideMark/>
          </w:tcPr>
          <w:p w14:paraId="4192FDD4" w14:textId="77777777" w:rsidR="00A02E84" w:rsidRPr="00A84E0E" w:rsidRDefault="00A02E84">
            <w:pPr>
              <w:spacing w:after="0" w:line="240" w:lineRule="auto"/>
              <w:rPr>
                <w:rFonts w:eastAsia="Times New Roman"/>
                <w:color w:val="808080" w:themeColor="background1" w:themeShade="80"/>
                <w:spacing w:val="0"/>
                <w:sz w:val="22"/>
                <w:szCs w:val="22"/>
              </w:rPr>
            </w:pPr>
            <w:r w:rsidRPr="00A84E0E">
              <w:rPr>
                <w:rFonts w:eastAsia="Calibri"/>
                <w:noProof/>
                <w:color w:val="808080" w:themeColor="background1" w:themeShade="80"/>
                <w:sz w:val="22"/>
                <w:szCs w:val="22"/>
                <w:lang w:val="es-DO"/>
              </w:rPr>
              <w:t>Comparación de precios</w:t>
            </w:r>
          </w:p>
        </w:tc>
        <w:tc>
          <w:tcPr>
            <w:tcW w:w="1659" w:type="dxa"/>
            <w:shd w:val="clear" w:color="auto" w:fill="auto"/>
            <w:noWrap/>
            <w:vAlign w:val="center"/>
            <w:hideMark/>
          </w:tcPr>
          <w:p w14:paraId="3F208BC0" w14:textId="5D994FC2" w:rsidR="00A02E84" w:rsidRPr="00A84E0E" w:rsidRDefault="00A02E84">
            <w:pPr>
              <w:spacing w:after="0" w:line="240" w:lineRule="auto"/>
              <w:jc w:val="center"/>
              <w:rPr>
                <w:rFonts w:eastAsia="Calibri"/>
                <w:noProof/>
                <w:color w:val="808080" w:themeColor="background1" w:themeShade="80"/>
                <w:sz w:val="22"/>
                <w:szCs w:val="22"/>
                <w:lang w:val="es-DO"/>
              </w:rPr>
            </w:pPr>
            <w:r w:rsidRPr="00A84E0E">
              <w:rPr>
                <w:rFonts w:eastAsia="Calibri"/>
                <w:noProof/>
                <w:color w:val="808080" w:themeColor="background1" w:themeShade="80"/>
                <w:sz w:val="22"/>
                <w:szCs w:val="22"/>
                <w:lang w:val="es-DO"/>
              </w:rPr>
              <w:t>2</w:t>
            </w:r>
            <w:r w:rsidR="009F1E70">
              <w:rPr>
                <w:rFonts w:eastAsia="Calibri"/>
                <w:noProof/>
                <w:color w:val="808080" w:themeColor="background1" w:themeShade="80"/>
                <w:sz w:val="22"/>
                <w:szCs w:val="22"/>
                <w:lang w:val="es-DO"/>
              </w:rPr>
              <w:t>7</w:t>
            </w:r>
          </w:p>
        </w:tc>
        <w:tc>
          <w:tcPr>
            <w:tcW w:w="2370" w:type="dxa"/>
            <w:shd w:val="clear" w:color="auto" w:fill="auto"/>
            <w:noWrap/>
            <w:vAlign w:val="center"/>
            <w:hideMark/>
          </w:tcPr>
          <w:p w14:paraId="5E9E2781" w14:textId="23D7E214" w:rsidR="00A02E84" w:rsidRPr="00A84E0E" w:rsidRDefault="009F1E70">
            <w:pPr>
              <w:spacing w:after="0" w:line="240" w:lineRule="auto"/>
              <w:jc w:val="center"/>
              <w:rPr>
                <w:rFonts w:eastAsia="Calibri"/>
                <w:noProof/>
                <w:color w:val="808080" w:themeColor="background1" w:themeShade="80"/>
                <w:sz w:val="22"/>
                <w:szCs w:val="22"/>
                <w:lang w:val="es-DO"/>
              </w:rPr>
            </w:pPr>
            <w:r>
              <w:rPr>
                <w:rFonts w:eastAsia="Calibri"/>
                <w:noProof/>
                <w:color w:val="808080" w:themeColor="background1" w:themeShade="80"/>
                <w:sz w:val="22"/>
                <w:szCs w:val="22"/>
                <w:lang w:val="es-DO"/>
              </w:rPr>
              <w:t>21</w:t>
            </w:r>
          </w:p>
        </w:tc>
      </w:tr>
      <w:tr w:rsidR="00A02E84" w:rsidRPr="00A02E84" w14:paraId="5D6044AA" w14:textId="77777777" w:rsidTr="00667D63">
        <w:trPr>
          <w:trHeight w:val="330"/>
        </w:trPr>
        <w:tc>
          <w:tcPr>
            <w:tcW w:w="3621" w:type="dxa"/>
            <w:shd w:val="clear" w:color="auto" w:fill="auto"/>
            <w:noWrap/>
            <w:vAlign w:val="center"/>
            <w:hideMark/>
          </w:tcPr>
          <w:p w14:paraId="64F4456B" w14:textId="77777777" w:rsidR="00A02E84" w:rsidRPr="00A84E0E" w:rsidRDefault="00A02E84">
            <w:pPr>
              <w:spacing w:after="0" w:line="240" w:lineRule="auto"/>
              <w:rPr>
                <w:rFonts w:eastAsia="Calibri"/>
                <w:noProof/>
                <w:color w:val="808080" w:themeColor="background1" w:themeShade="80"/>
                <w:sz w:val="22"/>
                <w:szCs w:val="22"/>
                <w:lang w:val="es-DO"/>
              </w:rPr>
            </w:pPr>
            <w:r w:rsidRPr="00A84E0E">
              <w:rPr>
                <w:rFonts w:eastAsia="Calibri"/>
                <w:noProof/>
                <w:color w:val="808080" w:themeColor="background1" w:themeShade="80"/>
                <w:sz w:val="22"/>
                <w:szCs w:val="22"/>
                <w:lang w:val="es-DO"/>
              </w:rPr>
              <w:t>Compras Menores</w:t>
            </w:r>
          </w:p>
        </w:tc>
        <w:tc>
          <w:tcPr>
            <w:tcW w:w="1659" w:type="dxa"/>
            <w:shd w:val="clear" w:color="auto" w:fill="auto"/>
            <w:noWrap/>
            <w:vAlign w:val="center"/>
            <w:hideMark/>
          </w:tcPr>
          <w:p w14:paraId="0A1814AF" w14:textId="01AD388D" w:rsidR="00A02E84" w:rsidRPr="00A84E0E" w:rsidRDefault="009F1E70">
            <w:pPr>
              <w:spacing w:after="0" w:line="240" w:lineRule="auto"/>
              <w:jc w:val="center"/>
              <w:rPr>
                <w:rFonts w:eastAsia="Calibri"/>
                <w:noProof/>
                <w:color w:val="808080" w:themeColor="background1" w:themeShade="80"/>
                <w:sz w:val="22"/>
                <w:szCs w:val="22"/>
                <w:lang w:val="es-DO"/>
              </w:rPr>
            </w:pPr>
            <w:r>
              <w:rPr>
                <w:rFonts w:eastAsia="Calibri"/>
                <w:noProof/>
                <w:color w:val="808080" w:themeColor="background1" w:themeShade="80"/>
                <w:sz w:val="22"/>
                <w:szCs w:val="22"/>
                <w:lang w:val="es-DO"/>
              </w:rPr>
              <w:t>86</w:t>
            </w:r>
          </w:p>
        </w:tc>
        <w:tc>
          <w:tcPr>
            <w:tcW w:w="2370" w:type="dxa"/>
            <w:shd w:val="clear" w:color="auto" w:fill="auto"/>
            <w:noWrap/>
            <w:vAlign w:val="center"/>
            <w:hideMark/>
          </w:tcPr>
          <w:p w14:paraId="58DE25E2" w14:textId="416C9F99" w:rsidR="00A02E84" w:rsidRPr="00A84E0E" w:rsidRDefault="009F1E70">
            <w:pPr>
              <w:spacing w:after="0" w:line="240" w:lineRule="auto"/>
              <w:jc w:val="center"/>
              <w:rPr>
                <w:rFonts w:eastAsia="Calibri"/>
                <w:noProof/>
                <w:color w:val="808080" w:themeColor="background1" w:themeShade="80"/>
                <w:sz w:val="22"/>
                <w:szCs w:val="22"/>
                <w:lang w:val="es-DO"/>
              </w:rPr>
            </w:pPr>
            <w:r>
              <w:rPr>
                <w:rFonts w:eastAsia="Calibri"/>
                <w:noProof/>
                <w:color w:val="808080" w:themeColor="background1" w:themeShade="80"/>
                <w:sz w:val="22"/>
                <w:szCs w:val="22"/>
                <w:lang w:val="es-DO"/>
              </w:rPr>
              <w:t>77</w:t>
            </w:r>
          </w:p>
        </w:tc>
      </w:tr>
      <w:tr w:rsidR="00A02E84" w:rsidRPr="00A02E84" w14:paraId="4F65F8FB" w14:textId="77777777" w:rsidTr="00667D63">
        <w:trPr>
          <w:trHeight w:val="330"/>
        </w:trPr>
        <w:tc>
          <w:tcPr>
            <w:tcW w:w="3621" w:type="dxa"/>
            <w:shd w:val="clear" w:color="auto" w:fill="auto"/>
            <w:noWrap/>
            <w:vAlign w:val="center"/>
            <w:hideMark/>
          </w:tcPr>
          <w:p w14:paraId="5137075F" w14:textId="77777777" w:rsidR="00A02E84" w:rsidRPr="00A84E0E" w:rsidRDefault="00A02E84">
            <w:pPr>
              <w:spacing w:after="0" w:line="240" w:lineRule="auto"/>
              <w:rPr>
                <w:rFonts w:eastAsia="Calibri"/>
                <w:noProof/>
                <w:color w:val="808080" w:themeColor="background1" w:themeShade="80"/>
                <w:sz w:val="22"/>
                <w:szCs w:val="22"/>
                <w:lang w:val="es-DO"/>
              </w:rPr>
            </w:pPr>
            <w:r w:rsidRPr="00A84E0E">
              <w:rPr>
                <w:rFonts w:eastAsia="Calibri"/>
                <w:noProof/>
                <w:color w:val="808080" w:themeColor="background1" w:themeShade="80"/>
                <w:sz w:val="22"/>
                <w:szCs w:val="22"/>
                <w:lang w:val="es-DO"/>
              </w:rPr>
              <w:t>Compras por Debajo del Umbral</w:t>
            </w:r>
          </w:p>
        </w:tc>
        <w:tc>
          <w:tcPr>
            <w:tcW w:w="1659" w:type="dxa"/>
            <w:shd w:val="clear" w:color="auto" w:fill="auto"/>
            <w:noWrap/>
            <w:vAlign w:val="center"/>
            <w:hideMark/>
          </w:tcPr>
          <w:p w14:paraId="4722AAA4" w14:textId="19140CA2" w:rsidR="00A02E84" w:rsidRPr="00A84E0E" w:rsidRDefault="009F1E70">
            <w:pPr>
              <w:spacing w:after="0" w:line="240" w:lineRule="auto"/>
              <w:jc w:val="center"/>
              <w:rPr>
                <w:rFonts w:eastAsia="Calibri"/>
                <w:noProof/>
                <w:color w:val="808080" w:themeColor="background1" w:themeShade="80"/>
                <w:sz w:val="22"/>
                <w:szCs w:val="22"/>
                <w:lang w:val="es-DO"/>
              </w:rPr>
            </w:pPr>
            <w:r>
              <w:rPr>
                <w:rFonts w:eastAsia="Calibri"/>
                <w:noProof/>
                <w:color w:val="808080" w:themeColor="background1" w:themeShade="80"/>
                <w:sz w:val="22"/>
                <w:szCs w:val="22"/>
                <w:lang w:val="es-DO"/>
              </w:rPr>
              <w:t>129</w:t>
            </w:r>
          </w:p>
        </w:tc>
        <w:tc>
          <w:tcPr>
            <w:tcW w:w="2370" w:type="dxa"/>
            <w:shd w:val="clear" w:color="auto" w:fill="auto"/>
            <w:noWrap/>
            <w:vAlign w:val="center"/>
            <w:hideMark/>
          </w:tcPr>
          <w:p w14:paraId="17F93B55" w14:textId="4D0F2FF8" w:rsidR="00A02E84" w:rsidRPr="00A84E0E" w:rsidRDefault="009F1E70">
            <w:pPr>
              <w:spacing w:after="0" w:line="240" w:lineRule="auto"/>
              <w:jc w:val="center"/>
              <w:rPr>
                <w:rFonts w:eastAsia="Calibri"/>
                <w:noProof/>
                <w:color w:val="808080" w:themeColor="background1" w:themeShade="80"/>
                <w:sz w:val="22"/>
                <w:szCs w:val="22"/>
                <w:lang w:val="es-DO"/>
              </w:rPr>
            </w:pPr>
            <w:r>
              <w:rPr>
                <w:rFonts w:eastAsia="Calibri"/>
                <w:noProof/>
                <w:color w:val="808080" w:themeColor="background1" w:themeShade="80"/>
                <w:sz w:val="22"/>
                <w:szCs w:val="22"/>
                <w:lang w:val="es-DO"/>
              </w:rPr>
              <w:t>125</w:t>
            </w:r>
          </w:p>
        </w:tc>
      </w:tr>
      <w:tr w:rsidR="00A02E84" w:rsidRPr="00A02E84" w14:paraId="6B1CFD2F" w14:textId="77777777" w:rsidTr="00667D63">
        <w:trPr>
          <w:trHeight w:val="330"/>
        </w:trPr>
        <w:tc>
          <w:tcPr>
            <w:tcW w:w="3621" w:type="dxa"/>
            <w:shd w:val="clear" w:color="auto" w:fill="auto"/>
            <w:noWrap/>
            <w:vAlign w:val="center"/>
            <w:hideMark/>
          </w:tcPr>
          <w:p w14:paraId="160D8B81" w14:textId="77777777" w:rsidR="00A02E84" w:rsidRPr="00A84E0E" w:rsidRDefault="00A02E84">
            <w:pPr>
              <w:spacing w:after="0" w:line="240" w:lineRule="auto"/>
              <w:rPr>
                <w:rFonts w:eastAsia="Calibri"/>
                <w:noProof/>
                <w:color w:val="808080" w:themeColor="background1" w:themeShade="80"/>
                <w:sz w:val="22"/>
                <w:szCs w:val="22"/>
                <w:lang w:val="es-DO"/>
              </w:rPr>
            </w:pPr>
            <w:r w:rsidRPr="00A84E0E">
              <w:rPr>
                <w:rFonts w:eastAsia="Calibri"/>
                <w:noProof/>
                <w:color w:val="808080" w:themeColor="background1" w:themeShade="80"/>
                <w:sz w:val="22"/>
                <w:szCs w:val="22"/>
                <w:lang w:val="es-DO"/>
              </w:rPr>
              <w:t>Licitación Pública Nacional</w:t>
            </w:r>
          </w:p>
        </w:tc>
        <w:tc>
          <w:tcPr>
            <w:tcW w:w="1659" w:type="dxa"/>
            <w:shd w:val="clear" w:color="auto" w:fill="auto"/>
            <w:noWrap/>
            <w:vAlign w:val="center"/>
            <w:hideMark/>
          </w:tcPr>
          <w:p w14:paraId="20AD90EF" w14:textId="667A0378" w:rsidR="00A02E84" w:rsidRPr="00A84E0E" w:rsidRDefault="009F1E70">
            <w:pPr>
              <w:spacing w:after="0" w:line="240" w:lineRule="auto"/>
              <w:jc w:val="center"/>
              <w:rPr>
                <w:rFonts w:eastAsia="Calibri"/>
                <w:noProof/>
                <w:color w:val="808080" w:themeColor="background1" w:themeShade="80"/>
                <w:sz w:val="22"/>
                <w:szCs w:val="22"/>
                <w:lang w:val="es-DO"/>
              </w:rPr>
            </w:pPr>
            <w:r>
              <w:rPr>
                <w:rFonts w:eastAsia="Calibri"/>
                <w:noProof/>
                <w:color w:val="808080" w:themeColor="background1" w:themeShade="80"/>
                <w:sz w:val="22"/>
                <w:szCs w:val="22"/>
                <w:lang w:val="es-DO"/>
              </w:rPr>
              <w:t>6</w:t>
            </w:r>
          </w:p>
        </w:tc>
        <w:tc>
          <w:tcPr>
            <w:tcW w:w="2370" w:type="dxa"/>
            <w:shd w:val="clear" w:color="auto" w:fill="auto"/>
            <w:noWrap/>
            <w:vAlign w:val="center"/>
            <w:hideMark/>
          </w:tcPr>
          <w:p w14:paraId="3D9DD5B9" w14:textId="77777777" w:rsidR="00A02E84" w:rsidRPr="00A84E0E" w:rsidRDefault="00A02E84">
            <w:pPr>
              <w:spacing w:after="0" w:line="240" w:lineRule="auto"/>
              <w:jc w:val="center"/>
              <w:rPr>
                <w:rFonts w:eastAsia="Calibri"/>
                <w:noProof/>
                <w:color w:val="808080" w:themeColor="background1" w:themeShade="80"/>
                <w:sz w:val="22"/>
                <w:szCs w:val="22"/>
                <w:lang w:val="es-DO"/>
              </w:rPr>
            </w:pPr>
            <w:r w:rsidRPr="00A84E0E">
              <w:rPr>
                <w:rFonts w:eastAsia="Calibri"/>
                <w:noProof/>
                <w:color w:val="808080" w:themeColor="background1" w:themeShade="80"/>
                <w:sz w:val="22"/>
                <w:szCs w:val="22"/>
                <w:lang w:val="es-DO"/>
              </w:rPr>
              <w:t>5</w:t>
            </w:r>
          </w:p>
        </w:tc>
      </w:tr>
      <w:tr w:rsidR="00A02E84" w:rsidRPr="00A02E84" w14:paraId="094F0384" w14:textId="77777777" w:rsidTr="00667D63">
        <w:trPr>
          <w:trHeight w:val="330"/>
        </w:trPr>
        <w:tc>
          <w:tcPr>
            <w:tcW w:w="3621" w:type="dxa"/>
            <w:shd w:val="clear" w:color="auto" w:fill="auto"/>
            <w:noWrap/>
            <w:vAlign w:val="center"/>
            <w:hideMark/>
          </w:tcPr>
          <w:p w14:paraId="5229F241" w14:textId="77777777" w:rsidR="00A02E84" w:rsidRPr="00A84E0E" w:rsidRDefault="00A02E84">
            <w:pPr>
              <w:spacing w:after="0" w:line="240" w:lineRule="auto"/>
              <w:rPr>
                <w:rFonts w:eastAsia="Calibri"/>
                <w:noProof/>
                <w:color w:val="808080" w:themeColor="background1" w:themeShade="80"/>
                <w:sz w:val="22"/>
                <w:szCs w:val="22"/>
                <w:lang w:val="es-DO"/>
              </w:rPr>
            </w:pPr>
            <w:r w:rsidRPr="00A84E0E">
              <w:rPr>
                <w:rFonts w:eastAsia="Calibri"/>
                <w:noProof/>
                <w:color w:val="808080" w:themeColor="background1" w:themeShade="80"/>
                <w:sz w:val="22"/>
                <w:szCs w:val="22"/>
                <w:lang w:val="es-DO"/>
              </w:rPr>
              <w:t>Procesos de Excepción</w:t>
            </w:r>
          </w:p>
        </w:tc>
        <w:tc>
          <w:tcPr>
            <w:tcW w:w="1659" w:type="dxa"/>
            <w:shd w:val="clear" w:color="auto" w:fill="auto"/>
            <w:noWrap/>
            <w:vAlign w:val="center"/>
            <w:hideMark/>
          </w:tcPr>
          <w:p w14:paraId="2E3F7CF5" w14:textId="224D401A" w:rsidR="00A02E84" w:rsidRPr="00A84E0E" w:rsidRDefault="009F1E70">
            <w:pPr>
              <w:spacing w:after="0" w:line="240" w:lineRule="auto"/>
              <w:jc w:val="center"/>
              <w:rPr>
                <w:rFonts w:eastAsia="Calibri"/>
                <w:noProof/>
                <w:color w:val="808080" w:themeColor="background1" w:themeShade="80"/>
                <w:sz w:val="22"/>
                <w:szCs w:val="22"/>
                <w:lang w:val="es-DO"/>
              </w:rPr>
            </w:pPr>
            <w:r>
              <w:rPr>
                <w:rFonts w:eastAsia="Calibri"/>
                <w:noProof/>
                <w:color w:val="808080" w:themeColor="background1" w:themeShade="80"/>
                <w:sz w:val="22"/>
                <w:szCs w:val="22"/>
                <w:lang w:val="es-DO"/>
              </w:rPr>
              <w:t>34</w:t>
            </w:r>
          </w:p>
        </w:tc>
        <w:tc>
          <w:tcPr>
            <w:tcW w:w="2370" w:type="dxa"/>
            <w:shd w:val="clear" w:color="auto" w:fill="auto"/>
            <w:noWrap/>
            <w:vAlign w:val="center"/>
            <w:hideMark/>
          </w:tcPr>
          <w:p w14:paraId="54A99892" w14:textId="2FEB4651" w:rsidR="00A02E84" w:rsidRPr="00A84E0E" w:rsidRDefault="00A02E84">
            <w:pPr>
              <w:spacing w:after="0" w:line="240" w:lineRule="auto"/>
              <w:jc w:val="center"/>
              <w:rPr>
                <w:rFonts w:eastAsia="Calibri"/>
                <w:noProof/>
                <w:color w:val="808080" w:themeColor="background1" w:themeShade="80"/>
                <w:sz w:val="22"/>
                <w:szCs w:val="22"/>
                <w:lang w:val="es-DO"/>
              </w:rPr>
            </w:pPr>
            <w:r w:rsidRPr="00A84E0E">
              <w:rPr>
                <w:rFonts w:eastAsia="Calibri"/>
                <w:noProof/>
                <w:color w:val="808080" w:themeColor="background1" w:themeShade="80"/>
                <w:sz w:val="22"/>
                <w:szCs w:val="22"/>
                <w:lang w:val="es-DO"/>
              </w:rPr>
              <w:t>2</w:t>
            </w:r>
            <w:r w:rsidR="009F1E70">
              <w:rPr>
                <w:rFonts w:eastAsia="Calibri"/>
                <w:noProof/>
                <w:color w:val="808080" w:themeColor="background1" w:themeShade="80"/>
                <w:sz w:val="22"/>
                <w:szCs w:val="22"/>
                <w:lang w:val="es-DO"/>
              </w:rPr>
              <w:t>7</w:t>
            </w:r>
          </w:p>
        </w:tc>
      </w:tr>
      <w:tr w:rsidR="00A02E84" w:rsidRPr="00A02E84" w14:paraId="219BE34F" w14:textId="77777777" w:rsidTr="00667D63">
        <w:trPr>
          <w:trHeight w:val="330"/>
        </w:trPr>
        <w:tc>
          <w:tcPr>
            <w:tcW w:w="3621" w:type="dxa"/>
            <w:shd w:val="clear" w:color="auto" w:fill="auto"/>
            <w:noWrap/>
            <w:vAlign w:val="center"/>
            <w:hideMark/>
          </w:tcPr>
          <w:p w14:paraId="374696B3" w14:textId="77777777" w:rsidR="00A02E84" w:rsidRPr="00A84E0E" w:rsidRDefault="00A02E84">
            <w:pPr>
              <w:spacing w:after="0" w:line="240" w:lineRule="auto"/>
              <w:rPr>
                <w:rFonts w:eastAsia="Times New Roman"/>
                <w:b/>
                <w:bCs/>
                <w:color w:val="808080" w:themeColor="background1" w:themeShade="80"/>
                <w:spacing w:val="0"/>
                <w:sz w:val="22"/>
                <w:szCs w:val="22"/>
              </w:rPr>
            </w:pPr>
            <w:r w:rsidRPr="00A84E0E">
              <w:rPr>
                <w:rFonts w:eastAsia="Times New Roman"/>
                <w:b/>
                <w:bCs/>
                <w:color w:val="808080" w:themeColor="background1" w:themeShade="80"/>
                <w:spacing w:val="0"/>
                <w:sz w:val="22"/>
                <w:szCs w:val="22"/>
              </w:rPr>
              <w:t>TOTAL</w:t>
            </w:r>
          </w:p>
        </w:tc>
        <w:tc>
          <w:tcPr>
            <w:tcW w:w="1659" w:type="dxa"/>
            <w:shd w:val="clear" w:color="auto" w:fill="auto"/>
            <w:noWrap/>
            <w:vAlign w:val="center"/>
            <w:hideMark/>
          </w:tcPr>
          <w:p w14:paraId="2A103043" w14:textId="16E0A061" w:rsidR="00A02E84" w:rsidRPr="00A84E0E" w:rsidRDefault="00A02E84">
            <w:pPr>
              <w:spacing w:after="0" w:line="240" w:lineRule="auto"/>
              <w:jc w:val="center"/>
              <w:rPr>
                <w:rFonts w:eastAsia="Times New Roman"/>
                <w:b/>
                <w:bCs/>
                <w:color w:val="808080" w:themeColor="background1" w:themeShade="80"/>
                <w:spacing w:val="0"/>
                <w:sz w:val="22"/>
                <w:szCs w:val="22"/>
              </w:rPr>
            </w:pPr>
            <w:r w:rsidRPr="00A84E0E">
              <w:rPr>
                <w:rFonts w:eastAsia="Times New Roman"/>
                <w:b/>
                <w:bCs/>
                <w:color w:val="808080" w:themeColor="background1" w:themeShade="80"/>
                <w:spacing w:val="0"/>
                <w:sz w:val="22"/>
                <w:szCs w:val="22"/>
              </w:rPr>
              <w:t>2</w:t>
            </w:r>
            <w:r w:rsidR="009F1E70">
              <w:rPr>
                <w:rFonts w:eastAsia="Times New Roman"/>
                <w:b/>
                <w:bCs/>
                <w:color w:val="808080" w:themeColor="background1" w:themeShade="80"/>
                <w:spacing w:val="0"/>
                <w:sz w:val="22"/>
                <w:szCs w:val="22"/>
              </w:rPr>
              <w:t>82</w:t>
            </w:r>
          </w:p>
        </w:tc>
        <w:tc>
          <w:tcPr>
            <w:tcW w:w="2370" w:type="dxa"/>
            <w:shd w:val="clear" w:color="auto" w:fill="auto"/>
            <w:noWrap/>
            <w:vAlign w:val="center"/>
            <w:hideMark/>
          </w:tcPr>
          <w:p w14:paraId="4A184F02" w14:textId="2EB3D159" w:rsidR="00A02E84" w:rsidRPr="00A84E0E" w:rsidRDefault="00A02E84">
            <w:pPr>
              <w:spacing w:after="0" w:line="240" w:lineRule="auto"/>
              <w:jc w:val="center"/>
              <w:rPr>
                <w:rFonts w:eastAsia="Times New Roman"/>
                <w:b/>
                <w:bCs/>
                <w:color w:val="808080" w:themeColor="background1" w:themeShade="80"/>
                <w:spacing w:val="0"/>
                <w:sz w:val="22"/>
                <w:szCs w:val="22"/>
              </w:rPr>
            </w:pPr>
            <w:r w:rsidRPr="00A84E0E">
              <w:rPr>
                <w:rFonts w:eastAsia="Times New Roman"/>
                <w:b/>
                <w:bCs/>
                <w:color w:val="808080" w:themeColor="background1" w:themeShade="80"/>
                <w:spacing w:val="0"/>
                <w:sz w:val="22"/>
                <w:szCs w:val="22"/>
              </w:rPr>
              <w:t>2</w:t>
            </w:r>
            <w:r w:rsidR="009F1E70">
              <w:rPr>
                <w:rFonts w:eastAsia="Times New Roman"/>
                <w:b/>
                <w:bCs/>
                <w:color w:val="808080" w:themeColor="background1" w:themeShade="80"/>
                <w:spacing w:val="0"/>
                <w:sz w:val="22"/>
                <w:szCs w:val="22"/>
              </w:rPr>
              <w:t>55</w:t>
            </w:r>
          </w:p>
        </w:tc>
      </w:tr>
    </w:tbl>
    <w:p w14:paraId="746C1088" w14:textId="3367FFD9" w:rsidR="00A02E84" w:rsidRPr="003D03F0" w:rsidRDefault="00A02E84" w:rsidP="00A02E84">
      <w:pPr>
        <w:spacing w:before="240" w:after="0" w:line="360" w:lineRule="auto"/>
        <w:ind w:right="-180"/>
        <w:jc w:val="both"/>
        <w:rPr>
          <w:rFonts w:eastAsia="Calibri"/>
          <w:noProof/>
          <w:color w:val="808080" w:themeColor="background1" w:themeShade="80"/>
          <w:sz w:val="18"/>
          <w:szCs w:val="18"/>
          <w:lang w:val="es-ES"/>
        </w:rPr>
      </w:pPr>
      <w:r w:rsidRPr="003D03F0">
        <w:rPr>
          <w:rFonts w:eastAsia="Calibri"/>
          <w:b/>
          <w:bCs/>
          <w:noProof/>
          <w:color w:val="808080" w:themeColor="background1" w:themeShade="80"/>
          <w:sz w:val="18"/>
          <w:szCs w:val="18"/>
          <w:lang w:val="es-ES"/>
        </w:rPr>
        <w:t>Tabla 1</w:t>
      </w:r>
      <w:r w:rsidR="00C50277">
        <w:rPr>
          <w:rFonts w:eastAsia="Calibri"/>
          <w:b/>
          <w:bCs/>
          <w:noProof/>
          <w:color w:val="808080" w:themeColor="background1" w:themeShade="80"/>
          <w:sz w:val="18"/>
          <w:szCs w:val="18"/>
          <w:lang w:val="es-ES"/>
        </w:rPr>
        <w:t>5</w:t>
      </w:r>
      <w:r w:rsidRPr="003D03F0">
        <w:rPr>
          <w:rFonts w:eastAsia="Calibri"/>
          <w:b/>
          <w:bCs/>
          <w:noProof/>
          <w:color w:val="808080" w:themeColor="background1" w:themeShade="80"/>
          <w:sz w:val="18"/>
          <w:szCs w:val="18"/>
          <w:lang w:val="es-ES"/>
        </w:rPr>
        <w:t xml:space="preserve">: </w:t>
      </w:r>
      <w:r w:rsidRPr="003D03F0">
        <w:rPr>
          <w:rFonts w:eastAsia="Calibri"/>
          <w:noProof/>
          <w:color w:val="808080" w:themeColor="background1" w:themeShade="80"/>
          <w:sz w:val="18"/>
          <w:szCs w:val="18"/>
          <w:lang w:val="es-ES"/>
        </w:rPr>
        <w:t>Total de procesos publicados y adjudicados enero-</w:t>
      </w:r>
      <w:r w:rsidR="00AC749D">
        <w:rPr>
          <w:rFonts w:eastAsia="Calibri"/>
          <w:noProof/>
          <w:color w:val="808080" w:themeColor="background1" w:themeShade="80"/>
          <w:sz w:val="18"/>
          <w:szCs w:val="18"/>
          <w:lang w:val="es-ES"/>
        </w:rPr>
        <w:t>dic</w:t>
      </w:r>
      <w:r w:rsidRPr="003D03F0">
        <w:rPr>
          <w:rFonts w:eastAsia="Calibri"/>
          <w:noProof/>
          <w:color w:val="808080" w:themeColor="background1" w:themeShade="80"/>
          <w:sz w:val="18"/>
          <w:szCs w:val="18"/>
          <w:lang w:val="es-ES"/>
        </w:rPr>
        <w:t>iembre 2024.</w:t>
      </w:r>
    </w:p>
    <w:p w14:paraId="70C33281" w14:textId="1E545286" w:rsidR="00A02E84" w:rsidRPr="009333AD" w:rsidRDefault="00A02E84" w:rsidP="00A02E84">
      <w:pPr>
        <w:spacing w:before="240" w:after="0" w:line="360" w:lineRule="auto"/>
        <w:ind w:right="-180"/>
        <w:jc w:val="both"/>
        <w:rPr>
          <w:rFonts w:eastAsia="Calibri"/>
          <w:noProof/>
          <w:color w:val="808080" w:themeColor="background1" w:themeShade="80"/>
          <w:lang w:val="es-DO"/>
        </w:rPr>
      </w:pPr>
      <w:r w:rsidRPr="00A02E84">
        <w:rPr>
          <w:rFonts w:eastAsia="Calibri"/>
          <w:noProof/>
          <w:color w:val="808080" w:themeColor="background1" w:themeShade="80"/>
          <w:lang w:val="es-DO"/>
        </w:rPr>
        <w:lastRenderedPageBreak/>
        <w:t>Esta ejecución de procesos se mide por medio de dos subindicadores, el primer Subindicador Gestión de Procesos, que mide que los procesos publicados se encuentran gestionados en el SECP, agotando cada una de las etapas establecidas del cronograma, tiene una ponderación de 15 puntos. En la medición al tercer trimestre 2024 obtuvimos una calificación de 15/15.</w:t>
      </w:r>
    </w:p>
    <w:p w14:paraId="52301FD7" w14:textId="70D5A27C" w:rsidR="00A02E84" w:rsidRPr="009333AD" w:rsidRDefault="00A02E84" w:rsidP="009333AD">
      <w:pPr>
        <w:spacing w:after="0" w:line="360" w:lineRule="auto"/>
        <w:rPr>
          <w:noProof/>
          <w:color w:val="808080" w:themeColor="background1" w:themeShade="80"/>
          <w:lang w:val="es-ES"/>
        </w:rPr>
      </w:pPr>
      <w:r w:rsidRPr="00A02E84">
        <w:rPr>
          <w:noProof/>
          <w:color w:val="808080" w:themeColor="background1" w:themeShade="80"/>
        </w:rPr>
        <w:drawing>
          <wp:inline distT="0" distB="0" distL="0" distR="0" wp14:anchorId="6377E229" wp14:editId="50468723">
            <wp:extent cx="4815555" cy="1957070"/>
            <wp:effectExtent l="0" t="0" r="4445" b="5080"/>
            <wp:docPr id="600580531" name="Gráfico 6">
              <a:extLst xmlns:a="http://schemas.openxmlformats.org/drawingml/2006/main">
                <a:ext uri="{FF2B5EF4-FFF2-40B4-BE49-F238E27FC236}">
                  <a16:creationId xmlns:a16="http://schemas.microsoft.com/office/drawing/2014/main" id="{E99E98DE-D30D-431F-93BC-FE4FEADDAF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9E6B75">
        <w:rPr>
          <w:rFonts w:eastAsia="Calibri"/>
          <w:b/>
          <w:bCs/>
          <w:noProof/>
          <w:color w:val="808080" w:themeColor="background1" w:themeShade="80"/>
          <w:sz w:val="18"/>
          <w:szCs w:val="18"/>
          <w:lang w:val="es-ES"/>
        </w:rPr>
        <w:t xml:space="preserve">Gráfico </w:t>
      </w:r>
      <w:r w:rsidR="009E6B75" w:rsidRPr="009E6B75">
        <w:rPr>
          <w:rFonts w:eastAsia="Calibri"/>
          <w:b/>
          <w:bCs/>
          <w:noProof/>
          <w:color w:val="808080" w:themeColor="background1" w:themeShade="80"/>
          <w:sz w:val="18"/>
          <w:szCs w:val="18"/>
          <w:lang w:val="es-ES"/>
        </w:rPr>
        <w:t>5</w:t>
      </w:r>
      <w:r w:rsidRPr="003D03F0">
        <w:rPr>
          <w:rFonts w:eastAsia="Calibri"/>
          <w:b/>
          <w:bCs/>
          <w:noProof/>
          <w:color w:val="808080" w:themeColor="background1" w:themeShade="80"/>
          <w:sz w:val="18"/>
          <w:szCs w:val="18"/>
          <w:lang w:val="es-ES"/>
        </w:rPr>
        <w:t>:</w:t>
      </w:r>
      <w:r w:rsidRPr="003D03F0">
        <w:rPr>
          <w:rFonts w:eastAsia="Calibri"/>
          <w:noProof/>
          <w:color w:val="808080" w:themeColor="background1" w:themeShade="80"/>
          <w:sz w:val="18"/>
          <w:szCs w:val="18"/>
          <w:lang w:val="es-ES"/>
        </w:rPr>
        <w:t>Gestión de procesos</w:t>
      </w:r>
      <w:r w:rsidRPr="003D03F0">
        <w:rPr>
          <w:rFonts w:eastAsia="Calibri"/>
          <w:b/>
          <w:bCs/>
          <w:noProof/>
          <w:color w:val="808080" w:themeColor="background1" w:themeShade="80"/>
          <w:sz w:val="18"/>
          <w:szCs w:val="18"/>
          <w:lang w:val="es-ES"/>
        </w:rPr>
        <w:t xml:space="preserve"> </w:t>
      </w:r>
      <w:r w:rsidRPr="003D03F0">
        <w:rPr>
          <w:rFonts w:eastAsia="Calibri"/>
          <w:noProof/>
          <w:color w:val="808080" w:themeColor="background1" w:themeShade="80"/>
          <w:sz w:val="18"/>
          <w:szCs w:val="18"/>
          <w:lang w:val="es-ES"/>
        </w:rPr>
        <w:t>al T3 2024.</w:t>
      </w:r>
    </w:p>
    <w:p w14:paraId="1B426595" w14:textId="30A19041" w:rsidR="00A02E84" w:rsidRPr="00A02E84" w:rsidRDefault="00ED47AE" w:rsidP="00A02E84">
      <w:pPr>
        <w:spacing w:before="240" w:after="0" w:line="360" w:lineRule="auto"/>
        <w:jc w:val="both"/>
        <w:rPr>
          <w:rFonts w:eastAsia="Calibri"/>
          <w:noProof/>
          <w:color w:val="808080" w:themeColor="background1" w:themeShade="80"/>
          <w:lang w:val="es-DO"/>
        </w:rPr>
      </w:pPr>
      <w:r w:rsidRPr="00ED47AE">
        <w:rPr>
          <w:noProof/>
          <w:color w:val="FF0000"/>
        </w:rPr>
        <w:drawing>
          <wp:anchor distT="0" distB="0" distL="114300" distR="114300" simplePos="0" relativeHeight="251658260" behindDoc="0" locked="0" layoutInCell="1" allowOverlap="1" wp14:anchorId="7DB4BF55" wp14:editId="44A15097">
            <wp:simplePos x="0" y="0"/>
            <wp:positionH relativeFrom="margin">
              <wp:align>right</wp:align>
            </wp:positionH>
            <wp:positionV relativeFrom="margin">
              <wp:posOffset>5305288</wp:posOffset>
            </wp:positionV>
            <wp:extent cx="4866005" cy="1755140"/>
            <wp:effectExtent l="0" t="0" r="0" b="0"/>
            <wp:wrapSquare wrapText="bothSides"/>
            <wp:docPr id="1817338150" name="Gráfico 10">
              <a:extLst xmlns:a="http://schemas.openxmlformats.org/drawingml/2006/main">
                <a:ext uri="{FF2B5EF4-FFF2-40B4-BE49-F238E27FC236}">
                  <a16:creationId xmlns:a16="http://schemas.microsoft.com/office/drawing/2014/main" id="{A3971C61-588F-450B-9D59-62C1DD7BE3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A02E84" w:rsidRPr="00A02E84">
        <w:rPr>
          <w:rFonts w:eastAsia="Calibri"/>
          <w:noProof/>
          <w:color w:val="808080" w:themeColor="background1" w:themeShade="80"/>
          <w:lang w:val="es-DO"/>
        </w:rPr>
        <w:t>El segundo subindicador de Tiempo de Gestión de Procesos, que mide que los procesos sean adjudicados según la fecha estimada de adjudicación establecida en el cronograma, con una ponderación de 15 puntos. La TSS obtuvo una calificación de 14.17/15.</w:t>
      </w:r>
    </w:p>
    <w:p w14:paraId="67C86897" w14:textId="3300614D" w:rsidR="00A02E84" w:rsidRPr="00ED47AE" w:rsidRDefault="00A02E84" w:rsidP="009333AD">
      <w:pPr>
        <w:spacing w:before="240" w:after="0" w:line="360" w:lineRule="auto"/>
        <w:rPr>
          <w:rFonts w:eastAsia="Calibri"/>
          <w:noProof/>
          <w:color w:val="808080" w:themeColor="background1" w:themeShade="80"/>
          <w:sz w:val="18"/>
          <w:szCs w:val="18"/>
          <w:lang w:val="es-ES"/>
        </w:rPr>
      </w:pPr>
      <w:r w:rsidRPr="00ED47AE">
        <w:rPr>
          <w:rFonts w:eastAsia="Calibri"/>
          <w:b/>
          <w:bCs/>
          <w:noProof/>
          <w:color w:val="808080" w:themeColor="background1" w:themeShade="80"/>
          <w:sz w:val="18"/>
          <w:szCs w:val="18"/>
          <w:lang w:val="es-ES"/>
        </w:rPr>
        <w:t xml:space="preserve">Gráfico </w:t>
      </w:r>
      <w:r w:rsidR="009E6B75" w:rsidRPr="00ED47AE">
        <w:rPr>
          <w:rFonts w:eastAsia="Calibri"/>
          <w:b/>
          <w:bCs/>
          <w:noProof/>
          <w:color w:val="808080" w:themeColor="background1" w:themeShade="80"/>
          <w:sz w:val="18"/>
          <w:szCs w:val="18"/>
          <w:lang w:val="es-ES"/>
        </w:rPr>
        <w:t>6</w:t>
      </w:r>
      <w:r w:rsidRPr="00ED47AE">
        <w:rPr>
          <w:rFonts w:eastAsia="Calibri"/>
          <w:noProof/>
          <w:color w:val="808080" w:themeColor="background1" w:themeShade="80"/>
          <w:sz w:val="18"/>
          <w:szCs w:val="18"/>
          <w:lang w:val="es-ES"/>
        </w:rPr>
        <w:t>:Tiempo gestión de procesos al T3 2024.</w:t>
      </w:r>
    </w:p>
    <w:p w14:paraId="0E61567B" w14:textId="4C5CE888" w:rsidR="00A02E84" w:rsidRPr="00A02E84" w:rsidRDefault="00A02E84" w:rsidP="00A02E84">
      <w:pPr>
        <w:spacing w:before="240" w:line="360" w:lineRule="auto"/>
        <w:jc w:val="both"/>
        <w:rPr>
          <w:rFonts w:eastAsia="Calibri"/>
          <w:noProof/>
          <w:color w:val="808080" w:themeColor="background1" w:themeShade="80"/>
          <w:lang w:val="es-DO"/>
        </w:rPr>
      </w:pPr>
      <w:r w:rsidRPr="00A02E84">
        <w:rPr>
          <w:rFonts w:eastAsia="Calibri"/>
          <w:noProof/>
          <w:color w:val="808080" w:themeColor="background1" w:themeShade="80"/>
          <w:lang w:val="es-DO"/>
        </w:rPr>
        <w:t>El porcentaje de montos adjudicados por modalidad de compras al 30 de noviembre 2024 se encuentra a continuación:</w:t>
      </w:r>
    </w:p>
    <w:tbl>
      <w:tblPr>
        <w:tblW w:w="7555" w:type="dxa"/>
        <w:tblLook w:val="04A0" w:firstRow="1" w:lastRow="0" w:firstColumn="1" w:lastColumn="0" w:noHBand="0" w:noVBand="1"/>
      </w:tblPr>
      <w:tblGrid>
        <w:gridCol w:w="3482"/>
        <w:gridCol w:w="2453"/>
        <w:gridCol w:w="1620"/>
      </w:tblGrid>
      <w:tr w:rsidR="00A02E84" w:rsidRPr="00A02E84" w14:paraId="34AF796F" w14:textId="77777777" w:rsidTr="00ED47AE">
        <w:trPr>
          <w:trHeight w:val="300"/>
          <w:tblHeader/>
        </w:trPr>
        <w:tc>
          <w:tcPr>
            <w:tcW w:w="3482" w:type="dxa"/>
            <w:tcBorders>
              <w:top w:val="single" w:sz="4" w:space="0" w:color="auto"/>
              <w:left w:val="single" w:sz="4" w:space="0" w:color="auto"/>
              <w:bottom w:val="single" w:sz="4" w:space="0" w:color="auto"/>
              <w:right w:val="single" w:sz="4" w:space="0" w:color="auto"/>
            </w:tcBorders>
            <w:shd w:val="clear" w:color="000000" w:fill="203764"/>
            <w:noWrap/>
            <w:hideMark/>
          </w:tcPr>
          <w:p w14:paraId="473F5632" w14:textId="6FF3D2A9" w:rsidR="00A02E84" w:rsidRPr="00A84E0E" w:rsidRDefault="00A02E84">
            <w:pPr>
              <w:spacing w:after="0" w:line="240" w:lineRule="auto"/>
              <w:jc w:val="center"/>
              <w:rPr>
                <w:rFonts w:eastAsia="Times New Roman"/>
                <w:b/>
                <w:bCs/>
                <w:color w:val="FFFFFF" w:themeColor="background1"/>
                <w:spacing w:val="0"/>
                <w:sz w:val="22"/>
                <w:szCs w:val="22"/>
              </w:rPr>
            </w:pPr>
            <w:r w:rsidRPr="00A84E0E">
              <w:rPr>
                <w:b/>
                <w:bCs/>
                <w:color w:val="FFFFFF" w:themeColor="background1"/>
                <w:sz w:val="22"/>
                <w:szCs w:val="22"/>
              </w:rPr>
              <w:lastRenderedPageBreak/>
              <w:t>M</w:t>
            </w:r>
            <w:r w:rsidR="00B34ACE" w:rsidRPr="00A84E0E">
              <w:rPr>
                <w:b/>
                <w:bCs/>
                <w:color w:val="FFFFFF" w:themeColor="background1"/>
                <w:sz w:val="22"/>
                <w:szCs w:val="22"/>
              </w:rPr>
              <w:t>odalidad</w:t>
            </w:r>
          </w:p>
        </w:tc>
        <w:tc>
          <w:tcPr>
            <w:tcW w:w="2453" w:type="dxa"/>
            <w:tcBorders>
              <w:top w:val="single" w:sz="4" w:space="0" w:color="auto"/>
              <w:left w:val="nil"/>
              <w:bottom w:val="single" w:sz="4" w:space="0" w:color="auto"/>
              <w:right w:val="single" w:sz="4" w:space="0" w:color="auto"/>
            </w:tcBorders>
            <w:shd w:val="clear" w:color="000000" w:fill="203764"/>
            <w:noWrap/>
            <w:hideMark/>
          </w:tcPr>
          <w:p w14:paraId="63DA87C4" w14:textId="1C21F42F" w:rsidR="00A02E84" w:rsidRPr="00A84E0E" w:rsidRDefault="00A02E84">
            <w:pPr>
              <w:spacing w:after="0" w:line="240" w:lineRule="auto"/>
              <w:jc w:val="center"/>
              <w:rPr>
                <w:rFonts w:eastAsia="Times New Roman"/>
                <w:b/>
                <w:bCs/>
                <w:color w:val="FFFFFF" w:themeColor="background1"/>
                <w:spacing w:val="0"/>
                <w:sz w:val="22"/>
                <w:szCs w:val="22"/>
              </w:rPr>
            </w:pPr>
            <w:r w:rsidRPr="00A84E0E">
              <w:rPr>
                <w:b/>
                <w:bCs/>
                <w:color w:val="FFFFFF" w:themeColor="background1"/>
                <w:sz w:val="22"/>
                <w:szCs w:val="22"/>
              </w:rPr>
              <w:t>T</w:t>
            </w:r>
            <w:r w:rsidR="00B34ACE" w:rsidRPr="00A84E0E">
              <w:rPr>
                <w:b/>
                <w:bCs/>
                <w:color w:val="FFFFFF" w:themeColor="background1"/>
                <w:sz w:val="22"/>
                <w:szCs w:val="22"/>
              </w:rPr>
              <w:t>otal</w:t>
            </w:r>
            <w:r w:rsidRPr="00A84E0E">
              <w:rPr>
                <w:b/>
                <w:bCs/>
                <w:color w:val="FFFFFF" w:themeColor="background1"/>
                <w:sz w:val="22"/>
                <w:szCs w:val="22"/>
              </w:rPr>
              <w:t xml:space="preserve"> (RD$)</w:t>
            </w:r>
          </w:p>
        </w:tc>
        <w:tc>
          <w:tcPr>
            <w:tcW w:w="1620" w:type="dxa"/>
            <w:tcBorders>
              <w:top w:val="single" w:sz="4" w:space="0" w:color="auto"/>
              <w:left w:val="nil"/>
              <w:bottom w:val="single" w:sz="4" w:space="0" w:color="auto"/>
              <w:right w:val="single" w:sz="4" w:space="0" w:color="auto"/>
            </w:tcBorders>
            <w:shd w:val="clear" w:color="000000" w:fill="203764"/>
            <w:noWrap/>
            <w:hideMark/>
          </w:tcPr>
          <w:p w14:paraId="51974E9B" w14:textId="4DC0DB31" w:rsidR="00A02E84" w:rsidRPr="00A84E0E" w:rsidRDefault="00A02E84">
            <w:pPr>
              <w:spacing w:after="0" w:line="240" w:lineRule="auto"/>
              <w:jc w:val="center"/>
              <w:rPr>
                <w:rFonts w:eastAsia="Times New Roman"/>
                <w:b/>
                <w:bCs/>
                <w:color w:val="FFFFFF" w:themeColor="background1"/>
                <w:spacing w:val="0"/>
                <w:sz w:val="22"/>
                <w:szCs w:val="22"/>
              </w:rPr>
            </w:pPr>
            <w:r w:rsidRPr="00A84E0E">
              <w:rPr>
                <w:b/>
                <w:bCs/>
                <w:color w:val="FFFFFF" w:themeColor="background1"/>
                <w:sz w:val="22"/>
                <w:szCs w:val="22"/>
              </w:rPr>
              <w:t>P</w:t>
            </w:r>
            <w:r w:rsidR="00B34ACE" w:rsidRPr="00A84E0E">
              <w:rPr>
                <w:b/>
                <w:bCs/>
                <w:color w:val="FFFFFF" w:themeColor="background1"/>
                <w:sz w:val="22"/>
                <w:szCs w:val="22"/>
              </w:rPr>
              <w:t>orcentaje</w:t>
            </w:r>
          </w:p>
        </w:tc>
      </w:tr>
      <w:tr w:rsidR="00A02E84" w:rsidRPr="00A02E84" w14:paraId="672AE0FF" w14:textId="77777777" w:rsidTr="00A84E0E">
        <w:trPr>
          <w:trHeight w:val="215"/>
        </w:trPr>
        <w:tc>
          <w:tcPr>
            <w:tcW w:w="3482" w:type="dxa"/>
            <w:tcBorders>
              <w:top w:val="nil"/>
              <w:left w:val="single" w:sz="4" w:space="0" w:color="auto"/>
              <w:bottom w:val="single" w:sz="4" w:space="0" w:color="auto"/>
              <w:right w:val="single" w:sz="4" w:space="0" w:color="auto"/>
            </w:tcBorders>
            <w:shd w:val="clear" w:color="auto" w:fill="auto"/>
            <w:noWrap/>
            <w:hideMark/>
          </w:tcPr>
          <w:p w14:paraId="4AD26B18" w14:textId="77777777" w:rsidR="00A02E84" w:rsidRPr="00A84E0E" w:rsidRDefault="00A02E84" w:rsidP="00D27BB8">
            <w:pPr>
              <w:spacing w:after="0" w:line="240" w:lineRule="auto"/>
              <w:jc w:val="both"/>
              <w:rPr>
                <w:rFonts w:eastAsia="Times New Roman"/>
                <w:color w:val="808080" w:themeColor="background1" w:themeShade="80"/>
                <w:spacing w:val="0"/>
                <w:sz w:val="22"/>
                <w:szCs w:val="22"/>
              </w:rPr>
            </w:pPr>
            <w:r w:rsidRPr="00A84E0E">
              <w:rPr>
                <w:color w:val="808080" w:themeColor="background1" w:themeShade="80"/>
                <w:sz w:val="22"/>
                <w:szCs w:val="22"/>
              </w:rPr>
              <w:t>Comparación de Precios</w:t>
            </w:r>
          </w:p>
        </w:tc>
        <w:tc>
          <w:tcPr>
            <w:tcW w:w="2453" w:type="dxa"/>
            <w:tcBorders>
              <w:top w:val="nil"/>
              <w:left w:val="nil"/>
              <w:bottom w:val="single" w:sz="4" w:space="0" w:color="auto"/>
              <w:right w:val="single" w:sz="4" w:space="0" w:color="auto"/>
            </w:tcBorders>
            <w:shd w:val="clear" w:color="auto" w:fill="auto"/>
            <w:noWrap/>
          </w:tcPr>
          <w:p w14:paraId="05635469" w14:textId="34E6512C" w:rsidR="00A02E84" w:rsidRPr="00A84E0E" w:rsidRDefault="00A02E84" w:rsidP="00D27BB8">
            <w:pPr>
              <w:spacing w:after="0" w:line="240" w:lineRule="auto"/>
              <w:jc w:val="center"/>
              <w:rPr>
                <w:rFonts w:eastAsia="Times New Roman"/>
                <w:color w:val="808080" w:themeColor="background1" w:themeShade="80"/>
                <w:spacing w:val="0"/>
                <w:sz w:val="22"/>
                <w:szCs w:val="22"/>
                <w:highlight w:val="yellow"/>
              </w:rPr>
            </w:pPr>
            <w:r w:rsidRPr="00A84E0E">
              <w:rPr>
                <w:color w:val="808080" w:themeColor="background1" w:themeShade="80"/>
                <w:sz w:val="22"/>
                <w:szCs w:val="22"/>
              </w:rPr>
              <w:t>$</w:t>
            </w:r>
            <w:r w:rsidR="001F1DFD">
              <w:rPr>
                <w:color w:val="808080" w:themeColor="background1" w:themeShade="80"/>
                <w:sz w:val="22"/>
                <w:szCs w:val="22"/>
              </w:rPr>
              <w:t>64,656,902.00</w:t>
            </w:r>
          </w:p>
        </w:tc>
        <w:tc>
          <w:tcPr>
            <w:tcW w:w="1620" w:type="dxa"/>
            <w:tcBorders>
              <w:top w:val="nil"/>
              <w:left w:val="nil"/>
              <w:bottom w:val="single" w:sz="4" w:space="0" w:color="auto"/>
              <w:right w:val="single" w:sz="4" w:space="0" w:color="auto"/>
            </w:tcBorders>
            <w:shd w:val="clear" w:color="auto" w:fill="auto"/>
            <w:noWrap/>
          </w:tcPr>
          <w:p w14:paraId="4EA9E7B5" w14:textId="77777777" w:rsidR="00A02E84" w:rsidRPr="00A84E0E" w:rsidRDefault="00A02E84" w:rsidP="00D27BB8">
            <w:pPr>
              <w:spacing w:after="0" w:line="240" w:lineRule="auto"/>
              <w:jc w:val="center"/>
              <w:rPr>
                <w:rFonts w:eastAsia="Times New Roman"/>
                <w:color w:val="808080" w:themeColor="background1" w:themeShade="80"/>
                <w:spacing w:val="0"/>
                <w:sz w:val="22"/>
                <w:szCs w:val="22"/>
                <w:highlight w:val="yellow"/>
              </w:rPr>
            </w:pPr>
            <w:r w:rsidRPr="00A84E0E">
              <w:rPr>
                <w:color w:val="808080" w:themeColor="background1" w:themeShade="80"/>
                <w:sz w:val="22"/>
                <w:szCs w:val="22"/>
              </w:rPr>
              <w:t>19.8%</w:t>
            </w:r>
          </w:p>
        </w:tc>
      </w:tr>
      <w:tr w:rsidR="00A02E84" w:rsidRPr="00A02E84" w14:paraId="7D2C94F2" w14:textId="77777777" w:rsidTr="00A84E0E">
        <w:trPr>
          <w:trHeight w:val="215"/>
        </w:trPr>
        <w:tc>
          <w:tcPr>
            <w:tcW w:w="3482" w:type="dxa"/>
            <w:tcBorders>
              <w:top w:val="nil"/>
              <w:left w:val="single" w:sz="4" w:space="0" w:color="auto"/>
              <w:bottom w:val="single" w:sz="4" w:space="0" w:color="auto"/>
              <w:right w:val="single" w:sz="4" w:space="0" w:color="auto"/>
            </w:tcBorders>
            <w:shd w:val="clear" w:color="auto" w:fill="auto"/>
            <w:noWrap/>
            <w:hideMark/>
          </w:tcPr>
          <w:p w14:paraId="73067318" w14:textId="77777777" w:rsidR="00A02E84" w:rsidRPr="00A84E0E" w:rsidRDefault="00A02E84" w:rsidP="00D27BB8">
            <w:pPr>
              <w:spacing w:after="0" w:line="240" w:lineRule="auto"/>
              <w:jc w:val="both"/>
              <w:rPr>
                <w:rFonts w:eastAsia="Times New Roman"/>
                <w:color w:val="808080" w:themeColor="background1" w:themeShade="80"/>
                <w:spacing w:val="0"/>
                <w:sz w:val="22"/>
                <w:szCs w:val="22"/>
              </w:rPr>
            </w:pPr>
            <w:r w:rsidRPr="00A84E0E">
              <w:rPr>
                <w:color w:val="808080" w:themeColor="background1" w:themeShade="80"/>
                <w:sz w:val="22"/>
                <w:szCs w:val="22"/>
              </w:rPr>
              <w:t>Compras Menores</w:t>
            </w:r>
          </w:p>
        </w:tc>
        <w:tc>
          <w:tcPr>
            <w:tcW w:w="2453" w:type="dxa"/>
            <w:tcBorders>
              <w:top w:val="nil"/>
              <w:left w:val="nil"/>
              <w:bottom w:val="single" w:sz="4" w:space="0" w:color="auto"/>
              <w:right w:val="single" w:sz="4" w:space="0" w:color="auto"/>
            </w:tcBorders>
            <w:shd w:val="clear" w:color="auto" w:fill="auto"/>
            <w:noWrap/>
          </w:tcPr>
          <w:p w14:paraId="597A6577" w14:textId="7F544C24" w:rsidR="00A02E84" w:rsidRPr="00A84E0E" w:rsidRDefault="00A02E84" w:rsidP="00D27BB8">
            <w:pPr>
              <w:spacing w:after="0" w:line="240" w:lineRule="auto"/>
              <w:jc w:val="center"/>
              <w:rPr>
                <w:rFonts w:eastAsia="Times New Roman"/>
                <w:color w:val="808080" w:themeColor="background1" w:themeShade="80"/>
                <w:spacing w:val="0"/>
                <w:sz w:val="22"/>
                <w:szCs w:val="22"/>
                <w:highlight w:val="yellow"/>
              </w:rPr>
            </w:pPr>
            <w:r w:rsidRPr="00A84E0E">
              <w:rPr>
                <w:color w:val="808080" w:themeColor="background1" w:themeShade="80"/>
                <w:sz w:val="22"/>
                <w:szCs w:val="22"/>
              </w:rPr>
              <w:t>$</w:t>
            </w:r>
            <w:r w:rsidR="001F1DFD">
              <w:rPr>
                <w:color w:val="808080" w:themeColor="background1" w:themeShade="80"/>
                <w:sz w:val="22"/>
                <w:szCs w:val="22"/>
              </w:rPr>
              <w:t>43,376,766.00</w:t>
            </w:r>
          </w:p>
        </w:tc>
        <w:tc>
          <w:tcPr>
            <w:tcW w:w="1620" w:type="dxa"/>
            <w:tcBorders>
              <w:top w:val="nil"/>
              <w:left w:val="nil"/>
              <w:bottom w:val="single" w:sz="4" w:space="0" w:color="auto"/>
              <w:right w:val="single" w:sz="4" w:space="0" w:color="auto"/>
            </w:tcBorders>
            <w:shd w:val="clear" w:color="auto" w:fill="auto"/>
            <w:noWrap/>
          </w:tcPr>
          <w:p w14:paraId="479368E9" w14:textId="74BB62D5" w:rsidR="00A02E84" w:rsidRPr="00A84E0E" w:rsidRDefault="00A02E84" w:rsidP="00D27BB8">
            <w:pPr>
              <w:spacing w:after="0" w:line="240" w:lineRule="auto"/>
              <w:jc w:val="center"/>
              <w:rPr>
                <w:rFonts w:eastAsia="Times New Roman"/>
                <w:color w:val="808080" w:themeColor="background1" w:themeShade="80"/>
                <w:spacing w:val="0"/>
                <w:sz w:val="22"/>
                <w:szCs w:val="22"/>
                <w:highlight w:val="yellow"/>
              </w:rPr>
            </w:pPr>
            <w:r w:rsidRPr="00A84E0E">
              <w:rPr>
                <w:color w:val="808080" w:themeColor="background1" w:themeShade="80"/>
                <w:sz w:val="22"/>
                <w:szCs w:val="22"/>
              </w:rPr>
              <w:t>11.</w:t>
            </w:r>
            <w:r w:rsidR="00AD78D3">
              <w:rPr>
                <w:color w:val="808080" w:themeColor="background1" w:themeShade="80"/>
                <w:sz w:val="22"/>
                <w:szCs w:val="22"/>
              </w:rPr>
              <w:t>7</w:t>
            </w:r>
            <w:r w:rsidRPr="00A84E0E">
              <w:rPr>
                <w:color w:val="808080" w:themeColor="background1" w:themeShade="80"/>
                <w:sz w:val="22"/>
                <w:szCs w:val="22"/>
              </w:rPr>
              <w:t>%</w:t>
            </w:r>
          </w:p>
        </w:tc>
      </w:tr>
      <w:tr w:rsidR="00A02E84" w:rsidRPr="00A02E84" w14:paraId="06FE5EAC" w14:textId="77777777" w:rsidTr="00A84E0E">
        <w:trPr>
          <w:trHeight w:val="287"/>
        </w:trPr>
        <w:tc>
          <w:tcPr>
            <w:tcW w:w="3482" w:type="dxa"/>
            <w:tcBorders>
              <w:top w:val="nil"/>
              <w:left w:val="single" w:sz="4" w:space="0" w:color="auto"/>
              <w:bottom w:val="single" w:sz="4" w:space="0" w:color="auto"/>
              <w:right w:val="single" w:sz="4" w:space="0" w:color="auto"/>
            </w:tcBorders>
            <w:shd w:val="clear" w:color="auto" w:fill="auto"/>
            <w:noWrap/>
            <w:hideMark/>
          </w:tcPr>
          <w:p w14:paraId="325B141B" w14:textId="77777777" w:rsidR="00A02E84" w:rsidRPr="00A84E0E" w:rsidRDefault="00A02E84" w:rsidP="00D27BB8">
            <w:pPr>
              <w:spacing w:after="0" w:line="240" w:lineRule="auto"/>
              <w:jc w:val="both"/>
              <w:rPr>
                <w:rFonts w:eastAsia="Times New Roman"/>
                <w:color w:val="808080" w:themeColor="background1" w:themeShade="80"/>
                <w:spacing w:val="0"/>
                <w:sz w:val="22"/>
                <w:szCs w:val="22"/>
                <w:lang w:val="es-ES"/>
              </w:rPr>
            </w:pPr>
            <w:r w:rsidRPr="00A84E0E">
              <w:rPr>
                <w:color w:val="808080" w:themeColor="background1" w:themeShade="80"/>
                <w:sz w:val="22"/>
                <w:szCs w:val="22"/>
                <w:lang w:val="es-ES"/>
              </w:rPr>
              <w:t>Compras por Debajo del Umbral</w:t>
            </w:r>
          </w:p>
        </w:tc>
        <w:tc>
          <w:tcPr>
            <w:tcW w:w="2453" w:type="dxa"/>
            <w:tcBorders>
              <w:top w:val="nil"/>
              <w:left w:val="nil"/>
              <w:bottom w:val="single" w:sz="4" w:space="0" w:color="auto"/>
              <w:right w:val="single" w:sz="4" w:space="0" w:color="auto"/>
            </w:tcBorders>
            <w:shd w:val="clear" w:color="auto" w:fill="auto"/>
            <w:noWrap/>
          </w:tcPr>
          <w:p w14:paraId="6B1F23F3" w14:textId="3B211EAC" w:rsidR="00A02E84" w:rsidRPr="00A84E0E" w:rsidRDefault="00A02E84" w:rsidP="00D27BB8">
            <w:pPr>
              <w:spacing w:after="0" w:line="240" w:lineRule="auto"/>
              <w:jc w:val="center"/>
              <w:rPr>
                <w:rFonts w:eastAsia="Times New Roman"/>
                <w:color w:val="808080" w:themeColor="background1" w:themeShade="80"/>
                <w:spacing w:val="0"/>
                <w:sz w:val="22"/>
                <w:szCs w:val="22"/>
                <w:highlight w:val="yellow"/>
              </w:rPr>
            </w:pPr>
            <w:r w:rsidRPr="00A84E0E">
              <w:rPr>
                <w:color w:val="808080" w:themeColor="background1" w:themeShade="80"/>
                <w:sz w:val="22"/>
                <w:szCs w:val="22"/>
              </w:rPr>
              <w:t>$</w:t>
            </w:r>
            <w:r w:rsidR="00AD78D3">
              <w:rPr>
                <w:color w:val="808080" w:themeColor="background1" w:themeShade="80"/>
                <w:sz w:val="22"/>
                <w:szCs w:val="22"/>
              </w:rPr>
              <w:t>10,587,640.00</w:t>
            </w:r>
          </w:p>
        </w:tc>
        <w:tc>
          <w:tcPr>
            <w:tcW w:w="1620" w:type="dxa"/>
            <w:tcBorders>
              <w:top w:val="nil"/>
              <w:left w:val="nil"/>
              <w:bottom w:val="single" w:sz="4" w:space="0" w:color="auto"/>
              <w:right w:val="single" w:sz="4" w:space="0" w:color="auto"/>
            </w:tcBorders>
            <w:shd w:val="clear" w:color="auto" w:fill="auto"/>
            <w:noWrap/>
          </w:tcPr>
          <w:p w14:paraId="24B320CF" w14:textId="7F08BC99" w:rsidR="00A02E84" w:rsidRPr="00A84E0E" w:rsidRDefault="00AD78D3" w:rsidP="00D27BB8">
            <w:pPr>
              <w:spacing w:after="0" w:line="240" w:lineRule="auto"/>
              <w:jc w:val="center"/>
              <w:rPr>
                <w:rFonts w:eastAsia="Times New Roman"/>
                <w:color w:val="808080" w:themeColor="background1" w:themeShade="80"/>
                <w:spacing w:val="0"/>
                <w:sz w:val="22"/>
                <w:szCs w:val="22"/>
                <w:highlight w:val="yellow"/>
              </w:rPr>
            </w:pPr>
            <w:r>
              <w:rPr>
                <w:color w:val="808080" w:themeColor="background1" w:themeShade="80"/>
                <w:sz w:val="22"/>
                <w:szCs w:val="22"/>
              </w:rPr>
              <w:t>2.8</w:t>
            </w:r>
            <w:r w:rsidR="00A02E84" w:rsidRPr="00A84E0E">
              <w:rPr>
                <w:color w:val="808080" w:themeColor="background1" w:themeShade="80"/>
                <w:sz w:val="22"/>
                <w:szCs w:val="22"/>
              </w:rPr>
              <w:t>%</w:t>
            </w:r>
          </w:p>
        </w:tc>
      </w:tr>
      <w:tr w:rsidR="00A02E84" w:rsidRPr="00A02E84" w14:paraId="620B9C74" w14:textId="77777777" w:rsidTr="00A84E0E">
        <w:trPr>
          <w:trHeight w:val="224"/>
        </w:trPr>
        <w:tc>
          <w:tcPr>
            <w:tcW w:w="3482" w:type="dxa"/>
            <w:tcBorders>
              <w:top w:val="nil"/>
              <w:left w:val="single" w:sz="4" w:space="0" w:color="auto"/>
              <w:bottom w:val="single" w:sz="4" w:space="0" w:color="auto"/>
              <w:right w:val="single" w:sz="4" w:space="0" w:color="auto"/>
            </w:tcBorders>
            <w:shd w:val="clear" w:color="auto" w:fill="auto"/>
            <w:noWrap/>
            <w:hideMark/>
          </w:tcPr>
          <w:p w14:paraId="6782AC2C" w14:textId="77777777" w:rsidR="00A02E84" w:rsidRPr="00A84E0E" w:rsidRDefault="00A02E84" w:rsidP="00D27BB8">
            <w:pPr>
              <w:spacing w:after="0" w:line="240" w:lineRule="auto"/>
              <w:jc w:val="both"/>
              <w:rPr>
                <w:rFonts w:eastAsia="Times New Roman"/>
                <w:color w:val="808080" w:themeColor="background1" w:themeShade="80"/>
                <w:spacing w:val="0"/>
                <w:sz w:val="22"/>
                <w:szCs w:val="22"/>
              </w:rPr>
            </w:pPr>
            <w:r w:rsidRPr="00A84E0E">
              <w:rPr>
                <w:color w:val="808080" w:themeColor="background1" w:themeShade="80"/>
                <w:sz w:val="22"/>
                <w:szCs w:val="22"/>
              </w:rPr>
              <w:t>Licitación Pública Nacional</w:t>
            </w:r>
          </w:p>
        </w:tc>
        <w:tc>
          <w:tcPr>
            <w:tcW w:w="2453" w:type="dxa"/>
            <w:tcBorders>
              <w:top w:val="nil"/>
              <w:left w:val="nil"/>
              <w:bottom w:val="single" w:sz="4" w:space="0" w:color="auto"/>
              <w:right w:val="single" w:sz="4" w:space="0" w:color="auto"/>
            </w:tcBorders>
            <w:shd w:val="clear" w:color="auto" w:fill="auto"/>
            <w:noWrap/>
          </w:tcPr>
          <w:p w14:paraId="1B13FCF6" w14:textId="63E6539B" w:rsidR="00A02E84" w:rsidRPr="00A84E0E" w:rsidRDefault="00A02E84" w:rsidP="00D27BB8">
            <w:pPr>
              <w:spacing w:after="0" w:line="240" w:lineRule="auto"/>
              <w:jc w:val="center"/>
              <w:rPr>
                <w:rFonts w:eastAsia="Times New Roman"/>
                <w:color w:val="808080" w:themeColor="background1" w:themeShade="80"/>
                <w:spacing w:val="0"/>
                <w:sz w:val="22"/>
                <w:szCs w:val="22"/>
                <w:highlight w:val="yellow"/>
              </w:rPr>
            </w:pPr>
            <w:r w:rsidRPr="00A84E0E">
              <w:rPr>
                <w:color w:val="808080" w:themeColor="background1" w:themeShade="80"/>
                <w:sz w:val="22"/>
                <w:szCs w:val="22"/>
              </w:rPr>
              <w:t>$57,861,686.00</w:t>
            </w:r>
          </w:p>
        </w:tc>
        <w:tc>
          <w:tcPr>
            <w:tcW w:w="1620" w:type="dxa"/>
            <w:tcBorders>
              <w:top w:val="nil"/>
              <w:left w:val="nil"/>
              <w:bottom w:val="single" w:sz="4" w:space="0" w:color="auto"/>
              <w:right w:val="single" w:sz="4" w:space="0" w:color="auto"/>
            </w:tcBorders>
            <w:shd w:val="clear" w:color="auto" w:fill="auto"/>
            <w:noWrap/>
          </w:tcPr>
          <w:p w14:paraId="68DC2F33" w14:textId="47B239A6" w:rsidR="00A02E84" w:rsidRPr="00A84E0E" w:rsidRDefault="00AD78D3" w:rsidP="00D27BB8">
            <w:pPr>
              <w:spacing w:after="0" w:line="240" w:lineRule="auto"/>
              <w:jc w:val="center"/>
              <w:rPr>
                <w:rFonts w:eastAsia="Times New Roman"/>
                <w:color w:val="808080" w:themeColor="background1" w:themeShade="80"/>
                <w:spacing w:val="0"/>
                <w:sz w:val="22"/>
                <w:szCs w:val="22"/>
                <w:highlight w:val="yellow"/>
              </w:rPr>
            </w:pPr>
            <w:r>
              <w:rPr>
                <w:color w:val="808080" w:themeColor="background1" w:themeShade="80"/>
                <w:sz w:val="22"/>
                <w:szCs w:val="22"/>
              </w:rPr>
              <w:t>15.5</w:t>
            </w:r>
            <w:r w:rsidR="00A02E84" w:rsidRPr="00A84E0E">
              <w:rPr>
                <w:color w:val="808080" w:themeColor="background1" w:themeShade="80"/>
                <w:sz w:val="22"/>
                <w:szCs w:val="22"/>
              </w:rPr>
              <w:t>%</w:t>
            </w:r>
          </w:p>
        </w:tc>
      </w:tr>
      <w:tr w:rsidR="00A02E84" w:rsidRPr="00A02E84" w14:paraId="530230EC" w14:textId="77777777" w:rsidTr="00A84E0E">
        <w:trPr>
          <w:trHeight w:val="76"/>
        </w:trPr>
        <w:tc>
          <w:tcPr>
            <w:tcW w:w="3482" w:type="dxa"/>
            <w:tcBorders>
              <w:top w:val="nil"/>
              <w:left w:val="single" w:sz="4" w:space="0" w:color="auto"/>
              <w:bottom w:val="single" w:sz="4" w:space="0" w:color="auto"/>
              <w:right w:val="single" w:sz="4" w:space="0" w:color="auto"/>
            </w:tcBorders>
            <w:shd w:val="clear" w:color="auto" w:fill="auto"/>
            <w:noWrap/>
            <w:hideMark/>
          </w:tcPr>
          <w:p w14:paraId="727E01AD" w14:textId="77777777" w:rsidR="00A02E84" w:rsidRPr="00A84E0E" w:rsidRDefault="00A02E84" w:rsidP="00D27BB8">
            <w:pPr>
              <w:spacing w:after="0" w:line="240" w:lineRule="auto"/>
              <w:jc w:val="both"/>
              <w:rPr>
                <w:rFonts w:eastAsia="Times New Roman"/>
                <w:color w:val="808080" w:themeColor="background1" w:themeShade="80"/>
                <w:spacing w:val="0"/>
                <w:sz w:val="22"/>
                <w:szCs w:val="22"/>
              </w:rPr>
            </w:pPr>
            <w:r w:rsidRPr="00A84E0E">
              <w:rPr>
                <w:color w:val="808080" w:themeColor="background1" w:themeShade="80"/>
                <w:sz w:val="22"/>
                <w:szCs w:val="22"/>
              </w:rPr>
              <w:t>Procesos de Excepción</w:t>
            </w:r>
          </w:p>
        </w:tc>
        <w:tc>
          <w:tcPr>
            <w:tcW w:w="2453" w:type="dxa"/>
            <w:tcBorders>
              <w:top w:val="nil"/>
              <w:left w:val="nil"/>
              <w:bottom w:val="single" w:sz="4" w:space="0" w:color="auto"/>
              <w:right w:val="single" w:sz="4" w:space="0" w:color="auto"/>
            </w:tcBorders>
            <w:shd w:val="clear" w:color="auto" w:fill="auto"/>
            <w:noWrap/>
          </w:tcPr>
          <w:p w14:paraId="67134D7F" w14:textId="2EEE0BA0" w:rsidR="00A02E84" w:rsidRPr="00A84E0E" w:rsidRDefault="00A02E84" w:rsidP="00D27BB8">
            <w:pPr>
              <w:spacing w:after="0" w:line="240" w:lineRule="auto"/>
              <w:jc w:val="center"/>
              <w:rPr>
                <w:rFonts w:eastAsia="Times New Roman"/>
                <w:color w:val="808080" w:themeColor="background1" w:themeShade="80"/>
                <w:spacing w:val="0"/>
                <w:sz w:val="22"/>
                <w:szCs w:val="22"/>
                <w:highlight w:val="yellow"/>
              </w:rPr>
            </w:pPr>
            <w:r w:rsidRPr="00A84E0E">
              <w:rPr>
                <w:color w:val="808080" w:themeColor="background1" w:themeShade="80"/>
                <w:sz w:val="22"/>
                <w:szCs w:val="22"/>
              </w:rPr>
              <w:t>$</w:t>
            </w:r>
            <w:r w:rsidR="00AD78D3">
              <w:rPr>
                <w:color w:val="808080" w:themeColor="background1" w:themeShade="80"/>
                <w:sz w:val="22"/>
                <w:szCs w:val="22"/>
              </w:rPr>
              <w:t>195,777,787.00</w:t>
            </w:r>
          </w:p>
        </w:tc>
        <w:tc>
          <w:tcPr>
            <w:tcW w:w="1620" w:type="dxa"/>
            <w:tcBorders>
              <w:top w:val="nil"/>
              <w:left w:val="nil"/>
              <w:bottom w:val="single" w:sz="4" w:space="0" w:color="auto"/>
              <w:right w:val="single" w:sz="4" w:space="0" w:color="auto"/>
            </w:tcBorders>
            <w:shd w:val="clear" w:color="auto" w:fill="auto"/>
            <w:noWrap/>
          </w:tcPr>
          <w:p w14:paraId="6A90E085" w14:textId="43549233" w:rsidR="00A02E84" w:rsidRPr="00A84E0E" w:rsidRDefault="00AD78D3" w:rsidP="00D27BB8">
            <w:pPr>
              <w:spacing w:after="0" w:line="240" w:lineRule="auto"/>
              <w:jc w:val="center"/>
              <w:rPr>
                <w:rFonts w:eastAsia="Times New Roman"/>
                <w:color w:val="808080" w:themeColor="background1" w:themeShade="80"/>
                <w:spacing w:val="0"/>
                <w:sz w:val="22"/>
                <w:szCs w:val="22"/>
                <w:highlight w:val="yellow"/>
              </w:rPr>
            </w:pPr>
            <w:r>
              <w:rPr>
                <w:color w:val="808080" w:themeColor="background1" w:themeShade="80"/>
                <w:sz w:val="22"/>
                <w:szCs w:val="22"/>
              </w:rPr>
              <w:t>52.6</w:t>
            </w:r>
            <w:r w:rsidR="00A02E84" w:rsidRPr="00A84E0E">
              <w:rPr>
                <w:color w:val="808080" w:themeColor="background1" w:themeShade="80"/>
                <w:sz w:val="22"/>
                <w:szCs w:val="22"/>
              </w:rPr>
              <w:t>%</w:t>
            </w:r>
          </w:p>
        </w:tc>
      </w:tr>
      <w:tr w:rsidR="00A02E84" w:rsidRPr="00A02E84" w14:paraId="23C19D87" w14:textId="77777777" w:rsidTr="00D27BB8">
        <w:trPr>
          <w:trHeight w:val="315"/>
        </w:trPr>
        <w:tc>
          <w:tcPr>
            <w:tcW w:w="3482" w:type="dxa"/>
            <w:tcBorders>
              <w:top w:val="nil"/>
              <w:left w:val="single" w:sz="4" w:space="0" w:color="auto"/>
              <w:bottom w:val="single" w:sz="4" w:space="0" w:color="auto"/>
              <w:right w:val="single" w:sz="4" w:space="0" w:color="auto"/>
            </w:tcBorders>
            <w:shd w:val="clear" w:color="auto" w:fill="auto"/>
            <w:noWrap/>
            <w:hideMark/>
          </w:tcPr>
          <w:p w14:paraId="161BA913" w14:textId="77777777" w:rsidR="00A02E84" w:rsidRPr="00A84E0E" w:rsidRDefault="00A02E84" w:rsidP="00A84E0E">
            <w:pPr>
              <w:spacing w:after="0" w:line="240" w:lineRule="auto"/>
              <w:rPr>
                <w:rFonts w:eastAsia="Times New Roman"/>
                <w:b/>
                <w:bCs/>
                <w:color w:val="808080" w:themeColor="background1" w:themeShade="80"/>
                <w:spacing w:val="0"/>
                <w:sz w:val="22"/>
                <w:szCs w:val="22"/>
              </w:rPr>
            </w:pPr>
            <w:r w:rsidRPr="00A84E0E">
              <w:rPr>
                <w:b/>
                <w:bCs/>
                <w:color w:val="808080" w:themeColor="background1" w:themeShade="80"/>
                <w:sz w:val="22"/>
                <w:szCs w:val="22"/>
              </w:rPr>
              <w:t>TOTAL</w:t>
            </w:r>
          </w:p>
        </w:tc>
        <w:tc>
          <w:tcPr>
            <w:tcW w:w="2453" w:type="dxa"/>
            <w:tcBorders>
              <w:top w:val="nil"/>
              <w:left w:val="nil"/>
              <w:bottom w:val="single" w:sz="4" w:space="0" w:color="auto"/>
              <w:right w:val="single" w:sz="4" w:space="0" w:color="auto"/>
            </w:tcBorders>
            <w:shd w:val="clear" w:color="auto" w:fill="auto"/>
            <w:noWrap/>
          </w:tcPr>
          <w:p w14:paraId="3E32017D" w14:textId="7CC7539E" w:rsidR="00A02E84" w:rsidRPr="00A84E0E" w:rsidRDefault="00A02E84" w:rsidP="00D27BB8">
            <w:pPr>
              <w:spacing w:after="0" w:line="240" w:lineRule="auto"/>
              <w:jc w:val="center"/>
              <w:rPr>
                <w:rFonts w:eastAsia="Times New Roman"/>
                <w:b/>
                <w:bCs/>
                <w:color w:val="808080" w:themeColor="background1" w:themeShade="80"/>
                <w:spacing w:val="0"/>
                <w:sz w:val="22"/>
                <w:szCs w:val="22"/>
                <w:highlight w:val="yellow"/>
              </w:rPr>
            </w:pPr>
            <w:r w:rsidRPr="00A84E0E">
              <w:rPr>
                <w:b/>
                <w:bCs/>
                <w:color w:val="808080" w:themeColor="background1" w:themeShade="80"/>
                <w:sz w:val="22"/>
                <w:szCs w:val="22"/>
              </w:rPr>
              <w:t>$</w:t>
            </w:r>
            <w:r w:rsidR="00AD78D3">
              <w:rPr>
                <w:b/>
                <w:bCs/>
                <w:color w:val="808080" w:themeColor="background1" w:themeShade="80"/>
                <w:sz w:val="22"/>
                <w:szCs w:val="22"/>
              </w:rPr>
              <w:t>372,260,781.00</w:t>
            </w:r>
          </w:p>
        </w:tc>
        <w:tc>
          <w:tcPr>
            <w:tcW w:w="1620" w:type="dxa"/>
            <w:tcBorders>
              <w:top w:val="nil"/>
              <w:left w:val="nil"/>
              <w:bottom w:val="single" w:sz="4" w:space="0" w:color="auto"/>
              <w:right w:val="single" w:sz="4" w:space="0" w:color="auto"/>
            </w:tcBorders>
            <w:shd w:val="clear" w:color="auto" w:fill="auto"/>
            <w:noWrap/>
          </w:tcPr>
          <w:p w14:paraId="1F6FEC1B" w14:textId="77777777" w:rsidR="00A02E84" w:rsidRPr="00A84E0E" w:rsidRDefault="00A02E84">
            <w:pPr>
              <w:spacing w:after="0" w:line="240" w:lineRule="auto"/>
              <w:jc w:val="center"/>
              <w:rPr>
                <w:rFonts w:eastAsia="Times New Roman"/>
                <w:b/>
                <w:bCs/>
                <w:color w:val="808080" w:themeColor="background1" w:themeShade="80"/>
                <w:spacing w:val="0"/>
                <w:sz w:val="22"/>
                <w:szCs w:val="22"/>
                <w:highlight w:val="yellow"/>
              </w:rPr>
            </w:pPr>
            <w:r w:rsidRPr="00A84E0E">
              <w:rPr>
                <w:b/>
                <w:bCs/>
                <w:color w:val="808080" w:themeColor="background1" w:themeShade="80"/>
                <w:sz w:val="22"/>
                <w:szCs w:val="22"/>
              </w:rPr>
              <w:t>100%</w:t>
            </w:r>
          </w:p>
        </w:tc>
      </w:tr>
    </w:tbl>
    <w:p w14:paraId="55C51617" w14:textId="1AB3DE57" w:rsidR="00A02E84" w:rsidRDefault="00A02E84" w:rsidP="001C044F">
      <w:pPr>
        <w:spacing w:after="0" w:line="360" w:lineRule="auto"/>
        <w:ind w:right="26"/>
        <w:jc w:val="both"/>
        <w:rPr>
          <w:rFonts w:eastAsia="Calibri"/>
          <w:noProof/>
          <w:color w:val="808080" w:themeColor="background1" w:themeShade="80"/>
          <w:sz w:val="18"/>
          <w:szCs w:val="18"/>
          <w:lang w:val="es-ES"/>
        </w:rPr>
      </w:pPr>
      <w:r w:rsidRPr="003D03F0">
        <w:rPr>
          <w:rFonts w:eastAsia="Calibri"/>
          <w:b/>
          <w:bCs/>
          <w:noProof/>
          <w:color w:val="808080" w:themeColor="background1" w:themeShade="80"/>
          <w:sz w:val="18"/>
          <w:szCs w:val="18"/>
          <w:lang w:val="es-ES"/>
        </w:rPr>
        <w:t>Tabla 1</w:t>
      </w:r>
      <w:r w:rsidR="00C50277">
        <w:rPr>
          <w:rFonts w:eastAsia="Calibri"/>
          <w:b/>
          <w:bCs/>
          <w:noProof/>
          <w:color w:val="808080" w:themeColor="background1" w:themeShade="80"/>
          <w:sz w:val="18"/>
          <w:szCs w:val="18"/>
          <w:lang w:val="es-ES"/>
        </w:rPr>
        <w:t>6</w:t>
      </w:r>
      <w:r w:rsidRPr="003D03F0">
        <w:rPr>
          <w:rFonts w:eastAsia="Calibri"/>
          <w:b/>
          <w:bCs/>
          <w:noProof/>
          <w:color w:val="808080" w:themeColor="background1" w:themeShade="80"/>
          <w:sz w:val="18"/>
          <w:szCs w:val="18"/>
          <w:lang w:val="es-ES"/>
        </w:rPr>
        <w:t xml:space="preserve">: </w:t>
      </w:r>
      <w:r w:rsidRPr="003D03F0">
        <w:rPr>
          <w:rFonts w:eastAsia="Calibri"/>
          <w:noProof/>
          <w:color w:val="808080" w:themeColor="background1" w:themeShade="80"/>
          <w:sz w:val="18"/>
          <w:szCs w:val="18"/>
          <w:lang w:val="es-ES"/>
        </w:rPr>
        <w:t>Total de procesos publicados por montos y porcentajes - enero/</w:t>
      </w:r>
      <w:r w:rsidR="0040299E">
        <w:rPr>
          <w:rFonts w:eastAsia="Calibri"/>
          <w:noProof/>
          <w:color w:val="808080" w:themeColor="background1" w:themeShade="80"/>
          <w:sz w:val="18"/>
          <w:szCs w:val="18"/>
          <w:lang w:val="es-ES"/>
        </w:rPr>
        <w:t>dic</w:t>
      </w:r>
      <w:r w:rsidRPr="003D03F0">
        <w:rPr>
          <w:rFonts w:eastAsia="Calibri"/>
          <w:noProof/>
          <w:color w:val="808080" w:themeColor="background1" w:themeShade="80"/>
          <w:sz w:val="18"/>
          <w:szCs w:val="18"/>
          <w:lang w:val="es-ES"/>
        </w:rPr>
        <w:t>iembre 2024 – Datos obtenidos del Sistema Eléctr</w:t>
      </w:r>
      <w:r w:rsidR="0040299E">
        <w:rPr>
          <w:rFonts w:eastAsia="Calibri"/>
          <w:noProof/>
          <w:color w:val="808080" w:themeColor="background1" w:themeShade="80"/>
          <w:sz w:val="18"/>
          <w:szCs w:val="18"/>
          <w:lang w:val="es-ES"/>
        </w:rPr>
        <w:t>ó</w:t>
      </w:r>
      <w:r w:rsidRPr="003D03F0">
        <w:rPr>
          <w:rFonts w:eastAsia="Calibri"/>
          <w:noProof/>
          <w:color w:val="808080" w:themeColor="background1" w:themeShade="80"/>
          <w:sz w:val="18"/>
          <w:szCs w:val="18"/>
          <w:lang w:val="es-ES"/>
        </w:rPr>
        <w:t>nico de Contrataciones Públicas.</w:t>
      </w:r>
    </w:p>
    <w:p w14:paraId="7C16F77B" w14:textId="77777777" w:rsidR="00ED47AE" w:rsidRDefault="00ED47AE" w:rsidP="001C044F">
      <w:pPr>
        <w:spacing w:after="0" w:line="360" w:lineRule="auto"/>
        <w:ind w:right="26"/>
        <w:jc w:val="both"/>
        <w:rPr>
          <w:rFonts w:eastAsia="Calibri"/>
          <w:noProof/>
          <w:color w:val="808080" w:themeColor="background1" w:themeShade="80"/>
          <w:sz w:val="18"/>
          <w:szCs w:val="18"/>
          <w:lang w:val="es-ES"/>
        </w:rPr>
      </w:pPr>
    </w:p>
    <w:p w14:paraId="7B388ED6" w14:textId="77777777" w:rsidR="00A84E0E" w:rsidRPr="00A84E0E" w:rsidRDefault="00A84E0E" w:rsidP="00A84E0E">
      <w:pPr>
        <w:spacing w:after="0" w:line="360" w:lineRule="auto"/>
        <w:ind w:right="-180"/>
        <w:jc w:val="both"/>
        <w:rPr>
          <w:rFonts w:eastAsia="Calibri"/>
          <w:noProof/>
          <w:color w:val="808080" w:themeColor="background1" w:themeShade="80"/>
          <w:sz w:val="10"/>
          <w:szCs w:val="10"/>
          <w:lang w:val="es-ES"/>
        </w:rPr>
      </w:pPr>
    </w:p>
    <w:p w14:paraId="04ED463A" w14:textId="730E2E1A" w:rsidR="00A02E84" w:rsidRPr="00A02E84" w:rsidRDefault="00617D9B" w:rsidP="00ED47AE">
      <w:pPr>
        <w:spacing w:before="240" w:after="0" w:line="360" w:lineRule="auto"/>
        <w:ind w:left="-90" w:right="-180"/>
        <w:jc w:val="center"/>
        <w:rPr>
          <w:rFonts w:eastAsia="Calibri"/>
          <w:noProof/>
          <w:color w:val="808080" w:themeColor="background1" w:themeShade="80"/>
          <w:lang w:val="es-ES"/>
        </w:rPr>
      </w:pPr>
      <w:r>
        <w:rPr>
          <w:noProof/>
        </w:rPr>
        <w:drawing>
          <wp:inline distT="0" distB="0" distL="0" distR="0" wp14:anchorId="020B87DF" wp14:editId="379040B7">
            <wp:extent cx="4905954" cy="3140766"/>
            <wp:effectExtent l="0" t="0" r="0" b="2540"/>
            <wp:docPr id="2076492145" name="Chart 1">
              <a:extLst xmlns:a="http://schemas.openxmlformats.org/drawingml/2006/main">
                <a:ext uri="{FF2B5EF4-FFF2-40B4-BE49-F238E27FC236}">
                  <a16:creationId xmlns:a16="http://schemas.microsoft.com/office/drawing/2014/main" id="{29E74C8F-A622-441E-A6B0-182027E131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13023D5" w14:textId="5B0C2A33" w:rsidR="00A02E84" w:rsidRPr="003D03F0" w:rsidRDefault="00A02E84" w:rsidP="00A02E84">
      <w:pPr>
        <w:spacing w:after="0" w:line="360" w:lineRule="auto"/>
        <w:ind w:right="-180"/>
        <w:jc w:val="both"/>
        <w:rPr>
          <w:rFonts w:eastAsia="Calibri"/>
          <w:noProof/>
          <w:color w:val="808080" w:themeColor="background1" w:themeShade="80"/>
          <w:sz w:val="18"/>
          <w:szCs w:val="18"/>
          <w:lang w:val="es-ES"/>
        </w:rPr>
      </w:pPr>
      <w:r w:rsidRPr="003D03F0">
        <w:rPr>
          <w:rFonts w:eastAsia="Calibri"/>
          <w:b/>
          <w:bCs/>
          <w:noProof/>
          <w:color w:val="808080" w:themeColor="background1" w:themeShade="80"/>
          <w:sz w:val="18"/>
          <w:szCs w:val="18"/>
          <w:lang w:val="es-ES"/>
        </w:rPr>
        <w:t xml:space="preserve">Gráfico </w:t>
      </w:r>
      <w:r w:rsidR="009E6B75">
        <w:rPr>
          <w:rFonts w:eastAsia="Calibri"/>
          <w:b/>
          <w:bCs/>
          <w:noProof/>
          <w:color w:val="808080" w:themeColor="background1" w:themeShade="80"/>
          <w:sz w:val="18"/>
          <w:szCs w:val="18"/>
          <w:lang w:val="es-ES"/>
        </w:rPr>
        <w:t>7</w:t>
      </w:r>
      <w:r w:rsidRPr="003D03F0">
        <w:rPr>
          <w:rFonts w:eastAsia="Calibri"/>
          <w:b/>
          <w:bCs/>
          <w:noProof/>
          <w:color w:val="808080" w:themeColor="background1" w:themeShade="80"/>
          <w:sz w:val="18"/>
          <w:szCs w:val="18"/>
          <w:lang w:val="es-ES"/>
        </w:rPr>
        <w:t>:</w:t>
      </w:r>
      <w:r w:rsidRPr="003D03F0">
        <w:rPr>
          <w:rFonts w:eastAsia="Calibri"/>
          <w:noProof/>
          <w:color w:val="808080" w:themeColor="background1" w:themeShade="80"/>
          <w:sz w:val="18"/>
          <w:szCs w:val="18"/>
          <w:lang w:val="es-ES"/>
        </w:rPr>
        <w:t xml:space="preserve"> Total de procesos publicados por montos y porcentajes enero-</w:t>
      </w:r>
      <w:r w:rsidR="00465EA3">
        <w:rPr>
          <w:rFonts w:eastAsia="Calibri"/>
          <w:noProof/>
          <w:color w:val="808080" w:themeColor="background1" w:themeShade="80"/>
          <w:sz w:val="18"/>
          <w:szCs w:val="18"/>
          <w:lang w:val="es-ES"/>
        </w:rPr>
        <w:t>dic</w:t>
      </w:r>
      <w:r w:rsidRPr="003D03F0">
        <w:rPr>
          <w:rFonts w:eastAsia="Calibri"/>
          <w:noProof/>
          <w:color w:val="808080" w:themeColor="background1" w:themeShade="80"/>
          <w:sz w:val="18"/>
          <w:szCs w:val="18"/>
          <w:lang w:val="es-ES"/>
        </w:rPr>
        <w:t>iembre 2024.</w:t>
      </w:r>
    </w:p>
    <w:p w14:paraId="4EDB68F6" w14:textId="12D41966" w:rsidR="00A02E84" w:rsidRDefault="00A02E84" w:rsidP="00A02E84">
      <w:pPr>
        <w:spacing w:before="240" w:line="360" w:lineRule="auto"/>
        <w:jc w:val="both"/>
        <w:rPr>
          <w:rFonts w:eastAsia="Calibri"/>
          <w:noProof/>
          <w:color w:val="808080" w:themeColor="background1" w:themeShade="80"/>
          <w:lang w:val="es-DO"/>
        </w:rPr>
      </w:pPr>
      <w:r w:rsidRPr="00A02E84">
        <w:rPr>
          <w:rFonts w:eastAsia="Calibri"/>
          <w:noProof/>
          <w:color w:val="808080" w:themeColor="background1" w:themeShade="80"/>
          <w:lang w:val="es-DO"/>
        </w:rPr>
        <w:t xml:space="preserve">El siguiente subindicador, Administración de Contratos, consta de </w:t>
      </w:r>
      <w:r w:rsidR="00944A3C">
        <w:rPr>
          <w:rFonts w:eastAsia="Calibri"/>
          <w:noProof/>
          <w:color w:val="808080" w:themeColor="background1" w:themeShade="80"/>
          <w:lang w:val="es-DO"/>
        </w:rPr>
        <w:t>tres</w:t>
      </w:r>
      <w:r w:rsidR="00944A3C" w:rsidRPr="00A02E84">
        <w:rPr>
          <w:rFonts w:eastAsia="Calibri"/>
          <w:noProof/>
          <w:color w:val="808080" w:themeColor="background1" w:themeShade="80"/>
          <w:lang w:val="es-DO"/>
        </w:rPr>
        <w:t xml:space="preserve"> </w:t>
      </w:r>
      <w:r w:rsidRPr="00A02E84">
        <w:rPr>
          <w:rFonts w:eastAsia="Calibri"/>
          <w:noProof/>
          <w:color w:val="808080" w:themeColor="background1" w:themeShade="80"/>
          <w:lang w:val="es-DO"/>
        </w:rPr>
        <w:t>aspectos cada uno con una ponderación de 10 puntos: Contratos Actualizados, Planes de Entrega Cargados y Contratos Concluidos. La ponderación obtenida al cierre del tercer trimestre es de 29.68/30.</w:t>
      </w:r>
    </w:p>
    <w:p w14:paraId="3FA69B1D" w14:textId="77777777" w:rsidR="00C87087" w:rsidRPr="00C87087" w:rsidRDefault="00C87087" w:rsidP="00C87087">
      <w:pPr>
        <w:rPr>
          <w:rFonts w:eastAsia="Calibri"/>
          <w:lang w:val="es-DO"/>
        </w:rPr>
      </w:pPr>
    </w:p>
    <w:p w14:paraId="19AC7817" w14:textId="77777777" w:rsidR="00C87087" w:rsidRPr="00C87087" w:rsidRDefault="00C87087" w:rsidP="00C87087">
      <w:pPr>
        <w:rPr>
          <w:rFonts w:eastAsia="Calibri"/>
          <w:lang w:val="es-DO"/>
        </w:rPr>
      </w:pPr>
    </w:p>
    <w:p w14:paraId="5A8A660D" w14:textId="77777777" w:rsidR="00C87087" w:rsidRDefault="00C87087" w:rsidP="00C87087">
      <w:pPr>
        <w:rPr>
          <w:rFonts w:eastAsia="Calibri"/>
          <w:noProof/>
          <w:color w:val="808080" w:themeColor="background1" w:themeShade="80"/>
          <w:lang w:val="es-DO"/>
        </w:rPr>
      </w:pPr>
    </w:p>
    <w:p w14:paraId="7FB158C2" w14:textId="51A6FC97" w:rsidR="00C87087" w:rsidRPr="00C87087" w:rsidRDefault="00C87087" w:rsidP="00C87087">
      <w:pPr>
        <w:tabs>
          <w:tab w:val="left" w:pos="5118"/>
        </w:tabs>
        <w:rPr>
          <w:rFonts w:eastAsia="Calibri"/>
          <w:lang w:val="es-DO"/>
        </w:rPr>
      </w:pPr>
      <w:r>
        <w:rPr>
          <w:rFonts w:eastAsia="Calibri"/>
          <w:lang w:val="es-DO"/>
        </w:rPr>
        <w:lastRenderedPageBreak/>
        <w:tab/>
      </w:r>
    </w:p>
    <w:p w14:paraId="5BF61EF1" w14:textId="17FA7926" w:rsidR="00A02E84" w:rsidRPr="001C044F" w:rsidRDefault="00A02E84" w:rsidP="001C044F">
      <w:pPr>
        <w:spacing w:before="240" w:after="0" w:line="360" w:lineRule="auto"/>
        <w:jc w:val="both"/>
        <w:rPr>
          <w:rFonts w:eastAsia="Calibri"/>
          <w:b/>
          <w:bCs/>
          <w:noProof/>
          <w:color w:val="808080" w:themeColor="background1" w:themeShade="80"/>
          <w:lang w:val="es-ES"/>
        </w:rPr>
      </w:pPr>
      <w:r w:rsidRPr="00A02E84">
        <w:rPr>
          <w:noProof/>
          <w:color w:val="808080" w:themeColor="background1" w:themeShade="80"/>
        </w:rPr>
        <w:drawing>
          <wp:inline distT="0" distB="0" distL="0" distR="0" wp14:anchorId="4708A7D4" wp14:editId="4DE057C1">
            <wp:extent cx="4761077" cy="2014220"/>
            <wp:effectExtent l="0" t="0" r="1905" b="5080"/>
            <wp:docPr id="685619011" name="Gráfico 14">
              <a:extLst xmlns:a="http://schemas.openxmlformats.org/drawingml/2006/main">
                <a:ext uri="{FF2B5EF4-FFF2-40B4-BE49-F238E27FC236}">
                  <a16:creationId xmlns:a16="http://schemas.microsoft.com/office/drawing/2014/main" id="{FC6F1FE8-5549-4D2D-B447-D5F65FE2DF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3D03F0">
        <w:rPr>
          <w:rFonts w:eastAsia="Calibri"/>
          <w:b/>
          <w:bCs/>
          <w:noProof/>
          <w:color w:val="808080" w:themeColor="background1" w:themeShade="80"/>
          <w:sz w:val="18"/>
          <w:szCs w:val="18"/>
          <w:lang w:val="es-ES"/>
        </w:rPr>
        <w:t xml:space="preserve">Gráfico </w:t>
      </w:r>
      <w:r w:rsidR="009E6B75">
        <w:rPr>
          <w:rFonts w:eastAsia="Calibri"/>
          <w:b/>
          <w:bCs/>
          <w:noProof/>
          <w:color w:val="808080" w:themeColor="background1" w:themeShade="80"/>
          <w:sz w:val="18"/>
          <w:szCs w:val="18"/>
          <w:lang w:val="es-ES"/>
        </w:rPr>
        <w:t>8</w:t>
      </w:r>
      <w:r w:rsidRPr="003D03F0">
        <w:rPr>
          <w:rFonts w:eastAsia="Calibri"/>
          <w:b/>
          <w:bCs/>
          <w:noProof/>
          <w:color w:val="808080" w:themeColor="background1" w:themeShade="80"/>
          <w:sz w:val="18"/>
          <w:szCs w:val="18"/>
          <w:lang w:val="es-ES"/>
        </w:rPr>
        <w:t>:</w:t>
      </w:r>
      <w:r w:rsidRPr="003D03F0">
        <w:rPr>
          <w:rFonts w:eastAsia="Calibri"/>
          <w:noProof/>
          <w:color w:val="808080" w:themeColor="background1" w:themeShade="80"/>
          <w:sz w:val="18"/>
          <w:szCs w:val="18"/>
          <w:lang w:val="es-ES"/>
        </w:rPr>
        <w:t xml:space="preserve"> Gestión de administración de contratos Dirección Administrativa </w:t>
      </w:r>
      <w:r w:rsidR="00EE0F4F">
        <w:rPr>
          <w:rFonts w:eastAsia="Calibri"/>
          <w:noProof/>
          <w:color w:val="808080" w:themeColor="background1" w:themeShade="80"/>
          <w:sz w:val="18"/>
          <w:szCs w:val="18"/>
          <w:lang w:val="es-ES"/>
        </w:rPr>
        <w:t>al T3</w:t>
      </w:r>
      <w:r w:rsidRPr="003D03F0">
        <w:rPr>
          <w:rFonts w:eastAsia="Calibri"/>
          <w:noProof/>
          <w:color w:val="808080" w:themeColor="background1" w:themeShade="80"/>
          <w:sz w:val="18"/>
          <w:szCs w:val="18"/>
          <w:lang w:val="es-ES"/>
        </w:rPr>
        <w:t xml:space="preserve"> 2024.</w:t>
      </w:r>
    </w:p>
    <w:tbl>
      <w:tblPr>
        <w:tblpPr w:leftFromText="180" w:rightFromText="180" w:vertAnchor="text" w:horzAnchor="margin" w:tblpY="3075"/>
        <w:tblW w:w="7470" w:type="dxa"/>
        <w:tblLook w:val="04A0" w:firstRow="1" w:lastRow="0" w:firstColumn="1" w:lastColumn="0" w:noHBand="0" w:noVBand="1"/>
      </w:tblPr>
      <w:tblGrid>
        <w:gridCol w:w="2952"/>
        <w:gridCol w:w="2050"/>
        <w:gridCol w:w="2468"/>
      </w:tblGrid>
      <w:tr w:rsidR="00BB6F13" w:rsidRPr="00A02E84" w14:paraId="5D60A74E" w14:textId="77777777" w:rsidTr="00BB6F13">
        <w:trPr>
          <w:trHeight w:val="294"/>
        </w:trPr>
        <w:tc>
          <w:tcPr>
            <w:tcW w:w="2952"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7F5D178A" w14:textId="77777777" w:rsidR="00BB6F13" w:rsidRPr="001C044F" w:rsidRDefault="00BB6F13" w:rsidP="00BB6F13">
            <w:pPr>
              <w:spacing w:after="0" w:line="240" w:lineRule="auto"/>
              <w:jc w:val="center"/>
              <w:rPr>
                <w:rFonts w:eastAsia="Times New Roman"/>
                <w:b/>
                <w:bCs/>
                <w:color w:val="FFFFFF" w:themeColor="background1"/>
                <w:spacing w:val="0"/>
                <w:sz w:val="22"/>
                <w:szCs w:val="22"/>
              </w:rPr>
            </w:pPr>
            <w:r w:rsidRPr="001C044F">
              <w:rPr>
                <w:rFonts w:eastAsia="Times New Roman"/>
                <w:b/>
                <w:bCs/>
                <w:color w:val="FFFFFF" w:themeColor="background1"/>
                <w:spacing w:val="0"/>
                <w:sz w:val="22"/>
                <w:szCs w:val="22"/>
              </w:rPr>
              <w:t>Modalidad</w:t>
            </w:r>
          </w:p>
        </w:tc>
        <w:tc>
          <w:tcPr>
            <w:tcW w:w="2050" w:type="dxa"/>
            <w:tcBorders>
              <w:top w:val="single" w:sz="4" w:space="0" w:color="auto"/>
              <w:left w:val="nil"/>
              <w:bottom w:val="single" w:sz="4" w:space="0" w:color="auto"/>
              <w:right w:val="single" w:sz="4" w:space="0" w:color="auto"/>
            </w:tcBorders>
            <w:shd w:val="clear" w:color="000000" w:fill="203764"/>
            <w:noWrap/>
            <w:vAlign w:val="bottom"/>
            <w:hideMark/>
          </w:tcPr>
          <w:p w14:paraId="315D025E" w14:textId="77777777" w:rsidR="00BB6F13" w:rsidRPr="001C044F" w:rsidRDefault="00BB6F13" w:rsidP="00BB6F13">
            <w:pPr>
              <w:spacing w:after="0" w:line="240" w:lineRule="auto"/>
              <w:jc w:val="center"/>
              <w:rPr>
                <w:rFonts w:eastAsia="Times New Roman"/>
                <w:b/>
                <w:bCs/>
                <w:color w:val="FFFFFF" w:themeColor="background1"/>
                <w:spacing w:val="0"/>
                <w:sz w:val="22"/>
                <w:szCs w:val="22"/>
              </w:rPr>
            </w:pPr>
            <w:r w:rsidRPr="001C044F">
              <w:rPr>
                <w:rFonts w:eastAsia="Times New Roman"/>
                <w:b/>
                <w:bCs/>
                <w:color w:val="FFFFFF" w:themeColor="background1"/>
                <w:spacing w:val="0"/>
                <w:sz w:val="22"/>
                <w:szCs w:val="22"/>
              </w:rPr>
              <w:t>Total (RD$)</w:t>
            </w:r>
          </w:p>
        </w:tc>
        <w:tc>
          <w:tcPr>
            <w:tcW w:w="2468" w:type="dxa"/>
            <w:tcBorders>
              <w:top w:val="single" w:sz="4" w:space="0" w:color="auto"/>
              <w:left w:val="nil"/>
              <w:bottom w:val="single" w:sz="4" w:space="0" w:color="auto"/>
              <w:right w:val="single" w:sz="4" w:space="0" w:color="auto"/>
            </w:tcBorders>
            <w:shd w:val="clear" w:color="000000" w:fill="203764"/>
            <w:noWrap/>
            <w:vAlign w:val="bottom"/>
            <w:hideMark/>
          </w:tcPr>
          <w:p w14:paraId="5830A617" w14:textId="77777777" w:rsidR="00BB6F13" w:rsidRPr="001C044F" w:rsidRDefault="00BB6F13" w:rsidP="00BB6F13">
            <w:pPr>
              <w:spacing w:after="0" w:line="240" w:lineRule="auto"/>
              <w:jc w:val="center"/>
              <w:rPr>
                <w:rFonts w:eastAsia="Times New Roman"/>
                <w:b/>
                <w:bCs/>
                <w:color w:val="FFFFFF" w:themeColor="background1"/>
                <w:spacing w:val="0"/>
                <w:sz w:val="22"/>
                <w:szCs w:val="22"/>
              </w:rPr>
            </w:pPr>
            <w:proofErr w:type="spellStart"/>
            <w:r w:rsidRPr="001C044F">
              <w:rPr>
                <w:rFonts w:eastAsia="Times New Roman"/>
                <w:b/>
                <w:bCs/>
                <w:color w:val="FFFFFF" w:themeColor="background1"/>
                <w:spacing w:val="0"/>
                <w:sz w:val="22"/>
                <w:szCs w:val="22"/>
              </w:rPr>
              <w:t>Porcentajes</w:t>
            </w:r>
            <w:proofErr w:type="spellEnd"/>
          </w:p>
        </w:tc>
      </w:tr>
      <w:tr w:rsidR="00BB6F13" w:rsidRPr="00A02E84" w14:paraId="516F8917" w14:textId="77777777" w:rsidTr="00BB6F13">
        <w:trPr>
          <w:trHeight w:val="323"/>
        </w:trPr>
        <w:tc>
          <w:tcPr>
            <w:tcW w:w="2952" w:type="dxa"/>
            <w:tcBorders>
              <w:top w:val="nil"/>
              <w:left w:val="single" w:sz="8" w:space="0" w:color="auto"/>
              <w:bottom w:val="single" w:sz="8" w:space="0" w:color="auto"/>
              <w:right w:val="single" w:sz="8" w:space="0" w:color="auto"/>
            </w:tcBorders>
            <w:shd w:val="clear" w:color="auto" w:fill="auto"/>
            <w:noWrap/>
            <w:vAlign w:val="center"/>
            <w:hideMark/>
          </w:tcPr>
          <w:p w14:paraId="5FFF4B34" w14:textId="77777777" w:rsidR="00BB6F13" w:rsidRPr="001C044F" w:rsidRDefault="00BB6F13" w:rsidP="00BB6F13">
            <w:pPr>
              <w:spacing w:after="0" w:line="240" w:lineRule="auto"/>
              <w:jc w:val="both"/>
              <w:rPr>
                <w:rFonts w:eastAsia="Times New Roman"/>
                <w:color w:val="808080" w:themeColor="background1" w:themeShade="80"/>
                <w:spacing w:val="0"/>
                <w:sz w:val="22"/>
                <w:szCs w:val="22"/>
              </w:rPr>
            </w:pPr>
            <w:r w:rsidRPr="001C044F">
              <w:rPr>
                <w:rFonts w:eastAsia="Times New Roman"/>
                <w:color w:val="808080" w:themeColor="background1" w:themeShade="80"/>
                <w:spacing w:val="0"/>
                <w:sz w:val="22"/>
                <w:szCs w:val="22"/>
              </w:rPr>
              <w:t>Grande</w:t>
            </w:r>
          </w:p>
        </w:tc>
        <w:tc>
          <w:tcPr>
            <w:tcW w:w="2050" w:type="dxa"/>
            <w:tcBorders>
              <w:top w:val="nil"/>
              <w:left w:val="nil"/>
              <w:bottom w:val="single" w:sz="8" w:space="0" w:color="auto"/>
              <w:right w:val="single" w:sz="8" w:space="0" w:color="auto"/>
            </w:tcBorders>
            <w:shd w:val="clear" w:color="auto" w:fill="auto"/>
            <w:noWrap/>
            <w:vAlign w:val="center"/>
            <w:hideMark/>
          </w:tcPr>
          <w:p w14:paraId="5FF4EAFF" w14:textId="5163CEB6" w:rsidR="00BB6F13" w:rsidRPr="001C044F" w:rsidRDefault="00BB6F13" w:rsidP="00BB6F13">
            <w:pPr>
              <w:spacing w:after="0" w:line="240" w:lineRule="auto"/>
              <w:jc w:val="both"/>
              <w:rPr>
                <w:rFonts w:eastAsia="Times New Roman"/>
                <w:color w:val="808080" w:themeColor="background1" w:themeShade="80"/>
                <w:spacing w:val="0"/>
                <w:sz w:val="22"/>
                <w:szCs w:val="22"/>
              </w:rPr>
            </w:pPr>
            <w:r w:rsidRPr="001C044F">
              <w:rPr>
                <w:rFonts w:eastAsia="Times New Roman"/>
                <w:color w:val="808080" w:themeColor="background1" w:themeShade="80"/>
                <w:spacing w:val="0"/>
                <w:sz w:val="22"/>
                <w:szCs w:val="22"/>
              </w:rPr>
              <w:t xml:space="preserve"> $</w:t>
            </w:r>
            <w:r w:rsidR="00196A58">
              <w:rPr>
                <w:rFonts w:eastAsia="Times New Roman"/>
                <w:color w:val="808080" w:themeColor="background1" w:themeShade="80"/>
                <w:spacing w:val="0"/>
                <w:sz w:val="22"/>
                <w:szCs w:val="22"/>
              </w:rPr>
              <w:t>266,523,133.00</w:t>
            </w:r>
            <w:r w:rsidRPr="001C044F">
              <w:rPr>
                <w:rFonts w:eastAsia="Times New Roman"/>
                <w:color w:val="808080" w:themeColor="background1" w:themeShade="80"/>
                <w:spacing w:val="0"/>
                <w:sz w:val="22"/>
                <w:szCs w:val="22"/>
              </w:rPr>
              <w:t xml:space="preserve"> </w:t>
            </w:r>
          </w:p>
        </w:tc>
        <w:tc>
          <w:tcPr>
            <w:tcW w:w="2468" w:type="dxa"/>
            <w:tcBorders>
              <w:top w:val="nil"/>
              <w:left w:val="nil"/>
              <w:bottom w:val="single" w:sz="8" w:space="0" w:color="auto"/>
              <w:right w:val="single" w:sz="8" w:space="0" w:color="auto"/>
            </w:tcBorders>
            <w:shd w:val="clear" w:color="auto" w:fill="auto"/>
            <w:noWrap/>
            <w:vAlign w:val="center"/>
            <w:hideMark/>
          </w:tcPr>
          <w:p w14:paraId="51E8220F" w14:textId="57ECECC6" w:rsidR="00BB6F13" w:rsidRPr="001C044F" w:rsidRDefault="00196A58" w:rsidP="00BB6F13">
            <w:pPr>
              <w:spacing w:after="0" w:line="240" w:lineRule="auto"/>
              <w:jc w:val="center"/>
              <w:rPr>
                <w:rFonts w:eastAsia="Times New Roman"/>
                <w:color w:val="808080" w:themeColor="background1" w:themeShade="80"/>
                <w:spacing w:val="0"/>
                <w:sz w:val="22"/>
                <w:szCs w:val="22"/>
              </w:rPr>
            </w:pPr>
            <w:r>
              <w:rPr>
                <w:rFonts w:eastAsia="Times New Roman"/>
                <w:color w:val="808080" w:themeColor="background1" w:themeShade="80"/>
                <w:spacing w:val="0"/>
                <w:sz w:val="22"/>
                <w:szCs w:val="22"/>
              </w:rPr>
              <w:t>71.6</w:t>
            </w:r>
            <w:r w:rsidR="00BB6F13" w:rsidRPr="001C044F">
              <w:rPr>
                <w:rFonts w:eastAsia="Times New Roman"/>
                <w:color w:val="808080" w:themeColor="background1" w:themeShade="80"/>
                <w:spacing w:val="0"/>
                <w:sz w:val="22"/>
                <w:szCs w:val="22"/>
              </w:rPr>
              <w:t>%</w:t>
            </w:r>
          </w:p>
        </w:tc>
      </w:tr>
      <w:tr w:rsidR="00BB6F13" w:rsidRPr="00A02E84" w14:paraId="7AC9047D" w14:textId="77777777" w:rsidTr="00BB6F13">
        <w:trPr>
          <w:trHeight w:val="323"/>
        </w:trPr>
        <w:tc>
          <w:tcPr>
            <w:tcW w:w="2952" w:type="dxa"/>
            <w:tcBorders>
              <w:top w:val="nil"/>
              <w:left w:val="single" w:sz="8" w:space="0" w:color="auto"/>
              <w:bottom w:val="single" w:sz="8" w:space="0" w:color="auto"/>
              <w:right w:val="single" w:sz="8" w:space="0" w:color="auto"/>
            </w:tcBorders>
            <w:shd w:val="clear" w:color="auto" w:fill="auto"/>
            <w:noWrap/>
            <w:vAlign w:val="center"/>
            <w:hideMark/>
          </w:tcPr>
          <w:p w14:paraId="3EEB29EC" w14:textId="77777777" w:rsidR="00BB6F13" w:rsidRPr="001C044F" w:rsidRDefault="00BB6F13" w:rsidP="00BB6F13">
            <w:pPr>
              <w:spacing w:after="0" w:line="240" w:lineRule="auto"/>
              <w:jc w:val="both"/>
              <w:rPr>
                <w:rFonts w:eastAsia="Times New Roman"/>
                <w:color w:val="808080" w:themeColor="background1" w:themeShade="80"/>
                <w:spacing w:val="0"/>
                <w:sz w:val="22"/>
                <w:szCs w:val="22"/>
              </w:rPr>
            </w:pPr>
            <w:r w:rsidRPr="001C044F">
              <w:rPr>
                <w:rFonts w:eastAsia="Times New Roman"/>
                <w:color w:val="808080" w:themeColor="background1" w:themeShade="80"/>
                <w:spacing w:val="0"/>
                <w:sz w:val="22"/>
                <w:szCs w:val="22"/>
              </w:rPr>
              <w:t>Mipyme</w:t>
            </w:r>
          </w:p>
        </w:tc>
        <w:tc>
          <w:tcPr>
            <w:tcW w:w="2050" w:type="dxa"/>
            <w:tcBorders>
              <w:top w:val="nil"/>
              <w:left w:val="nil"/>
              <w:bottom w:val="single" w:sz="8" w:space="0" w:color="auto"/>
              <w:right w:val="single" w:sz="8" w:space="0" w:color="auto"/>
            </w:tcBorders>
            <w:shd w:val="clear" w:color="auto" w:fill="auto"/>
            <w:noWrap/>
            <w:vAlign w:val="center"/>
            <w:hideMark/>
          </w:tcPr>
          <w:p w14:paraId="5EB41228" w14:textId="15BDDD7D" w:rsidR="00BB6F13" w:rsidRPr="001C044F" w:rsidRDefault="00BB6F13" w:rsidP="00BB6F13">
            <w:pPr>
              <w:spacing w:after="0" w:line="240" w:lineRule="auto"/>
              <w:jc w:val="both"/>
              <w:rPr>
                <w:rFonts w:eastAsia="Times New Roman"/>
                <w:color w:val="808080" w:themeColor="background1" w:themeShade="80"/>
                <w:spacing w:val="0"/>
                <w:sz w:val="22"/>
                <w:szCs w:val="22"/>
              </w:rPr>
            </w:pPr>
            <w:r w:rsidRPr="001C044F">
              <w:rPr>
                <w:rFonts w:eastAsia="Times New Roman"/>
                <w:color w:val="808080" w:themeColor="background1" w:themeShade="80"/>
                <w:spacing w:val="0"/>
                <w:sz w:val="22"/>
                <w:szCs w:val="22"/>
              </w:rPr>
              <w:t xml:space="preserve"> $ </w:t>
            </w:r>
            <w:r w:rsidR="00196A58">
              <w:rPr>
                <w:rFonts w:eastAsia="Times New Roman"/>
                <w:color w:val="808080" w:themeColor="background1" w:themeShade="80"/>
                <w:spacing w:val="0"/>
                <w:sz w:val="22"/>
                <w:szCs w:val="22"/>
              </w:rPr>
              <w:t>68,217,214.00</w:t>
            </w:r>
            <w:r w:rsidRPr="001C044F">
              <w:rPr>
                <w:rFonts w:eastAsia="Times New Roman"/>
                <w:color w:val="808080" w:themeColor="background1" w:themeShade="80"/>
                <w:spacing w:val="0"/>
                <w:sz w:val="22"/>
                <w:szCs w:val="22"/>
              </w:rPr>
              <w:t xml:space="preserve"> </w:t>
            </w:r>
          </w:p>
        </w:tc>
        <w:tc>
          <w:tcPr>
            <w:tcW w:w="2468" w:type="dxa"/>
            <w:tcBorders>
              <w:top w:val="nil"/>
              <w:left w:val="nil"/>
              <w:bottom w:val="single" w:sz="8" w:space="0" w:color="auto"/>
              <w:right w:val="single" w:sz="8" w:space="0" w:color="auto"/>
            </w:tcBorders>
            <w:shd w:val="clear" w:color="auto" w:fill="auto"/>
            <w:noWrap/>
            <w:vAlign w:val="center"/>
            <w:hideMark/>
          </w:tcPr>
          <w:p w14:paraId="3D29770D" w14:textId="521AE028" w:rsidR="00BB6F13" w:rsidRPr="001C044F" w:rsidRDefault="00196A58" w:rsidP="00BB6F13">
            <w:pPr>
              <w:spacing w:after="0" w:line="240" w:lineRule="auto"/>
              <w:jc w:val="center"/>
              <w:rPr>
                <w:rFonts w:eastAsia="Times New Roman"/>
                <w:color w:val="808080" w:themeColor="background1" w:themeShade="80"/>
                <w:spacing w:val="0"/>
                <w:sz w:val="22"/>
                <w:szCs w:val="22"/>
              </w:rPr>
            </w:pPr>
            <w:r>
              <w:rPr>
                <w:rFonts w:eastAsia="Times New Roman"/>
                <w:color w:val="808080" w:themeColor="background1" w:themeShade="80"/>
                <w:spacing w:val="0"/>
                <w:sz w:val="22"/>
                <w:szCs w:val="22"/>
              </w:rPr>
              <w:t>18.3</w:t>
            </w:r>
            <w:r w:rsidR="00BB6F13" w:rsidRPr="001C044F">
              <w:rPr>
                <w:rFonts w:eastAsia="Times New Roman"/>
                <w:color w:val="808080" w:themeColor="background1" w:themeShade="80"/>
                <w:spacing w:val="0"/>
                <w:sz w:val="22"/>
                <w:szCs w:val="22"/>
              </w:rPr>
              <w:t>%</w:t>
            </w:r>
          </w:p>
        </w:tc>
      </w:tr>
      <w:tr w:rsidR="00BB6F13" w:rsidRPr="00A02E84" w14:paraId="59025705" w14:textId="77777777" w:rsidTr="00BB6F13">
        <w:trPr>
          <w:trHeight w:val="323"/>
        </w:trPr>
        <w:tc>
          <w:tcPr>
            <w:tcW w:w="2952" w:type="dxa"/>
            <w:tcBorders>
              <w:top w:val="nil"/>
              <w:left w:val="single" w:sz="8" w:space="0" w:color="auto"/>
              <w:bottom w:val="single" w:sz="8" w:space="0" w:color="auto"/>
              <w:right w:val="single" w:sz="8" w:space="0" w:color="auto"/>
            </w:tcBorders>
            <w:shd w:val="clear" w:color="auto" w:fill="auto"/>
            <w:noWrap/>
            <w:vAlign w:val="center"/>
            <w:hideMark/>
          </w:tcPr>
          <w:p w14:paraId="0CBE164A" w14:textId="77777777" w:rsidR="00BB6F13" w:rsidRPr="001C044F" w:rsidRDefault="00BB6F13" w:rsidP="00BB6F13">
            <w:pPr>
              <w:spacing w:after="0" w:line="240" w:lineRule="auto"/>
              <w:jc w:val="both"/>
              <w:rPr>
                <w:rFonts w:eastAsia="Times New Roman"/>
                <w:color w:val="808080" w:themeColor="background1" w:themeShade="80"/>
                <w:spacing w:val="0"/>
                <w:sz w:val="22"/>
                <w:szCs w:val="22"/>
              </w:rPr>
            </w:pPr>
            <w:r w:rsidRPr="001C044F">
              <w:rPr>
                <w:rFonts w:eastAsia="Times New Roman"/>
                <w:color w:val="808080" w:themeColor="background1" w:themeShade="80"/>
                <w:spacing w:val="0"/>
                <w:sz w:val="22"/>
                <w:szCs w:val="22"/>
              </w:rPr>
              <w:t>Mipyme mujer</w:t>
            </w:r>
          </w:p>
        </w:tc>
        <w:tc>
          <w:tcPr>
            <w:tcW w:w="2050" w:type="dxa"/>
            <w:tcBorders>
              <w:top w:val="nil"/>
              <w:left w:val="nil"/>
              <w:bottom w:val="single" w:sz="8" w:space="0" w:color="auto"/>
              <w:right w:val="single" w:sz="8" w:space="0" w:color="auto"/>
            </w:tcBorders>
            <w:shd w:val="clear" w:color="auto" w:fill="auto"/>
            <w:noWrap/>
            <w:vAlign w:val="center"/>
            <w:hideMark/>
          </w:tcPr>
          <w:p w14:paraId="7369D77E" w14:textId="486C55E1" w:rsidR="00BB6F13" w:rsidRPr="001C044F" w:rsidRDefault="00BB6F13" w:rsidP="00BB6F13">
            <w:pPr>
              <w:spacing w:after="0" w:line="240" w:lineRule="auto"/>
              <w:jc w:val="both"/>
              <w:rPr>
                <w:rFonts w:eastAsia="Times New Roman"/>
                <w:color w:val="808080" w:themeColor="background1" w:themeShade="80"/>
                <w:spacing w:val="0"/>
                <w:sz w:val="22"/>
                <w:szCs w:val="22"/>
              </w:rPr>
            </w:pPr>
            <w:r w:rsidRPr="001C044F">
              <w:rPr>
                <w:rFonts w:eastAsia="Times New Roman"/>
                <w:color w:val="808080" w:themeColor="background1" w:themeShade="80"/>
                <w:spacing w:val="0"/>
                <w:sz w:val="22"/>
                <w:szCs w:val="22"/>
              </w:rPr>
              <w:t xml:space="preserve"> $ </w:t>
            </w:r>
            <w:r w:rsidR="00196A58">
              <w:rPr>
                <w:rFonts w:eastAsia="Times New Roman"/>
                <w:color w:val="808080" w:themeColor="background1" w:themeShade="80"/>
                <w:spacing w:val="0"/>
                <w:sz w:val="22"/>
                <w:szCs w:val="22"/>
              </w:rPr>
              <w:t>37,520,434.00</w:t>
            </w:r>
            <w:r w:rsidRPr="001C044F">
              <w:rPr>
                <w:rFonts w:eastAsia="Times New Roman"/>
                <w:color w:val="808080" w:themeColor="background1" w:themeShade="80"/>
                <w:spacing w:val="0"/>
                <w:sz w:val="22"/>
                <w:szCs w:val="22"/>
              </w:rPr>
              <w:t xml:space="preserve"> </w:t>
            </w:r>
          </w:p>
        </w:tc>
        <w:tc>
          <w:tcPr>
            <w:tcW w:w="2468" w:type="dxa"/>
            <w:tcBorders>
              <w:top w:val="nil"/>
              <w:left w:val="nil"/>
              <w:bottom w:val="single" w:sz="8" w:space="0" w:color="auto"/>
              <w:right w:val="single" w:sz="8" w:space="0" w:color="auto"/>
            </w:tcBorders>
            <w:shd w:val="clear" w:color="auto" w:fill="auto"/>
            <w:noWrap/>
            <w:vAlign w:val="center"/>
            <w:hideMark/>
          </w:tcPr>
          <w:p w14:paraId="3E7CE8F8" w14:textId="39861DEF" w:rsidR="00BB6F13" w:rsidRPr="001C044F" w:rsidRDefault="00196A58" w:rsidP="00BB6F13">
            <w:pPr>
              <w:spacing w:after="0" w:line="240" w:lineRule="auto"/>
              <w:jc w:val="center"/>
              <w:rPr>
                <w:rFonts w:eastAsia="Times New Roman"/>
                <w:color w:val="808080" w:themeColor="background1" w:themeShade="80"/>
                <w:spacing w:val="0"/>
                <w:sz w:val="22"/>
                <w:szCs w:val="22"/>
              </w:rPr>
            </w:pPr>
            <w:r>
              <w:rPr>
                <w:rFonts w:eastAsia="Times New Roman"/>
                <w:color w:val="808080" w:themeColor="background1" w:themeShade="80"/>
                <w:spacing w:val="0"/>
                <w:sz w:val="22"/>
                <w:szCs w:val="22"/>
              </w:rPr>
              <w:t>10.1</w:t>
            </w:r>
            <w:r w:rsidR="00BB6F13" w:rsidRPr="001C044F">
              <w:rPr>
                <w:rFonts w:eastAsia="Times New Roman"/>
                <w:color w:val="808080" w:themeColor="background1" w:themeShade="80"/>
                <w:spacing w:val="0"/>
                <w:sz w:val="22"/>
                <w:szCs w:val="22"/>
              </w:rPr>
              <w:t>%</w:t>
            </w:r>
          </w:p>
        </w:tc>
      </w:tr>
      <w:tr w:rsidR="00BB6F13" w:rsidRPr="00A02E84" w14:paraId="6A1DF86E" w14:textId="77777777" w:rsidTr="00BB6F13">
        <w:trPr>
          <w:trHeight w:val="323"/>
        </w:trPr>
        <w:tc>
          <w:tcPr>
            <w:tcW w:w="2952" w:type="dxa"/>
            <w:tcBorders>
              <w:top w:val="nil"/>
              <w:left w:val="single" w:sz="8" w:space="0" w:color="auto"/>
              <w:bottom w:val="single" w:sz="8" w:space="0" w:color="auto"/>
              <w:right w:val="single" w:sz="8" w:space="0" w:color="auto"/>
            </w:tcBorders>
            <w:shd w:val="clear" w:color="auto" w:fill="auto"/>
            <w:noWrap/>
            <w:vAlign w:val="center"/>
            <w:hideMark/>
          </w:tcPr>
          <w:p w14:paraId="49D14E5B" w14:textId="77777777" w:rsidR="00BB6F13" w:rsidRPr="001C044F" w:rsidRDefault="00BB6F13" w:rsidP="00BB6F13">
            <w:pPr>
              <w:spacing w:after="0" w:line="240" w:lineRule="auto"/>
              <w:rPr>
                <w:rFonts w:eastAsia="Times New Roman"/>
                <w:b/>
                <w:bCs/>
                <w:color w:val="808080" w:themeColor="background1" w:themeShade="80"/>
                <w:spacing w:val="0"/>
                <w:sz w:val="22"/>
                <w:szCs w:val="22"/>
              </w:rPr>
            </w:pPr>
            <w:r w:rsidRPr="001C044F">
              <w:rPr>
                <w:rFonts w:eastAsia="Times New Roman"/>
                <w:b/>
                <w:bCs/>
                <w:color w:val="808080" w:themeColor="background1" w:themeShade="80"/>
                <w:spacing w:val="0"/>
                <w:sz w:val="22"/>
                <w:szCs w:val="22"/>
              </w:rPr>
              <w:t>TOTAL</w:t>
            </w:r>
          </w:p>
        </w:tc>
        <w:tc>
          <w:tcPr>
            <w:tcW w:w="2050" w:type="dxa"/>
            <w:tcBorders>
              <w:top w:val="nil"/>
              <w:left w:val="nil"/>
              <w:bottom w:val="single" w:sz="8" w:space="0" w:color="auto"/>
              <w:right w:val="single" w:sz="8" w:space="0" w:color="auto"/>
            </w:tcBorders>
            <w:shd w:val="clear" w:color="auto" w:fill="auto"/>
            <w:noWrap/>
            <w:vAlign w:val="center"/>
            <w:hideMark/>
          </w:tcPr>
          <w:p w14:paraId="7DB7D657" w14:textId="743410FA" w:rsidR="00BB6F13" w:rsidRPr="001C044F" w:rsidRDefault="00BB6F13" w:rsidP="00BB6F13">
            <w:pPr>
              <w:spacing w:after="0" w:line="240" w:lineRule="auto"/>
              <w:jc w:val="both"/>
              <w:rPr>
                <w:rFonts w:eastAsia="Times New Roman"/>
                <w:b/>
                <w:bCs/>
                <w:color w:val="808080" w:themeColor="background1" w:themeShade="80"/>
                <w:spacing w:val="0"/>
                <w:sz w:val="22"/>
                <w:szCs w:val="22"/>
              </w:rPr>
            </w:pPr>
            <w:r w:rsidRPr="001C044F">
              <w:rPr>
                <w:rFonts w:eastAsia="Times New Roman"/>
                <w:b/>
                <w:bCs/>
                <w:color w:val="808080" w:themeColor="background1" w:themeShade="80"/>
                <w:spacing w:val="0"/>
                <w:sz w:val="22"/>
                <w:szCs w:val="22"/>
              </w:rPr>
              <w:t xml:space="preserve"> $</w:t>
            </w:r>
            <w:r w:rsidR="00196A58">
              <w:rPr>
                <w:rFonts w:eastAsia="Times New Roman"/>
                <w:b/>
                <w:bCs/>
                <w:color w:val="808080" w:themeColor="background1" w:themeShade="80"/>
                <w:spacing w:val="0"/>
                <w:sz w:val="22"/>
                <w:szCs w:val="22"/>
              </w:rPr>
              <w:t>372,260,781.00</w:t>
            </w:r>
            <w:r w:rsidRPr="001C044F">
              <w:rPr>
                <w:rFonts w:eastAsia="Times New Roman"/>
                <w:b/>
                <w:bCs/>
                <w:color w:val="808080" w:themeColor="background1" w:themeShade="80"/>
                <w:spacing w:val="0"/>
                <w:sz w:val="22"/>
                <w:szCs w:val="22"/>
              </w:rPr>
              <w:t xml:space="preserve"> </w:t>
            </w:r>
          </w:p>
        </w:tc>
        <w:tc>
          <w:tcPr>
            <w:tcW w:w="2468" w:type="dxa"/>
            <w:tcBorders>
              <w:top w:val="nil"/>
              <w:left w:val="nil"/>
              <w:bottom w:val="single" w:sz="8" w:space="0" w:color="auto"/>
              <w:right w:val="single" w:sz="8" w:space="0" w:color="auto"/>
            </w:tcBorders>
            <w:shd w:val="clear" w:color="auto" w:fill="auto"/>
            <w:noWrap/>
            <w:vAlign w:val="center"/>
            <w:hideMark/>
          </w:tcPr>
          <w:p w14:paraId="10A6CD48" w14:textId="77777777" w:rsidR="00BB6F13" w:rsidRPr="001C044F" w:rsidRDefault="00BB6F13" w:rsidP="00BB6F13">
            <w:pPr>
              <w:spacing w:after="0" w:line="240" w:lineRule="auto"/>
              <w:jc w:val="center"/>
              <w:rPr>
                <w:rFonts w:eastAsia="Times New Roman"/>
                <w:b/>
                <w:bCs/>
                <w:color w:val="808080" w:themeColor="background1" w:themeShade="80"/>
                <w:spacing w:val="0"/>
                <w:sz w:val="22"/>
                <w:szCs w:val="22"/>
              </w:rPr>
            </w:pPr>
            <w:r w:rsidRPr="001C044F">
              <w:rPr>
                <w:rFonts w:eastAsia="Times New Roman"/>
                <w:b/>
                <w:bCs/>
                <w:color w:val="808080" w:themeColor="background1" w:themeShade="80"/>
                <w:spacing w:val="0"/>
                <w:sz w:val="22"/>
                <w:szCs w:val="22"/>
              </w:rPr>
              <w:t>100.0%</w:t>
            </w:r>
          </w:p>
        </w:tc>
      </w:tr>
    </w:tbl>
    <w:p w14:paraId="0C0DE496" w14:textId="77777777" w:rsidR="00A02E84" w:rsidRPr="00A02E84" w:rsidRDefault="00A02E84" w:rsidP="00A02E84">
      <w:pPr>
        <w:spacing w:before="240" w:line="360" w:lineRule="auto"/>
        <w:jc w:val="both"/>
        <w:rPr>
          <w:rFonts w:eastAsia="Calibri"/>
          <w:noProof/>
          <w:color w:val="808080" w:themeColor="background1" w:themeShade="80"/>
          <w:lang w:val="es-DO"/>
        </w:rPr>
      </w:pPr>
      <w:r w:rsidRPr="00A02E84">
        <w:rPr>
          <w:rFonts w:eastAsia="Calibri"/>
          <w:noProof/>
          <w:color w:val="808080" w:themeColor="background1" w:themeShade="80"/>
          <w:lang w:val="es-DO"/>
        </w:rPr>
        <w:t>Por último, y para cumplir con las ponderaciones de procesos dirigidos a Compras a Mipymes y Mipymes Mujeres, con un total de 20 puntos, la Tesorería de la Seguridad Social, en el tercer trimestre del año 2024, obtuvo una puntuación de 19.17/20, de los cuales 10.00 corresponden a las compras de Mipymes y 9.17 a Compras Mipymes Mujeres.</w:t>
      </w:r>
    </w:p>
    <w:p w14:paraId="45084B15" w14:textId="2D206591" w:rsidR="00BB6F13" w:rsidRDefault="00BB6F13" w:rsidP="00BB6F13">
      <w:pPr>
        <w:spacing w:before="240" w:after="0" w:line="360" w:lineRule="auto"/>
        <w:ind w:right="26"/>
        <w:jc w:val="both"/>
        <w:rPr>
          <w:rFonts w:eastAsia="Calibri"/>
          <w:noProof/>
          <w:color w:val="808080" w:themeColor="background1" w:themeShade="80"/>
          <w:sz w:val="18"/>
          <w:szCs w:val="18"/>
          <w:lang w:val="es-ES"/>
        </w:rPr>
      </w:pPr>
      <w:r w:rsidRPr="00A02E84">
        <w:rPr>
          <w:noProof/>
          <w:color w:val="808080" w:themeColor="background1" w:themeShade="80"/>
        </w:rPr>
        <w:drawing>
          <wp:anchor distT="0" distB="0" distL="114300" distR="114300" simplePos="0" relativeHeight="251672612" behindDoc="1" locked="0" layoutInCell="1" allowOverlap="1" wp14:anchorId="4694F0B7" wp14:editId="524E8269">
            <wp:simplePos x="0" y="0"/>
            <wp:positionH relativeFrom="margin">
              <wp:align>left</wp:align>
            </wp:positionH>
            <wp:positionV relativeFrom="margin">
              <wp:posOffset>6066790</wp:posOffset>
            </wp:positionV>
            <wp:extent cx="4813300" cy="1871345"/>
            <wp:effectExtent l="0" t="0" r="6350" b="0"/>
            <wp:wrapTight wrapText="bothSides">
              <wp:wrapPolygon edited="0">
                <wp:start x="0" y="0"/>
                <wp:lineTo x="0" y="21329"/>
                <wp:lineTo x="21543" y="21329"/>
                <wp:lineTo x="21543" y="0"/>
                <wp:lineTo x="0" y="0"/>
              </wp:wrapPolygon>
            </wp:wrapTight>
            <wp:docPr id="617084991" name="Gráfico 16">
              <a:extLst xmlns:a="http://schemas.openxmlformats.org/drawingml/2006/main">
                <a:ext uri="{FF2B5EF4-FFF2-40B4-BE49-F238E27FC236}">
                  <a16:creationId xmlns:a16="http://schemas.microsoft.com/office/drawing/2014/main" id="{75514F2B-89AF-4FBC-ACDA-4E53C6860E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AD6BE3" w:rsidRPr="003D03F0">
        <w:rPr>
          <w:rFonts w:eastAsia="Calibri"/>
          <w:b/>
          <w:bCs/>
          <w:noProof/>
          <w:color w:val="808080" w:themeColor="background1" w:themeShade="80"/>
          <w:sz w:val="18"/>
          <w:szCs w:val="18"/>
          <w:lang w:val="es-ES"/>
        </w:rPr>
        <w:t>Tabl</w:t>
      </w:r>
      <w:r w:rsidR="00AD6BE3">
        <w:rPr>
          <w:rFonts w:eastAsia="Calibri"/>
          <w:b/>
          <w:bCs/>
          <w:noProof/>
          <w:color w:val="808080" w:themeColor="background1" w:themeShade="80"/>
          <w:sz w:val="18"/>
          <w:szCs w:val="18"/>
          <w:lang w:val="es-ES"/>
        </w:rPr>
        <w:t>a</w:t>
      </w:r>
      <w:r w:rsidR="001C044F">
        <w:rPr>
          <w:rFonts w:eastAsia="Calibri"/>
          <w:b/>
          <w:bCs/>
          <w:noProof/>
          <w:color w:val="808080" w:themeColor="background1" w:themeShade="80"/>
          <w:sz w:val="18"/>
          <w:szCs w:val="18"/>
          <w:lang w:val="es-ES"/>
        </w:rPr>
        <w:t xml:space="preserve"> </w:t>
      </w:r>
      <w:r w:rsidR="00AD6BE3" w:rsidRPr="003D03F0">
        <w:rPr>
          <w:rFonts w:eastAsia="Calibri"/>
          <w:b/>
          <w:bCs/>
          <w:noProof/>
          <w:color w:val="808080" w:themeColor="background1" w:themeShade="80"/>
          <w:sz w:val="18"/>
          <w:szCs w:val="18"/>
          <w:lang w:val="es-ES"/>
        </w:rPr>
        <w:t>1</w:t>
      </w:r>
      <w:r w:rsidR="00C50277">
        <w:rPr>
          <w:rFonts w:eastAsia="Calibri"/>
          <w:b/>
          <w:bCs/>
          <w:noProof/>
          <w:color w:val="808080" w:themeColor="background1" w:themeShade="80"/>
          <w:sz w:val="18"/>
          <w:szCs w:val="18"/>
          <w:lang w:val="es-ES"/>
        </w:rPr>
        <w:t>7</w:t>
      </w:r>
      <w:r w:rsidR="00AD6BE3" w:rsidRPr="003D03F0">
        <w:rPr>
          <w:rFonts w:eastAsia="Calibri"/>
          <w:b/>
          <w:bCs/>
          <w:noProof/>
          <w:color w:val="808080" w:themeColor="background1" w:themeShade="80"/>
          <w:sz w:val="18"/>
          <w:szCs w:val="18"/>
          <w:lang w:val="es-ES"/>
        </w:rPr>
        <w:t xml:space="preserve">: </w:t>
      </w:r>
      <w:r w:rsidR="00AD6BE3" w:rsidRPr="003D03F0">
        <w:rPr>
          <w:rFonts w:eastAsia="Calibri"/>
          <w:noProof/>
          <w:color w:val="808080" w:themeColor="background1" w:themeShade="80"/>
          <w:sz w:val="18"/>
          <w:szCs w:val="18"/>
          <w:lang w:val="es-ES"/>
        </w:rPr>
        <w:t>Total de procesos publicados por tipo de empresa adjudicada por la Dirección Administrativa enero-</w:t>
      </w:r>
      <w:r w:rsidR="00196A58">
        <w:rPr>
          <w:rFonts w:eastAsia="Calibri"/>
          <w:noProof/>
          <w:color w:val="808080" w:themeColor="background1" w:themeShade="80"/>
          <w:sz w:val="18"/>
          <w:szCs w:val="18"/>
          <w:lang w:val="es-ES"/>
        </w:rPr>
        <w:t>dic</w:t>
      </w:r>
      <w:r w:rsidR="00AD6BE3" w:rsidRPr="003D03F0">
        <w:rPr>
          <w:rFonts w:eastAsia="Calibri"/>
          <w:noProof/>
          <w:color w:val="808080" w:themeColor="background1" w:themeShade="80"/>
          <w:sz w:val="18"/>
          <w:szCs w:val="18"/>
          <w:lang w:val="es-ES"/>
        </w:rPr>
        <w:t>iembre 2024.</w:t>
      </w:r>
    </w:p>
    <w:p w14:paraId="746E8564" w14:textId="7DDCB8DA" w:rsidR="00A02E84" w:rsidRPr="00BB6F13" w:rsidRDefault="00AD6BE3" w:rsidP="00BB6F13">
      <w:pPr>
        <w:spacing w:before="240" w:after="0" w:line="360" w:lineRule="auto"/>
        <w:ind w:right="26"/>
        <w:jc w:val="both"/>
        <w:rPr>
          <w:rFonts w:eastAsia="Calibri"/>
          <w:noProof/>
          <w:color w:val="808080" w:themeColor="background1" w:themeShade="80"/>
          <w:sz w:val="18"/>
          <w:szCs w:val="18"/>
          <w:lang w:val="es-ES"/>
        </w:rPr>
      </w:pPr>
      <w:r w:rsidRPr="003D03F0">
        <w:rPr>
          <w:rFonts w:eastAsia="Calibri"/>
          <w:b/>
          <w:bCs/>
          <w:noProof/>
          <w:color w:val="808080" w:themeColor="background1" w:themeShade="80"/>
          <w:sz w:val="18"/>
          <w:szCs w:val="18"/>
          <w:lang w:val="es-ES"/>
        </w:rPr>
        <w:t xml:space="preserve">Gráfico </w:t>
      </w:r>
      <w:r w:rsidR="009E6B75">
        <w:rPr>
          <w:rFonts w:eastAsia="Calibri"/>
          <w:b/>
          <w:bCs/>
          <w:noProof/>
          <w:color w:val="808080" w:themeColor="background1" w:themeShade="80"/>
          <w:sz w:val="18"/>
          <w:szCs w:val="18"/>
          <w:lang w:val="es-ES"/>
        </w:rPr>
        <w:t>9</w:t>
      </w:r>
      <w:r w:rsidRPr="003D03F0">
        <w:rPr>
          <w:rFonts w:eastAsia="Calibri"/>
          <w:b/>
          <w:bCs/>
          <w:noProof/>
          <w:color w:val="808080" w:themeColor="background1" w:themeShade="80"/>
          <w:sz w:val="18"/>
          <w:szCs w:val="18"/>
          <w:lang w:val="es-ES"/>
        </w:rPr>
        <w:t>:</w:t>
      </w:r>
      <w:r w:rsidRPr="003D03F0">
        <w:rPr>
          <w:rFonts w:eastAsia="Calibri"/>
          <w:noProof/>
          <w:color w:val="808080" w:themeColor="background1" w:themeShade="80"/>
          <w:sz w:val="18"/>
          <w:szCs w:val="18"/>
          <w:lang w:val="es-ES"/>
        </w:rPr>
        <w:t xml:space="preserve"> Compras a Mipymes </w:t>
      </w:r>
      <w:r w:rsidR="0075434B">
        <w:rPr>
          <w:rFonts w:eastAsia="Calibri"/>
          <w:noProof/>
          <w:color w:val="808080" w:themeColor="background1" w:themeShade="80"/>
          <w:sz w:val="18"/>
          <w:szCs w:val="18"/>
          <w:lang w:val="es-ES"/>
        </w:rPr>
        <w:t>al T3</w:t>
      </w:r>
      <w:r w:rsidRPr="003D03F0">
        <w:rPr>
          <w:rFonts w:eastAsia="Calibri"/>
          <w:noProof/>
          <w:color w:val="808080" w:themeColor="background1" w:themeShade="80"/>
          <w:sz w:val="18"/>
          <w:szCs w:val="18"/>
          <w:lang w:val="es-ES"/>
        </w:rPr>
        <w:t xml:space="preserve"> 2024</w:t>
      </w:r>
    </w:p>
    <w:p w14:paraId="57668647" w14:textId="73F454A2" w:rsidR="00A02E84" w:rsidRPr="00A02E84" w:rsidRDefault="00BB6F13" w:rsidP="00BD3280">
      <w:pPr>
        <w:spacing w:before="240" w:after="0" w:line="360" w:lineRule="auto"/>
        <w:jc w:val="center"/>
        <w:rPr>
          <w:rFonts w:eastAsia="Calibri"/>
          <w:b/>
          <w:bCs/>
          <w:noProof/>
          <w:color w:val="808080" w:themeColor="background1" w:themeShade="80"/>
          <w:lang w:val="es-ES"/>
        </w:rPr>
      </w:pPr>
      <w:r w:rsidRPr="00A02E84">
        <w:rPr>
          <w:noProof/>
          <w:color w:val="808080" w:themeColor="background1" w:themeShade="80"/>
        </w:rPr>
        <w:lastRenderedPageBreak/>
        <w:drawing>
          <wp:inline distT="0" distB="0" distL="0" distR="0" wp14:anchorId="7F5FB805" wp14:editId="799DE923">
            <wp:extent cx="4718685" cy="2619632"/>
            <wp:effectExtent l="0" t="0" r="5715" b="0"/>
            <wp:docPr id="2098470128" name="Gráfico 7">
              <a:extLst xmlns:a="http://schemas.openxmlformats.org/drawingml/2006/main">
                <a:ext uri="{FF2B5EF4-FFF2-40B4-BE49-F238E27FC236}">
                  <a16:creationId xmlns:a16="http://schemas.microsoft.com/office/drawing/2014/main" id="{E1738275-83D1-4A70-BA39-C08889049B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33A269D" w14:textId="158370DD" w:rsidR="00A02E84" w:rsidRPr="00046544" w:rsidRDefault="00A02E84" w:rsidP="002D008B">
      <w:pPr>
        <w:spacing w:after="0" w:line="360" w:lineRule="auto"/>
        <w:rPr>
          <w:rFonts w:eastAsia="Calibri"/>
          <w:noProof/>
          <w:color w:val="808080" w:themeColor="background1" w:themeShade="80"/>
          <w:sz w:val="18"/>
          <w:szCs w:val="18"/>
          <w:lang w:val="es-ES"/>
        </w:rPr>
      </w:pPr>
      <w:r w:rsidRPr="00AE7972">
        <w:rPr>
          <w:rFonts w:eastAsia="Calibri"/>
          <w:b/>
          <w:bCs/>
          <w:noProof/>
          <w:color w:val="808080" w:themeColor="background1" w:themeShade="80"/>
          <w:sz w:val="18"/>
          <w:szCs w:val="18"/>
          <w:lang w:val="es-ES"/>
        </w:rPr>
        <w:t xml:space="preserve">Gráfico </w:t>
      </w:r>
      <w:r w:rsidR="00AE7972" w:rsidRPr="00AE7972">
        <w:rPr>
          <w:rFonts w:eastAsia="Calibri"/>
          <w:b/>
          <w:bCs/>
          <w:noProof/>
          <w:color w:val="808080" w:themeColor="background1" w:themeShade="80"/>
          <w:sz w:val="18"/>
          <w:szCs w:val="18"/>
          <w:lang w:val="es-ES"/>
        </w:rPr>
        <w:t>10</w:t>
      </w:r>
      <w:r w:rsidRPr="00AE7972">
        <w:rPr>
          <w:rFonts w:eastAsia="Calibri"/>
          <w:b/>
          <w:bCs/>
          <w:noProof/>
          <w:color w:val="808080" w:themeColor="background1" w:themeShade="80"/>
          <w:sz w:val="18"/>
          <w:szCs w:val="18"/>
          <w:lang w:val="es-ES"/>
        </w:rPr>
        <w:t>:</w:t>
      </w:r>
      <w:r w:rsidRPr="00046544">
        <w:rPr>
          <w:rFonts w:eastAsia="Calibri"/>
          <w:noProof/>
          <w:color w:val="808080" w:themeColor="background1" w:themeShade="80"/>
          <w:sz w:val="18"/>
          <w:szCs w:val="18"/>
          <w:lang w:val="es-ES"/>
        </w:rPr>
        <w:t xml:space="preserve"> Compras a Mipymes </w:t>
      </w:r>
      <w:r w:rsidR="0075434B">
        <w:rPr>
          <w:rFonts w:eastAsia="Calibri"/>
          <w:noProof/>
          <w:color w:val="808080" w:themeColor="background1" w:themeShade="80"/>
          <w:sz w:val="18"/>
          <w:szCs w:val="18"/>
          <w:lang w:val="es-ES"/>
        </w:rPr>
        <w:t>al T3</w:t>
      </w:r>
      <w:r w:rsidRPr="00046544">
        <w:rPr>
          <w:rFonts w:eastAsia="Calibri"/>
          <w:noProof/>
          <w:color w:val="808080" w:themeColor="background1" w:themeShade="80"/>
          <w:sz w:val="18"/>
          <w:szCs w:val="18"/>
          <w:lang w:val="es-ES"/>
        </w:rPr>
        <w:t xml:space="preserve"> 2024.</w:t>
      </w:r>
    </w:p>
    <w:tbl>
      <w:tblPr>
        <w:tblpPr w:leftFromText="180" w:rightFromText="180" w:vertAnchor="text" w:horzAnchor="margin" w:tblpY="2330"/>
        <w:tblW w:w="7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890"/>
        <w:gridCol w:w="1350"/>
        <w:gridCol w:w="1440"/>
        <w:gridCol w:w="1893"/>
      </w:tblGrid>
      <w:tr w:rsidR="00BD3280" w:rsidRPr="00A02E84" w14:paraId="2B1C7EAB" w14:textId="77777777" w:rsidTr="00ED47AE">
        <w:trPr>
          <w:trHeight w:val="877"/>
          <w:tblHeader/>
        </w:trPr>
        <w:tc>
          <w:tcPr>
            <w:tcW w:w="1170" w:type="dxa"/>
            <w:vMerge w:val="restart"/>
            <w:shd w:val="clear" w:color="000000" w:fill="1F3864"/>
            <w:noWrap/>
            <w:vAlign w:val="center"/>
            <w:hideMark/>
          </w:tcPr>
          <w:p w14:paraId="17D230CA" w14:textId="77777777" w:rsidR="00BD3280" w:rsidRPr="00A02E84" w:rsidRDefault="00BD3280" w:rsidP="00BD3280">
            <w:pPr>
              <w:spacing w:after="0" w:line="240" w:lineRule="auto"/>
              <w:jc w:val="center"/>
              <w:rPr>
                <w:rFonts w:eastAsia="Times New Roman"/>
                <w:b/>
                <w:bCs/>
                <w:color w:val="FFFFFF"/>
                <w:spacing w:val="0"/>
              </w:rPr>
            </w:pPr>
            <w:r w:rsidRPr="00840D69">
              <w:rPr>
                <w:rFonts w:eastAsia="Times New Roman"/>
                <w:b/>
                <w:bCs/>
                <w:color w:val="FFFFFF"/>
                <w:spacing w:val="0"/>
                <w:sz w:val="22"/>
                <w:szCs w:val="22"/>
              </w:rPr>
              <w:t>Compras Verdes</w:t>
            </w:r>
          </w:p>
        </w:tc>
        <w:tc>
          <w:tcPr>
            <w:tcW w:w="1890" w:type="dxa"/>
            <w:shd w:val="clear" w:color="000000" w:fill="1F3864"/>
            <w:vAlign w:val="center"/>
            <w:hideMark/>
          </w:tcPr>
          <w:p w14:paraId="75A661AA" w14:textId="1A1E9048" w:rsidR="00BD3280" w:rsidRPr="00840D69" w:rsidRDefault="00BD3280" w:rsidP="00BD3280">
            <w:pPr>
              <w:spacing w:after="0" w:line="240" w:lineRule="auto"/>
              <w:jc w:val="center"/>
              <w:rPr>
                <w:rFonts w:eastAsia="Times New Roman"/>
                <w:b/>
                <w:bCs/>
                <w:color w:val="FFFFFF"/>
                <w:spacing w:val="0"/>
                <w:sz w:val="22"/>
                <w:szCs w:val="22"/>
              </w:rPr>
            </w:pPr>
            <w:r w:rsidRPr="00840D69">
              <w:rPr>
                <w:rFonts w:eastAsia="Times New Roman"/>
                <w:b/>
                <w:bCs/>
                <w:color w:val="FFFFFF"/>
                <w:spacing w:val="0"/>
                <w:sz w:val="22"/>
                <w:szCs w:val="22"/>
              </w:rPr>
              <w:t xml:space="preserve">Tipo de </w:t>
            </w:r>
            <w:r w:rsidR="00ED47AE">
              <w:rPr>
                <w:rFonts w:eastAsia="Times New Roman"/>
                <w:b/>
                <w:bCs/>
                <w:color w:val="FFFFFF"/>
                <w:spacing w:val="0"/>
                <w:sz w:val="22"/>
                <w:szCs w:val="22"/>
              </w:rPr>
              <w:t>P</w:t>
            </w:r>
            <w:r w:rsidRPr="00840D69">
              <w:rPr>
                <w:rFonts w:eastAsia="Times New Roman"/>
                <w:b/>
                <w:bCs/>
                <w:color w:val="FFFFFF"/>
                <w:spacing w:val="0"/>
                <w:sz w:val="22"/>
                <w:szCs w:val="22"/>
              </w:rPr>
              <w:t>roceso</w:t>
            </w:r>
          </w:p>
        </w:tc>
        <w:tc>
          <w:tcPr>
            <w:tcW w:w="1350" w:type="dxa"/>
            <w:shd w:val="clear" w:color="000000" w:fill="1F3864"/>
            <w:vAlign w:val="center"/>
            <w:hideMark/>
          </w:tcPr>
          <w:p w14:paraId="0AFD9E03" w14:textId="77777777" w:rsidR="00BD3280" w:rsidRPr="00840D69" w:rsidRDefault="00BD3280" w:rsidP="00BD3280">
            <w:pPr>
              <w:spacing w:after="0" w:line="240" w:lineRule="auto"/>
              <w:jc w:val="center"/>
              <w:rPr>
                <w:rFonts w:eastAsia="Times New Roman"/>
                <w:b/>
                <w:bCs/>
                <w:color w:val="FFFFFF"/>
                <w:spacing w:val="0"/>
                <w:sz w:val="22"/>
                <w:szCs w:val="22"/>
              </w:rPr>
            </w:pPr>
            <w:r w:rsidRPr="00840D69">
              <w:rPr>
                <w:rFonts w:eastAsia="Times New Roman"/>
                <w:b/>
                <w:bCs/>
                <w:color w:val="FFFFFF"/>
                <w:spacing w:val="0"/>
                <w:sz w:val="22"/>
                <w:szCs w:val="22"/>
              </w:rPr>
              <w:t>Cantidad de Procesos Publicados</w:t>
            </w:r>
          </w:p>
        </w:tc>
        <w:tc>
          <w:tcPr>
            <w:tcW w:w="1440" w:type="dxa"/>
            <w:shd w:val="clear" w:color="000000" w:fill="1F3864"/>
            <w:vAlign w:val="center"/>
            <w:hideMark/>
          </w:tcPr>
          <w:p w14:paraId="3EA39841" w14:textId="77777777" w:rsidR="00BD3280" w:rsidRPr="00840D69" w:rsidRDefault="00BD3280" w:rsidP="00BD3280">
            <w:pPr>
              <w:spacing w:after="0" w:line="240" w:lineRule="auto"/>
              <w:jc w:val="center"/>
              <w:rPr>
                <w:rFonts w:eastAsia="Times New Roman"/>
                <w:b/>
                <w:bCs/>
                <w:color w:val="FFFFFF"/>
                <w:spacing w:val="0"/>
                <w:sz w:val="22"/>
                <w:szCs w:val="22"/>
              </w:rPr>
            </w:pPr>
            <w:r w:rsidRPr="00840D69">
              <w:rPr>
                <w:rFonts w:eastAsia="Times New Roman"/>
                <w:b/>
                <w:bCs/>
                <w:color w:val="FFFFFF"/>
                <w:spacing w:val="0"/>
                <w:sz w:val="22"/>
                <w:szCs w:val="22"/>
              </w:rPr>
              <w:t>Cantidad de Procesos Adjudicados</w:t>
            </w:r>
          </w:p>
        </w:tc>
        <w:tc>
          <w:tcPr>
            <w:tcW w:w="1893" w:type="dxa"/>
            <w:shd w:val="clear" w:color="000000" w:fill="1F3864"/>
            <w:vAlign w:val="center"/>
            <w:hideMark/>
          </w:tcPr>
          <w:p w14:paraId="2514D42D" w14:textId="77777777" w:rsidR="00BD3280" w:rsidRPr="00840D69" w:rsidRDefault="00BD3280" w:rsidP="00BD3280">
            <w:pPr>
              <w:spacing w:after="0" w:line="240" w:lineRule="auto"/>
              <w:jc w:val="center"/>
              <w:rPr>
                <w:rFonts w:eastAsia="Times New Roman"/>
                <w:b/>
                <w:bCs/>
                <w:color w:val="FFFFFF"/>
                <w:spacing w:val="0"/>
                <w:sz w:val="22"/>
                <w:szCs w:val="22"/>
              </w:rPr>
            </w:pPr>
            <w:r w:rsidRPr="00840D69">
              <w:rPr>
                <w:rFonts w:eastAsia="Times New Roman"/>
                <w:b/>
                <w:bCs/>
                <w:color w:val="FFFFFF"/>
                <w:spacing w:val="0"/>
                <w:sz w:val="22"/>
                <w:szCs w:val="22"/>
              </w:rPr>
              <w:t>Total (RD$)</w:t>
            </w:r>
          </w:p>
        </w:tc>
      </w:tr>
      <w:tr w:rsidR="00BD3280" w:rsidRPr="00A02E84" w14:paraId="1AD79C06" w14:textId="77777777" w:rsidTr="00ED47AE">
        <w:trPr>
          <w:trHeight w:val="242"/>
          <w:tblHeader/>
        </w:trPr>
        <w:tc>
          <w:tcPr>
            <w:tcW w:w="1170" w:type="dxa"/>
            <w:vMerge/>
            <w:vAlign w:val="center"/>
            <w:hideMark/>
          </w:tcPr>
          <w:p w14:paraId="7F34220F" w14:textId="77777777" w:rsidR="00BD3280" w:rsidRPr="00A02E84" w:rsidRDefault="00BD3280" w:rsidP="00BD3280">
            <w:pPr>
              <w:spacing w:after="0" w:line="240" w:lineRule="auto"/>
              <w:rPr>
                <w:rFonts w:eastAsia="Times New Roman"/>
                <w:b/>
                <w:bCs/>
                <w:color w:val="FFFFFF"/>
                <w:spacing w:val="0"/>
              </w:rPr>
            </w:pPr>
          </w:p>
        </w:tc>
        <w:tc>
          <w:tcPr>
            <w:tcW w:w="1890" w:type="dxa"/>
            <w:shd w:val="clear" w:color="auto" w:fill="auto"/>
            <w:vAlign w:val="center"/>
            <w:hideMark/>
          </w:tcPr>
          <w:p w14:paraId="0E0BA5A5" w14:textId="74872F1F" w:rsidR="00BD3280" w:rsidRPr="00840D69" w:rsidRDefault="00BD3280" w:rsidP="00ED47AE">
            <w:pPr>
              <w:spacing w:after="0" w:line="240" w:lineRule="auto"/>
              <w:rPr>
                <w:rFonts w:eastAsia="Times New Roman"/>
                <w:spacing w:val="0"/>
                <w:sz w:val="22"/>
                <w:szCs w:val="22"/>
              </w:rPr>
            </w:pPr>
            <w:r w:rsidRPr="00840D69">
              <w:rPr>
                <w:rFonts w:eastAsia="Times New Roman"/>
                <w:spacing w:val="0"/>
                <w:sz w:val="22"/>
                <w:szCs w:val="22"/>
              </w:rPr>
              <w:t xml:space="preserve">Comparación de </w:t>
            </w:r>
            <w:r w:rsidR="00ED47AE">
              <w:rPr>
                <w:rFonts w:eastAsia="Times New Roman"/>
                <w:spacing w:val="0"/>
                <w:sz w:val="22"/>
                <w:szCs w:val="22"/>
              </w:rPr>
              <w:t>P</w:t>
            </w:r>
            <w:r w:rsidRPr="00840D69">
              <w:rPr>
                <w:rFonts w:eastAsia="Times New Roman"/>
                <w:spacing w:val="0"/>
                <w:sz w:val="22"/>
                <w:szCs w:val="22"/>
              </w:rPr>
              <w:t>recios</w:t>
            </w:r>
          </w:p>
        </w:tc>
        <w:tc>
          <w:tcPr>
            <w:tcW w:w="1350" w:type="dxa"/>
            <w:shd w:val="clear" w:color="auto" w:fill="auto"/>
            <w:noWrap/>
            <w:vAlign w:val="center"/>
            <w:hideMark/>
          </w:tcPr>
          <w:p w14:paraId="6FDE58B8" w14:textId="77777777" w:rsidR="00BD3280" w:rsidRPr="00840D69" w:rsidRDefault="00BD3280" w:rsidP="00ED47AE">
            <w:pPr>
              <w:spacing w:after="0" w:line="240" w:lineRule="auto"/>
              <w:jc w:val="center"/>
              <w:rPr>
                <w:rFonts w:eastAsia="Times New Roman"/>
                <w:spacing w:val="0"/>
                <w:sz w:val="22"/>
                <w:szCs w:val="22"/>
              </w:rPr>
            </w:pPr>
            <w:r w:rsidRPr="00840D69">
              <w:rPr>
                <w:rFonts w:eastAsia="Times New Roman"/>
                <w:spacing w:val="0"/>
                <w:sz w:val="22"/>
                <w:szCs w:val="22"/>
              </w:rPr>
              <w:t>6</w:t>
            </w:r>
          </w:p>
        </w:tc>
        <w:tc>
          <w:tcPr>
            <w:tcW w:w="1440" w:type="dxa"/>
            <w:shd w:val="clear" w:color="auto" w:fill="auto"/>
            <w:noWrap/>
            <w:vAlign w:val="center"/>
            <w:hideMark/>
          </w:tcPr>
          <w:p w14:paraId="3FFE8A5F" w14:textId="77777777" w:rsidR="00BD3280" w:rsidRPr="00840D69" w:rsidRDefault="00BD3280" w:rsidP="00ED47AE">
            <w:pPr>
              <w:spacing w:after="0" w:line="240" w:lineRule="auto"/>
              <w:jc w:val="center"/>
              <w:rPr>
                <w:rFonts w:eastAsia="Times New Roman"/>
                <w:spacing w:val="0"/>
                <w:sz w:val="22"/>
                <w:szCs w:val="22"/>
              </w:rPr>
            </w:pPr>
            <w:r w:rsidRPr="00840D69">
              <w:rPr>
                <w:rFonts w:eastAsia="Times New Roman"/>
                <w:spacing w:val="0"/>
                <w:sz w:val="22"/>
                <w:szCs w:val="22"/>
              </w:rPr>
              <w:t>4</w:t>
            </w:r>
          </w:p>
        </w:tc>
        <w:tc>
          <w:tcPr>
            <w:tcW w:w="1893" w:type="dxa"/>
            <w:shd w:val="clear" w:color="auto" w:fill="auto"/>
            <w:vAlign w:val="center"/>
            <w:hideMark/>
          </w:tcPr>
          <w:p w14:paraId="230F3E59" w14:textId="292F8CA6" w:rsidR="00BD3280" w:rsidRPr="00840D69" w:rsidRDefault="00BD3280" w:rsidP="00ED47AE">
            <w:pPr>
              <w:spacing w:after="0" w:line="240" w:lineRule="auto"/>
              <w:jc w:val="center"/>
              <w:rPr>
                <w:rFonts w:eastAsia="Times New Roman"/>
                <w:spacing w:val="0"/>
                <w:sz w:val="22"/>
                <w:szCs w:val="22"/>
              </w:rPr>
            </w:pPr>
            <w:r w:rsidRPr="00840D69">
              <w:rPr>
                <w:rFonts w:eastAsia="Times New Roman"/>
                <w:spacing w:val="0"/>
                <w:sz w:val="22"/>
                <w:szCs w:val="22"/>
              </w:rPr>
              <w:t>$ 26,897,869.94</w:t>
            </w:r>
          </w:p>
        </w:tc>
      </w:tr>
      <w:tr w:rsidR="00BD3280" w:rsidRPr="00A02E84" w14:paraId="78799CA2" w14:textId="77777777" w:rsidTr="00ED47AE">
        <w:trPr>
          <w:trHeight w:val="236"/>
          <w:tblHeader/>
        </w:trPr>
        <w:tc>
          <w:tcPr>
            <w:tcW w:w="1170" w:type="dxa"/>
            <w:vMerge/>
            <w:vAlign w:val="center"/>
            <w:hideMark/>
          </w:tcPr>
          <w:p w14:paraId="5C8954CA" w14:textId="77777777" w:rsidR="00BD3280" w:rsidRPr="00A02E84" w:rsidRDefault="00BD3280" w:rsidP="00BD3280">
            <w:pPr>
              <w:spacing w:after="0" w:line="240" w:lineRule="auto"/>
              <w:rPr>
                <w:rFonts w:eastAsia="Times New Roman"/>
                <w:b/>
                <w:bCs/>
                <w:color w:val="FFFFFF"/>
                <w:spacing w:val="0"/>
              </w:rPr>
            </w:pPr>
          </w:p>
        </w:tc>
        <w:tc>
          <w:tcPr>
            <w:tcW w:w="1890" w:type="dxa"/>
            <w:shd w:val="clear" w:color="auto" w:fill="auto"/>
            <w:vAlign w:val="center"/>
            <w:hideMark/>
          </w:tcPr>
          <w:p w14:paraId="1B86B595" w14:textId="77777777" w:rsidR="00BD3280" w:rsidRPr="00840D69" w:rsidRDefault="00BD3280" w:rsidP="00ED47AE">
            <w:pPr>
              <w:spacing w:after="0" w:line="240" w:lineRule="auto"/>
              <w:rPr>
                <w:rFonts w:eastAsia="Times New Roman"/>
                <w:spacing w:val="0"/>
                <w:sz w:val="22"/>
                <w:szCs w:val="22"/>
              </w:rPr>
            </w:pPr>
            <w:r w:rsidRPr="00840D69">
              <w:rPr>
                <w:rFonts w:eastAsia="Times New Roman"/>
                <w:spacing w:val="0"/>
                <w:sz w:val="22"/>
                <w:szCs w:val="22"/>
              </w:rPr>
              <w:t>Compras Menores</w:t>
            </w:r>
          </w:p>
        </w:tc>
        <w:tc>
          <w:tcPr>
            <w:tcW w:w="1350" w:type="dxa"/>
            <w:shd w:val="clear" w:color="auto" w:fill="auto"/>
            <w:noWrap/>
            <w:vAlign w:val="center"/>
            <w:hideMark/>
          </w:tcPr>
          <w:p w14:paraId="19F0D3B2" w14:textId="77777777" w:rsidR="00BD3280" w:rsidRPr="00840D69" w:rsidRDefault="00BD3280" w:rsidP="00ED47AE">
            <w:pPr>
              <w:spacing w:after="0" w:line="240" w:lineRule="auto"/>
              <w:jc w:val="center"/>
              <w:rPr>
                <w:rFonts w:eastAsia="Times New Roman"/>
                <w:spacing w:val="0"/>
                <w:sz w:val="22"/>
                <w:szCs w:val="22"/>
              </w:rPr>
            </w:pPr>
            <w:r w:rsidRPr="00840D69">
              <w:rPr>
                <w:rFonts w:eastAsia="Times New Roman"/>
                <w:spacing w:val="0"/>
                <w:sz w:val="22"/>
                <w:szCs w:val="22"/>
              </w:rPr>
              <w:t>11</w:t>
            </w:r>
          </w:p>
        </w:tc>
        <w:tc>
          <w:tcPr>
            <w:tcW w:w="1440" w:type="dxa"/>
            <w:shd w:val="clear" w:color="auto" w:fill="auto"/>
            <w:noWrap/>
            <w:vAlign w:val="center"/>
            <w:hideMark/>
          </w:tcPr>
          <w:p w14:paraId="46F620D7" w14:textId="77777777" w:rsidR="00BD3280" w:rsidRPr="00840D69" w:rsidRDefault="00BD3280" w:rsidP="00ED47AE">
            <w:pPr>
              <w:spacing w:after="0" w:line="240" w:lineRule="auto"/>
              <w:jc w:val="center"/>
              <w:rPr>
                <w:rFonts w:eastAsia="Times New Roman"/>
                <w:spacing w:val="0"/>
                <w:sz w:val="22"/>
                <w:szCs w:val="22"/>
              </w:rPr>
            </w:pPr>
            <w:r w:rsidRPr="00840D69">
              <w:rPr>
                <w:rFonts w:eastAsia="Times New Roman"/>
                <w:spacing w:val="0"/>
                <w:sz w:val="22"/>
                <w:szCs w:val="22"/>
              </w:rPr>
              <w:t>7</w:t>
            </w:r>
          </w:p>
        </w:tc>
        <w:tc>
          <w:tcPr>
            <w:tcW w:w="1893" w:type="dxa"/>
            <w:shd w:val="clear" w:color="auto" w:fill="auto"/>
            <w:vAlign w:val="center"/>
            <w:hideMark/>
          </w:tcPr>
          <w:p w14:paraId="6B56B564" w14:textId="74CC29DA" w:rsidR="00BD3280" w:rsidRPr="00840D69" w:rsidRDefault="00BD3280" w:rsidP="00ED47AE">
            <w:pPr>
              <w:spacing w:after="0" w:line="240" w:lineRule="auto"/>
              <w:jc w:val="center"/>
              <w:rPr>
                <w:rFonts w:eastAsia="Times New Roman"/>
                <w:spacing w:val="0"/>
                <w:sz w:val="22"/>
                <w:szCs w:val="22"/>
              </w:rPr>
            </w:pPr>
            <w:r w:rsidRPr="00840D69">
              <w:rPr>
                <w:rFonts w:eastAsia="Times New Roman"/>
                <w:spacing w:val="0"/>
                <w:sz w:val="22"/>
                <w:szCs w:val="22"/>
              </w:rPr>
              <w:t>$ 2,179,352.72</w:t>
            </w:r>
          </w:p>
        </w:tc>
      </w:tr>
      <w:tr w:rsidR="00BD3280" w:rsidRPr="00A02E84" w14:paraId="2AB4AE4B" w14:textId="77777777" w:rsidTr="00ED47AE">
        <w:trPr>
          <w:trHeight w:val="289"/>
          <w:tblHeader/>
        </w:trPr>
        <w:tc>
          <w:tcPr>
            <w:tcW w:w="1170" w:type="dxa"/>
            <w:vMerge/>
            <w:vAlign w:val="center"/>
            <w:hideMark/>
          </w:tcPr>
          <w:p w14:paraId="6C7AF4DA" w14:textId="77777777" w:rsidR="00BD3280" w:rsidRPr="00A02E84" w:rsidRDefault="00BD3280" w:rsidP="00BD3280">
            <w:pPr>
              <w:spacing w:after="0" w:line="240" w:lineRule="auto"/>
              <w:rPr>
                <w:rFonts w:eastAsia="Times New Roman"/>
                <w:b/>
                <w:bCs/>
                <w:color w:val="FFFFFF"/>
                <w:spacing w:val="0"/>
              </w:rPr>
            </w:pPr>
          </w:p>
        </w:tc>
        <w:tc>
          <w:tcPr>
            <w:tcW w:w="1890" w:type="dxa"/>
            <w:shd w:val="clear" w:color="auto" w:fill="auto"/>
            <w:vAlign w:val="center"/>
            <w:hideMark/>
          </w:tcPr>
          <w:p w14:paraId="44102EBB" w14:textId="77777777" w:rsidR="00BD3280" w:rsidRPr="00840D69" w:rsidRDefault="00BD3280" w:rsidP="00ED47AE">
            <w:pPr>
              <w:spacing w:after="0" w:line="240" w:lineRule="auto"/>
              <w:rPr>
                <w:rFonts w:eastAsia="Times New Roman"/>
                <w:spacing w:val="0"/>
                <w:sz w:val="22"/>
                <w:szCs w:val="22"/>
                <w:lang w:val="es-ES"/>
              </w:rPr>
            </w:pPr>
            <w:r w:rsidRPr="00840D69">
              <w:rPr>
                <w:rFonts w:eastAsia="Times New Roman"/>
                <w:spacing w:val="0"/>
                <w:sz w:val="22"/>
                <w:szCs w:val="22"/>
                <w:lang w:val="es-ES"/>
              </w:rPr>
              <w:t>Compras por Debajo del Umbral</w:t>
            </w:r>
          </w:p>
        </w:tc>
        <w:tc>
          <w:tcPr>
            <w:tcW w:w="1350" w:type="dxa"/>
            <w:shd w:val="clear" w:color="auto" w:fill="auto"/>
            <w:noWrap/>
            <w:vAlign w:val="center"/>
            <w:hideMark/>
          </w:tcPr>
          <w:p w14:paraId="3BDD8630" w14:textId="77777777" w:rsidR="00BD3280" w:rsidRPr="00840D69" w:rsidRDefault="00BD3280" w:rsidP="00ED47AE">
            <w:pPr>
              <w:spacing w:after="0" w:line="240" w:lineRule="auto"/>
              <w:jc w:val="center"/>
              <w:rPr>
                <w:rFonts w:eastAsia="Times New Roman"/>
                <w:spacing w:val="0"/>
                <w:sz w:val="22"/>
                <w:szCs w:val="22"/>
              </w:rPr>
            </w:pPr>
            <w:r w:rsidRPr="00840D69">
              <w:rPr>
                <w:rFonts w:eastAsia="Times New Roman"/>
                <w:spacing w:val="0"/>
                <w:sz w:val="22"/>
                <w:szCs w:val="22"/>
              </w:rPr>
              <w:t>5</w:t>
            </w:r>
          </w:p>
        </w:tc>
        <w:tc>
          <w:tcPr>
            <w:tcW w:w="1440" w:type="dxa"/>
            <w:shd w:val="clear" w:color="auto" w:fill="auto"/>
            <w:noWrap/>
            <w:vAlign w:val="center"/>
            <w:hideMark/>
          </w:tcPr>
          <w:p w14:paraId="3C71B980" w14:textId="77777777" w:rsidR="00BD3280" w:rsidRPr="00840D69" w:rsidRDefault="00BD3280" w:rsidP="00ED47AE">
            <w:pPr>
              <w:spacing w:after="0" w:line="240" w:lineRule="auto"/>
              <w:jc w:val="center"/>
              <w:rPr>
                <w:rFonts w:eastAsia="Times New Roman"/>
                <w:spacing w:val="0"/>
                <w:sz w:val="22"/>
                <w:szCs w:val="22"/>
              </w:rPr>
            </w:pPr>
            <w:r w:rsidRPr="00840D69">
              <w:rPr>
                <w:rFonts w:eastAsia="Times New Roman"/>
                <w:spacing w:val="0"/>
                <w:sz w:val="22"/>
                <w:szCs w:val="22"/>
              </w:rPr>
              <w:t>5</w:t>
            </w:r>
          </w:p>
        </w:tc>
        <w:tc>
          <w:tcPr>
            <w:tcW w:w="1893" w:type="dxa"/>
            <w:shd w:val="clear" w:color="auto" w:fill="auto"/>
            <w:vAlign w:val="center"/>
            <w:hideMark/>
          </w:tcPr>
          <w:p w14:paraId="71E64A13" w14:textId="48FF5B48" w:rsidR="00BD3280" w:rsidRPr="00840D69" w:rsidRDefault="00BD3280" w:rsidP="00ED47AE">
            <w:pPr>
              <w:spacing w:after="0" w:line="240" w:lineRule="auto"/>
              <w:jc w:val="center"/>
              <w:rPr>
                <w:rFonts w:eastAsia="Times New Roman"/>
                <w:spacing w:val="0"/>
                <w:sz w:val="22"/>
                <w:szCs w:val="22"/>
              </w:rPr>
            </w:pPr>
            <w:r w:rsidRPr="00840D69">
              <w:rPr>
                <w:rFonts w:eastAsia="Times New Roman"/>
                <w:spacing w:val="0"/>
                <w:sz w:val="22"/>
                <w:szCs w:val="22"/>
              </w:rPr>
              <w:t>$ 311,699.79</w:t>
            </w:r>
          </w:p>
        </w:tc>
      </w:tr>
      <w:tr w:rsidR="00BD3280" w:rsidRPr="00A02E84" w14:paraId="384283E0" w14:textId="77777777" w:rsidTr="00ED47AE">
        <w:trPr>
          <w:trHeight w:val="236"/>
          <w:tblHeader/>
        </w:trPr>
        <w:tc>
          <w:tcPr>
            <w:tcW w:w="1170" w:type="dxa"/>
            <w:vMerge/>
            <w:vAlign w:val="center"/>
            <w:hideMark/>
          </w:tcPr>
          <w:p w14:paraId="708F4298" w14:textId="77777777" w:rsidR="00BD3280" w:rsidRPr="00A02E84" w:rsidRDefault="00BD3280" w:rsidP="00BD3280">
            <w:pPr>
              <w:spacing w:after="0" w:line="240" w:lineRule="auto"/>
              <w:rPr>
                <w:rFonts w:eastAsia="Times New Roman"/>
                <w:b/>
                <w:bCs/>
                <w:color w:val="FFFFFF"/>
                <w:spacing w:val="0"/>
              </w:rPr>
            </w:pPr>
          </w:p>
        </w:tc>
        <w:tc>
          <w:tcPr>
            <w:tcW w:w="1890" w:type="dxa"/>
            <w:shd w:val="clear" w:color="auto" w:fill="auto"/>
            <w:noWrap/>
            <w:vAlign w:val="center"/>
            <w:hideMark/>
          </w:tcPr>
          <w:p w14:paraId="42FAA8C5" w14:textId="15DB1486" w:rsidR="00BD3280" w:rsidRPr="00840D69" w:rsidRDefault="00ED47AE" w:rsidP="00ED47AE">
            <w:pPr>
              <w:spacing w:after="0" w:line="240" w:lineRule="auto"/>
              <w:rPr>
                <w:rFonts w:eastAsia="Times New Roman"/>
                <w:b/>
                <w:bCs/>
                <w:spacing w:val="0"/>
                <w:sz w:val="22"/>
                <w:szCs w:val="22"/>
              </w:rPr>
            </w:pPr>
            <w:r w:rsidRPr="00840D69">
              <w:rPr>
                <w:rFonts w:eastAsia="Times New Roman"/>
                <w:b/>
                <w:bCs/>
                <w:spacing w:val="0"/>
                <w:sz w:val="22"/>
                <w:szCs w:val="22"/>
              </w:rPr>
              <w:t>TOTAL</w:t>
            </w:r>
          </w:p>
        </w:tc>
        <w:tc>
          <w:tcPr>
            <w:tcW w:w="1350" w:type="dxa"/>
            <w:shd w:val="clear" w:color="auto" w:fill="auto"/>
            <w:noWrap/>
            <w:vAlign w:val="center"/>
            <w:hideMark/>
          </w:tcPr>
          <w:p w14:paraId="2529689B" w14:textId="77777777" w:rsidR="00BD3280" w:rsidRPr="00840D69" w:rsidRDefault="00BD3280" w:rsidP="00BD3280">
            <w:pPr>
              <w:spacing w:after="0" w:line="240" w:lineRule="auto"/>
              <w:jc w:val="center"/>
              <w:rPr>
                <w:rFonts w:eastAsia="Times New Roman"/>
                <w:b/>
                <w:bCs/>
                <w:spacing w:val="0"/>
                <w:sz w:val="22"/>
                <w:szCs w:val="22"/>
              </w:rPr>
            </w:pPr>
            <w:r w:rsidRPr="00840D69">
              <w:rPr>
                <w:rFonts w:eastAsia="Times New Roman"/>
                <w:b/>
                <w:bCs/>
                <w:spacing w:val="0"/>
                <w:sz w:val="22"/>
                <w:szCs w:val="22"/>
              </w:rPr>
              <w:t>22</w:t>
            </w:r>
          </w:p>
        </w:tc>
        <w:tc>
          <w:tcPr>
            <w:tcW w:w="1440" w:type="dxa"/>
            <w:shd w:val="clear" w:color="auto" w:fill="auto"/>
            <w:noWrap/>
            <w:vAlign w:val="center"/>
            <w:hideMark/>
          </w:tcPr>
          <w:p w14:paraId="409ED062" w14:textId="77777777" w:rsidR="00BD3280" w:rsidRPr="00840D69" w:rsidRDefault="00BD3280" w:rsidP="00BD3280">
            <w:pPr>
              <w:spacing w:after="0" w:line="240" w:lineRule="auto"/>
              <w:jc w:val="center"/>
              <w:rPr>
                <w:rFonts w:eastAsia="Times New Roman"/>
                <w:b/>
                <w:bCs/>
                <w:spacing w:val="0"/>
                <w:sz w:val="22"/>
                <w:szCs w:val="22"/>
              </w:rPr>
            </w:pPr>
            <w:r w:rsidRPr="00840D69">
              <w:rPr>
                <w:rFonts w:eastAsia="Times New Roman"/>
                <w:b/>
                <w:bCs/>
                <w:spacing w:val="0"/>
                <w:sz w:val="22"/>
                <w:szCs w:val="22"/>
              </w:rPr>
              <w:t>16</w:t>
            </w:r>
          </w:p>
        </w:tc>
        <w:tc>
          <w:tcPr>
            <w:tcW w:w="1893" w:type="dxa"/>
            <w:shd w:val="clear" w:color="auto" w:fill="auto"/>
            <w:noWrap/>
            <w:vAlign w:val="center"/>
            <w:hideMark/>
          </w:tcPr>
          <w:p w14:paraId="27AD23C8" w14:textId="77777777" w:rsidR="00BD3280" w:rsidRPr="00840D69" w:rsidRDefault="00BD3280" w:rsidP="00BD3280">
            <w:pPr>
              <w:spacing w:after="0" w:line="240" w:lineRule="auto"/>
              <w:jc w:val="center"/>
              <w:rPr>
                <w:rFonts w:eastAsia="Times New Roman"/>
                <w:b/>
                <w:bCs/>
                <w:spacing w:val="0"/>
                <w:sz w:val="22"/>
                <w:szCs w:val="22"/>
              </w:rPr>
            </w:pPr>
            <w:r w:rsidRPr="00840D69">
              <w:rPr>
                <w:rFonts w:eastAsia="Times New Roman"/>
                <w:b/>
                <w:bCs/>
                <w:spacing w:val="0"/>
                <w:sz w:val="22"/>
                <w:szCs w:val="22"/>
              </w:rPr>
              <w:t xml:space="preserve"> $ 29,388,922.45 </w:t>
            </w:r>
          </w:p>
        </w:tc>
      </w:tr>
    </w:tbl>
    <w:p w14:paraId="2FED47C9" w14:textId="4544892B" w:rsidR="00046544" w:rsidRDefault="005C6E7B" w:rsidP="00A02E84">
      <w:pPr>
        <w:spacing w:before="240" w:line="360" w:lineRule="auto"/>
        <w:jc w:val="both"/>
        <w:rPr>
          <w:color w:val="808080" w:themeColor="background1" w:themeShade="80"/>
          <w:lang w:val="es-DO"/>
        </w:rPr>
      </w:pPr>
      <w:r>
        <w:rPr>
          <w:rFonts w:eastAsia="Calibri"/>
          <w:noProof/>
          <w:color w:val="808080" w:themeColor="background1" w:themeShade="80"/>
          <w:lang w:val="es-DO"/>
        </w:rPr>
        <w:t>En ese tenor</w:t>
      </w:r>
      <w:r w:rsidR="00A02E84" w:rsidRPr="00A02E84">
        <w:rPr>
          <w:rFonts w:eastAsia="Calibri"/>
          <w:noProof/>
          <w:color w:val="808080" w:themeColor="background1" w:themeShade="80"/>
          <w:lang w:val="es-DO"/>
        </w:rPr>
        <w:t>, hemos publicado 22 procesos utilizando la metodología de compras sostenibles. Este enfoque metodológico abarca una perspectiva de desarrollo integral que considera los impactos económicos, sociales</w:t>
      </w:r>
      <w:r w:rsidR="00A02E84" w:rsidRPr="00A02E84">
        <w:rPr>
          <w:color w:val="808080" w:themeColor="background1" w:themeShade="80"/>
          <w:lang w:val="es-DO"/>
        </w:rPr>
        <w:t xml:space="preserve"> y ambientales, siguiendo el principio del triple impacto.</w:t>
      </w:r>
    </w:p>
    <w:p w14:paraId="3243BFD1" w14:textId="47C64E62" w:rsidR="00ED47AE" w:rsidRDefault="00ED47AE" w:rsidP="00A02E84">
      <w:pPr>
        <w:spacing w:before="240" w:line="360" w:lineRule="auto"/>
        <w:jc w:val="both"/>
        <w:rPr>
          <w:color w:val="808080" w:themeColor="background1" w:themeShade="80"/>
          <w:lang w:val="es-DO"/>
        </w:rPr>
      </w:pPr>
      <w:r w:rsidRPr="00AE7972">
        <w:rPr>
          <w:rFonts w:eastAsia="Calibri"/>
          <w:b/>
          <w:bCs/>
          <w:noProof/>
          <w:color w:val="808080" w:themeColor="background1" w:themeShade="80"/>
          <w:sz w:val="18"/>
          <w:szCs w:val="18"/>
          <w:lang w:val="es-ES"/>
        </w:rPr>
        <w:t xml:space="preserve">Tabla </w:t>
      </w:r>
      <w:r w:rsidR="00AE7972" w:rsidRPr="00AE7972">
        <w:rPr>
          <w:rFonts w:eastAsia="Calibri"/>
          <w:b/>
          <w:bCs/>
          <w:noProof/>
          <w:color w:val="808080" w:themeColor="background1" w:themeShade="80"/>
          <w:sz w:val="18"/>
          <w:szCs w:val="18"/>
          <w:lang w:val="es-ES"/>
        </w:rPr>
        <w:t>1</w:t>
      </w:r>
      <w:r w:rsidR="00C50277">
        <w:rPr>
          <w:rFonts w:eastAsia="Calibri"/>
          <w:b/>
          <w:bCs/>
          <w:noProof/>
          <w:color w:val="808080" w:themeColor="background1" w:themeShade="80"/>
          <w:sz w:val="18"/>
          <w:szCs w:val="18"/>
          <w:lang w:val="es-ES"/>
        </w:rPr>
        <w:t>8</w:t>
      </w:r>
      <w:r w:rsidRPr="00AE7972">
        <w:rPr>
          <w:rFonts w:eastAsia="Calibri"/>
          <w:b/>
          <w:bCs/>
          <w:noProof/>
          <w:color w:val="808080" w:themeColor="background1" w:themeShade="80"/>
          <w:sz w:val="18"/>
          <w:szCs w:val="18"/>
          <w:lang w:val="es-ES"/>
        </w:rPr>
        <w:t xml:space="preserve">: </w:t>
      </w:r>
      <w:r w:rsidR="00AE7972" w:rsidRPr="00AE7972">
        <w:rPr>
          <w:rFonts w:eastAsia="Calibri"/>
          <w:noProof/>
          <w:color w:val="808080" w:themeColor="background1" w:themeShade="80"/>
          <w:sz w:val="18"/>
          <w:szCs w:val="18"/>
          <w:lang w:val="es-ES"/>
        </w:rPr>
        <w:t>Compras Verdes</w:t>
      </w:r>
      <w:r w:rsidRPr="00AE7972">
        <w:rPr>
          <w:rFonts w:eastAsia="Calibri"/>
          <w:noProof/>
          <w:color w:val="808080" w:themeColor="background1" w:themeShade="80"/>
          <w:sz w:val="18"/>
          <w:szCs w:val="18"/>
          <w:lang w:val="es-ES"/>
        </w:rPr>
        <w:t xml:space="preserve"> enero-noviembre 2024</w:t>
      </w:r>
    </w:p>
    <w:p w14:paraId="4D76CB16" w14:textId="075DBDB7" w:rsidR="00A02E84" w:rsidRPr="00ED47AE" w:rsidRDefault="00A02E84" w:rsidP="00A02E84">
      <w:pPr>
        <w:spacing w:before="240" w:line="360" w:lineRule="auto"/>
        <w:jc w:val="both"/>
        <w:rPr>
          <w:rFonts w:eastAsia="Calibri"/>
          <w:noProof/>
          <w:color w:val="808080" w:themeColor="background1" w:themeShade="80"/>
          <w:lang w:val="es-DO"/>
        </w:rPr>
      </w:pPr>
      <w:bookmarkStart w:id="76" w:name="_Hlk185503199"/>
      <w:r w:rsidRPr="00ED47AE">
        <w:rPr>
          <w:rFonts w:eastAsia="Calibri"/>
          <w:noProof/>
          <w:color w:val="808080" w:themeColor="background1" w:themeShade="80"/>
          <w:lang w:val="es-DO"/>
        </w:rPr>
        <w:t>El 95% de estos procesos fueron adjudicados a Mipyme y Mipyme Mujer, mientras que el 5% fue adjudicado a las grandes empresas.</w:t>
      </w:r>
    </w:p>
    <w:tbl>
      <w:tblPr>
        <w:tblpPr w:leftFromText="180" w:rightFromText="180" w:vertAnchor="text" w:horzAnchor="page" w:tblpX="2191" w:tblpY="50"/>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7"/>
        <w:gridCol w:w="1716"/>
        <w:gridCol w:w="1977"/>
      </w:tblGrid>
      <w:tr w:rsidR="00BD3280" w:rsidRPr="00A02E84" w14:paraId="4AF4A3D6" w14:textId="77777777" w:rsidTr="00ED47AE">
        <w:trPr>
          <w:trHeight w:val="315"/>
        </w:trPr>
        <w:tc>
          <w:tcPr>
            <w:tcW w:w="3957" w:type="dxa"/>
            <w:shd w:val="clear" w:color="000000" w:fill="203764"/>
            <w:noWrap/>
            <w:vAlign w:val="center"/>
            <w:hideMark/>
          </w:tcPr>
          <w:p w14:paraId="0DC0AB02" w14:textId="77777777" w:rsidR="00BD3280" w:rsidRPr="00840D69" w:rsidRDefault="00BD3280" w:rsidP="00AE7972">
            <w:pPr>
              <w:spacing w:after="0" w:line="240" w:lineRule="auto"/>
              <w:jc w:val="center"/>
              <w:rPr>
                <w:rFonts w:eastAsia="Times New Roman"/>
                <w:b/>
                <w:bCs/>
                <w:color w:val="FFFFFF" w:themeColor="background1"/>
                <w:spacing w:val="0"/>
                <w:sz w:val="22"/>
                <w:szCs w:val="22"/>
              </w:rPr>
            </w:pPr>
            <w:r w:rsidRPr="00840D69">
              <w:rPr>
                <w:rFonts w:eastAsia="Times New Roman"/>
                <w:b/>
                <w:bCs/>
                <w:color w:val="FFFFFF" w:themeColor="background1"/>
                <w:spacing w:val="0"/>
                <w:sz w:val="22"/>
                <w:szCs w:val="22"/>
              </w:rPr>
              <w:t>Modalidad</w:t>
            </w:r>
          </w:p>
        </w:tc>
        <w:tc>
          <w:tcPr>
            <w:tcW w:w="1716" w:type="dxa"/>
            <w:shd w:val="clear" w:color="000000" w:fill="203764"/>
            <w:noWrap/>
            <w:vAlign w:val="center"/>
            <w:hideMark/>
          </w:tcPr>
          <w:p w14:paraId="336D32FC" w14:textId="77777777" w:rsidR="00BD3280" w:rsidRPr="00840D69" w:rsidRDefault="00BD3280" w:rsidP="00AE7972">
            <w:pPr>
              <w:spacing w:after="0" w:line="240" w:lineRule="auto"/>
              <w:jc w:val="center"/>
              <w:rPr>
                <w:rFonts w:eastAsia="Times New Roman"/>
                <w:b/>
                <w:bCs/>
                <w:color w:val="FFFFFF" w:themeColor="background1"/>
                <w:spacing w:val="0"/>
                <w:sz w:val="22"/>
                <w:szCs w:val="22"/>
              </w:rPr>
            </w:pPr>
            <w:r w:rsidRPr="00840D69">
              <w:rPr>
                <w:rFonts w:eastAsia="Times New Roman"/>
                <w:b/>
                <w:bCs/>
                <w:color w:val="FFFFFF" w:themeColor="background1"/>
                <w:spacing w:val="0"/>
                <w:sz w:val="22"/>
                <w:szCs w:val="22"/>
              </w:rPr>
              <w:t>Total (RD$)</w:t>
            </w:r>
          </w:p>
        </w:tc>
        <w:tc>
          <w:tcPr>
            <w:tcW w:w="1977" w:type="dxa"/>
            <w:shd w:val="clear" w:color="000000" w:fill="203764"/>
            <w:noWrap/>
            <w:vAlign w:val="center"/>
            <w:hideMark/>
          </w:tcPr>
          <w:p w14:paraId="7F49BD6B" w14:textId="4C00BF02" w:rsidR="00BD3280" w:rsidRPr="00840D69" w:rsidRDefault="00AE7972" w:rsidP="00AE7972">
            <w:pPr>
              <w:spacing w:after="0" w:line="240" w:lineRule="auto"/>
              <w:jc w:val="center"/>
              <w:rPr>
                <w:rFonts w:eastAsia="Times New Roman"/>
                <w:b/>
                <w:bCs/>
                <w:color w:val="808080" w:themeColor="background1" w:themeShade="80"/>
                <w:spacing w:val="0"/>
                <w:sz w:val="22"/>
                <w:szCs w:val="22"/>
              </w:rPr>
            </w:pPr>
            <w:r w:rsidRPr="00840D69">
              <w:rPr>
                <w:rFonts w:eastAsia="Times New Roman"/>
                <w:b/>
                <w:bCs/>
                <w:color w:val="FFFFFF" w:themeColor="background1"/>
                <w:spacing w:val="0"/>
                <w:sz w:val="22"/>
                <w:szCs w:val="22"/>
              </w:rPr>
              <w:t>Porcentaje</w:t>
            </w:r>
          </w:p>
        </w:tc>
      </w:tr>
      <w:tr w:rsidR="00BD3280" w:rsidRPr="00A02E84" w14:paraId="718BCD4D" w14:textId="77777777" w:rsidTr="00ED47AE">
        <w:trPr>
          <w:trHeight w:val="330"/>
        </w:trPr>
        <w:tc>
          <w:tcPr>
            <w:tcW w:w="3957" w:type="dxa"/>
            <w:shd w:val="clear" w:color="auto" w:fill="auto"/>
            <w:noWrap/>
            <w:vAlign w:val="center"/>
            <w:hideMark/>
          </w:tcPr>
          <w:p w14:paraId="263E2D39" w14:textId="77777777" w:rsidR="00BD3280" w:rsidRPr="00840D69" w:rsidRDefault="00BD3280" w:rsidP="00AE7972">
            <w:pPr>
              <w:spacing w:after="0" w:line="240" w:lineRule="auto"/>
              <w:jc w:val="center"/>
              <w:rPr>
                <w:rFonts w:eastAsia="Times New Roman"/>
                <w:color w:val="808080" w:themeColor="background1" w:themeShade="80"/>
                <w:spacing w:val="0"/>
                <w:sz w:val="22"/>
                <w:szCs w:val="22"/>
              </w:rPr>
            </w:pPr>
            <w:r w:rsidRPr="00840D69">
              <w:rPr>
                <w:rFonts w:eastAsia="Times New Roman"/>
                <w:color w:val="808080" w:themeColor="background1" w:themeShade="80"/>
                <w:spacing w:val="0"/>
                <w:sz w:val="22"/>
                <w:szCs w:val="22"/>
              </w:rPr>
              <w:t>Grande</w:t>
            </w:r>
          </w:p>
        </w:tc>
        <w:tc>
          <w:tcPr>
            <w:tcW w:w="1716" w:type="dxa"/>
            <w:shd w:val="clear" w:color="auto" w:fill="auto"/>
            <w:noWrap/>
            <w:vAlign w:val="center"/>
            <w:hideMark/>
          </w:tcPr>
          <w:p w14:paraId="3A59AD70" w14:textId="77777777" w:rsidR="00BD3280" w:rsidRPr="00840D69" w:rsidRDefault="00BD3280" w:rsidP="00AE7972">
            <w:pPr>
              <w:spacing w:after="0" w:line="240" w:lineRule="auto"/>
              <w:jc w:val="center"/>
              <w:rPr>
                <w:rFonts w:eastAsia="Times New Roman"/>
                <w:color w:val="808080" w:themeColor="background1" w:themeShade="80"/>
                <w:spacing w:val="0"/>
                <w:sz w:val="22"/>
                <w:szCs w:val="22"/>
              </w:rPr>
            </w:pPr>
            <w:r w:rsidRPr="00840D69">
              <w:rPr>
                <w:rFonts w:eastAsia="Times New Roman"/>
                <w:color w:val="808080" w:themeColor="background1" w:themeShade="80"/>
                <w:spacing w:val="0"/>
                <w:sz w:val="22"/>
                <w:szCs w:val="22"/>
              </w:rPr>
              <w:t>$1,379,285.79</w:t>
            </w:r>
          </w:p>
        </w:tc>
        <w:tc>
          <w:tcPr>
            <w:tcW w:w="1977" w:type="dxa"/>
            <w:shd w:val="clear" w:color="auto" w:fill="auto"/>
            <w:noWrap/>
            <w:vAlign w:val="center"/>
            <w:hideMark/>
          </w:tcPr>
          <w:p w14:paraId="1D5F7157" w14:textId="77777777" w:rsidR="00BD3280" w:rsidRPr="00840D69" w:rsidRDefault="00BD3280" w:rsidP="00AE7972">
            <w:pPr>
              <w:spacing w:after="0" w:line="240" w:lineRule="auto"/>
              <w:jc w:val="center"/>
              <w:rPr>
                <w:rFonts w:eastAsia="Times New Roman"/>
                <w:color w:val="808080" w:themeColor="background1" w:themeShade="80"/>
                <w:spacing w:val="0"/>
                <w:sz w:val="22"/>
                <w:szCs w:val="22"/>
              </w:rPr>
            </w:pPr>
            <w:r w:rsidRPr="00840D69">
              <w:rPr>
                <w:rFonts w:eastAsia="Times New Roman"/>
                <w:color w:val="808080" w:themeColor="background1" w:themeShade="80"/>
                <w:spacing w:val="0"/>
                <w:sz w:val="22"/>
                <w:szCs w:val="22"/>
              </w:rPr>
              <w:t>5%</w:t>
            </w:r>
          </w:p>
        </w:tc>
      </w:tr>
      <w:tr w:rsidR="00BD3280" w:rsidRPr="00A02E84" w14:paraId="622D5399" w14:textId="77777777" w:rsidTr="00ED47AE">
        <w:trPr>
          <w:trHeight w:val="330"/>
        </w:trPr>
        <w:tc>
          <w:tcPr>
            <w:tcW w:w="3957" w:type="dxa"/>
            <w:shd w:val="clear" w:color="auto" w:fill="auto"/>
            <w:noWrap/>
            <w:vAlign w:val="center"/>
            <w:hideMark/>
          </w:tcPr>
          <w:p w14:paraId="1B4FF3BE" w14:textId="687E25C6" w:rsidR="00BD3280" w:rsidRPr="00840D69" w:rsidRDefault="00BD3280" w:rsidP="00AE7972">
            <w:pPr>
              <w:spacing w:after="0" w:line="240" w:lineRule="auto"/>
              <w:jc w:val="center"/>
              <w:rPr>
                <w:rFonts w:eastAsia="Times New Roman"/>
                <w:color w:val="808080" w:themeColor="background1" w:themeShade="80"/>
                <w:spacing w:val="0"/>
                <w:sz w:val="22"/>
                <w:szCs w:val="22"/>
              </w:rPr>
            </w:pPr>
            <w:r w:rsidRPr="00840D69">
              <w:rPr>
                <w:rFonts w:eastAsia="Times New Roman"/>
                <w:color w:val="808080" w:themeColor="background1" w:themeShade="80"/>
                <w:spacing w:val="0"/>
                <w:sz w:val="22"/>
                <w:szCs w:val="22"/>
              </w:rPr>
              <w:t xml:space="preserve">Mipyme y Mipyme </w:t>
            </w:r>
            <w:r w:rsidR="00ED47AE">
              <w:rPr>
                <w:rFonts w:eastAsia="Times New Roman"/>
                <w:color w:val="808080" w:themeColor="background1" w:themeShade="80"/>
                <w:spacing w:val="0"/>
                <w:sz w:val="22"/>
                <w:szCs w:val="22"/>
              </w:rPr>
              <w:t>M</w:t>
            </w:r>
            <w:r w:rsidRPr="00840D69">
              <w:rPr>
                <w:rFonts w:eastAsia="Times New Roman"/>
                <w:color w:val="808080" w:themeColor="background1" w:themeShade="80"/>
                <w:spacing w:val="0"/>
                <w:sz w:val="22"/>
                <w:szCs w:val="22"/>
              </w:rPr>
              <w:t>ujer</w:t>
            </w:r>
          </w:p>
        </w:tc>
        <w:tc>
          <w:tcPr>
            <w:tcW w:w="1716" w:type="dxa"/>
            <w:shd w:val="clear" w:color="auto" w:fill="auto"/>
            <w:noWrap/>
            <w:vAlign w:val="center"/>
            <w:hideMark/>
          </w:tcPr>
          <w:p w14:paraId="654681BC" w14:textId="77777777" w:rsidR="00BD3280" w:rsidRPr="00840D69" w:rsidRDefault="00BD3280" w:rsidP="00AE7972">
            <w:pPr>
              <w:spacing w:after="0" w:line="240" w:lineRule="auto"/>
              <w:jc w:val="center"/>
              <w:rPr>
                <w:rFonts w:eastAsia="Times New Roman"/>
                <w:color w:val="808080" w:themeColor="background1" w:themeShade="80"/>
                <w:spacing w:val="0"/>
                <w:sz w:val="22"/>
                <w:szCs w:val="22"/>
              </w:rPr>
            </w:pPr>
            <w:r w:rsidRPr="00840D69">
              <w:rPr>
                <w:rFonts w:eastAsia="Times New Roman"/>
                <w:color w:val="808080" w:themeColor="background1" w:themeShade="80"/>
                <w:spacing w:val="0"/>
                <w:sz w:val="22"/>
                <w:szCs w:val="22"/>
              </w:rPr>
              <w:t>$28,009,636.66</w:t>
            </w:r>
          </w:p>
        </w:tc>
        <w:tc>
          <w:tcPr>
            <w:tcW w:w="1977" w:type="dxa"/>
            <w:shd w:val="clear" w:color="auto" w:fill="auto"/>
            <w:noWrap/>
            <w:vAlign w:val="center"/>
            <w:hideMark/>
          </w:tcPr>
          <w:p w14:paraId="5CEBEE99" w14:textId="77777777" w:rsidR="00BD3280" w:rsidRPr="00840D69" w:rsidRDefault="00BD3280" w:rsidP="00AE7972">
            <w:pPr>
              <w:spacing w:after="0" w:line="240" w:lineRule="auto"/>
              <w:jc w:val="center"/>
              <w:rPr>
                <w:rFonts w:eastAsia="Times New Roman"/>
                <w:color w:val="808080" w:themeColor="background1" w:themeShade="80"/>
                <w:spacing w:val="0"/>
                <w:sz w:val="22"/>
                <w:szCs w:val="22"/>
              </w:rPr>
            </w:pPr>
            <w:r w:rsidRPr="00840D69">
              <w:rPr>
                <w:rFonts w:eastAsia="Times New Roman"/>
                <w:color w:val="808080" w:themeColor="background1" w:themeShade="80"/>
                <w:spacing w:val="0"/>
                <w:sz w:val="22"/>
                <w:szCs w:val="22"/>
              </w:rPr>
              <w:t>95%</w:t>
            </w:r>
          </w:p>
        </w:tc>
      </w:tr>
      <w:tr w:rsidR="00BD3280" w:rsidRPr="00A02E84" w14:paraId="2875CCF7" w14:textId="77777777" w:rsidTr="00ED47AE">
        <w:trPr>
          <w:trHeight w:val="330"/>
        </w:trPr>
        <w:tc>
          <w:tcPr>
            <w:tcW w:w="3957" w:type="dxa"/>
            <w:shd w:val="clear" w:color="auto" w:fill="auto"/>
            <w:noWrap/>
            <w:vAlign w:val="center"/>
            <w:hideMark/>
          </w:tcPr>
          <w:p w14:paraId="7FED039F" w14:textId="77777777" w:rsidR="00BD3280" w:rsidRPr="00840D69" w:rsidRDefault="00BD3280" w:rsidP="00AE7972">
            <w:pPr>
              <w:spacing w:after="0" w:line="240" w:lineRule="auto"/>
              <w:jc w:val="center"/>
              <w:rPr>
                <w:rFonts w:eastAsia="Times New Roman"/>
                <w:b/>
                <w:bCs/>
                <w:color w:val="808080" w:themeColor="background1" w:themeShade="80"/>
                <w:spacing w:val="0"/>
                <w:sz w:val="22"/>
                <w:szCs w:val="22"/>
              </w:rPr>
            </w:pPr>
            <w:r w:rsidRPr="00840D69">
              <w:rPr>
                <w:rFonts w:eastAsia="Times New Roman"/>
                <w:b/>
                <w:bCs/>
                <w:color w:val="808080" w:themeColor="background1" w:themeShade="80"/>
                <w:spacing w:val="0"/>
                <w:sz w:val="22"/>
                <w:szCs w:val="22"/>
              </w:rPr>
              <w:t>TOTAL</w:t>
            </w:r>
          </w:p>
        </w:tc>
        <w:tc>
          <w:tcPr>
            <w:tcW w:w="1716" w:type="dxa"/>
            <w:shd w:val="clear" w:color="auto" w:fill="auto"/>
            <w:noWrap/>
            <w:vAlign w:val="center"/>
            <w:hideMark/>
          </w:tcPr>
          <w:p w14:paraId="42B0F24F" w14:textId="77777777" w:rsidR="00BD3280" w:rsidRPr="00840D69" w:rsidRDefault="00BD3280" w:rsidP="00AE7972">
            <w:pPr>
              <w:spacing w:after="0" w:line="240" w:lineRule="auto"/>
              <w:jc w:val="center"/>
              <w:rPr>
                <w:rFonts w:eastAsia="Times New Roman"/>
                <w:b/>
                <w:bCs/>
                <w:color w:val="808080" w:themeColor="background1" w:themeShade="80"/>
                <w:spacing w:val="0"/>
                <w:sz w:val="22"/>
                <w:szCs w:val="22"/>
              </w:rPr>
            </w:pPr>
            <w:r w:rsidRPr="00840D69">
              <w:rPr>
                <w:rFonts w:eastAsia="Times New Roman"/>
                <w:b/>
                <w:bCs/>
                <w:color w:val="808080" w:themeColor="background1" w:themeShade="80"/>
                <w:spacing w:val="0"/>
                <w:sz w:val="22"/>
                <w:szCs w:val="22"/>
              </w:rPr>
              <w:t>$29,388,922.45</w:t>
            </w:r>
          </w:p>
        </w:tc>
        <w:tc>
          <w:tcPr>
            <w:tcW w:w="1977" w:type="dxa"/>
            <w:shd w:val="clear" w:color="auto" w:fill="auto"/>
            <w:noWrap/>
            <w:vAlign w:val="center"/>
            <w:hideMark/>
          </w:tcPr>
          <w:p w14:paraId="194C8ACE" w14:textId="77777777" w:rsidR="00BD3280" w:rsidRPr="00840D69" w:rsidRDefault="00BD3280" w:rsidP="00AE7972">
            <w:pPr>
              <w:spacing w:after="0" w:line="240" w:lineRule="auto"/>
              <w:jc w:val="center"/>
              <w:rPr>
                <w:rFonts w:eastAsia="Times New Roman"/>
                <w:b/>
                <w:bCs/>
                <w:color w:val="808080" w:themeColor="background1" w:themeShade="80"/>
                <w:spacing w:val="0"/>
                <w:sz w:val="22"/>
                <w:szCs w:val="22"/>
              </w:rPr>
            </w:pPr>
            <w:r w:rsidRPr="00840D69">
              <w:rPr>
                <w:rFonts w:eastAsia="Times New Roman"/>
                <w:b/>
                <w:bCs/>
                <w:color w:val="808080" w:themeColor="background1" w:themeShade="80"/>
                <w:spacing w:val="0"/>
                <w:sz w:val="22"/>
                <w:szCs w:val="22"/>
              </w:rPr>
              <w:t>100%</w:t>
            </w:r>
          </w:p>
        </w:tc>
      </w:tr>
    </w:tbl>
    <w:bookmarkEnd w:id="76"/>
    <w:p w14:paraId="38C61696" w14:textId="7F505D20" w:rsidR="00A02E84" w:rsidRPr="00046544" w:rsidRDefault="00A02E84" w:rsidP="00AE7972">
      <w:pPr>
        <w:spacing w:before="240" w:after="0" w:line="360" w:lineRule="auto"/>
        <w:ind w:right="-180" w:firstLine="720"/>
        <w:jc w:val="both"/>
        <w:rPr>
          <w:rFonts w:eastAsia="Calibri"/>
          <w:noProof/>
          <w:color w:val="808080" w:themeColor="background1" w:themeShade="80"/>
          <w:sz w:val="18"/>
          <w:szCs w:val="18"/>
          <w:lang w:val="es-ES"/>
        </w:rPr>
      </w:pPr>
      <w:r w:rsidRPr="00046544">
        <w:rPr>
          <w:rFonts w:eastAsia="Calibri"/>
          <w:b/>
          <w:bCs/>
          <w:noProof/>
          <w:color w:val="808080" w:themeColor="background1" w:themeShade="80"/>
          <w:sz w:val="18"/>
          <w:szCs w:val="18"/>
          <w:lang w:val="es-ES"/>
        </w:rPr>
        <w:lastRenderedPageBreak/>
        <w:t>Tabla 1</w:t>
      </w:r>
      <w:r w:rsidR="00C50277">
        <w:rPr>
          <w:rFonts w:eastAsia="Calibri"/>
          <w:b/>
          <w:bCs/>
          <w:noProof/>
          <w:color w:val="808080" w:themeColor="background1" w:themeShade="80"/>
          <w:sz w:val="18"/>
          <w:szCs w:val="18"/>
          <w:lang w:val="es-ES"/>
        </w:rPr>
        <w:t>9</w:t>
      </w:r>
      <w:r w:rsidRPr="00046544">
        <w:rPr>
          <w:rFonts w:eastAsia="Calibri"/>
          <w:b/>
          <w:bCs/>
          <w:noProof/>
          <w:color w:val="808080" w:themeColor="background1" w:themeShade="80"/>
          <w:sz w:val="18"/>
          <w:szCs w:val="18"/>
          <w:lang w:val="es-ES"/>
        </w:rPr>
        <w:t xml:space="preserve">: </w:t>
      </w:r>
      <w:r w:rsidRPr="00046544">
        <w:rPr>
          <w:rFonts w:eastAsia="Calibri"/>
          <w:noProof/>
          <w:color w:val="808080" w:themeColor="background1" w:themeShade="80"/>
          <w:sz w:val="18"/>
          <w:szCs w:val="18"/>
          <w:lang w:val="es-ES"/>
        </w:rPr>
        <w:t>compras verdes por la Dirección Administrativa enero-noviembre 2024.</w:t>
      </w:r>
    </w:p>
    <w:p w14:paraId="110AAC3F" w14:textId="77777777" w:rsidR="00A869EC" w:rsidRDefault="00A02E84" w:rsidP="00A02E84">
      <w:pPr>
        <w:spacing w:before="240" w:line="360" w:lineRule="auto"/>
        <w:jc w:val="both"/>
        <w:rPr>
          <w:rFonts w:eastAsia="Calibri"/>
          <w:noProof/>
          <w:color w:val="808080" w:themeColor="background1" w:themeShade="80"/>
          <w:lang w:val="es-DO"/>
        </w:rPr>
      </w:pPr>
      <w:r w:rsidRPr="00A02E84">
        <w:rPr>
          <w:rFonts w:eastAsia="Calibri"/>
          <w:noProof/>
          <w:color w:val="808080" w:themeColor="background1" w:themeShade="80"/>
          <w:lang w:val="es-DO"/>
        </w:rPr>
        <w:t>En otro aspecto, como parte del fortalecimiento institucional, hemos ajustado los procedimientos de compras para cumplir con el nuevo Reglamento de Aplicación de la Ley no. 340-06, promulgado mediante el Decreto no. 416-23.</w:t>
      </w:r>
    </w:p>
    <w:p w14:paraId="225D4466" w14:textId="617EAE5F" w:rsidR="00A02E84" w:rsidRDefault="00A02E84" w:rsidP="00A02E84">
      <w:pPr>
        <w:spacing w:before="240" w:line="360" w:lineRule="auto"/>
        <w:jc w:val="both"/>
        <w:rPr>
          <w:rFonts w:eastAsia="Calibri"/>
          <w:noProof/>
          <w:color w:val="808080" w:themeColor="background1" w:themeShade="80"/>
          <w:lang w:val="es-DO"/>
        </w:rPr>
      </w:pPr>
      <w:r w:rsidRPr="00A02E84">
        <w:rPr>
          <w:rFonts w:eastAsia="Calibri"/>
          <w:noProof/>
          <w:color w:val="808080" w:themeColor="background1" w:themeShade="80"/>
          <w:lang w:val="es-DO"/>
        </w:rPr>
        <w:t>Este reglamento tiene como propósito mejorar la eficiencia, promover la transparencia, y garantizar la sostenibilidad del sistema de contrataciones públicas. De igual forma, hemos participado en seminarios, capacitaciones y conferencias enfocados en la implementación, avances y actualizaciones contenidas en el reglamento.</w:t>
      </w:r>
    </w:p>
    <w:p w14:paraId="2112919A" w14:textId="77777777" w:rsidR="00BD3280" w:rsidRPr="00BD3280" w:rsidRDefault="00BD3280" w:rsidP="00BD3280">
      <w:pPr>
        <w:spacing w:line="360" w:lineRule="auto"/>
        <w:jc w:val="both"/>
        <w:rPr>
          <w:rFonts w:eastAsia="Calibri"/>
          <w:noProof/>
          <w:color w:val="808080" w:themeColor="background1" w:themeShade="80"/>
          <w:lang w:val="es-DO"/>
        </w:rPr>
      </w:pPr>
      <w:r w:rsidRPr="00BD3280">
        <w:rPr>
          <w:rFonts w:eastAsia="Calibri"/>
          <w:noProof/>
          <w:color w:val="808080" w:themeColor="background1" w:themeShade="80"/>
          <w:lang w:val="es-DO"/>
        </w:rPr>
        <w:t xml:space="preserve">La Gestión de Compras y Contrataciones se mide principalmente por el Indicador de Uso del Sistema Nacional de Compras y Contrataciones Públicas (SISCOMPRAS), desarrollado para medir los registros en el Portal Transaccional. </w:t>
      </w:r>
    </w:p>
    <w:p w14:paraId="606877B7" w14:textId="77777777" w:rsidR="00BD3280" w:rsidRPr="00BD3280" w:rsidRDefault="00BD3280" w:rsidP="00BD3280">
      <w:pPr>
        <w:spacing w:line="360" w:lineRule="auto"/>
        <w:jc w:val="both"/>
        <w:rPr>
          <w:rFonts w:eastAsia="Calibri"/>
          <w:noProof/>
          <w:color w:val="808080" w:themeColor="background1" w:themeShade="80"/>
          <w:lang w:val="es-DO"/>
        </w:rPr>
      </w:pPr>
      <w:bookmarkStart w:id="77" w:name="_Hlk156309871"/>
      <w:r w:rsidRPr="00BD3280">
        <w:rPr>
          <w:rFonts w:eastAsia="Calibri"/>
          <w:noProof/>
          <w:color w:val="808080" w:themeColor="background1" w:themeShade="80"/>
          <w:lang w:val="es-DO"/>
        </w:rPr>
        <w:t>Mediante la Resolución PNP-09-2022 la Dirección General de Contrataciones Públicas formalizó los términos y funcionamiento de la herramienta de medición SISCOMPRAS, incluyendo nuevos criterios a partir del segundo trimestre 2023, actualmente compuesto por 5 subindicadores que muestran los resultados de manera trimestral de los procesos en el referido portal, descritos como Planificación de Compras, Gestión de Procesos, Tiempo de Gestión de Procesos, Administración de Contratos, Compras a MiPymes y Mujeres.</w:t>
      </w:r>
    </w:p>
    <w:bookmarkEnd w:id="77"/>
    <w:p w14:paraId="22C59F38" w14:textId="638F2484" w:rsidR="00BD3280" w:rsidRPr="00BD3280" w:rsidRDefault="00BD3280" w:rsidP="00BD3280">
      <w:pPr>
        <w:spacing w:line="360" w:lineRule="auto"/>
        <w:jc w:val="both"/>
        <w:rPr>
          <w:rFonts w:eastAsia="Calibri"/>
          <w:noProof/>
          <w:color w:val="808080" w:themeColor="background1" w:themeShade="80"/>
          <w:lang w:val="es-DO"/>
        </w:rPr>
      </w:pPr>
      <w:r w:rsidRPr="00BD3280">
        <w:rPr>
          <w:rFonts w:eastAsia="Calibri"/>
          <w:noProof/>
          <w:color w:val="808080" w:themeColor="background1" w:themeShade="80"/>
          <w:lang w:val="es-DO"/>
        </w:rPr>
        <w:t xml:space="preserve">En la última medición disponible en el portal de la Dirección General de Contrataciones Públicas, en su calidad de Órgano Rector del Sistema Nacional de Compras (SNCC) </w:t>
      </w:r>
      <w:r w:rsidR="00087071">
        <w:rPr>
          <w:rFonts w:eastAsia="Calibri"/>
          <w:noProof/>
          <w:color w:val="808080" w:themeColor="background1" w:themeShade="80"/>
          <w:lang w:val="es-DO"/>
        </w:rPr>
        <w:t xml:space="preserve">hemos </w:t>
      </w:r>
      <w:r w:rsidRPr="00BD3280">
        <w:rPr>
          <w:rFonts w:eastAsia="Calibri"/>
          <w:noProof/>
          <w:color w:val="808080" w:themeColor="background1" w:themeShade="80"/>
          <w:lang w:val="es-DO"/>
        </w:rPr>
        <w:t>alcanzando una puntuación de 95.20%.</w:t>
      </w:r>
    </w:p>
    <w:p w14:paraId="7A2BEA81" w14:textId="77777777" w:rsidR="007E7024" w:rsidRDefault="007E7024" w:rsidP="00A02E84">
      <w:pPr>
        <w:spacing w:before="240" w:line="360" w:lineRule="auto"/>
        <w:jc w:val="both"/>
        <w:rPr>
          <w:rFonts w:eastAsia="Calibri"/>
          <w:noProof/>
          <w:color w:val="808080" w:themeColor="background1" w:themeShade="80"/>
          <w:lang w:val="es-DO"/>
        </w:rPr>
      </w:pPr>
    </w:p>
    <w:p w14:paraId="44F91BEF" w14:textId="7032F0FE" w:rsidR="007E7024" w:rsidRPr="00AE7972" w:rsidRDefault="00BD3280" w:rsidP="001606BD">
      <w:pPr>
        <w:keepNext/>
        <w:spacing w:before="240" w:line="360" w:lineRule="auto"/>
        <w:jc w:val="both"/>
        <w:rPr>
          <w:lang w:val="es-ES"/>
        </w:rPr>
      </w:pPr>
      <w:r>
        <w:rPr>
          <w:noProof/>
          <w:lang w:val="es-ES"/>
        </w:rPr>
        <w:lastRenderedPageBreak/>
        <w:drawing>
          <wp:inline distT="0" distB="0" distL="0" distR="0" wp14:anchorId="5E932536" wp14:editId="2CBBD9B1">
            <wp:extent cx="4848225" cy="3054350"/>
            <wp:effectExtent l="0" t="0" r="0" b="0"/>
            <wp:docPr id="478443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4854910" cy="3058562"/>
                    </a:xfrm>
                    <a:prstGeom prst="rect">
                      <a:avLst/>
                    </a:prstGeom>
                    <a:noFill/>
                    <a:ln>
                      <a:noFill/>
                    </a:ln>
                  </pic:spPr>
                </pic:pic>
              </a:graphicData>
            </a:graphic>
          </wp:inline>
        </w:drawing>
      </w:r>
      <w:r w:rsidR="00AE7972">
        <w:rPr>
          <w:rFonts w:eastAsia="Calibri"/>
          <w:b/>
          <w:bCs/>
          <w:noProof/>
          <w:color w:val="808080" w:themeColor="background1" w:themeShade="80"/>
          <w:sz w:val="18"/>
          <w:szCs w:val="18"/>
          <w:lang w:val="es-ES"/>
        </w:rPr>
        <w:t>Imagen 1: Calificación Portal Sicompras Tercer Trimestre.</w:t>
      </w:r>
    </w:p>
    <w:p w14:paraId="5CEEF99F" w14:textId="5E66D461" w:rsidR="00A02E84" w:rsidRPr="00C87087" w:rsidRDefault="00A02E84" w:rsidP="001606BD">
      <w:pPr>
        <w:tabs>
          <w:tab w:val="left" w:pos="90"/>
        </w:tabs>
        <w:spacing w:before="240" w:after="240" w:line="360" w:lineRule="auto"/>
        <w:jc w:val="both"/>
        <w:rPr>
          <w:rFonts w:eastAsia="Calibri"/>
          <w:b/>
          <w:bCs/>
          <w:lang w:val="es-DO"/>
        </w:rPr>
      </w:pPr>
      <w:bookmarkStart w:id="78" w:name="_Toc171677831"/>
      <w:bookmarkStart w:id="79" w:name="_Toc172118690"/>
      <w:bookmarkStart w:id="80" w:name="_Toc172119843"/>
      <w:bookmarkStart w:id="81" w:name="_Toc172120176"/>
      <w:bookmarkStart w:id="82" w:name="_Toc172121394"/>
      <w:r w:rsidRPr="00C87087">
        <w:rPr>
          <w:rFonts w:eastAsia="Calibri"/>
          <w:b/>
          <w:bCs/>
          <w:lang w:val="es-DO"/>
        </w:rPr>
        <w:t>Gestión Documental</w:t>
      </w:r>
      <w:bookmarkEnd w:id="78"/>
      <w:bookmarkEnd w:id="79"/>
      <w:bookmarkEnd w:id="80"/>
      <w:bookmarkEnd w:id="81"/>
      <w:bookmarkEnd w:id="82"/>
    </w:p>
    <w:p w14:paraId="56EB1E54" w14:textId="0654FEAC" w:rsidR="00A02E84" w:rsidRPr="00851ECF" w:rsidRDefault="00A02E84" w:rsidP="001606BD">
      <w:pPr>
        <w:spacing w:line="360" w:lineRule="auto"/>
        <w:jc w:val="both"/>
        <w:rPr>
          <w:rFonts w:eastAsia="Calibri"/>
          <w:lang w:val="es-DO"/>
        </w:rPr>
      </w:pPr>
      <w:r w:rsidRPr="00851ECF">
        <w:rPr>
          <w:rFonts w:eastAsia="Calibri"/>
          <w:lang w:val="es-DO"/>
        </w:rPr>
        <w:t>Este año hemos avanzado significativamente en la digitalización de las áreas de la Regional de Santiago, así como los Puntos GOB en Sambil y MegaCentro. Durante este proceso, hemos registrado 24 cajas en inventario, preparado 172 cajas, validado 159 cajas, digitalizado 193 cajas en total. Se han trabajado para enviar a Bunker 109 cajas y hemos recibido un total de 123 cajas de nuevo ingreso.</w:t>
      </w:r>
    </w:p>
    <w:p w14:paraId="7236D604" w14:textId="77777777" w:rsidR="00A02E84" w:rsidRPr="00851ECF" w:rsidRDefault="00A02E84" w:rsidP="001606BD">
      <w:pPr>
        <w:spacing w:line="360" w:lineRule="auto"/>
        <w:jc w:val="both"/>
        <w:rPr>
          <w:rFonts w:eastAsia="Calibri"/>
          <w:lang w:val="es-DO"/>
        </w:rPr>
      </w:pPr>
      <w:r w:rsidRPr="00851ECF">
        <w:rPr>
          <w:rFonts w:eastAsia="Calibri"/>
          <w:lang w:val="es-DO"/>
        </w:rPr>
        <w:t>Se han incorporado las firmas digitales al sistema Transdoc en el entorno de pruebas y actualmente se está verificando y validando para su implementación en la versión de producción. En ese mismo sentido, hemos recibido y asistido 90 solicitudes del sistema Transdoc.</w:t>
      </w:r>
    </w:p>
    <w:p w14:paraId="47A79077" w14:textId="4B86CB9D" w:rsidR="00A02E84" w:rsidRPr="001606BD" w:rsidRDefault="00A02E84" w:rsidP="001606BD">
      <w:pPr>
        <w:tabs>
          <w:tab w:val="left" w:pos="90"/>
        </w:tabs>
        <w:spacing w:before="240" w:after="240" w:line="360" w:lineRule="auto"/>
        <w:jc w:val="both"/>
        <w:rPr>
          <w:b/>
          <w:bCs/>
          <w:lang w:val="es-DO"/>
        </w:rPr>
      </w:pPr>
      <w:bookmarkStart w:id="83" w:name="_Toc171677832"/>
      <w:bookmarkStart w:id="84" w:name="_Toc172118691"/>
      <w:bookmarkStart w:id="85" w:name="_Toc172119844"/>
      <w:bookmarkStart w:id="86" w:name="_Toc172120177"/>
      <w:bookmarkStart w:id="87" w:name="_Toc172121395"/>
      <w:r w:rsidRPr="001606BD">
        <w:rPr>
          <w:b/>
          <w:bCs/>
          <w:lang w:val="es-DO"/>
        </w:rPr>
        <w:t>Firma Digital</w:t>
      </w:r>
      <w:bookmarkEnd w:id="83"/>
      <w:bookmarkEnd w:id="84"/>
      <w:bookmarkEnd w:id="85"/>
      <w:bookmarkEnd w:id="86"/>
      <w:bookmarkEnd w:id="87"/>
    </w:p>
    <w:p w14:paraId="025E0FC8" w14:textId="65F06E3B" w:rsidR="00A02E84" w:rsidRPr="001606BD" w:rsidRDefault="00A02E84" w:rsidP="001606BD">
      <w:pPr>
        <w:pStyle w:val="ListParagraph"/>
        <w:numPr>
          <w:ilvl w:val="0"/>
          <w:numId w:val="5"/>
        </w:numPr>
        <w:spacing w:before="240" w:after="240" w:line="360" w:lineRule="auto"/>
        <w:rPr>
          <w:rFonts w:ascii="Times New Roman" w:hAnsi="Times New Roman"/>
          <w:color w:val="767171"/>
          <w:spacing w:val="20"/>
          <w:sz w:val="24"/>
          <w:szCs w:val="24"/>
        </w:rPr>
      </w:pPr>
      <w:r w:rsidRPr="001606BD">
        <w:rPr>
          <w:rFonts w:ascii="Times New Roman" w:hAnsi="Times New Roman"/>
          <w:color w:val="767171"/>
          <w:spacing w:val="20"/>
          <w:sz w:val="24"/>
          <w:szCs w:val="24"/>
        </w:rPr>
        <w:t xml:space="preserve">Se han implementado las firmas digitales, las cuales son utilizadas actualmente por el Comité Ejecutivo, los </w:t>
      </w:r>
      <w:r w:rsidRPr="001606BD">
        <w:rPr>
          <w:rFonts w:ascii="Times New Roman" w:hAnsi="Times New Roman"/>
          <w:color w:val="767171"/>
          <w:spacing w:val="20"/>
          <w:sz w:val="24"/>
          <w:szCs w:val="24"/>
        </w:rPr>
        <w:lastRenderedPageBreak/>
        <w:t>directores el Comité de Compras y Contrataciones y los Encargados de cada área.</w:t>
      </w:r>
    </w:p>
    <w:p w14:paraId="6D902A5E" w14:textId="77777777" w:rsidR="00A02E84" w:rsidRPr="001606BD" w:rsidRDefault="00A02E84" w:rsidP="001606BD">
      <w:pPr>
        <w:pStyle w:val="ListParagraph"/>
        <w:numPr>
          <w:ilvl w:val="0"/>
          <w:numId w:val="5"/>
        </w:numPr>
        <w:spacing w:before="240" w:after="240" w:line="360" w:lineRule="auto"/>
        <w:rPr>
          <w:rFonts w:ascii="Times New Roman" w:hAnsi="Times New Roman"/>
          <w:color w:val="767171"/>
          <w:spacing w:val="20"/>
          <w:sz w:val="24"/>
          <w:szCs w:val="24"/>
        </w:rPr>
      </w:pPr>
      <w:r w:rsidRPr="001606BD">
        <w:rPr>
          <w:rFonts w:ascii="Times New Roman" w:hAnsi="Times New Roman"/>
          <w:color w:val="767171"/>
          <w:spacing w:val="20"/>
          <w:sz w:val="24"/>
          <w:szCs w:val="24"/>
        </w:rPr>
        <w:t>En la Dirección de Recursos Humanos se han desarrollado plantillas para cargar las nóminas, las cuales están siendo gestionadas actualmente a través de la firma digital.</w:t>
      </w:r>
    </w:p>
    <w:p w14:paraId="4EB659A0" w14:textId="53C1B6DB" w:rsidR="00A02E84" w:rsidRPr="001606BD" w:rsidRDefault="00A02E84" w:rsidP="001606BD">
      <w:pPr>
        <w:pStyle w:val="ListParagraph"/>
        <w:numPr>
          <w:ilvl w:val="0"/>
          <w:numId w:val="5"/>
        </w:numPr>
        <w:spacing w:before="240" w:after="240" w:line="360" w:lineRule="auto"/>
        <w:rPr>
          <w:rFonts w:ascii="Times New Roman" w:hAnsi="Times New Roman"/>
          <w:color w:val="767171"/>
          <w:spacing w:val="20"/>
          <w:sz w:val="24"/>
          <w:szCs w:val="24"/>
        </w:rPr>
      </w:pPr>
      <w:r w:rsidRPr="001606BD">
        <w:rPr>
          <w:rFonts w:ascii="Times New Roman" w:hAnsi="Times New Roman"/>
          <w:color w:val="767171"/>
          <w:spacing w:val="20"/>
          <w:sz w:val="24"/>
          <w:szCs w:val="24"/>
        </w:rPr>
        <w:t>Las minutas de los diversos comité</w:t>
      </w:r>
      <w:r w:rsidR="00BA154E" w:rsidRPr="001606BD">
        <w:rPr>
          <w:rFonts w:ascii="Times New Roman" w:hAnsi="Times New Roman"/>
          <w:color w:val="767171"/>
          <w:spacing w:val="20"/>
          <w:sz w:val="24"/>
          <w:szCs w:val="24"/>
        </w:rPr>
        <w:t>s</w:t>
      </w:r>
      <w:r w:rsidRPr="001606BD">
        <w:rPr>
          <w:rFonts w:ascii="Times New Roman" w:hAnsi="Times New Roman"/>
          <w:color w:val="767171"/>
          <w:spacing w:val="20"/>
          <w:sz w:val="24"/>
          <w:szCs w:val="24"/>
        </w:rPr>
        <w:t xml:space="preserve"> de la TSS se están ingresando a través del sistema de firma digital.</w:t>
      </w:r>
    </w:p>
    <w:p w14:paraId="44993B3F" w14:textId="77777777" w:rsidR="00A02E84" w:rsidRPr="001606BD" w:rsidRDefault="00A02E84" w:rsidP="001606BD">
      <w:pPr>
        <w:pStyle w:val="ListParagraph"/>
        <w:numPr>
          <w:ilvl w:val="0"/>
          <w:numId w:val="5"/>
        </w:numPr>
        <w:spacing w:before="240" w:after="240" w:line="360" w:lineRule="auto"/>
        <w:rPr>
          <w:rFonts w:ascii="Times New Roman" w:hAnsi="Times New Roman"/>
          <w:color w:val="767171"/>
          <w:spacing w:val="20"/>
          <w:sz w:val="24"/>
          <w:szCs w:val="24"/>
        </w:rPr>
      </w:pPr>
      <w:r w:rsidRPr="001606BD">
        <w:rPr>
          <w:rFonts w:ascii="Times New Roman" w:hAnsi="Times New Roman"/>
          <w:color w:val="767171"/>
          <w:spacing w:val="20"/>
          <w:sz w:val="24"/>
          <w:szCs w:val="24"/>
        </w:rPr>
        <w:t>Se ha implementado el uso de firmas digitales en el área de Servicios, utilizándolas para certificaciones y otros documentos.</w:t>
      </w:r>
    </w:p>
    <w:p w14:paraId="4582BDD9" w14:textId="24126D55" w:rsidR="00A02E84" w:rsidRPr="001606BD" w:rsidRDefault="00A02E84" w:rsidP="001606BD">
      <w:pPr>
        <w:pStyle w:val="ListParagraph"/>
        <w:numPr>
          <w:ilvl w:val="0"/>
          <w:numId w:val="5"/>
        </w:numPr>
        <w:spacing w:before="240" w:after="240" w:line="360" w:lineRule="auto"/>
        <w:rPr>
          <w:rFonts w:ascii="Times New Roman" w:hAnsi="Times New Roman"/>
          <w:color w:val="767171"/>
          <w:spacing w:val="20"/>
          <w:sz w:val="24"/>
          <w:szCs w:val="24"/>
        </w:rPr>
      </w:pPr>
      <w:r w:rsidRPr="001606BD">
        <w:rPr>
          <w:rFonts w:ascii="Times New Roman" w:hAnsi="Times New Roman"/>
          <w:color w:val="767171"/>
          <w:spacing w:val="20"/>
          <w:sz w:val="24"/>
          <w:szCs w:val="24"/>
        </w:rPr>
        <w:t xml:space="preserve">Implementación de firma digital en el área de Acceso a la Información, utilizándola para la firma de documentos </w:t>
      </w:r>
      <w:r w:rsidR="00BA154E" w:rsidRPr="001606BD">
        <w:rPr>
          <w:rFonts w:ascii="Times New Roman" w:hAnsi="Times New Roman"/>
          <w:color w:val="767171"/>
          <w:spacing w:val="20"/>
          <w:sz w:val="24"/>
          <w:szCs w:val="24"/>
        </w:rPr>
        <w:t xml:space="preserve">a cargar en el portal de </w:t>
      </w:r>
      <w:r w:rsidRPr="001606BD">
        <w:rPr>
          <w:rFonts w:ascii="Times New Roman" w:hAnsi="Times New Roman"/>
          <w:color w:val="767171"/>
          <w:spacing w:val="20"/>
          <w:sz w:val="24"/>
          <w:szCs w:val="24"/>
        </w:rPr>
        <w:t xml:space="preserve">transparencia o publicaciones oficiales de toda la TSS. </w:t>
      </w:r>
    </w:p>
    <w:p w14:paraId="43B9FF21" w14:textId="77777777" w:rsidR="00A02E84" w:rsidRPr="001606BD" w:rsidRDefault="00A02E84" w:rsidP="001606BD">
      <w:pPr>
        <w:pStyle w:val="ListParagraph"/>
        <w:numPr>
          <w:ilvl w:val="0"/>
          <w:numId w:val="5"/>
        </w:numPr>
        <w:spacing w:before="240" w:after="240" w:line="360" w:lineRule="auto"/>
        <w:rPr>
          <w:rFonts w:ascii="Times New Roman" w:hAnsi="Times New Roman"/>
          <w:color w:val="767171"/>
          <w:spacing w:val="20"/>
          <w:sz w:val="24"/>
          <w:szCs w:val="24"/>
        </w:rPr>
      </w:pPr>
      <w:bookmarkStart w:id="88" w:name="_Hlk184022203"/>
      <w:r w:rsidRPr="001606BD">
        <w:rPr>
          <w:rFonts w:ascii="Times New Roman" w:hAnsi="Times New Roman"/>
          <w:color w:val="767171"/>
          <w:spacing w:val="20"/>
          <w:sz w:val="24"/>
          <w:szCs w:val="24"/>
        </w:rPr>
        <w:t>Durante este año hemos gestionado y asistido un total de 110 solicitudes de asistencia relacionadas con las firmas digitales.</w:t>
      </w:r>
    </w:p>
    <w:bookmarkEnd w:id="88"/>
    <w:p w14:paraId="517D71E6" w14:textId="77777777" w:rsidR="00A02E84" w:rsidRPr="001606BD" w:rsidRDefault="00A02E84" w:rsidP="001606BD">
      <w:pPr>
        <w:pStyle w:val="ListParagraph"/>
        <w:numPr>
          <w:ilvl w:val="0"/>
          <w:numId w:val="5"/>
        </w:numPr>
        <w:spacing w:before="240" w:after="240" w:line="360" w:lineRule="auto"/>
        <w:rPr>
          <w:rFonts w:ascii="Times New Roman" w:hAnsi="Times New Roman"/>
          <w:color w:val="767171"/>
          <w:spacing w:val="20"/>
          <w:sz w:val="24"/>
          <w:szCs w:val="24"/>
        </w:rPr>
      </w:pPr>
      <w:r w:rsidRPr="001606BD">
        <w:rPr>
          <w:rFonts w:ascii="Times New Roman" w:hAnsi="Times New Roman"/>
          <w:color w:val="767171"/>
          <w:spacing w:val="20"/>
          <w:sz w:val="24"/>
          <w:szCs w:val="24"/>
        </w:rPr>
        <w:t>Se proporcionó capacitación a todo el personal de la TSS en el uso de la herramienta.</w:t>
      </w:r>
    </w:p>
    <w:p w14:paraId="54876762" w14:textId="77777777" w:rsidR="00A02E84" w:rsidRPr="001606BD" w:rsidRDefault="00A02E84" w:rsidP="001606BD">
      <w:pPr>
        <w:pStyle w:val="ListParagraph"/>
        <w:numPr>
          <w:ilvl w:val="0"/>
          <w:numId w:val="5"/>
        </w:numPr>
        <w:spacing w:before="240" w:after="240" w:line="360" w:lineRule="auto"/>
        <w:rPr>
          <w:rFonts w:ascii="Times New Roman" w:hAnsi="Times New Roman"/>
          <w:color w:val="767171"/>
          <w:spacing w:val="20"/>
          <w:sz w:val="24"/>
          <w:szCs w:val="24"/>
        </w:rPr>
      </w:pPr>
      <w:r w:rsidRPr="001606BD">
        <w:rPr>
          <w:rFonts w:ascii="Times New Roman" w:hAnsi="Times New Roman"/>
          <w:color w:val="767171"/>
          <w:spacing w:val="20"/>
          <w:sz w:val="24"/>
          <w:szCs w:val="24"/>
        </w:rPr>
        <w:t>Mantuvimos una reunión con la OGTIC para dar seguimiento al proyecto y conocer su estado actual.</w:t>
      </w:r>
    </w:p>
    <w:p w14:paraId="69960AD8" w14:textId="306C484F" w:rsidR="00A02E84" w:rsidRPr="001606BD" w:rsidRDefault="00A02E84" w:rsidP="001606BD">
      <w:pPr>
        <w:rPr>
          <w:b/>
          <w:bCs/>
          <w:lang w:val="es-DO"/>
        </w:rPr>
      </w:pPr>
      <w:bookmarkStart w:id="89" w:name="_Toc171677833"/>
      <w:bookmarkStart w:id="90" w:name="_Toc172118692"/>
      <w:bookmarkStart w:id="91" w:name="_Toc172119845"/>
      <w:bookmarkStart w:id="92" w:name="_Toc172120178"/>
      <w:bookmarkStart w:id="93" w:name="_Toc172121396"/>
      <w:r w:rsidRPr="001606BD">
        <w:rPr>
          <w:b/>
          <w:bCs/>
          <w:lang w:val="es-DO"/>
        </w:rPr>
        <w:t>Implementación de Software de Gestión Documental</w:t>
      </w:r>
      <w:bookmarkEnd w:id="89"/>
      <w:bookmarkEnd w:id="90"/>
      <w:bookmarkEnd w:id="91"/>
      <w:bookmarkEnd w:id="92"/>
      <w:bookmarkEnd w:id="93"/>
    </w:p>
    <w:p w14:paraId="593B401C" w14:textId="3F1046BA" w:rsidR="001606BD" w:rsidRPr="001606BD" w:rsidRDefault="00A02E84" w:rsidP="001606BD">
      <w:pPr>
        <w:spacing w:before="240" w:after="240" w:line="360" w:lineRule="auto"/>
        <w:jc w:val="both"/>
        <w:rPr>
          <w:rFonts w:eastAsia="Calibri"/>
          <w:lang w:val="es-DO"/>
        </w:rPr>
      </w:pPr>
      <w:r w:rsidRPr="001606BD">
        <w:rPr>
          <w:rFonts w:eastAsia="Calibri"/>
          <w:lang w:val="es-DO"/>
        </w:rPr>
        <w:t xml:space="preserve">Nos encontramos en la fase final del proceso de implementación y carga de la documentación actual al nuevo Software de Gestión Documental, con </w:t>
      </w:r>
      <w:r w:rsidR="0095616B" w:rsidRPr="001606BD">
        <w:rPr>
          <w:rFonts w:eastAsia="Calibri"/>
          <w:lang w:val="es-DO"/>
        </w:rPr>
        <w:t>él</w:t>
      </w:r>
      <w:r w:rsidRPr="001606BD">
        <w:rPr>
          <w:rFonts w:eastAsia="Calibri"/>
          <w:lang w:val="es-DO"/>
        </w:rPr>
        <w:t xml:space="preserve"> nos hemos propuesto transformar y mejorar la forma en la cual se maneja, accede y se protegen nuestros documentos, contribuyendo a una gestión más eficiente.</w:t>
      </w:r>
    </w:p>
    <w:p w14:paraId="4EB4E4DA" w14:textId="5E1BC1F2" w:rsidR="001606BD" w:rsidRDefault="00A02E84" w:rsidP="001606BD">
      <w:pPr>
        <w:rPr>
          <w:b/>
          <w:bCs/>
          <w:lang w:val="es-DO"/>
        </w:rPr>
      </w:pPr>
      <w:bookmarkStart w:id="94" w:name="_Toc171677834"/>
      <w:bookmarkStart w:id="95" w:name="_Toc172118693"/>
      <w:bookmarkStart w:id="96" w:name="_Toc172119846"/>
      <w:bookmarkStart w:id="97" w:name="_Toc172120179"/>
      <w:bookmarkStart w:id="98" w:name="_Toc172121397"/>
      <w:r w:rsidRPr="00BC081A">
        <w:rPr>
          <w:b/>
          <w:bCs/>
          <w:lang w:val="es-DO"/>
        </w:rPr>
        <w:t>Medio Ambiente y Sostenibilidad</w:t>
      </w:r>
      <w:bookmarkEnd w:id="94"/>
      <w:bookmarkEnd w:id="95"/>
      <w:bookmarkEnd w:id="96"/>
      <w:bookmarkEnd w:id="97"/>
      <w:bookmarkEnd w:id="98"/>
    </w:p>
    <w:p w14:paraId="550B4E78" w14:textId="2DCE4236" w:rsidR="001606BD" w:rsidRDefault="001606BD" w:rsidP="001606BD">
      <w:pPr>
        <w:rPr>
          <w:rFonts w:eastAsia="Calibri"/>
          <w:lang w:val="es-DO"/>
        </w:rPr>
      </w:pPr>
      <w:r w:rsidRPr="001606BD">
        <w:rPr>
          <w:rFonts w:eastAsia="Calibri"/>
          <w:b/>
          <w:bCs/>
          <w:lang w:val="es-DO"/>
        </w:rPr>
        <w:t>Proyecto 3R - Reducción de Residuos:</w:t>
      </w:r>
      <w:r w:rsidRPr="001606BD">
        <w:rPr>
          <w:rFonts w:eastAsia="Calibri"/>
          <w:lang w:val="es-DO"/>
        </w:rPr>
        <w:t xml:space="preserve"> En colaboración con el</w:t>
      </w:r>
    </w:p>
    <w:p w14:paraId="5B012253" w14:textId="4217EE36" w:rsidR="001606BD" w:rsidRPr="001606BD" w:rsidRDefault="001606BD" w:rsidP="001606BD">
      <w:pPr>
        <w:spacing w:line="360" w:lineRule="auto"/>
        <w:jc w:val="both"/>
        <w:rPr>
          <w:rFonts w:eastAsia="Calibri"/>
          <w:lang w:val="es-DO"/>
        </w:rPr>
      </w:pPr>
      <w:r w:rsidRPr="001606BD">
        <w:rPr>
          <w:rFonts w:eastAsia="Calibri"/>
          <w:lang w:val="es-DO"/>
        </w:rPr>
        <w:lastRenderedPageBreak/>
        <w:t>proyecto 3R, hemos distribuido a todos los colaboradores de</w:t>
      </w:r>
      <w:r>
        <w:rPr>
          <w:rFonts w:eastAsia="Calibri"/>
          <w:lang w:val="es-DO"/>
        </w:rPr>
        <w:t xml:space="preserve"> </w:t>
      </w:r>
      <w:r w:rsidRPr="001606BD">
        <w:rPr>
          <w:rFonts w:eastAsia="Calibri"/>
          <w:lang w:val="es-DO"/>
        </w:rPr>
        <w:t>nuestra institución tazas, termos y bolsas reutilizables.</w:t>
      </w:r>
    </w:p>
    <w:p w14:paraId="2C57F670" w14:textId="7EFD7CE9" w:rsidR="00A02E84" w:rsidRPr="0039097D" w:rsidRDefault="00A02E84" w:rsidP="0039097D">
      <w:pPr>
        <w:spacing w:before="240" w:after="240" w:line="360" w:lineRule="auto"/>
        <w:jc w:val="both"/>
        <w:rPr>
          <w:rFonts w:eastAsia="Calibri"/>
          <w:lang w:val="es-DO"/>
        </w:rPr>
      </w:pPr>
      <w:r w:rsidRPr="0039097D">
        <w:rPr>
          <w:rFonts w:eastAsia="Calibri"/>
          <w:lang w:val="es-DO"/>
        </w:rPr>
        <w:t>Esta iniciativa tiene como objetivo reducir significativamente nuestro impacto ambiental al minimizar el uso de desechables dentro y fuera de nuestras instalaciones. Además, nuestro equipo ha participado activamente en la recolección de residuos en las costas, contribuyendo así a la preservación del medio ambiente.</w:t>
      </w:r>
    </w:p>
    <w:p w14:paraId="4595E148" w14:textId="77777777" w:rsidR="00A02E84" w:rsidRDefault="00A02E84" w:rsidP="0039097D">
      <w:pPr>
        <w:spacing w:before="240" w:after="240" w:line="360" w:lineRule="auto"/>
        <w:jc w:val="both"/>
        <w:rPr>
          <w:rFonts w:eastAsia="Calibri"/>
          <w:noProof/>
          <w:color w:val="808080" w:themeColor="background1" w:themeShade="80"/>
          <w:lang w:val="es-DO"/>
        </w:rPr>
      </w:pPr>
      <w:r w:rsidRPr="0039097D">
        <w:rPr>
          <w:rFonts w:eastAsia="Calibri"/>
          <w:lang w:val="es-DO"/>
        </w:rPr>
        <w:t>En lo que va de año, hemos entregado un total de 341.10 kg de papel, 270.60 kg de cartón y 73.10 kg de plásticos al equipo de Vecino Verde, fortaleciendo su capacidad para llevar a cabo sus importantes labores en nuestra comunidad</w:t>
      </w:r>
      <w:r w:rsidRPr="00A02E84">
        <w:rPr>
          <w:rFonts w:eastAsia="Calibri"/>
          <w:noProof/>
          <w:color w:val="808080" w:themeColor="background1" w:themeShade="80"/>
          <w:lang w:val="es-DO"/>
        </w:rPr>
        <w:t>.</w:t>
      </w:r>
    </w:p>
    <w:tbl>
      <w:tblPr>
        <w:tblW w:w="7380" w:type="dxa"/>
        <w:tblInd w:w="80" w:type="dxa"/>
        <w:tblLook w:val="04A0" w:firstRow="1" w:lastRow="0" w:firstColumn="1" w:lastColumn="0" w:noHBand="0" w:noVBand="1"/>
      </w:tblPr>
      <w:tblGrid>
        <w:gridCol w:w="1800"/>
        <w:gridCol w:w="2640"/>
        <w:gridCol w:w="2940"/>
      </w:tblGrid>
      <w:tr w:rsidR="00A02E84" w:rsidRPr="00A02E84" w14:paraId="7A623D0A" w14:textId="77777777" w:rsidTr="0039097D">
        <w:trPr>
          <w:trHeight w:val="585"/>
        </w:trPr>
        <w:tc>
          <w:tcPr>
            <w:tcW w:w="1800" w:type="dxa"/>
            <w:tcBorders>
              <w:top w:val="single" w:sz="8" w:space="0" w:color="auto"/>
              <w:left w:val="single" w:sz="8" w:space="0" w:color="auto"/>
              <w:bottom w:val="nil"/>
              <w:right w:val="single" w:sz="8" w:space="0" w:color="auto"/>
            </w:tcBorders>
            <w:shd w:val="clear" w:color="000000" w:fill="1F3864"/>
            <w:vAlign w:val="center"/>
            <w:hideMark/>
          </w:tcPr>
          <w:p w14:paraId="21F062A5" w14:textId="77777777" w:rsidR="00A02E84" w:rsidRPr="00840D69" w:rsidRDefault="00A02E84">
            <w:pPr>
              <w:spacing w:after="0" w:line="240" w:lineRule="auto"/>
              <w:jc w:val="center"/>
              <w:rPr>
                <w:rFonts w:eastAsia="Times New Roman"/>
                <w:b/>
                <w:bCs/>
                <w:color w:val="FFFFFF" w:themeColor="background1"/>
                <w:spacing w:val="0"/>
                <w:sz w:val="22"/>
                <w:szCs w:val="22"/>
              </w:rPr>
            </w:pPr>
            <w:r w:rsidRPr="00840D69">
              <w:rPr>
                <w:rFonts w:eastAsia="Times New Roman"/>
                <w:b/>
                <w:bCs/>
                <w:color w:val="FFFFFF" w:themeColor="background1"/>
                <w:spacing w:val="0"/>
                <w:sz w:val="22"/>
                <w:szCs w:val="22"/>
                <w:lang w:val="es-ES"/>
              </w:rPr>
              <w:t>Año</w:t>
            </w:r>
          </w:p>
        </w:tc>
        <w:tc>
          <w:tcPr>
            <w:tcW w:w="2640" w:type="dxa"/>
            <w:tcBorders>
              <w:top w:val="single" w:sz="8" w:space="0" w:color="auto"/>
              <w:left w:val="nil"/>
              <w:bottom w:val="nil"/>
              <w:right w:val="single" w:sz="8" w:space="0" w:color="auto"/>
            </w:tcBorders>
            <w:shd w:val="clear" w:color="000000" w:fill="1F3864"/>
            <w:vAlign w:val="center"/>
            <w:hideMark/>
          </w:tcPr>
          <w:p w14:paraId="1E052577" w14:textId="77777777" w:rsidR="00A02E84" w:rsidRPr="00840D69" w:rsidRDefault="00A02E84">
            <w:pPr>
              <w:spacing w:after="0" w:line="240" w:lineRule="auto"/>
              <w:jc w:val="center"/>
              <w:rPr>
                <w:rFonts w:eastAsia="Times New Roman"/>
                <w:b/>
                <w:bCs/>
                <w:color w:val="FFFFFF" w:themeColor="background1"/>
                <w:spacing w:val="0"/>
                <w:sz w:val="22"/>
                <w:szCs w:val="22"/>
              </w:rPr>
            </w:pPr>
            <w:r w:rsidRPr="00840D69">
              <w:rPr>
                <w:rFonts w:eastAsia="Times New Roman"/>
                <w:b/>
                <w:bCs/>
                <w:color w:val="FFFFFF" w:themeColor="background1"/>
                <w:spacing w:val="0"/>
                <w:sz w:val="22"/>
                <w:szCs w:val="22"/>
                <w:lang w:val="es-ES"/>
              </w:rPr>
              <w:t>Tipo</w:t>
            </w:r>
          </w:p>
        </w:tc>
        <w:tc>
          <w:tcPr>
            <w:tcW w:w="2940" w:type="dxa"/>
            <w:tcBorders>
              <w:top w:val="single" w:sz="8" w:space="0" w:color="auto"/>
              <w:left w:val="nil"/>
              <w:bottom w:val="nil"/>
              <w:right w:val="single" w:sz="8" w:space="0" w:color="auto"/>
            </w:tcBorders>
            <w:shd w:val="clear" w:color="000000" w:fill="1F3864"/>
            <w:vAlign w:val="center"/>
            <w:hideMark/>
          </w:tcPr>
          <w:p w14:paraId="467B11AF" w14:textId="77777777" w:rsidR="00A02E84" w:rsidRPr="00840D69" w:rsidRDefault="00A02E84">
            <w:pPr>
              <w:spacing w:after="0" w:line="240" w:lineRule="auto"/>
              <w:jc w:val="center"/>
              <w:rPr>
                <w:rFonts w:eastAsia="Times New Roman"/>
                <w:b/>
                <w:bCs/>
                <w:color w:val="FFFFFF" w:themeColor="background1"/>
                <w:spacing w:val="0"/>
                <w:sz w:val="22"/>
                <w:szCs w:val="22"/>
              </w:rPr>
            </w:pPr>
            <w:r w:rsidRPr="00840D69">
              <w:rPr>
                <w:rFonts w:eastAsia="Times New Roman"/>
                <w:b/>
                <w:bCs/>
                <w:color w:val="FFFFFF" w:themeColor="background1"/>
                <w:spacing w:val="0"/>
                <w:sz w:val="22"/>
                <w:szCs w:val="22"/>
                <w:lang w:val="es-ES"/>
              </w:rPr>
              <w:t>Cantidad de (Kilos)</w:t>
            </w:r>
          </w:p>
        </w:tc>
      </w:tr>
      <w:tr w:rsidR="00A02E84" w:rsidRPr="00A02E84" w14:paraId="08B61987" w14:textId="77777777" w:rsidTr="0039097D">
        <w:trPr>
          <w:trHeight w:val="330"/>
        </w:trPr>
        <w:tc>
          <w:tcPr>
            <w:tcW w:w="18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5CC9A00" w14:textId="77777777" w:rsidR="00A02E84" w:rsidRPr="00840D69" w:rsidRDefault="00A02E84">
            <w:pPr>
              <w:spacing w:after="0" w:line="240" w:lineRule="auto"/>
              <w:jc w:val="center"/>
              <w:rPr>
                <w:rFonts w:eastAsia="Times New Roman"/>
                <w:color w:val="808080" w:themeColor="background1" w:themeShade="80"/>
                <w:spacing w:val="0"/>
                <w:sz w:val="22"/>
                <w:szCs w:val="22"/>
              </w:rPr>
            </w:pPr>
            <w:r w:rsidRPr="00840D69">
              <w:rPr>
                <w:rFonts w:eastAsia="Times New Roman"/>
                <w:color w:val="808080" w:themeColor="background1" w:themeShade="80"/>
                <w:spacing w:val="0"/>
                <w:sz w:val="22"/>
                <w:szCs w:val="22"/>
                <w:lang w:val="es-DO"/>
              </w:rPr>
              <w:t>Año 2024</w:t>
            </w:r>
          </w:p>
        </w:tc>
        <w:tc>
          <w:tcPr>
            <w:tcW w:w="2640" w:type="dxa"/>
            <w:tcBorders>
              <w:top w:val="single" w:sz="8" w:space="0" w:color="auto"/>
              <w:left w:val="nil"/>
              <w:bottom w:val="single" w:sz="8" w:space="0" w:color="auto"/>
              <w:right w:val="single" w:sz="8" w:space="0" w:color="auto"/>
            </w:tcBorders>
            <w:shd w:val="clear" w:color="auto" w:fill="auto"/>
            <w:vAlign w:val="center"/>
            <w:hideMark/>
          </w:tcPr>
          <w:p w14:paraId="353CC519" w14:textId="77777777" w:rsidR="00A02E84" w:rsidRPr="00840D69" w:rsidRDefault="00A02E84">
            <w:pPr>
              <w:spacing w:after="0" w:line="240" w:lineRule="auto"/>
              <w:jc w:val="center"/>
              <w:rPr>
                <w:rFonts w:eastAsia="Times New Roman"/>
                <w:color w:val="808080" w:themeColor="background1" w:themeShade="80"/>
                <w:spacing w:val="0"/>
                <w:sz w:val="22"/>
                <w:szCs w:val="22"/>
              </w:rPr>
            </w:pPr>
            <w:r w:rsidRPr="00840D69">
              <w:rPr>
                <w:rFonts w:eastAsia="Times New Roman"/>
                <w:color w:val="808080" w:themeColor="background1" w:themeShade="80"/>
                <w:spacing w:val="0"/>
                <w:sz w:val="22"/>
                <w:szCs w:val="22"/>
                <w:lang w:val="es-ES"/>
              </w:rPr>
              <w:t>Papel</w:t>
            </w:r>
          </w:p>
        </w:tc>
        <w:tc>
          <w:tcPr>
            <w:tcW w:w="2940" w:type="dxa"/>
            <w:tcBorders>
              <w:top w:val="single" w:sz="8" w:space="0" w:color="auto"/>
              <w:left w:val="nil"/>
              <w:bottom w:val="single" w:sz="8" w:space="0" w:color="auto"/>
              <w:right w:val="single" w:sz="8" w:space="0" w:color="auto"/>
            </w:tcBorders>
            <w:shd w:val="clear" w:color="auto" w:fill="auto"/>
            <w:vAlign w:val="center"/>
            <w:hideMark/>
          </w:tcPr>
          <w:p w14:paraId="7762146A" w14:textId="77777777" w:rsidR="00A02E84" w:rsidRPr="00840D69" w:rsidRDefault="00A02E84">
            <w:pPr>
              <w:spacing w:after="0" w:line="240" w:lineRule="auto"/>
              <w:jc w:val="center"/>
              <w:rPr>
                <w:rFonts w:eastAsia="Times New Roman"/>
                <w:color w:val="808080" w:themeColor="background1" w:themeShade="80"/>
                <w:spacing w:val="0"/>
                <w:sz w:val="22"/>
                <w:szCs w:val="22"/>
              </w:rPr>
            </w:pPr>
            <w:r w:rsidRPr="00840D69">
              <w:rPr>
                <w:rFonts w:eastAsia="Times New Roman"/>
                <w:color w:val="808080" w:themeColor="background1" w:themeShade="80"/>
                <w:spacing w:val="0"/>
                <w:sz w:val="22"/>
                <w:szCs w:val="22"/>
              </w:rPr>
              <w:t>341.1</w:t>
            </w:r>
          </w:p>
        </w:tc>
      </w:tr>
      <w:tr w:rsidR="00A02E84" w:rsidRPr="00A02E84" w14:paraId="3D15628B" w14:textId="77777777" w:rsidTr="0039097D">
        <w:trPr>
          <w:trHeight w:val="330"/>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4CFDFCA0" w14:textId="77777777" w:rsidR="00A02E84" w:rsidRPr="00840D69" w:rsidRDefault="00A02E84">
            <w:pPr>
              <w:spacing w:after="0" w:line="240" w:lineRule="auto"/>
              <w:rPr>
                <w:rFonts w:eastAsia="Times New Roman"/>
                <w:color w:val="808080" w:themeColor="background1" w:themeShade="80"/>
                <w:spacing w:val="0"/>
                <w:sz w:val="22"/>
                <w:szCs w:val="22"/>
              </w:rPr>
            </w:pPr>
          </w:p>
        </w:tc>
        <w:tc>
          <w:tcPr>
            <w:tcW w:w="2640" w:type="dxa"/>
            <w:tcBorders>
              <w:top w:val="nil"/>
              <w:left w:val="nil"/>
              <w:bottom w:val="single" w:sz="8" w:space="0" w:color="auto"/>
              <w:right w:val="single" w:sz="8" w:space="0" w:color="auto"/>
            </w:tcBorders>
            <w:shd w:val="clear" w:color="auto" w:fill="auto"/>
            <w:vAlign w:val="center"/>
            <w:hideMark/>
          </w:tcPr>
          <w:p w14:paraId="46D162E3" w14:textId="77777777" w:rsidR="00A02E84" w:rsidRPr="00840D69" w:rsidRDefault="00A02E84">
            <w:pPr>
              <w:spacing w:after="0" w:line="240" w:lineRule="auto"/>
              <w:jc w:val="center"/>
              <w:rPr>
                <w:rFonts w:eastAsia="Times New Roman"/>
                <w:color w:val="808080" w:themeColor="background1" w:themeShade="80"/>
                <w:spacing w:val="0"/>
                <w:sz w:val="22"/>
                <w:szCs w:val="22"/>
              </w:rPr>
            </w:pPr>
            <w:r w:rsidRPr="00840D69">
              <w:rPr>
                <w:rFonts w:eastAsia="Times New Roman"/>
                <w:color w:val="808080" w:themeColor="background1" w:themeShade="80"/>
                <w:spacing w:val="0"/>
                <w:sz w:val="22"/>
                <w:szCs w:val="22"/>
                <w:lang w:val="es-ES"/>
              </w:rPr>
              <w:t>Cartón</w:t>
            </w:r>
          </w:p>
        </w:tc>
        <w:tc>
          <w:tcPr>
            <w:tcW w:w="2940" w:type="dxa"/>
            <w:tcBorders>
              <w:top w:val="nil"/>
              <w:left w:val="nil"/>
              <w:bottom w:val="single" w:sz="8" w:space="0" w:color="auto"/>
              <w:right w:val="single" w:sz="8" w:space="0" w:color="auto"/>
            </w:tcBorders>
            <w:shd w:val="clear" w:color="auto" w:fill="auto"/>
            <w:vAlign w:val="center"/>
            <w:hideMark/>
          </w:tcPr>
          <w:p w14:paraId="69CB735B" w14:textId="77777777" w:rsidR="00A02E84" w:rsidRPr="00840D69" w:rsidRDefault="00A02E84">
            <w:pPr>
              <w:spacing w:after="0" w:line="240" w:lineRule="auto"/>
              <w:jc w:val="center"/>
              <w:rPr>
                <w:rFonts w:eastAsia="Times New Roman"/>
                <w:color w:val="808080" w:themeColor="background1" w:themeShade="80"/>
                <w:spacing w:val="0"/>
                <w:sz w:val="22"/>
                <w:szCs w:val="22"/>
              </w:rPr>
            </w:pPr>
            <w:r w:rsidRPr="00840D69">
              <w:rPr>
                <w:rFonts w:eastAsia="Times New Roman"/>
                <w:color w:val="808080" w:themeColor="background1" w:themeShade="80"/>
                <w:spacing w:val="0"/>
                <w:sz w:val="22"/>
                <w:szCs w:val="22"/>
              </w:rPr>
              <w:t>270.6</w:t>
            </w:r>
          </w:p>
        </w:tc>
      </w:tr>
      <w:tr w:rsidR="00A02E84" w:rsidRPr="00A02E84" w14:paraId="23C01D22" w14:textId="77777777" w:rsidTr="0039097D">
        <w:trPr>
          <w:trHeight w:val="330"/>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78724B54" w14:textId="77777777" w:rsidR="00A02E84" w:rsidRPr="00840D69" w:rsidRDefault="00A02E84">
            <w:pPr>
              <w:spacing w:after="0" w:line="240" w:lineRule="auto"/>
              <w:rPr>
                <w:rFonts w:eastAsia="Times New Roman"/>
                <w:color w:val="808080" w:themeColor="background1" w:themeShade="80"/>
                <w:spacing w:val="0"/>
                <w:sz w:val="22"/>
                <w:szCs w:val="22"/>
              </w:rPr>
            </w:pPr>
          </w:p>
        </w:tc>
        <w:tc>
          <w:tcPr>
            <w:tcW w:w="2640" w:type="dxa"/>
            <w:tcBorders>
              <w:top w:val="nil"/>
              <w:left w:val="nil"/>
              <w:bottom w:val="single" w:sz="8" w:space="0" w:color="auto"/>
              <w:right w:val="single" w:sz="8" w:space="0" w:color="auto"/>
            </w:tcBorders>
            <w:shd w:val="clear" w:color="auto" w:fill="auto"/>
            <w:vAlign w:val="center"/>
            <w:hideMark/>
          </w:tcPr>
          <w:p w14:paraId="53C0D7BD" w14:textId="77777777" w:rsidR="00A02E84" w:rsidRPr="00840D69" w:rsidRDefault="00A02E84">
            <w:pPr>
              <w:spacing w:after="0" w:line="240" w:lineRule="auto"/>
              <w:jc w:val="center"/>
              <w:rPr>
                <w:rFonts w:eastAsia="Times New Roman"/>
                <w:color w:val="808080" w:themeColor="background1" w:themeShade="80"/>
                <w:spacing w:val="0"/>
                <w:sz w:val="22"/>
                <w:szCs w:val="22"/>
              </w:rPr>
            </w:pPr>
            <w:r w:rsidRPr="00840D69">
              <w:rPr>
                <w:rFonts w:eastAsia="Times New Roman"/>
                <w:color w:val="808080" w:themeColor="background1" w:themeShade="80"/>
                <w:spacing w:val="0"/>
                <w:sz w:val="22"/>
                <w:szCs w:val="22"/>
                <w:lang w:val="es-ES"/>
              </w:rPr>
              <w:t>Plástico</w:t>
            </w:r>
          </w:p>
        </w:tc>
        <w:tc>
          <w:tcPr>
            <w:tcW w:w="2940" w:type="dxa"/>
            <w:tcBorders>
              <w:top w:val="nil"/>
              <w:left w:val="nil"/>
              <w:bottom w:val="single" w:sz="8" w:space="0" w:color="auto"/>
              <w:right w:val="single" w:sz="8" w:space="0" w:color="auto"/>
            </w:tcBorders>
            <w:shd w:val="clear" w:color="auto" w:fill="auto"/>
            <w:vAlign w:val="center"/>
            <w:hideMark/>
          </w:tcPr>
          <w:p w14:paraId="2821622D" w14:textId="77777777" w:rsidR="00A02E84" w:rsidRPr="00840D69" w:rsidRDefault="00A02E84">
            <w:pPr>
              <w:spacing w:after="0" w:line="240" w:lineRule="auto"/>
              <w:jc w:val="center"/>
              <w:rPr>
                <w:rFonts w:eastAsia="Times New Roman"/>
                <w:color w:val="808080" w:themeColor="background1" w:themeShade="80"/>
                <w:spacing w:val="0"/>
                <w:sz w:val="22"/>
                <w:szCs w:val="22"/>
              </w:rPr>
            </w:pPr>
            <w:r w:rsidRPr="00840D69">
              <w:rPr>
                <w:rFonts w:eastAsia="Times New Roman"/>
                <w:color w:val="808080" w:themeColor="background1" w:themeShade="80"/>
                <w:spacing w:val="0"/>
                <w:sz w:val="22"/>
                <w:szCs w:val="22"/>
              </w:rPr>
              <w:t>73.1</w:t>
            </w:r>
          </w:p>
        </w:tc>
      </w:tr>
      <w:tr w:rsidR="00A02E84" w:rsidRPr="00A02E84" w14:paraId="2EEFAD90" w14:textId="77777777" w:rsidTr="0039097D">
        <w:trPr>
          <w:trHeight w:val="330"/>
        </w:trPr>
        <w:tc>
          <w:tcPr>
            <w:tcW w:w="4440" w:type="dxa"/>
            <w:gridSpan w:val="2"/>
            <w:tcBorders>
              <w:top w:val="nil"/>
              <w:left w:val="single" w:sz="8" w:space="0" w:color="auto"/>
              <w:bottom w:val="single" w:sz="8" w:space="0" w:color="auto"/>
              <w:right w:val="single" w:sz="8" w:space="0" w:color="000000"/>
            </w:tcBorders>
            <w:shd w:val="clear" w:color="auto" w:fill="auto"/>
            <w:vAlign w:val="center"/>
            <w:hideMark/>
          </w:tcPr>
          <w:p w14:paraId="1C2A7174" w14:textId="41B589B8" w:rsidR="00A02E84" w:rsidRPr="00840D69" w:rsidRDefault="0039097D" w:rsidP="0039097D">
            <w:pPr>
              <w:spacing w:after="0" w:line="240" w:lineRule="auto"/>
              <w:rPr>
                <w:rFonts w:eastAsia="Times New Roman"/>
                <w:b/>
                <w:bCs/>
                <w:color w:val="808080" w:themeColor="background1" w:themeShade="80"/>
                <w:spacing w:val="0"/>
                <w:sz w:val="22"/>
                <w:szCs w:val="22"/>
              </w:rPr>
            </w:pPr>
            <w:r w:rsidRPr="00840D69">
              <w:rPr>
                <w:rFonts w:eastAsia="Times New Roman"/>
                <w:b/>
                <w:bCs/>
                <w:color w:val="808080" w:themeColor="background1" w:themeShade="80"/>
                <w:spacing w:val="0"/>
                <w:sz w:val="22"/>
                <w:szCs w:val="22"/>
              </w:rPr>
              <w:t>TOTAL</w:t>
            </w:r>
          </w:p>
        </w:tc>
        <w:tc>
          <w:tcPr>
            <w:tcW w:w="2940" w:type="dxa"/>
            <w:tcBorders>
              <w:top w:val="nil"/>
              <w:left w:val="nil"/>
              <w:bottom w:val="single" w:sz="8" w:space="0" w:color="auto"/>
              <w:right w:val="single" w:sz="8" w:space="0" w:color="auto"/>
            </w:tcBorders>
            <w:shd w:val="clear" w:color="auto" w:fill="auto"/>
            <w:vAlign w:val="center"/>
            <w:hideMark/>
          </w:tcPr>
          <w:p w14:paraId="234F2949" w14:textId="77777777" w:rsidR="00A02E84" w:rsidRPr="00840D69" w:rsidRDefault="00A02E84">
            <w:pPr>
              <w:spacing w:after="0" w:line="240" w:lineRule="auto"/>
              <w:jc w:val="center"/>
              <w:rPr>
                <w:rFonts w:eastAsia="Times New Roman"/>
                <w:b/>
                <w:bCs/>
                <w:color w:val="808080" w:themeColor="background1" w:themeShade="80"/>
                <w:spacing w:val="0"/>
                <w:sz w:val="22"/>
                <w:szCs w:val="22"/>
              </w:rPr>
            </w:pPr>
            <w:r w:rsidRPr="00840D69">
              <w:rPr>
                <w:rFonts w:eastAsia="Times New Roman"/>
                <w:b/>
                <w:bCs/>
                <w:color w:val="808080" w:themeColor="background1" w:themeShade="80"/>
                <w:spacing w:val="0"/>
                <w:sz w:val="22"/>
                <w:szCs w:val="22"/>
              </w:rPr>
              <w:t>684.8</w:t>
            </w:r>
          </w:p>
        </w:tc>
      </w:tr>
    </w:tbl>
    <w:p w14:paraId="3BE23133" w14:textId="5EB420D8" w:rsidR="00A02E84" w:rsidRPr="00046544" w:rsidRDefault="00046544" w:rsidP="00046544">
      <w:pPr>
        <w:spacing w:before="240" w:after="0" w:line="360" w:lineRule="auto"/>
        <w:ind w:right="-180"/>
        <w:rPr>
          <w:rFonts w:eastAsia="Calibri"/>
          <w:noProof/>
          <w:color w:val="808080" w:themeColor="background1" w:themeShade="80"/>
          <w:sz w:val="18"/>
          <w:szCs w:val="18"/>
          <w:lang w:val="es-ES"/>
        </w:rPr>
      </w:pPr>
      <w:r>
        <w:rPr>
          <w:rFonts w:eastAsia="Calibri"/>
          <w:b/>
          <w:bCs/>
          <w:noProof/>
          <w:color w:val="808080" w:themeColor="background1" w:themeShade="80"/>
          <w:sz w:val="18"/>
          <w:szCs w:val="18"/>
          <w:lang w:val="es-ES"/>
        </w:rPr>
        <w:t xml:space="preserve"> </w:t>
      </w:r>
      <w:r w:rsidR="00A02E84" w:rsidRPr="00046544">
        <w:rPr>
          <w:rFonts w:eastAsia="Calibri"/>
          <w:b/>
          <w:bCs/>
          <w:noProof/>
          <w:color w:val="808080" w:themeColor="background1" w:themeShade="80"/>
          <w:sz w:val="18"/>
          <w:szCs w:val="18"/>
          <w:lang w:val="es-ES"/>
        </w:rPr>
        <w:t xml:space="preserve">Tabla </w:t>
      </w:r>
      <w:r w:rsidR="00C50277">
        <w:rPr>
          <w:rFonts w:eastAsia="Calibri"/>
          <w:b/>
          <w:bCs/>
          <w:noProof/>
          <w:color w:val="808080" w:themeColor="background1" w:themeShade="80"/>
          <w:sz w:val="18"/>
          <w:szCs w:val="18"/>
          <w:lang w:val="es-ES"/>
        </w:rPr>
        <w:t>20</w:t>
      </w:r>
      <w:r w:rsidR="00A02E84" w:rsidRPr="00046544">
        <w:rPr>
          <w:rFonts w:eastAsia="Calibri"/>
          <w:b/>
          <w:bCs/>
          <w:noProof/>
          <w:color w:val="808080" w:themeColor="background1" w:themeShade="80"/>
          <w:sz w:val="18"/>
          <w:szCs w:val="18"/>
          <w:lang w:val="es-ES"/>
        </w:rPr>
        <w:t xml:space="preserve">: </w:t>
      </w:r>
      <w:r w:rsidR="00A02E84" w:rsidRPr="00046544">
        <w:rPr>
          <w:rFonts w:eastAsia="Calibri"/>
          <w:noProof/>
          <w:color w:val="808080" w:themeColor="background1" w:themeShade="80"/>
          <w:sz w:val="18"/>
          <w:szCs w:val="18"/>
          <w:lang w:val="es-ES"/>
        </w:rPr>
        <w:t>Recolección de residuos 2024.</w:t>
      </w:r>
      <w:bookmarkEnd w:id="74"/>
      <w:bookmarkEnd w:id="75"/>
    </w:p>
    <w:p w14:paraId="6F863ABB" w14:textId="498CE9DD" w:rsidR="00A02E84" w:rsidRPr="0039097D" w:rsidRDefault="00A02E84" w:rsidP="00A02E84">
      <w:pPr>
        <w:spacing w:before="240" w:after="0" w:line="360" w:lineRule="auto"/>
        <w:ind w:right="-180"/>
        <w:jc w:val="both"/>
        <w:rPr>
          <w:rFonts w:eastAsia="Calibri"/>
          <w:lang w:val="es-DO"/>
        </w:rPr>
      </w:pPr>
      <w:r w:rsidRPr="0039097D">
        <w:rPr>
          <w:rFonts w:eastAsia="Calibri"/>
          <w:lang w:val="es-DO"/>
        </w:rPr>
        <w:t>En consonancia con el compromiso medioambiental asumido por la inst</w:t>
      </w:r>
      <w:r w:rsidR="00087071" w:rsidRPr="0039097D">
        <w:rPr>
          <w:rFonts w:eastAsia="Calibri"/>
          <w:lang w:val="es-DO"/>
        </w:rPr>
        <w:t>i</w:t>
      </w:r>
      <w:r w:rsidRPr="0039097D">
        <w:rPr>
          <w:rFonts w:eastAsia="Calibri"/>
          <w:lang w:val="es-DO"/>
        </w:rPr>
        <w:t>t</w:t>
      </w:r>
      <w:r w:rsidR="00087071" w:rsidRPr="0039097D">
        <w:rPr>
          <w:rFonts w:eastAsia="Calibri"/>
          <w:lang w:val="es-DO"/>
        </w:rPr>
        <w:t>u</w:t>
      </w:r>
      <w:r w:rsidRPr="0039097D">
        <w:rPr>
          <w:rFonts w:eastAsia="Calibri"/>
          <w:lang w:val="es-DO"/>
        </w:rPr>
        <w:t>ci</w:t>
      </w:r>
      <w:r w:rsidR="00BC081A" w:rsidRPr="0039097D">
        <w:rPr>
          <w:rFonts w:eastAsia="Calibri"/>
          <w:lang w:val="es-DO"/>
        </w:rPr>
        <w:t>ó</w:t>
      </w:r>
      <w:r w:rsidRPr="0039097D">
        <w:rPr>
          <w:rFonts w:eastAsia="Calibri"/>
          <w:lang w:val="es-DO"/>
        </w:rPr>
        <w:t>n, fue adquirido un veh</w:t>
      </w:r>
      <w:r w:rsidR="00BC081A" w:rsidRPr="0039097D">
        <w:rPr>
          <w:rFonts w:eastAsia="Calibri"/>
          <w:lang w:val="es-DO"/>
        </w:rPr>
        <w:t>í</w:t>
      </w:r>
      <w:r w:rsidRPr="0039097D">
        <w:rPr>
          <w:rFonts w:eastAsia="Calibri"/>
          <w:lang w:val="es-DO"/>
        </w:rPr>
        <w:t xml:space="preserve">culo tipo SUV, de modalidad híbrida, el cual permite un mayor rendimiento y eficiencia de combustible, reduciendo así la cantidad de emisiones. Este vehículo reemplazó una unidad </w:t>
      </w:r>
      <w:proofErr w:type="spellStart"/>
      <w:r w:rsidRPr="0039097D">
        <w:rPr>
          <w:rFonts w:eastAsia="Calibri"/>
          <w:lang w:val="es-DO"/>
        </w:rPr>
        <w:t>diesel</w:t>
      </w:r>
      <w:proofErr w:type="spellEnd"/>
      <w:r w:rsidRPr="0039097D">
        <w:rPr>
          <w:rFonts w:eastAsia="Calibri"/>
          <w:lang w:val="es-DO"/>
        </w:rPr>
        <w:t xml:space="preserve"> con más de 15 años de fabricación.</w:t>
      </w:r>
    </w:p>
    <w:p w14:paraId="0B880389" w14:textId="77777777" w:rsidR="00A02E84" w:rsidRPr="00A02E84" w:rsidRDefault="00A02E84" w:rsidP="00A02E84">
      <w:pPr>
        <w:spacing w:before="240" w:after="0" w:line="360" w:lineRule="auto"/>
        <w:ind w:right="-180"/>
        <w:jc w:val="both"/>
        <w:rPr>
          <w:rFonts w:eastAsia="Calibri"/>
          <w:noProof/>
          <w:color w:val="808080" w:themeColor="background1" w:themeShade="80"/>
          <w:lang w:val="es-DO"/>
        </w:rPr>
      </w:pPr>
      <w:r w:rsidRPr="00A02E84">
        <w:rPr>
          <w:rFonts w:eastAsia="Calibri"/>
          <w:b/>
          <w:bCs/>
          <w:noProof/>
          <w:color w:val="808080" w:themeColor="background1" w:themeShade="80"/>
          <w:lang w:val="es-DO"/>
        </w:rPr>
        <w:t xml:space="preserve">Mejora en  los espacios físicos a nivel institucional:  </w:t>
      </w:r>
      <w:r w:rsidRPr="00A02E84">
        <w:rPr>
          <w:rFonts w:eastAsia="Calibri"/>
          <w:noProof/>
          <w:color w:val="808080" w:themeColor="background1" w:themeShade="80"/>
          <w:lang w:val="es-DO"/>
        </w:rPr>
        <w:t xml:space="preserve"> Dentro del proceso de adecuación de las áreas ubicadas en la sede de la GMR, se ha dispuesto un lugar adicional para ampliar el espacio para almacén, y así poder atender a la necesidad de contar con mayor espacio físico para este unidad.</w:t>
      </w:r>
    </w:p>
    <w:p w14:paraId="7BFC4BF3" w14:textId="29202E6E" w:rsidR="00A02E84" w:rsidRPr="00A02E84" w:rsidRDefault="00A02E84" w:rsidP="00A02E84">
      <w:pPr>
        <w:spacing w:before="240" w:after="0" w:line="360" w:lineRule="auto"/>
        <w:ind w:right="-180"/>
        <w:jc w:val="both"/>
        <w:rPr>
          <w:rFonts w:eastAsia="Calibri"/>
          <w:noProof/>
          <w:color w:val="808080" w:themeColor="background1" w:themeShade="80"/>
          <w:lang w:val="es-DO"/>
        </w:rPr>
      </w:pPr>
      <w:r w:rsidRPr="00A02E84">
        <w:rPr>
          <w:rFonts w:eastAsia="Calibri"/>
          <w:noProof/>
          <w:color w:val="808080" w:themeColor="background1" w:themeShade="80"/>
          <w:lang w:val="es-DO"/>
        </w:rPr>
        <w:lastRenderedPageBreak/>
        <w:t>A la par con el crecimiento de las operaciones institucionales y atendiendo a la mejora y ampliación de nuestra institución, contamos con un nuevo espacio, el cual está siendo sometido a un importante proceso de adecuación. El mismo está ubicado en el 2do  nivel de las oficinas de la Av. Gustavo Mejía  Ricart, el cual estará alojando la Dirección de Tecnología de la Información y Comunicaciones.</w:t>
      </w:r>
    </w:p>
    <w:p w14:paraId="18FA976D" w14:textId="6F2524CD" w:rsidR="00A02E84" w:rsidRDefault="27F609B9" w:rsidP="00A02E84">
      <w:pPr>
        <w:spacing w:before="240" w:after="0" w:line="360" w:lineRule="auto"/>
        <w:ind w:right="-180"/>
        <w:jc w:val="both"/>
        <w:rPr>
          <w:rFonts w:eastAsia="Calibri"/>
          <w:noProof/>
          <w:color w:val="808080" w:themeColor="background1" w:themeShade="80"/>
          <w:lang w:val="es-DO"/>
        </w:rPr>
      </w:pPr>
      <w:r w:rsidRPr="03B8D929">
        <w:rPr>
          <w:rFonts w:eastAsia="Calibri"/>
          <w:noProof/>
          <w:color w:val="808080" w:themeColor="background1" w:themeShade="80"/>
          <w:lang w:val="es-DO"/>
        </w:rPr>
        <w:t>Adem</w:t>
      </w:r>
      <w:r w:rsidR="00BC081A">
        <w:rPr>
          <w:rFonts w:eastAsia="Calibri"/>
          <w:noProof/>
          <w:color w:val="808080" w:themeColor="background1" w:themeShade="80"/>
          <w:lang w:val="es-DO"/>
        </w:rPr>
        <w:t>á</w:t>
      </w:r>
      <w:r w:rsidRPr="03B8D929">
        <w:rPr>
          <w:rFonts w:eastAsia="Calibri"/>
          <w:noProof/>
          <w:color w:val="808080" w:themeColor="background1" w:themeShade="80"/>
          <w:lang w:val="es-DO"/>
        </w:rPr>
        <w:t>s, la TSS ha tomado la iniciativa de alquilar el espacio contiguo al local para destinarlo como área de estacionamiento exclusivo para los colaboradores de la institución. Es importante destacar que nuestra organización siempre ha cubierto en su totalidad los costos asociados a los estacionamientos, garantizando este beneficio sin que represente ningún gasto para los empleados.</w:t>
      </w:r>
    </w:p>
    <w:p w14:paraId="7FDAB797" w14:textId="77777777" w:rsidR="00F20655" w:rsidRDefault="00F20655" w:rsidP="00F20655">
      <w:pPr>
        <w:spacing w:after="0"/>
        <w:rPr>
          <w:b/>
          <w:bCs/>
          <w:noProof/>
          <w:lang w:val="es-DO"/>
        </w:rPr>
      </w:pPr>
    </w:p>
    <w:p w14:paraId="1D822989" w14:textId="3D584EFB" w:rsidR="00771010" w:rsidRPr="00F20655" w:rsidRDefault="1F7F16AD" w:rsidP="00F20655">
      <w:pPr>
        <w:rPr>
          <w:b/>
          <w:bCs/>
          <w:lang w:val="es-ES"/>
        </w:rPr>
      </w:pPr>
      <w:r w:rsidRPr="00F20655">
        <w:rPr>
          <w:b/>
          <w:bCs/>
          <w:noProof/>
          <w:lang w:val="es-DO"/>
        </w:rPr>
        <w:t>Gestión Financiera</w:t>
      </w:r>
    </w:p>
    <w:p w14:paraId="2C64F0F8" w14:textId="21553F63" w:rsidR="00771010" w:rsidRPr="0047728B" w:rsidRDefault="13E88E60" w:rsidP="0047728B">
      <w:pPr>
        <w:spacing w:before="240" w:after="0" w:line="360" w:lineRule="auto"/>
        <w:ind w:right="-180"/>
        <w:jc w:val="both"/>
        <w:rPr>
          <w:rFonts w:eastAsia="Calibri"/>
          <w:noProof/>
          <w:color w:val="808080" w:themeColor="background1" w:themeShade="80"/>
          <w:lang w:val="es-DO"/>
        </w:rPr>
      </w:pPr>
      <w:r w:rsidRPr="0047728B">
        <w:rPr>
          <w:rFonts w:eastAsia="Calibri"/>
          <w:noProof/>
          <w:color w:val="808080" w:themeColor="background1" w:themeShade="80"/>
          <w:lang w:val="es-DO"/>
        </w:rPr>
        <w:t>A trav</w:t>
      </w:r>
      <w:r w:rsidR="0B016270" w:rsidRPr="0047728B">
        <w:rPr>
          <w:rFonts w:eastAsia="Calibri"/>
          <w:noProof/>
          <w:color w:val="808080" w:themeColor="background1" w:themeShade="80"/>
          <w:lang w:val="es-DO"/>
        </w:rPr>
        <w:t>é</w:t>
      </w:r>
      <w:r w:rsidRPr="0047728B">
        <w:rPr>
          <w:rFonts w:eastAsia="Calibri"/>
          <w:noProof/>
          <w:color w:val="808080" w:themeColor="background1" w:themeShade="80"/>
          <w:lang w:val="es-DO"/>
        </w:rPr>
        <w:t>s de la</w:t>
      </w:r>
      <w:r w:rsidR="414702C9" w:rsidRPr="0047728B">
        <w:rPr>
          <w:rFonts w:eastAsia="Calibri"/>
          <w:noProof/>
          <w:color w:val="808080" w:themeColor="background1" w:themeShade="80"/>
          <w:lang w:val="es-DO"/>
        </w:rPr>
        <w:t xml:space="preserve"> gesti</w:t>
      </w:r>
      <w:r w:rsidR="7CEB5A3F" w:rsidRPr="0047728B">
        <w:rPr>
          <w:rFonts w:eastAsia="Calibri"/>
          <w:noProof/>
          <w:color w:val="808080" w:themeColor="background1" w:themeShade="80"/>
          <w:lang w:val="es-DO"/>
        </w:rPr>
        <w:t>ó</w:t>
      </w:r>
      <w:r w:rsidR="414702C9" w:rsidRPr="0047728B">
        <w:rPr>
          <w:rFonts w:eastAsia="Calibri"/>
          <w:noProof/>
          <w:color w:val="808080" w:themeColor="background1" w:themeShade="80"/>
          <w:lang w:val="es-DO"/>
        </w:rPr>
        <w:t xml:space="preserve">n de </w:t>
      </w:r>
      <w:r w:rsidR="4F733467" w:rsidRPr="0047728B">
        <w:rPr>
          <w:rFonts w:eastAsia="Calibri"/>
          <w:noProof/>
          <w:color w:val="808080" w:themeColor="background1" w:themeShade="80"/>
          <w:lang w:val="es-DO"/>
        </w:rPr>
        <w:t>l</w:t>
      </w:r>
      <w:r w:rsidR="5BD01C7E" w:rsidRPr="0047728B">
        <w:rPr>
          <w:rFonts w:eastAsia="Calibri"/>
          <w:noProof/>
          <w:color w:val="808080" w:themeColor="background1" w:themeShade="80"/>
          <w:lang w:val="es-DO"/>
        </w:rPr>
        <w:t xml:space="preserve">a Dirección </w:t>
      </w:r>
      <w:r w:rsidR="027A3CF3" w:rsidRPr="0047728B">
        <w:rPr>
          <w:rFonts w:eastAsia="Calibri"/>
          <w:noProof/>
          <w:color w:val="808080" w:themeColor="background1" w:themeShade="80"/>
          <w:lang w:val="es-DO"/>
        </w:rPr>
        <w:t>F</w:t>
      </w:r>
      <w:r w:rsidR="5BD01C7E" w:rsidRPr="0047728B">
        <w:rPr>
          <w:rFonts w:eastAsia="Calibri"/>
          <w:noProof/>
          <w:color w:val="808080" w:themeColor="background1" w:themeShade="80"/>
          <w:lang w:val="es-DO"/>
        </w:rPr>
        <w:t>inanciera</w:t>
      </w:r>
      <w:r w:rsidR="0FFC0389" w:rsidRPr="0047728B">
        <w:rPr>
          <w:rFonts w:eastAsia="Calibri"/>
          <w:noProof/>
          <w:color w:val="808080" w:themeColor="background1" w:themeShade="80"/>
          <w:lang w:val="es-DO"/>
        </w:rPr>
        <w:t>, la TSS</w:t>
      </w:r>
      <w:r w:rsidR="5BD01C7E" w:rsidRPr="0047728B">
        <w:rPr>
          <w:rFonts w:eastAsia="Calibri"/>
          <w:noProof/>
          <w:color w:val="808080" w:themeColor="background1" w:themeShade="80"/>
          <w:lang w:val="es-DO"/>
        </w:rPr>
        <w:t xml:space="preserve"> ha logrado cumplir con sus metas en cuanto a las recaudaciones y pagos se refiere. </w:t>
      </w:r>
    </w:p>
    <w:p w14:paraId="1AEEB54B" w14:textId="68F01E85"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 xml:space="preserve">Preparación y remisión oportuna de Estados Financieros.  </w:t>
      </w:r>
    </w:p>
    <w:p w14:paraId="42273D11" w14:textId="2D7B2967"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 xml:space="preserve">Preparación de libramientos de pagos oportunamente.  </w:t>
      </w:r>
    </w:p>
    <w:p w14:paraId="6A17BC43" w14:textId="791B7597"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Ejecución Presupuestaria preparada acorde con lo requerido por DIGEPRES.</w:t>
      </w:r>
    </w:p>
    <w:p w14:paraId="05599E49" w14:textId="06FB7DF3"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Devolución de Fondos No Utilizados a los empleadores, recibidos a través de las diferentes entidades bancarias.</w:t>
      </w:r>
    </w:p>
    <w:p w14:paraId="7B55A5FF" w14:textId="50206CD1"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Devolución de los pagos en exceso y Percápitas adicionales a los empleadores y trabajadores a través de transferencias bancarias y cheques.</w:t>
      </w:r>
    </w:p>
    <w:p w14:paraId="46CC5B55" w14:textId="6B87B465"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Devolución Subsidios de Enfermedad y Maternidad Común del Banco Central de la Rep. Dom.</w:t>
      </w:r>
    </w:p>
    <w:p w14:paraId="05BA571F" w14:textId="6E73CCE1"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lastRenderedPageBreak/>
        <w:t>Devolución de Pagos en Exceso del Seguro Familiar de Salud de las Instituciones Gubernamentales.</w:t>
      </w:r>
    </w:p>
    <w:p w14:paraId="5015F039" w14:textId="03E47547"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Pago de las Notificaciones de la TSS a Instituciones Centralizadas y Descentralizadas del Estado registrado en el Sistema Integrado de Gestión Financiera (SIGEF)</w:t>
      </w:r>
    </w:p>
    <w:p w14:paraId="57D9E32A" w14:textId="290A1C17"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Pago a los receptores de fondos del SDSS a través del BCRD.</w:t>
      </w:r>
    </w:p>
    <w:p w14:paraId="59F0ED70" w14:textId="1D498899"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Pago del Régimen Subsidiado.</w:t>
      </w:r>
    </w:p>
    <w:p w14:paraId="6C59A5DA" w14:textId="6ADF8DA3"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Pago del FONOMAT.</w:t>
      </w:r>
    </w:p>
    <w:p w14:paraId="55191CBC" w14:textId="15B20E69"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Transferencia al SENASA "Proyecto SENASA Cuida de ti"</w:t>
      </w:r>
    </w:p>
    <w:p w14:paraId="3F0E806E" w14:textId="6050C568"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Pago de los Pensionados de Hacienda.</w:t>
      </w:r>
    </w:p>
    <w:p w14:paraId="4D79B46D" w14:textId="38CE604A"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Pago de los Pensionados y Jubilados del Sector Salud.</w:t>
      </w:r>
    </w:p>
    <w:p w14:paraId="366699F1" w14:textId="3A786BDA"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Pago de los Pensionados y Jubilados de la Policía Nacional.</w:t>
      </w:r>
    </w:p>
    <w:p w14:paraId="282DDE8A" w14:textId="574CDAF2"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Pago de los Pensionados y Jubilados de la Fuerzas Armadas.</w:t>
      </w:r>
    </w:p>
    <w:p w14:paraId="52F24A35" w14:textId="1F3BE1A9"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Pago de los Pensionados del Estado Decreto 18-19.</w:t>
      </w:r>
    </w:p>
    <w:p w14:paraId="50E48367" w14:textId="0CD1B0BC"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Pago de la Junta Central Electoral.</w:t>
      </w:r>
      <w:r w:rsidR="00771010" w:rsidRPr="006C48BC">
        <w:rPr>
          <w:rFonts w:ascii="Times New Roman" w:hAnsi="Times New Roman"/>
          <w:color w:val="767171"/>
          <w:spacing w:val="20"/>
          <w:sz w:val="24"/>
          <w:szCs w:val="24"/>
        </w:rPr>
        <w:tab/>
      </w:r>
    </w:p>
    <w:p w14:paraId="7C22D025" w14:textId="6375D2C5"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Pago Comisión a los Bancos Recaudadores.</w:t>
      </w:r>
    </w:p>
    <w:p w14:paraId="28F275D4" w14:textId="3A23AB6E"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Pago Retención IR-17 a la Dirección General de Impuestos Internos.</w:t>
      </w:r>
    </w:p>
    <w:p w14:paraId="1291E36C" w14:textId="057468F7"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Remisión oportuna del Informe Régimen Contributivo.</w:t>
      </w:r>
    </w:p>
    <w:p w14:paraId="18622CB2" w14:textId="5DEB8294"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Remisión oportuna del Informe del Régimen Subsidiado.</w:t>
      </w:r>
    </w:p>
    <w:p w14:paraId="0C9938D9" w14:textId="2EFD401C"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Remisión oportuna del Informe Régimen Contributivo-Subsidiado (Plan Piloto).</w:t>
      </w:r>
    </w:p>
    <w:p w14:paraId="21D579D6" w14:textId="44912B91"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Remisión Oportuna del Informe Trimestral CNSS</w:t>
      </w:r>
    </w:p>
    <w:p w14:paraId="66D20B71" w14:textId="104138C3"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 xml:space="preserve">Remisión Oportuna de Informe Régimen Contributivo-Subsidiado Trabajadores Domésticos     </w:t>
      </w:r>
    </w:p>
    <w:p w14:paraId="087FEA00" w14:textId="312B5793"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Remisión oportuna del Informe de los Planes Especiales Transitorios de Salud de los Pensionados y Jubilados de Hacienda (Decreto 342), Sector Salud, Policía Nacional, Fuerzas Armadas, Estado Decreto 18-19</w:t>
      </w:r>
    </w:p>
    <w:p w14:paraId="7C9BE524" w14:textId="66CB67DC"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lastRenderedPageBreak/>
        <w:t>Automatización planilla de Análisis Recaudación -Concentración</w:t>
      </w:r>
    </w:p>
    <w:p w14:paraId="0DF2717E" w14:textId="564746E8" w:rsidR="00771010" w:rsidRPr="006C48BC"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Automatización Planilla Dispersión ARS Salud y</w:t>
      </w:r>
      <w:r w:rsidR="0047728B" w:rsidRPr="006C48BC">
        <w:rPr>
          <w:rFonts w:ascii="Times New Roman" w:hAnsi="Times New Roman"/>
          <w:color w:val="767171"/>
          <w:spacing w:val="20"/>
          <w:sz w:val="24"/>
          <w:szCs w:val="24"/>
        </w:rPr>
        <w:t xml:space="preserve"> FONAMAT </w:t>
      </w:r>
    </w:p>
    <w:p w14:paraId="55675FD6" w14:textId="03C45D4C" w:rsidR="00771010" w:rsidRPr="0047728B" w:rsidRDefault="5BD01C7E" w:rsidP="0047728B">
      <w:pPr>
        <w:pStyle w:val="ListParagraph"/>
        <w:numPr>
          <w:ilvl w:val="0"/>
          <w:numId w:val="39"/>
        </w:numPr>
        <w:spacing w:before="240" w:after="240" w:line="360" w:lineRule="auto"/>
        <w:rPr>
          <w:rFonts w:ascii="Times New Roman" w:hAnsi="Times New Roman"/>
          <w:color w:val="767171"/>
          <w:spacing w:val="20"/>
          <w:sz w:val="24"/>
          <w:szCs w:val="24"/>
        </w:rPr>
      </w:pPr>
      <w:r w:rsidRPr="006C48BC">
        <w:rPr>
          <w:rFonts w:ascii="Times New Roman" w:hAnsi="Times New Roman"/>
          <w:color w:val="767171"/>
          <w:spacing w:val="20"/>
          <w:sz w:val="24"/>
          <w:szCs w:val="24"/>
        </w:rPr>
        <w:t>Automatización Análisis Especialización de Cuentas Regular</w:t>
      </w:r>
      <w:r w:rsidRPr="0047728B">
        <w:rPr>
          <w:rFonts w:ascii="Times New Roman" w:hAnsi="Times New Roman"/>
          <w:color w:val="767171"/>
          <w:spacing w:val="20"/>
          <w:sz w:val="24"/>
          <w:szCs w:val="24"/>
        </w:rPr>
        <w:t xml:space="preserve"> </w:t>
      </w:r>
    </w:p>
    <w:p w14:paraId="3DC5017B" w14:textId="03DE3ADE" w:rsidR="00771010" w:rsidRPr="00FF3F4C" w:rsidRDefault="4AD55B68" w:rsidP="00FF3F4C">
      <w:pPr>
        <w:pStyle w:val="Heading1"/>
        <w:spacing w:after="240" w:line="259" w:lineRule="auto"/>
        <w:jc w:val="left"/>
        <w:rPr>
          <w:spacing w:val="0"/>
          <w:lang w:val="es-DO"/>
        </w:rPr>
      </w:pPr>
      <w:bookmarkStart w:id="99" w:name="_Toc154736709"/>
      <w:bookmarkStart w:id="100" w:name="_Toc185245101"/>
      <w:r w:rsidRPr="006C48BC">
        <w:rPr>
          <w:spacing w:val="0"/>
          <w:lang w:val="es-DO"/>
        </w:rPr>
        <w:t>4.2 Desempeño de los Recursos Humanos</w:t>
      </w:r>
      <w:bookmarkEnd w:id="99"/>
      <w:bookmarkEnd w:id="100"/>
      <w:r w:rsidRPr="00FF3F4C">
        <w:rPr>
          <w:spacing w:val="0"/>
          <w:lang w:val="es-DO"/>
        </w:rPr>
        <w:t xml:space="preserve"> </w:t>
      </w:r>
    </w:p>
    <w:p w14:paraId="6D795247" w14:textId="57A5E4B7" w:rsidR="00774BBC" w:rsidRPr="00F20655" w:rsidRDefault="00774BBC" w:rsidP="00F20655">
      <w:pPr>
        <w:rPr>
          <w:b/>
          <w:bCs/>
          <w:lang w:val="es-DO"/>
        </w:rPr>
      </w:pPr>
      <w:bookmarkStart w:id="101" w:name="_Toc171677836"/>
      <w:bookmarkStart w:id="102" w:name="_Toc172118695"/>
      <w:bookmarkStart w:id="103" w:name="_Toc172119848"/>
      <w:bookmarkStart w:id="104" w:name="_Toc172120181"/>
      <w:bookmarkStart w:id="105" w:name="_Toc172121399"/>
      <w:r w:rsidRPr="00F20655">
        <w:rPr>
          <w:b/>
          <w:bCs/>
          <w:lang w:val="es-DO"/>
        </w:rPr>
        <w:t>Incorporación a la Carrera Administrativa</w:t>
      </w:r>
      <w:bookmarkEnd w:id="101"/>
      <w:bookmarkEnd w:id="102"/>
      <w:bookmarkEnd w:id="103"/>
      <w:bookmarkEnd w:id="104"/>
      <w:bookmarkEnd w:id="105"/>
    </w:p>
    <w:p w14:paraId="556B4B8B" w14:textId="77777777" w:rsidR="00774BBC" w:rsidRPr="00505670" w:rsidRDefault="00774BBC" w:rsidP="00774BBC">
      <w:pPr>
        <w:spacing w:before="240" w:after="240" w:line="360" w:lineRule="auto"/>
        <w:jc w:val="both"/>
        <w:rPr>
          <w:rFonts w:eastAsia="Calibri"/>
          <w:lang w:val="es-DO"/>
        </w:rPr>
      </w:pPr>
      <w:r w:rsidRPr="00505670">
        <w:rPr>
          <w:rFonts w:eastAsia="Calibri"/>
          <w:lang w:val="es-DO"/>
        </w:rPr>
        <w:t xml:space="preserve">El Reglamento </w:t>
      </w:r>
      <w:r>
        <w:rPr>
          <w:rFonts w:eastAsia="Calibri"/>
          <w:lang w:val="es-DO"/>
        </w:rPr>
        <w:t xml:space="preserve">no. </w:t>
      </w:r>
      <w:r w:rsidRPr="00505670">
        <w:rPr>
          <w:rFonts w:eastAsia="Calibri"/>
          <w:lang w:val="es-DO"/>
        </w:rPr>
        <w:t xml:space="preserve">251-15 de Reclutamiento y Selección del Ministerio de Administración Pública define el reclutamiento como el proceso de atraer aspirantes idóneos para participar en los concursos, los concursos a su vez son procesos en </w:t>
      </w:r>
      <w:r>
        <w:rPr>
          <w:rFonts w:eastAsia="Calibri"/>
          <w:lang w:val="es-DO"/>
        </w:rPr>
        <w:t>los</w:t>
      </w:r>
      <w:r w:rsidRPr="00505670">
        <w:rPr>
          <w:rFonts w:eastAsia="Calibri"/>
          <w:lang w:val="es-DO"/>
        </w:rPr>
        <w:t xml:space="preserve"> cual</w:t>
      </w:r>
      <w:r>
        <w:rPr>
          <w:rFonts w:eastAsia="Calibri"/>
          <w:lang w:val="es-DO"/>
        </w:rPr>
        <w:t>es</w:t>
      </w:r>
      <w:r w:rsidRPr="00505670">
        <w:rPr>
          <w:rFonts w:eastAsia="Calibri"/>
          <w:lang w:val="es-DO"/>
        </w:rPr>
        <w:t xml:space="preserve"> se hace pública la disponibilidad de una vacante y los aspirantes a ocupar el cargo son sometidos a evaluación técnica, en igualdad de condiciones, en atención a normas y procedimientos establecidos</w:t>
      </w:r>
      <w:r>
        <w:rPr>
          <w:rFonts w:eastAsia="Calibri"/>
          <w:lang w:val="es-DO"/>
        </w:rPr>
        <w:t>.</w:t>
      </w:r>
    </w:p>
    <w:p w14:paraId="103DF3DB" w14:textId="77777777" w:rsidR="00774BBC" w:rsidRPr="00505670" w:rsidRDefault="00774BBC" w:rsidP="00774BBC">
      <w:pPr>
        <w:spacing w:before="240" w:after="240" w:line="360" w:lineRule="auto"/>
        <w:jc w:val="both"/>
        <w:rPr>
          <w:rFonts w:eastAsia="Calibri"/>
          <w:lang w:val="es-DO"/>
        </w:rPr>
      </w:pPr>
      <w:r w:rsidRPr="00505670">
        <w:rPr>
          <w:rFonts w:eastAsia="Calibri"/>
          <w:lang w:val="es-DO"/>
        </w:rPr>
        <w:t xml:space="preserve">En la </w:t>
      </w:r>
      <w:r>
        <w:rPr>
          <w:rFonts w:eastAsia="Calibri"/>
          <w:lang w:val="es-DO"/>
        </w:rPr>
        <w:t>TSS</w:t>
      </w:r>
      <w:r w:rsidRPr="00505670">
        <w:rPr>
          <w:rFonts w:eastAsia="Calibri"/>
          <w:lang w:val="es-DO"/>
        </w:rPr>
        <w:t xml:space="preserve"> buscamos atraer y seleccionar a los ciudadanos</w:t>
      </w:r>
      <w:r>
        <w:rPr>
          <w:rFonts w:eastAsia="Calibri"/>
          <w:lang w:val="es-DO"/>
        </w:rPr>
        <w:t xml:space="preserve"> </w:t>
      </w:r>
      <w:r w:rsidRPr="00505670">
        <w:rPr>
          <w:rFonts w:eastAsia="Calibri"/>
          <w:lang w:val="es-DO"/>
        </w:rPr>
        <w:t xml:space="preserve">que reúnan las condiciones idóneas y posean los méritos necesarios para ocupar cargos de Carrera Administrativa, tomando en cuenta el perfil establecido y cumpliendo con la Ley </w:t>
      </w:r>
      <w:r>
        <w:rPr>
          <w:rFonts w:eastAsia="Calibri"/>
          <w:lang w:val="es-DO"/>
        </w:rPr>
        <w:t xml:space="preserve">no. </w:t>
      </w:r>
      <w:r w:rsidRPr="00505670">
        <w:rPr>
          <w:rFonts w:eastAsia="Calibri"/>
          <w:lang w:val="es-DO"/>
        </w:rPr>
        <w:t xml:space="preserve">41-08, el Reglamento </w:t>
      </w:r>
      <w:r>
        <w:rPr>
          <w:rFonts w:eastAsia="Calibri"/>
          <w:lang w:val="es-DO"/>
        </w:rPr>
        <w:t xml:space="preserve">no. </w:t>
      </w:r>
      <w:r w:rsidRPr="00505670">
        <w:rPr>
          <w:rFonts w:eastAsia="Calibri"/>
          <w:lang w:val="es-DO"/>
        </w:rPr>
        <w:t xml:space="preserve">251-15 de Reclutamiento y Selección y la Resolución </w:t>
      </w:r>
      <w:r>
        <w:rPr>
          <w:rFonts w:eastAsia="Calibri"/>
          <w:lang w:val="es-DO"/>
        </w:rPr>
        <w:t xml:space="preserve">no. </w:t>
      </w:r>
      <w:r w:rsidRPr="00505670">
        <w:rPr>
          <w:rFonts w:eastAsia="Calibri"/>
          <w:lang w:val="es-DO"/>
        </w:rPr>
        <w:t>357-2021 del Ministerio de Administración Pública</w:t>
      </w:r>
      <w:r>
        <w:rPr>
          <w:rFonts w:eastAsia="Calibri"/>
          <w:lang w:val="es-DO"/>
        </w:rPr>
        <w:t>.</w:t>
      </w:r>
    </w:p>
    <w:p w14:paraId="33C0E2AA" w14:textId="091E984C" w:rsidR="00774BBC" w:rsidRDefault="00774BBC" w:rsidP="00774BBC">
      <w:pPr>
        <w:spacing w:before="240" w:after="240" w:line="360" w:lineRule="auto"/>
        <w:jc w:val="both"/>
        <w:rPr>
          <w:rFonts w:eastAsia="Calibri"/>
          <w:lang w:val="es-DO"/>
        </w:rPr>
      </w:pPr>
      <w:r>
        <w:rPr>
          <w:rFonts w:eastAsia="Calibri"/>
          <w:lang w:val="es-DO"/>
        </w:rPr>
        <w:t xml:space="preserve">Como institución procuramos que nuestros colaboradores posean las informaciones necesarias sobre los procesos llevados a cabo y sobre aquellos temas que </w:t>
      </w:r>
      <w:r w:rsidR="00F6086B">
        <w:rPr>
          <w:rFonts w:eastAsia="Calibri"/>
          <w:lang w:val="es-DO"/>
        </w:rPr>
        <w:t>entendemos</w:t>
      </w:r>
      <w:r>
        <w:rPr>
          <w:rFonts w:eastAsia="Calibri"/>
          <w:lang w:val="es-DO"/>
        </w:rPr>
        <w:t xml:space="preserve"> son de interés, es por esto que el objetivo de orientar a todos nuestros colaboradores sobre la incorporación a la carrera administrativa y sus beneficios, impartimos la charla sobre “Proceso de Reclutamiento para Cargos</w:t>
      </w:r>
      <w:r>
        <w:rPr>
          <w:rFonts w:eastAsia="Calibri"/>
          <w:noProof/>
          <w:lang w:val="es-DO"/>
        </w:rPr>
        <w:t xml:space="preserve"> </w:t>
      </w:r>
      <w:r>
        <w:rPr>
          <w:rFonts w:eastAsia="Calibri"/>
          <w:lang w:val="es-DO"/>
        </w:rPr>
        <w:lastRenderedPageBreak/>
        <w:t xml:space="preserve">de Carrera”, en coordinación con el Ministerio de Administración Pública, contamos con la presencia de dos colaboradores del MAP pertenecientes a las áreas de Reclutamiento y Selección y Sistemas de Carrera, en esta actividad participaron 115 colaboradores en dos modalidades, virtual y presencial. </w:t>
      </w:r>
    </w:p>
    <w:p w14:paraId="09C45FE3" w14:textId="77777777" w:rsidR="00774BBC" w:rsidRDefault="00774BBC" w:rsidP="00774BBC">
      <w:pPr>
        <w:spacing w:before="240" w:after="240" w:line="360" w:lineRule="auto"/>
        <w:jc w:val="both"/>
        <w:rPr>
          <w:rFonts w:eastAsia="Calibri"/>
          <w:lang w:val="es-DO"/>
        </w:rPr>
      </w:pPr>
      <w:r>
        <w:rPr>
          <w:rFonts w:eastAsia="Calibri"/>
          <w:lang w:val="es-DO"/>
        </w:rPr>
        <w:t xml:space="preserve">Este año fueron publicados </w:t>
      </w:r>
      <w:r w:rsidRPr="00F2783D">
        <w:rPr>
          <w:rFonts w:eastAsia="Calibri"/>
          <w:lang w:val="es-DO"/>
        </w:rPr>
        <w:t>ocho (08) concursos</w:t>
      </w:r>
      <w:r>
        <w:rPr>
          <w:rFonts w:eastAsia="Calibri"/>
          <w:lang w:val="es-DO"/>
        </w:rPr>
        <w:t xml:space="preserve"> con un total de 4,323 aplicaciones de ciudadanos interesados, de los cuales fueron admitidos 311 candidatos, estos concursos corresponden a   </w:t>
      </w:r>
      <w:r w:rsidRPr="00F2783D">
        <w:rPr>
          <w:rFonts w:eastAsia="Calibri"/>
          <w:lang w:val="es-DO"/>
        </w:rPr>
        <w:t>las Direcciones</w:t>
      </w:r>
      <w:r>
        <w:rPr>
          <w:rFonts w:eastAsia="Calibri"/>
          <w:lang w:val="es-DO"/>
        </w:rPr>
        <w:t xml:space="preserve"> de</w:t>
      </w:r>
      <w:r w:rsidRPr="00F2783D">
        <w:rPr>
          <w:rFonts w:eastAsia="Calibri"/>
          <w:lang w:val="es-DO"/>
        </w:rPr>
        <w:t xml:space="preserve"> Fiscalización Externa, Servicios, Jurídica y Tecnol</w:t>
      </w:r>
      <w:r>
        <w:rPr>
          <w:rFonts w:eastAsia="Calibri"/>
          <w:lang w:val="es-DO"/>
        </w:rPr>
        <w:t>o</w:t>
      </w:r>
      <w:r w:rsidRPr="00F2783D">
        <w:rPr>
          <w:rFonts w:eastAsia="Calibri"/>
          <w:lang w:val="es-DO"/>
        </w:rPr>
        <w:t>gías de la Información y Comu</w:t>
      </w:r>
      <w:r>
        <w:rPr>
          <w:rFonts w:eastAsia="Calibri"/>
          <w:lang w:val="es-DO"/>
        </w:rPr>
        <w:t>nicación.</w:t>
      </w:r>
    </w:p>
    <w:p w14:paraId="4D9F4FEC" w14:textId="77777777" w:rsidR="00774BBC" w:rsidRDefault="00774BBC" w:rsidP="00774BBC">
      <w:pPr>
        <w:spacing w:before="240" w:after="240" w:line="360" w:lineRule="auto"/>
        <w:jc w:val="both"/>
        <w:rPr>
          <w:rFonts w:eastAsia="Calibri"/>
          <w:lang w:val="es-DO"/>
        </w:rPr>
      </w:pPr>
      <w:r>
        <w:rPr>
          <w:rFonts w:eastAsia="Calibri"/>
          <w:lang w:val="es-DO"/>
        </w:rPr>
        <w:t xml:space="preserve">De los concursos publicados, </w:t>
      </w:r>
      <w:r w:rsidRPr="00F2783D">
        <w:rPr>
          <w:rFonts w:eastAsia="Calibri"/>
          <w:lang w:val="es-DO"/>
        </w:rPr>
        <w:t xml:space="preserve">dos (02) </w:t>
      </w:r>
      <w:r>
        <w:rPr>
          <w:rFonts w:eastAsia="Calibri"/>
          <w:lang w:val="es-DO"/>
        </w:rPr>
        <w:t xml:space="preserve">se encuentran </w:t>
      </w:r>
      <w:r w:rsidRPr="00F2783D">
        <w:rPr>
          <w:rFonts w:eastAsia="Calibri"/>
          <w:lang w:val="es-DO"/>
        </w:rPr>
        <w:t>en la fase de aplicación de evaluación por competencias</w:t>
      </w:r>
      <w:r>
        <w:rPr>
          <w:rFonts w:eastAsia="Calibri"/>
          <w:lang w:val="es-DO"/>
        </w:rPr>
        <w:t>, tres</w:t>
      </w:r>
      <w:r w:rsidRPr="00F2783D">
        <w:rPr>
          <w:rFonts w:eastAsia="Calibri"/>
          <w:lang w:val="es-DO"/>
        </w:rPr>
        <w:t xml:space="preserve"> (0</w:t>
      </w:r>
      <w:r>
        <w:rPr>
          <w:rFonts w:eastAsia="Calibri"/>
          <w:lang w:val="es-DO"/>
        </w:rPr>
        <w:t>3</w:t>
      </w:r>
      <w:r w:rsidRPr="00F2783D">
        <w:rPr>
          <w:rFonts w:eastAsia="Calibri"/>
          <w:lang w:val="es-DO"/>
        </w:rPr>
        <w:t xml:space="preserve">) en </w:t>
      </w:r>
      <w:r>
        <w:rPr>
          <w:rFonts w:eastAsia="Calibri"/>
          <w:lang w:val="es-DO"/>
        </w:rPr>
        <w:t>aplicación de la prueba técnica</w:t>
      </w:r>
      <w:r w:rsidRPr="00F2783D">
        <w:rPr>
          <w:rFonts w:eastAsia="Calibri"/>
          <w:lang w:val="es-DO"/>
        </w:rPr>
        <w:t xml:space="preserve"> </w:t>
      </w:r>
      <w:r>
        <w:rPr>
          <w:rFonts w:eastAsia="Calibri"/>
          <w:lang w:val="es-DO"/>
        </w:rPr>
        <w:t xml:space="preserve">y </w:t>
      </w:r>
      <w:r w:rsidRPr="00F2783D">
        <w:rPr>
          <w:rFonts w:eastAsia="Calibri"/>
          <w:lang w:val="es-DO"/>
        </w:rPr>
        <w:t>tres (03)</w:t>
      </w:r>
      <w:r>
        <w:rPr>
          <w:rFonts w:eastAsia="Calibri"/>
          <w:lang w:val="es-DO"/>
        </w:rPr>
        <w:t xml:space="preserve"> han concluido, en lo que resta del año estaremos dando cierre a los concursos pendientes. </w:t>
      </w:r>
    </w:p>
    <w:p w14:paraId="04659BF0" w14:textId="77777777" w:rsidR="00381F1B" w:rsidRDefault="00774BBC" w:rsidP="00381F1B">
      <w:pPr>
        <w:jc w:val="center"/>
        <w:rPr>
          <w:b/>
          <w:bCs/>
          <w:sz w:val="18"/>
          <w:szCs w:val="18"/>
          <w:lang w:val="es-DO"/>
        </w:rPr>
      </w:pPr>
      <w:r>
        <w:rPr>
          <w:rFonts w:eastAsia="Calibri"/>
          <w:noProof/>
          <w:lang w:val="es-DO"/>
        </w:rPr>
        <w:drawing>
          <wp:inline distT="0" distB="0" distL="0" distR="0" wp14:anchorId="6B202275" wp14:editId="4FC09FF6">
            <wp:extent cx="4880799" cy="2486660"/>
            <wp:effectExtent l="0" t="0" r="15240" b="8890"/>
            <wp:docPr id="272062490"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E07CDC0" w14:textId="687A4524" w:rsidR="00DB3220" w:rsidRPr="00381F1B" w:rsidRDefault="00DB3220" w:rsidP="00381F1B">
      <w:pPr>
        <w:rPr>
          <w:lang w:val="es-DO"/>
        </w:rPr>
      </w:pPr>
      <w:r w:rsidRPr="00DB3220">
        <w:rPr>
          <w:b/>
          <w:bCs/>
          <w:sz w:val="18"/>
          <w:szCs w:val="18"/>
          <w:lang w:val="es-DO"/>
        </w:rPr>
        <w:t>Gráfico</w:t>
      </w:r>
      <w:r w:rsidR="009E6B75">
        <w:rPr>
          <w:b/>
          <w:bCs/>
          <w:sz w:val="18"/>
          <w:szCs w:val="18"/>
          <w:lang w:val="es-DO"/>
        </w:rPr>
        <w:t xml:space="preserve"> </w:t>
      </w:r>
      <w:r w:rsidRPr="00DB3220">
        <w:rPr>
          <w:b/>
          <w:bCs/>
          <w:sz w:val="18"/>
          <w:szCs w:val="18"/>
          <w:lang w:val="es-DO"/>
        </w:rPr>
        <w:t>1</w:t>
      </w:r>
      <w:r w:rsidR="00AE7972">
        <w:rPr>
          <w:b/>
          <w:bCs/>
          <w:sz w:val="18"/>
          <w:szCs w:val="18"/>
          <w:lang w:val="es-DO"/>
        </w:rPr>
        <w:t>1</w:t>
      </w:r>
      <w:r w:rsidRPr="00DB3220">
        <w:rPr>
          <w:sz w:val="18"/>
          <w:szCs w:val="18"/>
          <w:lang w:val="es-DO"/>
        </w:rPr>
        <w:t>: Nombramiento provisionales</w:t>
      </w:r>
    </w:p>
    <w:p w14:paraId="67F59300" w14:textId="77777777" w:rsidR="00774BBC" w:rsidRPr="00381F1B" w:rsidRDefault="00774BBC" w:rsidP="00077BB6">
      <w:pPr>
        <w:spacing w:line="360" w:lineRule="auto"/>
        <w:jc w:val="both"/>
        <w:rPr>
          <w:rFonts w:eastAsia="Calibri"/>
          <w:noProof/>
          <w:lang w:val="es-DO"/>
        </w:rPr>
      </w:pPr>
      <w:r w:rsidRPr="00381F1B">
        <w:rPr>
          <w:rFonts w:eastAsia="Calibri"/>
          <w:noProof/>
          <w:lang w:val="es-DO"/>
        </w:rPr>
        <w:t xml:space="preserve">Al término de este período se han nombrado provisionalmente a once (11) servidores, estos nombramientos corresponden a concursos concluidos en los años 2022 y 2023, de estos nombramientos provisionales, cinco (05) son colaboradores TSS. </w:t>
      </w:r>
    </w:p>
    <w:p w14:paraId="531547BB" w14:textId="77777777" w:rsidR="00774BBC" w:rsidRPr="00381F1B" w:rsidRDefault="00774BBC" w:rsidP="00077BB6">
      <w:pPr>
        <w:spacing w:line="360" w:lineRule="auto"/>
        <w:jc w:val="both"/>
        <w:rPr>
          <w:rFonts w:eastAsia="Calibri"/>
          <w:noProof/>
          <w:lang w:val="es-DO"/>
        </w:rPr>
      </w:pPr>
      <w:r w:rsidRPr="00381F1B">
        <w:rPr>
          <w:rFonts w:eastAsia="Calibri"/>
          <w:noProof/>
          <w:lang w:val="es-DO"/>
        </w:rPr>
        <w:lastRenderedPageBreak/>
        <w:t>Cumpliendo con lo establecido en el Art. No. 46 del Reglamento no. 251-15, nuestra institución ha solicitado al Ministerio de Administración Pública, MAP, la utilización de registros de elegibles de concursos propios de la TSS, nueve (09) de estos nombramientos provisionales corresponden a esta modalidad.</w:t>
      </w:r>
    </w:p>
    <w:p w14:paraId="2688C4E0" w14:textId="228F6E2F" w:rsidR="00774BBC" w:rsidRDefault="004A25A0" w:rsidP="00077BB6">
      <w:pPr>
        <w:spacing w:line="360" w:lineRule="auto"/>
        <w:jc w:val="both"/>
        <w:rPr>
          <w:rFonts w:eastAsia="Calibri"/>
          <w:noProof/>
          <w:lang w:val="es-DO"/>
        </w:rPr>
      </w:pPr>
      <w:r>
        <w:rPr>
          <w:noProof/>
          <w:spacing w:val="0"/>
          <w:lang w:val="es-DO"/>
        </w:rPr>
        <w:drawing>
          <wp:anchor distT="0" distB="0" distL="114300" distR="114300" simplePos="0" relativeHeight="251674660" behindDoc="0" locked="0" layoutInCell="1" allowOverlap="1" wp14:anchorId="6C89CEEA" wp14:editId="576FFA61">
            <wp:simplePos x="0" y="0"/>
            <wp:positionH relativeFrom="margin">
              <wp:posOffset>-19050</wp:posOffset>
            </wp:positionH>
            <wp:positionV relativeFrom="paragraph">
              <wp:posOffset>2032000</wp:posOffset>
            </wp:positionV>
            <wp:extent cx="4895850" cy="2713355"/>
            <wp:effectExtent l="0" t="0" r="0" b="10795"/>
            <wp:wrapSquare wrapText="bothSides"/>
            <wp:docPr id="148274799"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774BBC" w:rsidRPr="00381F1B">
        <w:rPr>
          <w:rFonts w:eastAsia="Calibri"/>
          <w:noProof/>
          <w:lang w:val="es-DO"/>
        </w:rPr>
        <w:t>De igual manera, fueron nombrados de manera definitiva veintitcuatro (24) servidores de concursos concluidos en los años 2022 y 2023. De estos nombramientos, catorce (14) corresponden a colaboradores de la TSS, recordando que, para ser acreditado como Servidor de Carrera estos colaboradores superaron satisfactoriamente el período probatorio estipulado para cada grupo ocupacional.</w:t>
      </w:r>
    </w:p>
    <w:p w14:paraId="0BC27311" w14:textId="72D2640B" w:rsidR="00771010" w:rsidRPr="00DB3220" w:rsidRDefault="00DB3220" w:rsidP="00A02E84">
      <w:pPr>
        <w:spacing w:before="240" w:after="0" w:line="360" w:lineRule="auto"/>
        <w:ind w:right="-180"/>
        <w:jc w:val="both"/>
        <w:rPr>
          <w:rFonts w:eastAsia="Calibri"/>
          <w:noProof/>
          <w:color w:val="808080" w:themeColor="background1" w:themeShade="80"/>
          <w:sz w:val="18"/>
          <w:szCs w:val="18"/>
          <w:lang w:val="es-DO"/>
        </w:rPr>
      </w:pPr>
      <w:r w:rsidRPr="00DB3220">
        <w:rPr>
          <w:rFonts w:eastAsia="Calibri"/>
          <w:b/>
          <w:bCs/>
          <w:noProof/>
          <w:color w:val="808080" w:themeColor="background1" w:themeShade="80"/>
          <w:sz w:val="18"/>
          <w:szCs w:val="18"/>
          <w:lang w:val="es-DO"/>
        </w:rPr>
        <w:t xml:space="preserve">Gráfico </w:t>
      </w:r>
      <w:r w:rsidR="009E6B75">
        <w:rPr>
          <w:rFonts w:eastAsia="Calibri"/>
          <w:b/>
          <w:bCs/>
          <w:noProof/>
          <w:color w:val="808080" w:themeColor="background1" w:themeShade="80"/>
          <w:sz w:val="18"/>
          <w:szCs w:val="18"/>
          <w:lang w:val="es-DO"/>
        </w:rPr>
        <w:t>1</w:t>
      </w:r>
      <w:r w:rsidR="00AE7972">
        <w:rPr>
          <w:rFonts w:eastAsia="Calibri"/>
          <w:b/>
          <w:bCs/>
          <w:noProof/>
          <w:color w:val="808080" w:themeColor="background1" w:themeShade="80"/>
          <w:sz w:val="18"/>
          <w:szCs w:val="18"/>
          <w:lang w:val="es-DO"/>
        </w:rPr>
        <w:t>2</w:t>
      </w:r>
      <w:r w:rsidRPr="00DB3220">
        <w:rPr>
          <w:rFonts w:eastAsia="Calibri"/>
          <w:b/>
          <w:bCs/>
          <w:noProof/>
          <w:color w:val="808080" w:themeColor="background1" w:themeShade="80"/>
          <w:sz w:val="18"/>
          <w:szCs w:val="18"/>
          <w:lang w:val="es-DO"/>
        </w:rPr>
        <w:t>:</w:t>
      </w:r>
      <w:r w:rsidRPr="00DB3220">
        <w:rPr>
          <w:rFonts w:eastAsia="Calibri"/>
          <w:noProof/>
          <w:color w:val="808080" w:themeColor="background1" w:themeShade="80"/>
          <w:sz w:val="18"/>
          <w:szCs w:val="18"/>
          <w:lang w:val="es-DO"/>
        </w:rPr>
        <w:t xml:space="preserve"> Nombramientos Definitivos</w:t>
      </w:r>
    </w:p>
    <w:p w14:paraId="2AF0E784" w14:textId="77777777" w:rsidR="00F20655" w:rsidRDefault="00F20655" w:rsidP="00F20655">
      <w:pPr>
        <w:spacing w:after="0"/>
        <w:rPr>
          <w:b/>
          <w:bCs/>
          <w:lang w:val="es-DO"/>
        </w:rPr>
      </w:pPr>
      <w:bookmarkStart w:id="106" w:name="_Toc171677837"/>
      <w:bookmarkStart w:id="107" w:name="_Toc172118696"/>
      <w:bookmarkStart w:id="108" w:name="_Toc172119849"/>
      <w:bookmarkStart w:id="109" w:name="_Toc172120182"/>
      <w:bookmarkStart w:id="110" w:name="_Toc172121400"/>
      <w:bookmarkStart w:id="111" w:name="_Toc139461514"/>
      <w:bookmarkStart w:id="112" w:name="_Toc140587651"/>
      <w:bookmarkStart w:id="113" w:name="_Toc172121424"/>
      <w:bookmarkStart w:id="114" w:name="_Toc171677876"/>
      <w:bookmarkStart w:id="115" w:name="_Toc172119881"/>
      <w:bookmarkStart w:id="116" w:name="_Toc172120214"/>
      <w:bookmarkStart w:id="117" w:name="_Toc172121432"/>
    </w:p>
    <w:p w14:paraId="6066F671" w14:textId="7E660593" w:rsidR="00774BBC" w:rsidRPr="00F20655" w:rsidRDefault="00774BBC" w:rsidP="00F20655">
      <w:pPr>
        <w:rPr>
          <w:b/>
          <w:bCs/>
          <w:lang w:val="es-DO"/>
        </w:rPr>
      </w:pPr>
      <w:r w:rsidRPr="00F20655">
        <w:rPr>
          <w:b/>
          <w:bCs/>
          <w:lang w:val="es-DO"/>
        </w:rPr>
        <w:t>Subsistema de Reclutamiento y Selección</w:t>
      </w:r>
      <w:bookmarkEnd w:id="106"/>
      <w:bookmarkEnd w:id="107"/>
      <w:bookmarkEnd w:id="108"/>
      <w:bookmarkEnd w:id="109"/>
      <w:bookmarkEnd w:id="110"/>
    </w:p>
    <w:p w14:paraId="265D1AF5" w14:textId="77777777" w:rsidR="002030EE" w:rsidRPr="00F2783D" w:rsidRDefault="002030EE" w:rsidP="002030EE">
      <w:pPr>
        <w:spacing w:before="240" w:after="0" w:line="360" w:lineRule="auto"/>
        <w:jc w:val="both"/>
        <w:rPr>
          <w:rFonts w:eastAsia="Calibri"/>
          <w:noProof/>
          <w:lang w:val="es-DO"/>
        </w:rPr>
      </w:pPr>
      <w:r w:rsidRPr="00F2783D">
        <w:rPr>
          <w:rFonts w:eastAsia="Calibri"/>
          <w:noProof/>
          <w:lang w:val="es-DO"/>
        </w:rPr>
        <w:t xml:space="preserve">Para los Grupos Ocupacionales I (Servicios Generales) y II (Supervisión y Apoyo), Temporeros y Personal de Confianza se realiza el reclutamiento mediante los procedimientos establecidos para estos fines, este tiene como objetivo proveer el personal idóneo y suplir las vacantes aprobadas en nuestra planificación de servicios personales, las generadas por salidas, creaciones de </w:t>
      </w:r>
      <w:r w:rsidRPr="00F2783D">
        <w:rPr>
          <w:rFonts w:eastAsia="Calibri"/>
          <w:noProof/>
          <w:lang w:val="es-DO"/>
        </w:rPr>
        <w:lastRenderedPageBreak/>
        <w:t xml:space="preserve">puestos, para cubrir licencias, entre otros, con la previa aprobación de la Máxima Autoridad. </w:t>
      </w:r>
    </w:p>
    <w:p w14:paraId="5CDFEEFC" w14:textId="2F73CB8D" w:rsidR="002030EE" w:rsidRDefault="0085579D" w:rsidP="002030EE">
      <w:pPr>
        <w:spacing w:before="240" w:after="0" w:line="360" w:lineRule="auto"/>
        <w:jc w:val="both"/>
        <w:rPr>
          <w:rFonts w:eastAsia="Calibri"/>
          <w:noProof/>
          <w:lang w:val="es-DO"/>
        </w:rPr>
      </w:pPr>
      <w:r>
        <w:rPr>
          <w:rFonts w:eastAsia="Calibri"/>
          <w:noProof/>
          <w:lang w:val="es-DO"/>
        </w:rPr>
        <w:drawing>
          <wp:anchor distT="0" distB="0" distL="114300" distR="114300" simplePos="0" relativeHeight="251676708" behindDoc="0" locked="0" layoutInCell="1" allowOverlap="1" wp14:anchorId="69427DAF" wp14:editId="6D5B4D4F">
            <wp:simplePos x="0" y="0"/>
            <wp:positionH relativeFrom="margin">
              <wp:align>right</wp:align>
            </wp:positionH>
            <wp:positionV relativeFrom="paragraph">
              <wp:posOffset>1360170</wp:posOffset>
            </wp:positionV>
            <wp:extent cx="4819650" cy="2574290"/>
            <wp:effectExtent l="0" t="0" r="0" b="16510"/>
            <wp:wrapSquare wrapText="bothSides"/>
            <wp:docPr id="186059313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002030EE" w:rsidRPr="00F2783D">
        <w:rPr>
          <w:rFonts w:eastAsia="Calibri"/>
          <w:noProof/>
          <w:lang w:val="es-DO"/>
        </w:rPr>
        <w:t xml:space="preserve">El total general de ingresos de colaboradores en la TSS mediante </w:t>
      </w:r>
      <w:r w:rsidR="002030EE" w:rsidRPr="00F2783D">
        <w:rPr>
          <w:rFonts w:eastAsia="Calibri"/>
          <w:noProof/>
          <w:color w:val="808080" w:themeColor="background1" w:themeShade="80"/>
          <w:lang w:val="es-DO"/>
        </w:rPr>
        <w:t xml:space="preserve">concursos públicos, </w:t>
      </w:r>
      <w:r w:rsidR="002030EE" w:rsidRPr="00F2783D">
        <w:rPr>
          <w:rFonts w:eastAsia="Calibri"/>
          <w:noProof/>
          <w:lang w:val="es-DO"/>
        </w:rPr>
        <w:t>fijos y temporeros asciende a vei</w:t>
      </w:r>
      <w:r w:rsidR="002030EE">
        <w:rPr>
          <w:rFonts w:eastAsia="Calibri"/>
          <w:noProof/>
          <w:lang w:val="es-DO"/>
        </w:rPr>
        <w:t>n</w:t>
      </w:r>
      <w:r w:rsidR="002030EE" w:rsidRPr="00F2783D">
        <w:rPr>
          <w:rFonts w:eastAsia="Calibri"/>
          <w:noProof/>
          <w:lang w:val="es-DO"/>
        </w:rPr>
        <w:t>ti</w:t>
      </w:r>
      <w:r w:rsidR="002030EE">
        <w:rPr>
          <w:rFonts w:eastAsia="Calibri"/>
          <w:noProof/>
          <w:lang w:val="es-DO"/>
        </w:rPr>
        <w:t>ocho</w:t>
      </w:r>
      <w:r w:rsidR="002030EE" w:rsidRPr="00F2783D">
        <w:rPr>
          <w:rFonts w:eastAsia="Calibri"/>
          <w:noProof/>
          <w:lang w:val="es-DO"/>
        </w:rPr>
        <w:t xml:space="preserve"> (2</w:t>
      </w:r>
      <w:r w:rsidR="002030EE">
        <w:rPr>
          <w:rFonts w:eastAsia="Calibri"/>
          <w:noProof/>
          <w:lang w:val="es-DO"/>
        </w:rPr>
        <w:t>8</w:t>
      </w:r>
      <w:r w:rsidR="002030EE" w:rsidRPr="00F2783D">
        <w:rPr>
          <w:rFonts w:eastAsia="Calibri"/>
          <w:noProof/>
          <w:lang w:val="es-DO"/>
        </w:rPr>
        <w:t>) colaboradores</w:t>
      </w:r>
      <w:r w:rsidR="002030EE">
        <w:rPr>
          <w:rFonts w:eastAsia="Calibri"/>
          <w:noProof/>
          <w:lang w:val="es-DO"/>
        </w:rPr>
        <w:t>, o</w:t>
      </w:r>
      <w:r w:rsidR="002030EE" w:rsidRPr="00F2783D">
        <w:rPr>
          <w:rFonts w:eastAsia="Calibri"/>
          <w:noProof/>
          <w:lang w:val="es-DO"/>
        </w:rPr>
        <w:t xml:space="preserve">bteniendo así la  Dirección </w:t>
      </w:r>
      <w:r w:rsidR="002030EE">
        <w:rPr>
          <w:rFonts w:eastAsia="Calibri"/>
          <w:noProof/>
          <w:lang w:val="es-DO"/>
        </w:rPr>
        <w:t>Adminsitrativa</w:t>
      </w:r>
      <w:r w:rsidR="002030EE" w:rsidRPr="00F2783D">
        <w:rPr>
          <w:rFonts w:eastAsia="Calibri"/>
          <w:noProof/>
          <w:lang w:val="es-DO"/>
        </w:rPr>
        <w:t xml:space="preserve"> el mayor crecimient</w:t>
      </w:r>
      <w:r w:rsidR="002030EE">
        <w:rPr>
          <w:rFonts w:eastAsia="Calibri"/>
          <w:noProof/>
          <w:lang w:val="es-DO"/>
        </w:rPr>
        <w:t xml:space="preserve">o con 7 ingresos. </w:t>
      </w:r>
    </w:p>
    <w:p w14:paraId="15884F87" w14:textId="41EA02D2" w:rsidR="00DB3220" w:rsidRPr="00DB3220" w:rsidRDefault="00DB3220" w:rsidP="001309C4">
      <w:pPr>
        <w:spacing w:before="240" w:after="0" w:line="360" w:lineRule="auto"/>
        <w:jc w:val="both"/>
        <w:rPr>
          <w:rFonts w:eastAsia="Calibri"/>
          <w:noProof/>
          <w:sz w:val="18"/>
          <w:szCs w:val="18"/>
          <w:lang w:val="es-DO"/>
        </w:rPr>
      </w:pPr>
      <w:r>
        <w:rPr>
          <w:rFonts w:eastAsia="Calibri"/>
          <w:b/>
          <w:bCs/>
          <w:noProof/>
          <w:sz w:val="18"/>
          <w:szCs w:val="18"/>
          <w:lang w:val="es-DO"/>
        </w:rPr>
        <w:t xml:space="preserve"> </w:t>
      </w:r>
      <w:r w:rsidRPr="00DB3220">
        <w:rPr>
          <w:rFonts w:eastAsia="Calibri"/>
          <w:b/>
          <w:bCs/>
          <w:noProof/>
          <w:sz w:val="18"/>
          <w:szCs w:val="18"/>
          <w:lang w:val="es-DO"/>
        </w:rPr>
        <w:t xml:space="preserve">Gráfico </w:t>
      </w:r>
      <w:r w:rsidR="009E6B75">
        <w:rPr>
          <w:rFonts w:eastAsia="Calibri"/>
          <w:b/>
          <w:bCs/>
          <w:noProof/>
          <w:sz w:val="18"/>
          <w:szCs w:val="18"/>
          <w:lang w:val="es-DO"/>
        </w:rPr>
        <w:t>1</w:t>
      </w:r>
      <w:r w:rsidR="008D600F">
        <w:rPr>
          <w:rFonts w:eastAsia="Calibri"/>
          <w:b/>
          <w:bCs/>
          <w:noProof/>
          <w:sz w:val="18"/>
          <w:szCs w:val="18"/>
          <w:lang w:val="es-DO"/>
        </w:rPr>
        <w:t>3</w:t>
      </w:r>
      <w:r w:rsidRPr="00DB3220">
        <w:rPr>
          <w:rFonts w:eastAsia="Calibri"/>
          <w:b/>
          <w:bCs/>
          <w:noProof/>
          <w:sz w:val="18"/>
          <w:szCs w:val="18"/>
          <w:lang w:val="es-DO"/>
        </w:rPr>
        <w:t>:</w:t>
      </w:r>
      <w:r w:rsidRPr="00DB3220">
        <w:rPr>
          <w:rFonts w:eastAsia="Calibri"/>
          <w:noProof/>
          <w:sz w:val="18"/>
          <w:szCs w:val="18"/>
          <w:lang w:val="es-DO"/>
        </w:rPr>
        <w:t xml:space="preserve"> Personal Nuevo Ingreso</w:t>
      </w:r>
    </w:p>
    <w:p w14:paraId="5414A371" w14:textId="56C0A004" w:rsidR="002030EE" w:rsidRDefault="002030EE" w:rsidP="0067168A">
      <w:pPr>
        <w:spacing w:before="240" w:after="0" w:line="360" w:lineRule="auto"/>
        <w:jc w:val="both"/>
        <w:rPr>
          <w:rFonts w:eastAsia="Calibri"/>
          <w:noProof/>
          <w:lang w:val="es-DO"/>
        </w:rPr>
      </w:pPr>
      <w:r>
        <w:rPr>
          <w:rFonts w:eastAsia="Calibri"/>
          <w:noProof/>
          <w:lang w:val="es-DO"/>
        </w:rPr>
        <w:t xml:space="preserve">Concluimos el año 2024 con 344 colaboradores </w:t>
      </w:r>
      <w:r w:rsidR="00287F98">
        <w:rPr>
          <w:rFonts w:eastAsia="Calibri"/>
          <w:noProof/>
          <w:lang w:val="es-DO"/>
        </w:rPr>
        <w:t>v</w:t>
      </w:r>
      <w:r>
        <w:rPr>
          <w:rFonts w:eastAsia="Calibri"/>
          <w:noProof/>
          <w:lang w:val="es-DO"/>
        </w:rPr>
        <w:t>s</w:t>
      </w:r>
      <w:r w:rsidR="00287F98">
        <w:rPr>
          <w:rFonts w:eastAsia="Calibri"/>
          <w:noProof/>
          <w:lang w:val="es-DO"/>
        </w:rPr>
        <w:t>.</w:t>
      </w:r>
      <w:r>
        <w:rPr>
          <w:rFonts w:eastAsia="Calibri"/>
          <w:noProof/>
          <w:lang w:val="es-DO"/>
        </w:rPr>
        <w:t xml:space="preserve"> el año 2023 con un total 332 colaboradores, lo que representa un incremento de 3.48%.</w:t>
      </w:r>
    </w:p>
    <w:p w14:paraId="79E433B3" w14:textId="77777777" w:rsidR="00901D00" w:rsidRPr="000E5F9E" w:rsidRDefault="00901D00" w:rsidP="00901D00">
      <w:pPr>
        <w:spacing w:after="0" w:line="360" w:lineRule="auto"/>
        <w:jc w:val="both"/>
        <w:rPr>
          <w:rFonts w:eastAsia="Calibri"/>
          <w:noProof/>
          <w:lang w:val="es-DO"/>
        </w:rPr>
      </w:pPr>
    </w:p>
    <w:p w14:paraId="36CF0416" w14:textId="6156E1AB" w:rsidR="002030EE" w:rsidRPr="00BC081A" w:rsidRDefault="002030EE" w:rsidP="0067168A">
      <w:pPr>
        <w:spacing w:line="360" w:lineRule="auto"/>
        <w:rPr>
          <w:b/>
          <w:bCs/>
          <w:lang w:val="es-DO"/>
        </w:rPr>
      </w:pPr>
      <w:bookmarkStart w:id="118" w:name="_Toc171677838"/>
      <w:bookmarkStart w:id="119" w:name="_Toc172118697"/>
      <w:bookmarkStart w:id="120" w:name="_Toc172119850"/>
      <w:bookmarkStart w:id="121" w:name="_Toc172120183"/>
      <w:bookmarkStart w:id="122" w:name="_Toc172121401"/>
      <w:r w:rsidRPr="00BC081A">
        <w:rPr>
          <w:b/>
          <w:bCs/>
          <w:lang w:val="es-DO"/>
        </w:rPr>
        <w:t>Movimientos del Personal</w:t>
      </w:r>
      <w:bookmarkEnd w:id="118"/>
      <w:bookmarkEnd w:id="119"/>
      <w:bookmarkEnd w:id="120"/>
      <w:bookmarkEnd w:id="121"/>
      <w:bookmarkEnd w:id="122"/>
    </w:p>
    <w:p w14:paraId="2FC9F4C5" w14:textId="36693222" w:rsidR="002030EE" w:rsidRPr="00C112DC" w:rsidRDefault="002030EE" w:rsidP="0067168A">
      <w:pPr>
        <w:spacing w:line="360" w:lineRule="auto"/>
        <w:jc w:val="both"/>
        <w:rPr>
          <w:rFonts w:eastAsia="Calibri"/>
          <w:noProof/>
          <w:lang w:val="es-DO"/>
        </w:rPr>
      </w:pPr>
      <w:r w:rsidRPr="00C112DC">
        <w:rPr>
          <w:rFonts w:eastAsia="Calibri"/>
          <w:noProof/>
          <w:lang w:val="es-DO"/>
        </w:rPr>
        <w:t>En la TSS apostamos al talento y a las c</w:t>
      </w:r>
      <w:r>
        <w:rPr>
          <w:rFonts w:eastAsia="Calibri"/>
          <w:noProof/>
          <w:lang w:val="es-DO"/>
        </w:rPr>
        <w:t>ompetencias</w:t>
      </w:r>
      <w:r w:rsidRPr="00C112DC">
        <w:rPr>
          <w:rFonts w:eastAsia="Calibri"/>
          <w:noProof/>
          <w:lang w:val="es-DO"/>
        </w:rPr>
        <w:t xml:space="preserve"> que poseen nuestros colaboradores, valoramos el buen desempeño, compromiso e identificación con la filosofía institucional</w:t>
      </w:r>
      <w:r>
        <w:rPr>
          <w:rFonts w:eastAsia="Calibri"/>
          <w:noProof/>
          <w:lang w:val="es-DO"/>
        </w:rPr>
        <w:t xml:space="preserve"> y</w:t>
      </w:r>
      <w:r w:rsidRPr="00C112DC">
        <w:rPr>
          <w:rFonts w:eastAsia="Calibri"/>
          <w:noProof/>
          <w:lang w:val="es-DO"/>
        </w:rPr>
        <w:t xml:space="preserve"> es por esto</w:t>
      </w:r>
      <w:r>
        <w:rPr>
          <w:rFonts w:eastAsia="Calibri"/>
          <w:noProof/>
          <w:lang w:val="es-DO"/>
        </w:rPr>
        <w:t xml:space="preserve">, </w:t>
      </w:r>
      <w:r w:rsidRPr="00C112DC">
        <w:rPr>
          <w:rFonts w:eastAsia="Calibri"/>
          <w:noProof/>
          <w:lang w:val="es-DO"/>
        </w:rPr>
        <w:t xml:space="preserve">que al momento de poseer cargos vacantes le brindamos la oportunidad al personal de aplicar y participar mediante concursos internos para los cargos del grupo ocupacional II o la posibilidad de ocupar cargos con vocación de carrera mediante los interinatos y suplencias. </w:t>
      </w:r>
    </w:p>
    <w:p w14:paraId="71BFE668" w14:textId="77777777" w:rsidR="002030EE" w:rsidRDefault="002030EE" w:rsidP="007A47B2">
      <w:pPr>
        <w:spacing w:line="360" w:lineRule="auto"/>
        <w:jc w:val="both"/>
        <w:rPr>
          <w:rFonts w:eastAsia="Calibri"/>
          <w:noProof/>
          <w:lang w:val="es-DO"/>
        </w:rPr>
      </w:pPr>
      <w:r>
        <w:rPr>
          <w:rFonts w:eastAsia="Calibri"/>
          <w:noProof/>
          <w:lang w:val="es-DO"/>
        </w:rPr>
        <w:lastRenderedPageBreak/>
        <w:t>En este año f</w:t>
      </w:r>
      <w:r w:rsidRPr="00F2783D">
        <w:rPr>
          <w:rFonts w:eastAsia="Calibri"/>
          <w:noProof/>
          <w:lang w:val="es-DO"/>
        </w:rPr>
        <w:t xml:space="preserve">ueron promovidos seis (06) colaboradores pertenecientes a las Direcciones Administrativa y  Servicios, </w:t>
      </w:r>
      <w:r>
        <w:rPr>
          <w:rFonts w:eastAsia="Calibri"/>
          <w:noProof/>
          <w:lang w:val="es-DO"/>
        </w:rPr>
        <w:t>a su vez,</w:t>
      </w:r>
      <w:r w:rsidRPr="00F2783D">
        <w:rPr>
          <w:rFonts w:eastAsia="Calibri"/>
          <w:noProof/>
          <w:lang w:val="es-DO"/>
        </w:rPr>
        <w:t xml:space="preserve"> catorce (14)  colaboradores fueron nombrados de manera interina para ocupar cargos </w:t>
      </w:r>
      <w:r>
        <w:rPr>
          <w:rFonts w:eastAsia="Calibri"/>
          <w:noProof/>
          <w:lang w:val="es-DO"/>
        </w:rPr>
        <w:t xml:space="preserve">correspondientes a </w:t>
      </w:r>
      <w:r w:rsidRPr="00F2783D">
        <w:rPr>
          <w:rFonts w:eastAsia="Calibri"/>
          <w:noProof/>
          <w:lang w:val="es-DO"/>
        </w:rPr>
        <w:t>los grupos ocupacionales III, IV y V, estos pertenecen a las Direcciones Financiera, Recursos Humanos, Servicios,  Fiscalización Externa, Tecnologías de la Información y Comunicación y Gerencia</w:t>
      </w:r>
      <w:r>
        <w:rPr>
          <w:rFonts w:eastAsia="Calibri"/>
          <w:noProof/>
          <w:lang w:val="es-DO"/>
        </w:rPr>
        <w:t>.</w:t>
      </w:r>
    </w:p>
    <w:p w14:paraId="4640EDEB" w14:textId="3755FD89" w:rsidR="002030EE" w:rsidRDefault="002030EE" w:rsidP="007A47B2">
      <w:pPr>
        <w:spacing w:line="360" w:lineRule="auto"/>
        <w:jc w:val="both"/>
        <w:rPr>
          <w:rFonts w:eastAsia="Calibri"/>
          <w:noProof/>
          <w:lang w:val="es-DO"/>
        </w:rPr>
      </w:pPr>
      <w:r>
        <w:rPr>
          <w:rFonts w:eastAsia="Calibri"/>
          <w:noProof/>
          <w:lang w:val="es-DO"/>
        </w:rPr>
        <w:t xml:space="preserve">Mediante suplencia, </w:t>
      </w:r>
      <w:r w:rsidRPr="00F2783D">
        <w:rPr>
          <w:rFonts w:eastAsia="Calibri"/>
          <w:noProof/>
          <w:lang w:val="es-DO"/>
        </w:rPr>
        <w:t xml:space="preserve">seis (06) </w:t>
      </w:r>
      <w:r>
        <w:rPr>
          <w:rFonts w:eastAsia="Calibri"/>
          <w:noProof/>
          <w:lang w:val="es-DO"/>
        </w:rPr>
        <w:t xml:space="preserve">servidores de carrera </w:t>
      </w:r>
      <w:r w:rsidRPr="00F2783D">
        <w:rPr>
          <w:rFonts w:eastAsia="Calibri"/>
          <w:noProof/>
          <w:lang w:val="es-DO"/>
        </w:rPr>
        <w:t>fueron nombrados para ocupar cargos de los grupos ocupacionales IV y V, los cuales pertenecen a las Direcciones Jurídica, Planificación y Desarrollo, Recursos Humanos y Servicios.</w:t>
      </w:r>
    </w:p>
    <w:p w14:paraId="43F42E08" w14:textId="5554C829" w:rsidR="002030EE" w:rsidRPr="00BC081A" w:rsidRDefault="002030EE" w:rsidP="00BC081A">
      <w:pPr>
        <w:spacing w:line="360" w:lineRule="auto"/>
        <w:rPr>
          <w:b/>
          <w:bCs/>
          <w:lang w:val="es-DO"/>
        </w:rPr>
      </w:pPr>
      <w:bookmarkStart w:id="123" w:name="_Toc171677839"/>
      <w:bookmarkStart w:id="124" w:name="_Toc172118698"/>
      <w:bookmarkStart w:id="125" w:name="_Toc172119851"/>
      <w:bookmarkStart w:id="126" w:name="_Toc172120184"/>
      <w:bookmarkStart w:id="127" w:name="_Toc172121402"/>
      <w:r w:rsidRPr="00BC081A">
        <w:rPr>
          <w:b/>
          <w:bCs/>
          <w:lang w:val="es-DO"/>
        </w:rPr>
        <w:t>Cantidad de mujeres y hombres por grupo ocupacional.</w:t>
      </w:r>
      <w:bookmarkEnd w:id="123"/>
      <w:bookmarkEnd w:id="124"/>
      <w:bookmarkEnd w:id="125"/>
      <w:bookmarkEnd w:id="126"/>
      <w:bookmarkEnd w:id="127"/>
    </w:p>
    <w:p w14:paraId="0996C4B2" w14:textId="7753A08E" w:rsidR="002030EE" w:rsidRPr="00016E10" w:rsidRDefault="002030EE" w:rsidP="00BC081A">
      <w:pPr>
        <w:spacing w:after="0" w:line="360" w:lineRule="auto"/>
        <w:jc w:val="both"/>
        <w:rPr>
          <w:rFonts w:eastAsia="Calibri"/>
          <w:noProof/>
          <w:lang w:val="es-DO"/>
        </w:rPr>
      </w:pPr>
      <w:r w:rsidRPr="00016E10">
        <w:rPr>
          <w:rFonts w:eastAsia="Calibri"/>
          <w:noProof/>
          <w:lang w:val="es-DO"/>
        </w:rPr>
        <w:t xml:space="preserve">En la actualidad contamos con trescientos </w:t>
      </w:r>
      <w:r>
        <w:rPr>
          <w:rFonts w:eastAsia="Calibri"/>
          <w:noProof/>
          <w:lang w:val="es-DO"/>
        </w:rPr>
        <w:t>cuarenta y cuatro</w:t>
      </w:r>
      <w:r w:rsidRPr="00016E10">
        <w:rPr>
          <w:rFonts w:eastAsia="Calibri"/>
          <w:noProof/>
          <w:lang w:val="es-DO"/>
        </w:rPr>
        <w:t xml:space="preserve"> (3</w:t>
      </w:r>
      <w:r>
        <w:rPr>
          <w:rFonts w:eastAsia="Calibri"/>
          <w:noProof/>
          <w:lang w:val="es-DO"/>
        </w:rPr>
        <w:t>44</w:t>
      </w:r>
      <w:r w:rsidRPr="00016E10">
        <w:rPr>
          <w:rFonts w:eastAsia="Calibri"/>
          <w:noProof/>
          <w:lang w:val="es-DO"/>
        </w:rPr>
        <w:t xml:space="preserve">) colaboradores activos, de los cuales ciento </w:t>
      </w:r>
      <w:r>
        <w:rPr>
          <w:rFonts w:eastAsia="Calibri"/>
          <w:noProof/>
          <w:lang w:val="es-DO"/>
        </w:rPr>
        <w:t>treinta</w:t>
      </w:r>
      <w:r w:rsidRPr="00016E10">
        <w:rPr>
          <w:rFonts w:eastAsia="Calibri"/>
          <w:noProof/>
          <w:lang w:val="es-DO"/>
        </w:rPr>
        <w:t xml:space="preserve"> (</w:t>
      </w:r>
      <w:r>
        <w:rPr>
          <w:rFonts w:eastAsia="Calibri"/>
          <w:noProof/>
          <w:lang w:val="es-DO"/>
        </w:rPr>
        <w:t>133</w:t>
      </w:r>
      <w:r w:rsidRPr="00016E10">
        <w:rPr>
          <w:rFonts w:eastAsia="Calibri"/>
          <w:noProof/>
          <w:lang w:val="es-DO"/>
        </w:rPr>
        <w:t>) son hombres, representando el 3</w:t>
      </w:r>
      <w:r>
        <w:rPr>
          <w:rFonts w:eastAsia="Calibri"/>
          <w:noProof/>
          <w:lang w:val="es-DO"/>
        </w:rPr>
        <w:t>9</w:t>
      </w:r>
      <w:r w:rsidRPr="00016E10">
        <w:rPr>
          <w:rFonts w:eastAsia="Calibri"/>
          <w:noProof/>
          <w:lang w:val="es-DO"/>
        </w:rPr>
        <w:t xml:space="preserve">% de la población institucional y doscientos </w:t>
      </w:r>
      <w:r w:rsidR="00F04197">
        <w:rPr>
          <w:rFonts w:eastAsia="Calibri"/>
          <w:noProof/>
          <w:lang w:val="es-DO"/>
        </w:rPr>
        <w:t>once</w:t>
      </w:r>
      <w:r w:rsidR="00F04197" w:rsidRPr="00016E10">
        <w:rPr>
          <w:rFonts w:eastAsia="Calibri"/>
          <w:noProof/>
          <w:lang w:val="es-DO"/>
        </w:rPr>
        <w:t xml:space="preserve"> </w:t>
      </w:r>
      <w:r w:rsidRPr="00016E10">
        <w:rPr>
          <w:rFonts w:eastAsia="Calibri"/>
          <w:noProof/>
          <w:lang w:val="es-DO"/>
        </w:rPr>
        <w:t>(21</w:t>
      </w:r>
      <w:r>
        <w:rPr>
          <w:rFonts w:eastAsia="Calibri"/>
          <w:noProof/>
          <w:lang w:val="es-DO"/>
        </w:rPr>
        <w:t>1</w:t>
      </w:r>
      <w:r w:rsidRPr="00016E10">
        <w:rPr>
          <w:rFonts w:eastAsia="Calibri"/>
          <w:noProof/>
          <w:lang w:val="es-DO"/>
        </w:rPr>
        <w:t>) mujeres, representando el 6</w:t>
      </w:r>
      <w:r>
        <w:rPr>
          <w:rFonts w:eastAsia="Calibri"/>
          <w:noProof/>
          <w:lang w:val="es-DO"/>
        </w:rPr>
        <w:t>1</w:t>
      </w:r>
      <w:r w:rsidRPr="00016E10">
        <w:rPr>
          <w:rFonts w:eastAsia="Calibri"/>
          <w:noProof/>
          <w:lang w:val="es-DO"/>
        </w:rPr>
        <w:t xml:space="preserve">% del personal. </w:t>
      </w:r>
    </w:p>
    <w:p w14:paraId="7804A7B1" w14:textId="77777777" w:rsidR="002030EE" w:rsidRDefault="002030EE" w:rsidP="00BC081A">
      <w:pPr>
        <w:spacing w:after="0" w:line="360" w:lineRule="auto"/>
        <w:jc w:val="both"/>
        <w:rPr>
          <w:rFonts w:eastAsia="Calibri"/>
          <w:noProof/>
          <w:lang w:val="es-DO"/>
        </w:rPr>
      </w:pPr>
      <w:r w:rsidRPr="00016E10">
        <w:rPr>
          <w:rFonts w:eastAsia="Calibri"/>
          <w:noProof/>
          <w:lang w:val="es-DO"/>
        </w:rPr>
        <w:t>El grupo ocupacional V cuenta con cuarenta (40) mujeres, representando el 19% del personal total femenino y el 58% del total de colaboradores de este grupo ocupacional.</w:t>
      </w:r>
    </w:p>
    <w:p w14:paraId="65A238FE" w14:textId="77777777" w:rsidR="002030EE" w:rsidRPr="00016E10" w:rsidRDefault="002030EE" w:rsidP="002030EE">
      <w:pPr>
        <w:spacing w:after="0" w:line="360" w:lineRule="auto"/>
        <w:jc w:val="both"/>
        <w:rPr>
          <w:rFonts w:eastAsia="Calibri"/>
          <w:noProof/>
          <w:lang w:val="es-DO"/>
        </w:rPr>
      </w:pPr>
    </w:p>
    <w:tbl>
      <w:tblPr>
        <w:tblW w:w="7700" w:type="dxa"/>
        <w:tblLook w:val="04A0" w:firstRow="1" w:lastRow="0" w:firstColumn="1" w:lastColumn="0" w:noHBand="0" w:noVBand="1"/>
      </w:tblPr>
      <w:tblGrid>
        <w:gridCol w:w="2680"/>
        <w:gridCol w:w="2060"/>
        <w:gridCol w:w="1600"/>
        <w:gridCol w:w="1360"/>
      </w:tblGrid>
      <w:tr w:rsidR="002030EE" w:rsidRPr="00016E10" w14:paraId="461F7F72" w14:textId="77777777" w:rsidTr="00DD03B8">
        <w:trPr>
          <w:trHeight w:val="375"/>
          <w:tblHeader/>
        </w:trPr>
        <w:tc>
          <w:tcPr>
            <w:tcW w:w="268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1B7166AE" w14:textId="77777777" w:rsidR="002030EE" w:rsidRPr="00840D69" w:rsidRDefault="002030EE">
            <w:pPr>
              <w:spacing w:after="0" w:line="240" w:lineRule="auto"/>
              <w:jc w:val="center"/>
              <w:rPr>
                <w:rFonts w:eastAsia="Times New Roman"/>
                <w:b/>
                <w:bCs/>
                <w:color w:val="FFFFFF"/>
                <w:spacing w:val="0"/>
                <w:sz w:val="22"/>
                <w:szCs w:val="22"/>
              </w:rPr>
            </w:pPr>
            <w:r w:rsidRPr="00840D69">
              <w:rPr>
                <w:rFonts w:eastAsia="Times New Roman"/>
                <w:b/>
                <w:bCs/>
                <w:color w:val="FFFFFF"/>
                <w:spacing w:val="0"/>
                <w:sz w:val="22"/>
                <w:szCs w:val="22"/>
                <w:lang w:val="es-DO"/>
              </w:rPr>
              <w:t>Grupo Ocupacional</w:t>
            </w:r>
          </w:p>
        </w:tc>
        <w:tc>
          <w:tcPr>
            <w:tcW w:w="2060" w:type="dxa"/>
            <w:tcBorders>
              <w:top w:val="single" w:sz="4" w:space="0" w:color="auto"/>
              <w:left w:val="nil"/>
              <w:bottom w:val="single" w:sz="4" w:space="0" w:color="auto"/>
              <w:right w:val="single" w:sz="4" w:space="0" w:color="auto"/>
            </w:tcBorders>
            <w:shd w:val="clear" w:color="000000" w:fill="1F3864"/>
            <w:vAlign w:val="center"/>
            <w:hideMark/>
          </w:tcPr>
          <w:p w14:paraId="687CE518" w14:textId="77777777" w:rsidR="002030EE" w:rsidRPr="00840D69" w:rsidRDefault="002030EE">
            <w:pPr>
              <w:spacing w:after="0" w:line="240" w:lineRule="auto"/>
              <w:jc w:val="center"/>
              <w:rPr>
                <w:rFonts w:eastAsia="Times New Roman"/>
                <w:b/>
                <w:bCs/>
                <w:color w:val="FFFFFF"/>
                <w:spacing w:val="0"/>
                <w:sz w:val="22"/>
                <w:szCs w:val="22"/>
              </w:rPr>
            </w:pPr>
            <w:r w:rsidRPr="00840D69">
              <w:rPr>
                <w:rFonts w:eastAsia="Times New Roman"/>
                <w:b/>
                <w:bCs/>
                <w:color w:val="FFFFFF"/>
                <w:spacing w:val="0"/>
                <w:sz w:val="22"/>
                <w:szCs w:val="22"/>
                <w:lang w:val="es-DO"/>
              </w:rPr>
              <w:t>Mujeres</w:t>
            </w:r>
          </w:p>
        </w:tc>
        <w:tc>
          <w:tcPr>
            <w:tcW w:w="1600" w:type="dxa"/>
            <w:tcBorders>
              <w:top w:val="single" w:sz="4" w:space="0" w:color="auto"/>
              <w:left w:val="nil"/>
              <w:bottom w:val="single" w:sz="4" w:space="0" w:color="auto"/>
              <w:right w:val="single" w:sz="4" w:space="0" w:color="auto"/>
            </w:tcBorders>
            <w:shd w:val="clear" w:color="000000" w:fill="1F3864"/>
            <w:vAlign w:val="center"/>
            <w:hideMark/>
          </w:tcPr>
          <w:p w14:paraId="1A6DB94A" w14:textId="77777777" w:rsidR="002030EE" w:rsidRPr="00840D69" w:rsidRDefault="002030EE">
            <w:pPr>
              <w:spacing w:after="0" w:line="240" w:lineRule="auto"/>
              <w:jc w:val="center"/>
              <w:rPr>
                <w:rFonts w:eastAsia="Times New Roman"/>
                <w:b/>
                <w:bCs/>
                <w:color w:val="FFFFFF"/>
                <w:spacing w:val="0"/>
                <w:sz w:val="22"/>
                <w:szCs w:val="22"/>
              </w:rPr>
            </w:pPr>
            <w:r w:rsidRPr="00840D69">
              <w:rPr>
                <w:rFonts w:eastAsia="Times New Roman"/>
                <w:b/>
                <w:bCs/>
                <w:color w:val="FFFFFF"/>
                <w:spacing w:val="0"/>
                <w:sz w:val="22"/>
                <w:szCs w:val="22"/>
                <w:lang w:val="es-DO"/>
              </w:rPr>
              <w:t>Hombres</w:t>
            </w:r>
          </w:p>
        </w:tc>
        <w:tc>
          <w:tcPr>
            <w:tcW w:w="1360" w:type="dxa"/>
            <w:tcBorders>
              <w:top w:val="single" w:sz="4" w:space="0" w:color="auto"/>
              <w:left w:val="nil"/>
              <w:bottom w:val="single" w:sz="4" w:space="0" w:color="auto"/>
              <w:right w:val="single" w:sz="4" w:space="0" w:color="auto"/>
            </w:tcBorders>
            <w:shd w:val="clear" w:color="000000" w:fill="1F3864"/>
            <w:vAlign w:val="center"/>
            <w:hideMark/>
          </w:tcPr>
          <w:p w14:paraId="7E6A111D" w14:textId="77777777" w:rsidR="002030EE" w:rsidRPr="00840D69" w:rsidRDefault="002030EE">
            <w:pPr>
              <w:spacing w:after="0" w:line="240" w:lineRule="auto"/>
              <w:jc w:val="center"/>
              <w:rPr>
                <w:rFonts w:eastAsia="Times New Roman"/>
                <w:b/>
                <w:bCs/>
                <w:color w:val="FFFFFF"/>
                <w:spacing w:val="0"/>
                <w:sz w:val="22"/>
                <w:szCs w:val="22"/>
              </w:rPr>
            </w:pPr>
            <w:r w:rsidRPr="00840D69">
              <w:rPr>
                <w:rFonts w:eastAsia="Times New Roman"/>
                <w:b/>
                <w:bCs/>
                <w:color w:val="FFFFFF"/>
                <w:spacing w:val="0"/>
                <w:sz w:val="22"/>
                <w:szCs w:val="22"/>
                <w:lang w:val="es-DO"/>
              </w:rPr>
              <w:t>Total</w:t>
            </w:r>
          </w:p>
        </w:tc>
      </w:tr>
      <w:tr w:rsidR="002030EE" w:rsidRPr="00016E10" w14:paraId="174D5414" w14:textId="77777777">
        <w:trPr>
          <w:trHeight w:val="630"/>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41690045" w14:textId="77777777" w:rsidR="002030EE" w:rsidRPr="00840D69" w:rsidRDefault="002030EE">
            <w:pPr>
              <w:spacing w:after="0" w:line="240" w:lineRule="auto"/>
              <w:jc w:val="center"/>
              <w:rPr>
                <w:rFonts w:eastAsia="Times New Roman"/>
                <w:spacing w:val="0"/>
                <w:sz w:val="22"/>
                <w:szCs w:val="22"/>
                <w:lang w:val="es-ES"/>
              </w:rPr>
            </w:pPr>
            <w:r w:rsidRPr="00840D69">
              <w:rPr>
                <w:rFonts w:eastAsia="Times New Roman"/>
                <w:spacing w:val="0"/>
                <w:sz w:val="22"/>
                <w:szCs w:val="22"/>
                <w:lang w:val="es-DO"/>
              </w:rPr>
              <w:t>Grupo Ocupacional I (Servicios generales)</w:t>
            </w:r>
          </w:p>
        </w:tc>
        <w:tc>
          <w:tcPr>
            <w:tcW w:w="2060" w:type="dxa"/>
            <w:tcBorders>
              <w:top w:val="nil"/>
              <w:left w:val="nil"/>
              <w:bottom w:val="single" w:sz="4" w:space="0" w:color="auto"/>
              <w:right w:val="single" w:sz="4" w:space="0" w:color="auto"/>
            </w:tcBorders>
            <w:shd w:val="clear" w:color="auto" w:fill="auto"/>
            <w:vAlign w:val="center"/>
            <w:hideMark/>
          </w:tcPr>
          <w:p w14:paraId="743C3852"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3</w:t>
            </w:r>
          </w:p>
        </w:tc>
        <w:tc>
          <w:tcPr>
            <w:tcW w:w="1600" w:type="dxa"/>
            <w:tcBorders>
              <w:top w:val="nil"/>
              <w:left w:val="nil"/>
              <w:bottom w:val="single" w:sz="4" w:space="0" w:color="auto"/>
              <w:right w:val="single" w:sz="4" w:space="0" w:color="auto"/>
            </w:tcBorders>
            <w:shd w:val="clear" w:color="auto" w:fill="auto"/>
            <w:vAlign w:val="center"/>
            <w:hideMark/>
          </w:tcPr>
          <w:p w14:paraId="45499926"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13</w:t>
            </w:r>
          </w:p>
        </w:tc>
        <w:tc>
          <w:tcPr>
            <w:tcW w:w="1360" w:type="dxa"/>
            <w:tcBorders>
              <w:top w:val="nil"/>
              <w:left w:val="nil"/>
              <w:bottom w:val="single" w:sz="4" w:space="0" w:color="auto"/>
              <w:right w:val="single" w:sz="4" w:space="0" w:color="auto"/>
            </w:tcBorders>
            <w:shd w:val="clear" w:color="auto" w:fill="auto"/>
            <w:vAlign w:val="center"/>
            <w:hideMark/>
          </w:tcPr>
          <w:p w14:paraId="33852E48"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16</w:t>
            </w:r>
          </w:p>
        </w:tc>
      </w:tr>
      <w:tr w:rsidR="002030EE" w:rsidRPr="00016E10" w14:paraId="50D2E478" w14:textId="77777777">
        <w:trPr>
          <w:trHeight w:val="630"/>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0C9F4787" w14:textId="77777777" w:rsidR="002030EE" w:rsidRPr="00840D69" w:rsidRDefault="002030EE">
            <w:pPr>
              <w:spacing w:after="0" w:line="240" w:lineRule="auto"/>
              <w:jc w:val="center"/>
              <w:rPr>
                <w:rFonts w:eastAsia="Times New Roman"/>
                <w:spacing w:val="0"/>
                <w:sz w:val="22"/>
                <w:szCs w:val="22"/>
                <w:lang w:val="es-ES"/>
              </w:rPr>
            </w:pPr>
            <w:r w:rsidRPr="00840D69">
              <w:rPr>
                <w:rFonts w:eastAsia="Times New Roman"/>
                <w:spacing w:val="0"/>
                <w:sz w:val="22"/>
                <w:szCs w:val="22"/>
                <w:lang w:val="es-DO"/>
              </w:rPr>
              <w:t>Grupo Ocupacional II (Supervisión y apoyo)</w:t>
            </w:r>
          </w:p>
        </w:tc>
        <w:tc>
          <w:tcPr>
            <w:tcW w:w="2060" w:type="dxa"/>
            <w:tcBorders>
              <w:top w:val="nil"/>
              <w:left w:val="nil"/>
              <w:bottom w:val="single" w:sz="4" w:space="0" w:color="auto"/>
              <w:right w:val="single" w:sz="4" w:space="0" w:color="auto"/>
            </w:tcBorders>
            <w:shd w:val="clear" w:color="auto" w:fill="auto"/>
            <w:vAlign w:val="center"/>
            <w:hideMark/>
          </w:tcPr>
          <w:p w14:paraId="5587CBBA"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35</w:t>
            </w:r>
          </w:p>
        </w:tc>
        <w:tc>
          <w:tcPr>
            <w:tcW w:w="1600" w:type="dxa"/>
            <w:tcBorders>
              <w:top w:val="nil"/>
              <w:left w:val="nil"/>
              <w:bottom w:val="single" w:sz="4" w:space="0" w:color="auto"/>
              <w:right w:val="single" w:sz="4" w:space="0" w:color="auto"/>
            </w:tcBorders>
            <w:shd w:val="clear" w:color="auto" w:fill="auto"/>
            <w:vAlign w:val="center"/>
            <w:hideMark/>
          </w:tcPr>
          <w:p w14:paraId="559F7590"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16</w:t>
            </w:r>
          </w:p>
        </w:tc>
        <w:tc>
          <w:tcPr>
            <w:tcW w:w="1360" w:type="dxa"/>
            <w:tcBorders>
              <w:top w:val="nil"/>
              <w:left w:val="nil"/>
              <w:bottom w:val="single" w:sz="4" w:space="0" w:color="auto"/>
              <w:right w:val="single" w:sz="4" w:space="0" w:color="auto"/>
            </w:tcBorders>
            <w:shd w:val="clear" w:color="auto" w:fill="auto"/>
            <w:vAlign w:val="center"/>
            <w:hideMark/>
          </w:tcPr>
          <w:p w14:paraId="616DEABB"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51</w:t>
            </w:r>
          </w:p>
        </w:tc>
      </w:tr>
      <w:tr w:rsidR="002030EE" w:rsidRPr="00016E10" w14:paraId="7759CA03" w14:textId="77777777">
        <w:trPr>
          <w:trHeight w:val="630"/>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4593B5F2"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Grupo Ocupacional III (Técnicos)</w:t>
            </w:r>
          </w:p>
        </w:tc>
        <w:tc>
          <w:tcPr>
            <w:tcW w:w="2060" w:type="dxa"/>
            <w:tcBorders>
              <w:top w:val="nil"/>
              <w:left w:val="nil"/>
              <w:bottom w:val="single" w:sz="4" w:space="0" w:color="auto"/>
              <w:right w:val="single" w:sz="4" w:space="0" w:color="auto"/>
            </w:tcBorders>
            <w:shd w:val="clear" w:color="auto" w:fill="auto"/>
            <w:vAlign w:val="center"/>
            <w:hideMark/>
          </w:tcPr>
          <w:p w14:paraId="4EB7E366"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36</w:t>
            </w:r>
          </w:p>
        </w:tc>
        <w:tc>
          <w:tcPr>
            <w:tcW w:w="1600" w:type="dxa"/>
            <w:tcBorders>
              <w:top w:val="nil"/>
              <w:left w:val="nil"/>
              <w:bottom w:val="single" w:sz="4" w:space="0" w:color="auto"/>
              <w:right w:val="single" w:sz="4" w:space="0" w:color="auto"/>
            </w:tcBorders>
            <w:shd w:val="clear" w:color="auto" w:fill="auto"/>
            <w:vAlign w:val="center"/>
            <w:hideMark/>
          </w:tcPr>
          <w:p w14:paraId="7F9B9BC3"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26</w:t>
            </w:r>
          </w:p>
        </w:tc>
        <w:tc>
          <w:tcPr>
            <w:tcW w:w="1360" w:type="dxa"/>
            <w:tcBorders>
              <w:top w:val="nil"/>
              <w:left w:val="nil"/>
              <w:bottom w:val="single" w:sz="4" w:space="0" w:color="auto"/>
              <w:right w:val="single" w:sz="4" w:space="0" w:color="auto"/>
            </w:tcBorders>
            <w:shd w:val="clear" w:color="auto" w:fill="auto"/>
            <w:vAlign w:val="center"/>
            <w:hideMark/>
          </w:tcPr>
          <w:p w14:paraId="0FB394A2"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62</w:t>
            </w:r>
          </w:p>
        </w:tc>
      </w:tr>
      <w:tr w:rsidR="002030EE" w:rsidRPr="00016E10" w14:paraId="19383E95" w14:textId="77777777">
        <w:trPr>
          <w:trHeight w:val="630"/>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4AA7DA03"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Grupo Ocupacional IV (Profesionales)</w:t>
            </w:r>
          </w:p>
        </w:tc>
        <w:tc>
          <w:tcPr>
            <w:tcW w:w="2060" w:type="dxa"/>
            <w:tcBorders>
              <w:top w:val="nil"/>
              <w:left w:val="nil"/>
              <w:bottom w:val="single" w:sz="4" w:space="0" w:color="auto"/>
              <w:right w:val="single" w:sz="4" w:space="0" w:color="auto"/>
            </w:tcBorders>
            <w:shd w:val="clear" w:color="auto" w:fill="auto"/>
            <w:vAlign w:val="center"/>
            <w:hideMark/>
          </w:tcPr>
          <w:p w14:paraId="246387EC"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97</w:t>
            </w:r>
          </w:p>
        </w:tc>
        <w:tc>
          <w:tcPr>
            <w:tcW w:w="1600" w:type="dxa"/>
            <w:tcBorders>
              <w:top w:val="nil"/>
              <w:left w:val="nil"/>
              <w:bottom w:val="single" w:sz="4" w:space="0" w:color="auto"/>
              <w:right w:val="single" w:sz="4" w:space="0" w:color="auto"/>
            </w:tcBorders>
            <w:shd w:val="clear" w:color="auto" w:fill="auto"/>
            <w:vAlign w:val="center"/>
            <w:hideMark/>
          </w:tcPr>
          <w:p w14:paraId="1962329E"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48</w:t>
            </w:r>
          </w:p>
        </w:tc>
        <w:tc>
          <w:tcPr>
            <w:tcW w:w="1360" w:type="dxa"/>
            <w:tcBorders>
              <w:top w:val="nil"/>
              <w:left w:val="nil"/>
              <w:bottom w:val="single" w:sz="4" w:space="0" w:color="auto"/>
              <w:right w:val="single" w:sz="4" w:space="0" w:color="auto"/>
            </w:tcBorders>
            <w:shd w:val="clear" w:color="auto" w:fill="auto"/>
            <w:vAlign w:val="center"/>
            <w:hideMark/>
          </w:tcPr>
          <w:p w14:paraId="673C8E9E"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145</w:t>
            </w:r>
          </w:p>
        </w:tc>
      </w:tr>
      <w:tr w:rsidR="002030EE" w:rsidRPr="00016E10" w14:paraId="22001FD8" w14:textId="77777777">
        <w:trPr>
          <w:trHeight w:val="630"/>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1DC5A549"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Grupo Ocupacional V (Dirección)</w:t>
            </w:r>
          </w:p>
        </w:tc>
        <w:tc>
          <w:tcPr>
            <w:tcW w:w="2060" w:type="dxa"/>
            <w:tcBorders>
              <w:top w:val="nil"/>
              <w:left w:val="nil"/>
              <w:bottom w:val="single" w:sz="4" w:space="0" w:color="auto"/>
              <w:right w:val="single" w:sz="4" w:space="0" w:color="auto"/>
            </w:tcBorders>
            <w:shd w:val="clear" w:color="auto" w:fill="auto"/>
            <w:vAlign w:val="center"/>
            <w:hideMark/>
          </w:tcPr>
          <w:p w14:paraId="42629C1D"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40</w:t>
            </w:r>
          </w:p>
        </w:tc>
        <w:tc>
          <w:tcPr>
            <w:tcW w:w="1600" w:type="dxa"/>
            <w:tcBorders>
              <w:top w:val="nil"/>
              <w:left w:val="nil"/>
              <w:bottom w:val="single" w:sz="4" w:space="0" w:color="auto"/>
              <w:right w:val="single" w:sz="4" w:space="0" w:color="auto"/>
            </w:tcBorders>
            <w:shd w:val="clear" w:color="auto" w:fill="auto"/>
            <w:vAlign w:val="center"/>
            <w:hideMark/>
          </w:tcPr>
          <w:p w14:paraId="5C0BE005"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30</w:t>
            </w:r>
          </w:p>
        </w:tc>
        <w:tc>
          <w:tcPr>
            <w:tcW w:w="1360" w:type="dxa"/>
            <w:tcBorders>
              <w:top w:val="nil"/>
              <w:left w:val="nil"/>
              <w:bottom w:val="single" w:sz="4" w:space="0" w:color="auto"/>
              <w:right w:val="single" w:sz="4" w:space="0" w:color="auto"/>
            </w:tcBorders>
            <w:shd w:val="clear" w:color="auto" w:fill="auto"/>
            <w:vAlign w:val="center"/>
            <w:hideMark/>
          </w:tcPr>
          <w:p w14:paraId="4E9E17B3"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70</w:t>
            </w:r>
          </w:p>
        </w:tc>
      </w:tr>
      <w:tr w:rsidR="002030EE" w:rsidRPr="00016E10" w14:paraId="0228517C" w14:textId="77777777">
        <w:trPr>
          <w:trHeight w:val="315"/>
        </w:trPr>
        <w:tc>
          <w:tcPr>
            <w:tcW w:w="2680" w:type="dxa"/>
            <w:tcBorders>
              <w:top w:val="nil"/>
              <w:left w:val="single" w:sz="4" w:space="0" w:color="auto"/>
              <w:bottom w:val="single" w:sz="4" w:space="0" w:color="auto"/>
              <w:right w:val="single" w:sz="4" w:space="0" w:color="auto"/>
            </w:tcBorders>
            <w:shd w:val="clear" w:color="auto" w:fill="auto"/>
            <w:vAlign w:val="center"/>
            <w:hideMark/>
          </w:tcPr>
          <w:p w14:paraId="79D277EF"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Totales</w:t>
            </w:r>
          </w:p>
        </w:tc>
        <w:tc>
          <w:tcPr>
            <w:tcW w:w="2060" w:type="dxa"/>
            <w:tcBorders>
              <w:top w:val="nil"/>
              <w:left w:val="nil"/>
              <w:bottom w:val="single" w:sz="4" w:space="0" w:color="auto"/>
              <w:right w:val="single" w:sz="4" w:space="0" w:color="auto"/>
            </w:tcBorders>
            <w:shd w:val="clear" w:color="auto" w:fill="auto"/>
            <w:vAlign w:val="center"/>
            <w:hideMark/>
          </w:tcPr>
          <w:p w14:paraId="1A4FFD31"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211</w:t>
            </w:r>
          </w:p>
        </w:tc>
        <w:tc>
          <w:tcPr>
            <w:tcW w:w="1600" w:type="dxa"/>
            <w:tcBorders>
              <w:top w:val="nil"/>
              <w:left w:val="nil"/>
              <w:bottom w:val="single" w:sz="4" w:space="0" w:color="auto"/>
              <w:right w:val="single" w:sz="4" w:space="0" w:color="auto"/>
            </w:tcBorders>
            <w:shd w:val="clear" w:color="auto" w:fill="auto"/>
            <w:vAlign w:val="center"/>
            <w:hideMark/>
          </w:tcPr>
          <w:p w14:paraId="09B113E6"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133</w:t>
            </w:r>
          </w:p>
        </w:tc>
        <w:tc>
          <w:tcPr>
            <w:tcW w:w="1360" w:type="dxa"/>
            <w:tcBorders>
              <w:top w:val="nil"/>
              <w:left w:val="nil"/>
              <w:bottom w:val="single" w:sz="4" w:space="0" w:color="auto"/>
              <w:right w:val="single" w:sz="4" w:space="0" w:color="auto"/>
            </w:tcBorders>
            <w:shd w:val="clear" w:color="auto" w:fill="auto"/>
            <w:vAlign w:val="center"/>
            <w:hideMark/>
          </w:tcPr>
          <w:p w14:paraId="695522E3" w14:textId="77777777" w:rsidR="002030EE" w:rsidRPr="00840D69" w:rsidRDefault="002030EE">
            <w:pPr>
              <w:spacing w:after="0" w:line="240" w:lineRule="auto"/>
              <w:jc w:val="center"/>
              <w:rPr>
                <w:rFonts w:eastAsia="Times New Roman"/>
                <w:spacing w:val="0"/>
                <w:sz w:val="22"/>
                <w:szCs w:val="22"/>
              </w:rPr>
            </w:pPr>
            <w:r w:rsidRPr="00840D69">
              <w:rPr>
                <w:rFonts w:eastAsia="Times New Roman"/>
                <w:spacing w:val="0"/>
                <w:sz w:val="22"/>
                <w:szCs w:val="22"/>
                <w:lang w:val="es-DO"/>
              </w:rPr>
              <w:t>344</w:t>
            </w:r>
          </w:p>
        </w:tc>
      </w:tr>
    </w:tbl>
    <w:p w14:paraId="5FCAAE8D" w14:textId="383938A5" w:rsidR="002030EE" w:rsidRPr="001F657B" w:rsidRDefault="002030EE" w:rsidP="002030EE">
      <w:pPr>
        <w:spacing w:before="240" w:after="0" w:line="360" w:lineRule="auto"/>
        <w:jc w:val="both"/>
        <w:rPr>
          <w:rFonts w:eastAsia="Calibri"/>
          <w:noProof/>
          <w:sz w:val="18"/>
          <w:szCs w:val="18"/>
          <w:lang w:val="es-ES"/>
        </w:rPr>
      </w:pPr>
      <w:r w:rsidRPr="00016E10">
        <w:rPr>
          <w:rFonts w:eastAsia="Calibri"/>
          <w:b/>
          <w:bCs/>
          <w:noProof/>
          <w:sz w:val="18"/>
          <w:szCs w:val="18"/>
          <w:lang w:val="es-ES"/>
        </w:rPr>
        <w:lastRenderedPageBreak/>
        <w:t>Tabla</w:t>
      </w:r>
      <w:r w:rsidR="00C50277">
        <w:rPr>
          <w:rFonts w:eastAsia="Calibri"/>
          <w:b/>
          <w:bCs/>
          <w:noProof/>
          <w:sz w:val="18"/>
          <w:szCs w:val="18"/>
          <w:lang w:val="es-ES"/>
        </w:rPr>
        <w:t xml:space="preserve"> 21</w:t>
      </w:r>
      <w:r w:rsidRPr="00016E10">
        <w:rPr>
          <w:rFonts w:eastAsia="Calibri"/>
          <w:b/>
          <w:bCs/>
          <w:noProof/>
          <w:sz w:val="18"/>
          <w:szCs w:val="18"/>
          <w:lang w:val="es-ES"/>
        </w:rPr>
        <w:t>:</w:t>
      </w:r>
      <w:r w:rsidRPr="00016E10">
        <w:rPr>
          <w:rFonts w:eastAsia="Calibri"/>
          <w:noProof/>
          <w:sz w:val="18"/>
          <w:szCs w:val="18"/>
          <w:lang w:val="es-ES"/>
        </w:rPr>
        <w:t xml:space="preserve"> Distribución de</w:t>
      </w:r>
      <w:r w:rsidRPr="00016E10">
        <w:rPr>
          <w:rFonts w:eastAsia="Calibri"/>
          <w:b/>
          <w:bCs/>
          <w:noProof/>
          <w:sz w:val="18"/>
          <w:szCs w:val="18"/>
          <w:lang w:val="es-ES"/>
        </w:rPr>
        <w:t xml:space="preserve"> </w:t>
      </w:r>
      <w:r w:rsidRPr="00016E10">
        <w:rPr>
          <w:rFonts w:eastAsia="Calibri"/>
          <w:noProof/>
          <w:sz w:val="18"/>
          <w:szCs w:val="18"/>
          <w:lang w:val="es-ES"/>
        </w:rPr>
        <w:t xml:space="preserve">hombres y mujeres por grupo ocupacional </w:t>
      </w:r>
      <w:r>
        <w:rPr>
          <w:rFonts w:eastAsia="Calibri"/>
          <w:noProof/>
          <w:sz w:val="18"/>
          <w:szCs w:val="18"/>
          <w:lang w:val="es-ES"/>
        </w:rPr>
        <w:t xml:space="preserve">al </w:t>
      </w:r>
      <w:r w:rsidRPr="00016E10">
        <w:rPr>
          <w:rFonts w:eastAsia="Calibri"/>
          <w:noProof/>
          <w:sz w:val="18"/>
          <w:szCs w:val="18"/>
          <w:lang w:val="es-ES"/>
        </w:rPr>
        <w:t xml:space="preserve">31 de </w:t>
      </w:r>
      <w:r>
        <w:rPr>
          <w:rFonts w:eastAsia="Calibri"/>
          <w:noProof/>
          <w:sz w:val="18"/>
          <w:szCs w:val="18"/>
          <w:lang w:val="es-ES"/>
        </w:rPr>
        <w:t>diciembre, 2024.</w:t>
      </w:r>
    </w:p>
    <w:p w14:paraId="5F79468F" w14:textId="77777777" w:rsidR="00F20655" w:rsidRDefault="00F20655" w:rsidP="00F20655">
      <w:pPr>
        <w:spacing w:after="0"/>
        <w:rPr>
          <w:b/>
          <w:bCs/>
          <w:lang w:val="es-DO"/>
        </w:rPr>
      </w:pPr>
      <w:bookmarkStart w:id="128" w:name="_Toc171677840"/>
      <w:bookmarkStart w:id="129" w:name="_Toc172118699"/>
      <w:bookmarkStart w:id="130" w:name="_Toc172119852"/>
      <w:bookmarkStart w:id="131" w:name="_Toc172120185"/>
      <w:bookmarkStart w:id="132" w:name="_Toc172121403"/>
    </w:p>
    <w:p w14:paraId="7D975361" w14:textId="5A85F0F1" w:rsidR="002030EE" w:rsidRPr="00F20655" w:rsidRDefault="002030EE" w:rsidP="00F20655">
      <w:pPr>
        <w:rPr>
          <w:b/>
          <w:bCs/>
          <w:lang w:val="es-DO"/>
        </w:rPr>
      </w:pPr>
      <w:r w:rsidRPr="00F20655">
        <w:rPr>
          <w:b/>
          <w:bCs/>
          <w:lang w:val="es-DO"/>
        </w:rPr>
        <w:t>Índice de rotación de personal</w:t>
      </w:r>
      <w:bookmarkEnd w:id="128"/>
      <w:bookmarkEnd w:id="129"/>
      <w:bookmarkEnd w:id="130"/>
      <w:bookmarkEnd w:id="131"/>
      <w:bookmarkEnd w:id="132"/>
    </w:p>
    <w:p w14:paraId="3166A042" w14:textId="7B06BD44" w:rsidR="002030EE" w:rsidRDefault="002030EE" w:rsidP="00D62BBE">
      <w:pPr>
        <w:spacing w:line="360" w:lineRule="auto"/>
        <w:jc w:val="both"/>
        <w:rPr>
          <w:rFonts w:eastAsia="Calibri"/>
          <w:noProof/>
          <w:lang w:val="es-DO"/>
        </w:rPr>
      </w:pPr>
      <w:r>
        <w:rPr>
          <w:rFonts w:eastAsia="Calibri"/>
          <w:noProof/>
          <w:lang w:val="es-DO"/>
        </w:rPr>
        <w:t>La TSS se ha destacado por manejar un bajo índice de rotación de personal, lo que se traduce en estabilidad, buen clima y s</w:t>
      </w:r>
      <w:r w:rsidR="006C0A79">
        <w:rPr>
          <w:rFonts w:eastAsia="Calibri"/>
          <w:noProof/>
          <w:lang w:val="es-DO"/>
        </w:rPr>
        <w:t>a</w:t>
      </w:r>
      <w:r>
        <w:rPr>
          <w:rFonts w:eastAsia="Calibri"/>
          <w:noProof/>
          <w:lang w:val="es-DO"/>
        </w:rPr>
        <w:t xml:space="preserve">tisfacción laboral. </w:t>
      </w:r>
      <w:r w:rsidRPr="00415D82">
        <w:rPr>
          <w:rFonts w:eastAsia="Calibri"/>
          <w:noProof/>
          <w:lang w:val="es-DO"/>
        </w:rPr>
        <w:t xml:space="preserve">En </w:t>
      </w:r>
      <w:r>
        <w:rPr>
          <w:rFonts w:eastAsia="Calibri"/>
          <w:noProof/>
          <w:lang w:val="es-DO"/>
        </w:rPr>
        <w:t>el periodo 2024</w:t>
      </w:r>
      <w:r w:rsidRPr="00415D82">
        <w:rPr>
          <w:rFonts w:eastAsia="Calibri"/>
          <w:noProof/>
          <w:lang w:val="es-DO"/>
        </w:rPr>
        <w:t xml:space="preserve"> se </w:t>
      </w:r>
      <w:r w:rsidRPr="00464463">
        <w:rPr>
          <w:rFonts w:eastAsia="Calibri"/>
          <w:noProof/>
          <w:lang w:val="es-DO"/>
        </w:rPr>
        <w:t>generaron diecisiete (17)</w:t>
      </w:r>
      <w:r w:rsidRPr="00415D82">
        <w:rPr>
          <w:rFonts w:eastAsia="Calibri"/>
          <w:noProof/>
          <w:lang w:val="es-DO"/>
        </w:rPr>
        <w:t xml:space="preserve"> salidas de personal,</w:t>
      </w:r>
      <w:r>
        <w:rPr>
          <w:rFonts w:eastAsia="Calibri"/>
          <w:noProof/>
          <w:lang w:val="es-DO"/>
        </w:rPr>
        <w:t xml:space="preserve"> motivadas por los siguientes conceptos: ocho (08) desvinculaciones por conveniencia de la institución, seis (06) renuncias, dos (02) revocamientos de nombramientos provisionales y un (01) término de contrato por cubrir licencia pre y post natal. </w:t>
      </w:r>
    </w:p>
    <w:p w14:paraId="491ECCBB" w14:textId="77777777" w:rsidR="002030EE" w:rsidRDefault="002030EE" w:rsidP="00D62BBE">
      <w:pPr>
        <w:spacing w:line="360" w:lineRule="auto"/>
        <w:jc w:val="both"/>
        <w:rPr>
          <w:rFonts w:eastAsia="Calibri"/>
          <w:noProof/>
          <w:lang w:val="es-DO"/>
        </w:rPr>
      </w:pPr>
      <w:r>
        <w:rPr>
          <w:rFonts w:eastAsia="Calibri"/>
          <w:noProof/>
          <w:lang w:val="es-DO"/>
        </w:rPr>
        <w:t>Estas salidas corresponden a las siguientes direcciones</w:t>
      </w:r>
      <w:r w:rsidRPr="00415D82">
        <w:rPr>
          <w:rFonts w:eastAsia="Calibri"/>
          <w:noProof/>
          <w:lang w:val="es-DO"/>
        </w:rPr>
        <w:t xml:space="preserve">: </w:t>
      </w:r>
      <w:r w:rsidRPr="00892F10">
        <w:rPr>
          <w:rFonts w:eastAsia="Calibri"/>
          <w:noProof/>
          <w:lang w:val="es-DO"/>
        </w:rPr>
        <w:t>Tecnologías de la Información y Comunicación, Administrativa,</w:t>
      </w:r>
      <w:r>
        <w:rPr>
          <w:rFonts w:eastAsia="Calibri"/>
          <w:noProof/>
          <w:lang w:val="es-DO"/>
        </w:rPr>
        <w:t xml:space="preserve"> </w:t>
      </w:r>
      <w:r w:rsidRPr="00892F10">
        <w:rPr>
          <w:rFonts w:eastAsia="Calibri"/>
          <w:noProof/>
          <w:lang w:val="es-DO"/>
        </w:rPr>
        <w:t>Planificación y Desarrollo</w:t>
      </w:r>
      <w:r>
        <w:rPr>
          <w:rFonts w:eastAsia="Calibri"/>
          <w:noProof/>
          <w:lang w:val="es-DO"/>
        </w:rPr>
        <w:t>, Servicios, Jurídica y Gerencia.</w:t>
      </w:r>
    </w:p>
    <w:p w14:paraId="3DA10A16" w14:textId="77777777" w:rsidR="002030EE" w:rsidRDefault="002030EE" w:rsidP="00D62BBE">
      <w:pPr>
        <w:spacing w:line="360" w:lineRule="auto"/>
        <w:jc w:val="both"/>
        <w:rPr>
          <w:rFonts w:eastAsia="Calibri"/>
          <w:noProof/>
          <w:lang w:val="es-DO"/>
        </w:rPr>
      </w:pPr>
      <w:r w:rsidRPr="00415D82">
        <w:rPr>
          <w:rFonts w:eastAsia="Calibri"/>
          <w:noProof/>
          <w:lang w:val="es-DO"/>
        </w:rPr>
        <w:t xml:space="preserve">El mayor flujo de rotación de personal estuvo </w:t>
      </w:r>
      <w:r>
        <w:rPr>
          <w:rFonts w:eastAsia="Calibri"/>
          <w:noProof/>
          <w:lang w:val="es-DO"/>
        </w:rPr>
        <w:t xml:space="preserve">concentrado </w:t>
      </w:r>
      <w:r w:rsidRPr="00415D82">
        <w:rPr>
          <w:rFonts w:eastAsia="Calibri"/>
          <w:noProof/>
          <w:lang w:val="es-DO"/>
        </w:rPr>
        <w:t>en la</w:t>
      </w:r>
      <w:r>
        <w:rPr>
          <w:rFonts w:eastAsia="Calibri"/>
          <w:noProof/>
          <w:lang w:val="es-DO"/>
        </w:rPr>
        <w:t>s</w:t>
      </w:r>
      <w:r w:rsidRPr="00415D82">
        <w:rPr>
          <w:rFonts w:eastAsia="Calibri"/>
          <w:noProof/>
          <w:lang w:val="es-DO"/>
        </w:rPr>
        <w:t xml:space="preserve"> </w:t>
      </w:r>
      <w:r>
        <w:rPr>
          <w:rFonts w:eastAsia="Calibri"/>
          <w:noProof/>
          <w:lang w:val="es-DO"/>
        </w:rPr>
        <w:t xml:space="preserve">direciones Administrativa, Servicios y </w:t>
      </w:r>
      <w:r w:rsidRPr="00415D82">
        <w:rPr>
          <w:rFonts w:eastAsia="Calibri"/>
          <w:noProof/>
          <w:lang w:val="es-DO"/>
        </w:rPr>
        <w:t>Tecnolog</w:t>
      </w:r>
      <w:r>
        <w:rPr>
          <w:rFonts w:eastAsia="Calibri"/>
          <w:noProof/>
          <w:lang w:val="es-DO"/>
        </w:rPr>
        <w:t>í</w:t>
      </w:r>
      <w:r w:rsidRPr="00415D82">
        <w:rPr>
          <w:rFonts w:eastAsia="Calibri"/>
          <w:noProof/>
          <w:lang w:val="es-DO"/>
        </w:rPr>
        <w:t>as de la Información y Comunicación</w:t>
      </w:r>
      <w:r>
        <w:rPr>
          <w:rFonts w:eastAsia="Calibri"/>
          <w:noProof/>
          <w:lang w:val="es-DO"/>
        </w:rPr>
        <w:t>,</w:t>
      </w:r>
      <w:r w:rsidRPr="00415D82">
        <w:rPr>
          <w:rFonts w:eastAsia="Calibri"/>
          <w:noProof/>
          <w:lang w:val="es-DO"/>
        </w:rPr>
        <w:t xml:space="preserve"> </w:t>
      </w:r>
      <w:r>
        <w:rPr>
          <w:rFonts w:eastAsia="Calibri"/>
          <w:noProof/>
          <w:lang w:val="es-DO"/>
        </w:rPr>
        <w:t>comprendiendo</w:t>
      </w:r>
      <w:r w:rsidRPr="003C0383">
        <w:rPr>
          <w:rFonts w:eastAsia="Calibri"/>
          <w:noProof/>
          <w:lang w:val="es-DO"/>
        </w:rPr>
        <w:t xml:space="preserve"> cuatro (04)</w:t>
      </w:r>
      <w:r w:rsidRPr="00415D82">
        <w:rPr>
          <w:rFonts w:eastAsia="Calibri"/>
          <w:noProof/>
          <w:lang w:val="es-DO"/>
        </w:rPr>
        <w:t xml:space="preserve"> salidas</w:t>
      </w:r>
      <w:r>
        <w:rPr>
          <w:rFonts w:eastAsia="Calibri"/>
          <w:noProof/>
          <w:lang w:val="es-DO"/>
        </w:rPr>
        <w:t xml:space="preserve"> por cada dirección. Las direcciones Planificación y Desarrollo y Jurídica presentaron dos (02) salidas cada una y la Gerencia mostró una (01) salida.</w:t>
      </w:r>
    </w:p>
    <w:p w14:paraId="660CB3E6" w14:textId="77777777" w:rsidR="002030EE" w:rsidRDefault="002030EE" w:rsidP="00D62BBE">
      <w:pPr>
        <w:spacing w:line="360" w:lineRule="auto"/>
        <w:jc w:val="both"/>
        <w:rPr>
          <w:rFonts w:eastAsia="Calibri"/>
          <w:noProof/>
          <w:lang w:val="es-DO"/>
        </w:rPr>
      </w:pPr>
    </w:p>
    <w:p w14:paraId="105E6A74" w14:textId="77777777" w:rsidR="002030EE" w:rsidRDefault="002030EE" w:rsidP="00E226E0">
      <w:pPr>
        <w:spacing w:after="0" w:line="360" w:lineRule="auto"/>
        <w:ind w:left="-90"/>
        <w:jc w:val="both"/>
        <w:rPr>
          <w:rFonts w:eastAsia="Calibri"/>
          <w:noProof/>
          <w:lang w:val="es-DO"/>
        </w:rPr>
      </w:pPr>
      <w:r>
        <w:rPr>
          <w:rFonts w:eastAsia="Calibri"/>
          <w:noProof/>
          <w:lang w:val="es-DO"/>
        </w:rPr>
        <w:lastRenderedPageBreak/>
        <w:drawing>
          <wp:inline distT="0" distB="0" distL="0" distR="0" wp14:anchorId="3B8C472E" wp14:editId="7D413DB8">
            <wp:extent cx="4977130" cy="3150973"/>
            <wp:effectExtent l="0" t="0" r="0" b="0"/>
            <wp:docPr id="86518376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126AD33" w14:textId="1036E38B" w:rsidR="002030EE" w:rsidRDefault="002030EE" w:rsidP="002030EE">
      <w:pPr>
        <w:spacing w:after="0" w:line="360" w:lineRule="auto"/>
        <w:jc w:val="both"/>
        <w:rPr>
          <w:rFonts w:eastAsia="Calibri"/>
          <w:noProof/>
          <w:sz w:val="18"/>
          <w:szCs w:val="18"/>
          <w:lang w:val="es-ES"/>
        </w:rPr>
      </w:pPr>
      <w:r w:rsidRPr="008073F7">
        <w:rPr>
          <w:rFonts w:eastAsia="Calibri"/>
          <w:b/>
          <w:bCs/>
          <w:noProof/>
          <w:sz w:val="18"/>
          <w:szCs w:val="18"/>
          <w:lang w:val="es-ES"/>
        </w:rPr>
        <w:t xml:space="preserve">Gráfico </w:t>
      </w:r>
      <w:r w:rsidR="009E6B75">
        <w:rPr>
          <w:rFonts w:eastAsia="Calibri"/>
          <w:b/>
          <w:bCs/>
          <w:noProof/>
          <w:sz w:val="18"/>
          <w:szCs w:val="18"/>
          <w:lang w:val="es-ES"/>
        </w:rPr>
        <w:t>1</w:t>
      </w:r>
      <w:r w:rsidR="008D600F">
        <w:rPr>
          <w:rFonts w:eastAsia="Calibri"/>
          <w:b/>
          <w:bCs/>
          <w:noProof/>
          <w:sz w:val="18"/>
          <w:szCs w:val="18"/>
          <w:lang w:val="es-ES"/>
        </w:rPr>
        <w:t>4</w:t>
      </w:r>
      <w:r w:rsidRPr="008073F7">
        <w:rPr>
          <w:rFonts w:eastAsia="Calibri"/>
          <w:b/>
          <w:bCs/>
          <w:noProof/>
          <w:sz w:val="18"/>
          <w:szCs w:val="18"/>
          <w:lang w:val="es-ES"/>
        </w:rPr>
        <w:t>:</w:t>
      </w:r>
      <w:r w:rsidRPr="00F4501B">
        <w:rPr>
          <w:rFonts w:eastAsia="Calibri"/>
          <w:noProof/>
          <w:sz w:val="18"/>
          <w:szCs w:val="18"/>
          <w:lang w:val="es-ES"/>
        </w:rPr>
        <w:t xml:space="preserve"> </w:t>
      </w:r>
      <w:r>
        <w:rPr>
          <w:rFonts w:eastAsia="Calibri"/>
          <w:noProof/>
          <w:sz w:val="18"/>
          <w:szCs w:val="18"/>
          <w:lang w:val="es-ES"/>
        </w:rPr>
        <w:t>Salidas por Direcciones al 31 de diciembre, 2024.</w:t>
      </w:r>
    </w:p>
    <w:p w14:paraId="13CF34D4" w14:textId="77777777" w:rsidR="002030EE" w:rsidRDefault="002030EE" w:rsidP="002030EE">
      <w:pPr>
        <w:spacing w:after="0" w:line="360" w:lineRule="auto"/>
        <w:jc w:val="both"/>
        <w:rPr>
          <w:rFonts w:eastAsia="Calibri"/>
          <w:noProof/>
          <w:sz w:val="18"/>
          <w:szCs w:val="18"/>
          <w:lang w:val="es-ES"/>
        </w:rPr>
      </w:pPr>
    </w:p>
    <w:p w14:paraId="0F2A5E71" w14:textId="77777777" w:rsidR="002030EE" w:rsidRDefault="002030EE" w:rsidP="00E226E0">
      <w:pPr>
        <w:spacing w:line="360" w:lineRule="auto"/>
        <w:jc w:val="both"/>
        <w:rPr>
          <w:rFonts w:eastAsia="Calibri"/>
          <w:noProof/>
          <w:lang w:val="es-DO"/>
        </w:rPr>
      </w:pPr>
      <w:r>
        <w:rPr>
          <w:rFonts w:eastAsia="Calibri"/>
          <w:noProof/>
          <w:lang w:val="es-DO"/>
        </w:rPr>
        <w:t xml:space="preserve">El </w:t>
      </w:r>
      <w:r w:rsidRPr="00415D82">
        <w:rPr>
          <w:rFonts w:eastAsia="Calibri"/>
          <w:noProof/>
          <w:lang w:val="es-DO"/>
        </w:rPr>
        <w:t xml:space="preserve">índice de rotación de </w:t>
      </w:r>
      <w:r>
        <w:rPr>
          <w:rFonts w:eastAsia="Calibri"/>
          <w:noProof/>
          <w:lang w:val="es-DO"/>
        </w:rPr>
        <w:t xml:space="preserve">personal en este año fue de </w:t>
      </w:r>
      <w:r w:rsidRPr="00415D82">
        <w:rPr>
          <w:rFonts w:eastAsia="Calibri"/>
          <w:noProof/>
          <w:lang w:val="es-DO"/>
        </w:rPr>
        <w:t xml:space="preserve">un </w:t>
      </w:r>
      <w:r>
        <w:rPr>
          <w:rFonts w:eastAsia="Calibri"/>
          <w:noProof/>
          <w:lang w:val="es-DO"/>
        </w:rPr>
        <w:t>5</w:t>
      </w:r>
      <w:r w:rsidRPr="007C268A">
        <w:rPr>
          <w:rFonts w:eastAsia="Calibri"/>
          <w:noProof/>
          <w:lang w:val="es-DO"/>
        </w:rPr>
        <w:t>%</w:t>
      </w:r>
      <w:r>
        <w:rPr>
          <w:rFonts w:eastAsia="Calibri"/>
          <w:noProof/>
          <w:lang w:val="es-DO"/>
        </w:rPr>
        <w:t xml:space="preserve">, del cual el </w:t>
      </w:r>
      <w:r w:rsidRPr="00B2785F">
        <w:rPr>
          <w:rFonts w:eastAsia="Calibri"/>
          <w:noProof/>
          <w:lang w:val="es-DO"/>
        </w:rPr>
        <w:t>0.</w:t>
      </w:r>
      <w:r>
        <w:rPr>
          <w:rFonts w:eastAsia="Calibri"/>
          <w:noProof/>
          <w:lang w:val="es-DO"/>
        </w:rPr>
        <w:t>76</w:t>
      </w:r>
      <w:r w:rsidRPr="00B2785F">
        <w:rPr>
          <w:rFonts w:eastAsia="Calibri"/>
          <w:noProof/>
          <w:lang w:val="es-DO"/>
        </w:rPr>
        <w:t>%</w:t>
      </w:r>
      <w:r>
        <w:rPr>
          <w:rFonts w:eastAsia="Calibri"/>
          <w:noProof/>
          <w:lang w:val="es-DO"/>
        </w:rPr>
        <w:t xml:space="preserve"> corresponde a renuncias. En comparacion con el año 2023, en en cual presentamos un IRP de 7.11%, este año tuvimos una disminución de 15 salidas, significando esto una buena gestión de los recursos humanos.  </w:t>
      </w:r>
    </w:p>
    <w:p w14:paraId="4B19543B" w14:textId="40E466B3" w:rsidR="00DB3220" w:rsidRDefault="002030EE" w:rsidP="002030EE">
      <w:pPr>
        <w:spacing w:before="240" w:after="0" w:line="360" w:lineRule="auto"/>
        <w:jc w:val="both"/>
        <w:rPr>
          <w:rFonts w:eastAsia="Calibri"/>
          <w:noProof/>
          <w:lang w:val="es-DO"/>
        </w:rPr>
      </w:pPr>
      <w:bookmarkStart w:id="133" w:name="_Toc171677843"/>
      <w:bookmarkStart w:id="134" w:name="_Toc172118702"/>
      <w:bookmarkStart w:id="135" w:name="_Toc172119855"/>
      <w:bookmarkStart w:id="136" w:name="_Toc172120188"/>
      <w:bookmarkStart w:id="137" w:name="_Toc172121406"/>
      <w:r>
        <w:rPr>
          <w:noProof/>
        </w:rPr>
        <w:drawing>
          <wp:inline distT="0" distB="0" distL="0" distR="0" wp14:anchorId="3CBE4B7F" wp14:editId="0BB5B12D">
            <wp:extent cx="4981575" cy="2965621"/>
            <wp:effectExtent l="0" t="0" r="0" b="0"/>
            <wp:docPr id="974273502" name="Chart 1">
              <a:extLst xmlns:a="http://schemas.openxmlformats.org/drawingml/2006/main">
                <a:ext uri="{FF2B5EF4-FFF2-40B4-BE49-F238E27FC236}">
                  <a16:creationId xmlns:a16="http://schemas.microsoft.com/office/drawing/2014/main" id="{CFAC933C-C8DA-4EF1-AD98-B71667E347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6801939" w14:textId="64A0945C" w:rsidR="002030EE" w:rsidRPr="002030EE" w:rsidRDefault="002030EE" w:rsidP="002030EE">
      <w:pPr>
        <w:pStyle w:val="Caption"/>
        <w:rPr>
          <w:i w:val="0"/>
          <w:iCs w:val="0"/>
          <w:color w:val="767171" w:themeColor="background2" w:themeShade="80"/>
        </w:rPr>
      </w:pPr>
      <w:r>
        <w:rPr>
          <w:b/>
          <w:bCs/>
          <w:i w:val="0"/>
          <w:iCs w:val="0"/>
          <w:color w:val="767171" w:themeColor="background2" w:themeShade="80"/>
        </w:rPr>
        <w:t>Gráfico</w:t>
      </w:r>
      <w:r w:rsidRPr="002030EE">
        <w:rPr>
          <w:b/>
          <w:bCs/>
          <w:i w:val="0"/>
          <w:iCs w:val="0"/>
          <w:color w:val="767171" w:themeColor="background2" w:themeShade="80"/>
        </w:rPr>
        <w:t xml:space="preserve"> </w:t>
      </w:r>
      <w:r w:rsidR="008D600F">
        <w:rPr>
          <w:b/>
          <w:bCs/>
          <w:i w:val="0"/>
          <w:iCs w:val="0"/>
          <w:color w:val="767171" w:themeColor="background2" w:themeShade="80"/>
        </w:rPr>
        <w:t>15</w:t>
      </w:r>
      <w:r w:rsidR="00DB3220">
        <w:rPr>
          <w:b/>
          <w:bCs/>
          <w:i w:val="0"/>
          <w:iCs w:val="0"/>
          <w:color w:val="767171" w:themeColor="background2" w:themeShade="80"/>
        </w:rPr>
        <w:t>:</w:t>
      </w:r>
      <w:r w:rsidRPr="002030EE">
        <w:rPr>
          <w:i w:val="0"/>
          <w:iCs w:val="0"/>
          <w:color w:val="767171" w:themeColor="background2" w:themeShade="80"/>
        </w:rPr>
        <w:t xml:space="preserve"> Cantidad porcentual de novedades por trimestre</w:t>
      </w:r>
      <w:r>
        <w:rPr>
          <w:i w:val="0"/>
          <w:iCs w:val="0"/>
          <w:color w:val="767171" w:themeColor="background2" w:themeShade="80"/>
        </w:rPr>
        <w:t>.</w:t>
      </w:r>
    </w:p>
    <w:p w14:paraId="06752D8F" w14:textId="6A2481DB" w:rsidR="002030EE" w:rsidRPr="00BC081A" w:rsidRDefault="002030EE" w:rsidP="00BC081A">
      <w:pPr>
        <w:rPr>
          <w:b/>
          <w:bCs/>
          <w:lang w:val="es-DO"/>
        </w:rPr>
      </w:pPr>
      <w:r w:rsidRPr="00BC081A">
        <w:rPr>
          <w:b/>
          <w:bCs/>
          <w:lang w:val="es-DO"/>
        </w:rPr>
        <w:lastRenderedPageBreak/>
        <w:t>Plan de Acción Clima Organizacional</w:t>
      </w:r>
      <w:bookmarkEnd w:id="133"/>
      <w:bookmarkEnd w:id="134"/>
      <w:bookmarkEnd w:id="135"/>
      <w:bookmarkEnd w:id="136"/>
      <w:bookmarkEnd w:id="137"/>
    </w:p>
    <w:p w14:paraId="58616FA2" w14:textId="77777777" w:rsidR="002030EE" w:rsidRPr="004F4D1F" w:rsidRDefault="002030EE" w:rsidP="00E226E0">
      <w:pPr>
        <w:spacing w:line="360" w:lineRule="auto"/>
        <w:jc w:val="both"/>
        <w:rPr>
          <w:rFonts w:eastAsia="Calibri"/>
          <w:noProof/>
          <w:lang w:val="es-DO"/>
        </w:rPr>
      </w:pPr>
      <w:r w:rsidRPr="004F4D1F">
        <w:rPr>
          <w:rFonts w:eastAsia="Calibri"/>
          <w:noProof/>
          <w:lang w:val="es-DO"/>
        </w:rPr>
        <w:t>La aplicación de la encuesta de clima nos permite conocer el nivel satisfacción laboral de nuestros personal y a través de los resultados podemos identificar oportunidades de mejora que podemos aplicar</w:t>
      </w:r>
      <w:r>
        <w:rPr>
          <w:rFonts w:eastAsia="Calibri"/>
          <w:noProof/>
          <w:lang w:val="es-DO"/>
        </w:rPr>
        <w:t>,</w:t>
      </w:r>
      <w:r w:rsidRPr="004F4D1F">
        <w:rPr>
          <w:rFonts w:eastAsia="Calibri"/>
          <w:noProof/>
          <w:lang w:val="es-DO"/>
        </w:rPr>
        <w:t xml:space="preserve"> </w:t>
      </w:r>
      <w:r>
        <w:rPr>
          <w:rFonts w:eastAsia="Calibri"/>
          <w:noProof/>
          <w:lang w:val="es-DO"/>
        </w:rPr>
        <w:t>de esta manera</w:t>
      </w:r>
      <w:r w:rsidRPr="004F4D1F">
        <w:rPr>
          <w:rFonts w:eastAsia="Calibri"/>
          <w:noProof/>
          <w:lang w:val="es-DO"/>
        </w:rPr>
        <w:t xml:space="preserve"> </w:t>
      </w:r>
      <w:r>
        <w:rPr>
          <w:rFonts w:eastAsia="Calibri"/>
          <w:noProof/>
          <w:lang w:val="es-DO"/>
        </w:rPr>
        <w:t>contribuir</w:t>
      </w:r>
      <w:r w:rsidRPr="004F4D1F">
        <w:rPr>
          <w:rFonts w:eastAsia="Calibri"/>
          <w:noProof/>
          <w:lang w:val="es-DO"/>
        </w:rPr>
        <w:t xml:space="preserve"> </w:t>
      </w:r>
      <w:r>
        <w:rPr>
          <w:rFonts w:eastAsia="Calibri"/>
          <w:noProof/>
          <w:lang w:val="es-DO"/>
        </w:rPr>
        <w:t xml:space="preserve">con </w:t>
      </w:r>
      <w:r w:rsidRPr="004F4D1F">
        <w:rPr>
          <w:rFonts w:eastAsia="Calibri"/>
          <w:noProof/>
          <w:lang w:val="es-DO"/>
        </w:rPr>
        <w:t>la motivación de nuestr</w:t>
      </w:r>
      <w:r>
        <w:rPr>
          <w:rFonts w:eastAsia="Calibri"/>
          <w:noProof/>
          <w:lang w:val="es-DO"/>
        </w:rPr>
        <w:t>os colaboradores</w:t>
      </w:r>
      <w:r w:rsidRPr="004F4D1F">
        <w:rPr>
          <w:rFonts w:eastAsia="Calibri"/>
          <w:noProof/>
          <w:lang w:val="es-DO"/>
        </w:rPr>
        <w:t xml:space="preserve">. </w:t>
      </w:r>
    </w:p>
    <w:p w14:paraId="2D048BE5" w14:textId="77777777" w:rsidR="002030EE" w:rsidRPr="004F4D1F" w:rsidRDefault="002030EE" w:rsidP="00E226E0">
      <w:pPr>
        <w:spacing w:line="360" w:lineRule="auto"/>
        <w:jc w:val="both"/>
        <w:rPr>
          <w:rFonts w:eastAsia="Calibri"/>
          <w:noProof/>
          <w:lang w:val="es-DO"/>
        </w:rPr>
      </w:pPr>
      <w:r w:rsidRPr="004F4D1F">
        <w:rPr>
          <w:rFonts w:eastAsia="Calibri"/>
          <w:noProof/>
          <w:lang w:val="es-DO"/>
        </w:rPr>
        <w:t xml:space="preserve">En el mes de octubre 2023 fue remitida la </w:t>
      </w:r>
      <w:r>
        <w:rPr>
          <w:rFonts w:eastAsia="Calibri"/>
          <w:noProof/>
          <w:lang w:val="es-DO"/>
        </w:rPr>
        <w:t>E</w:t>
      </w:r>
      <w:r w:rsidRPr="004F4D1F">
        <w:rPr>
          <w:rFonts w:eastAsia="Calibri"/>
          <w:noProof/>
          <w:lang w:val="es-DO"/>
        </w:rPr>
        <w:t xml:space="preserve">ncuesta de </w:t>
      </w:r>
      <w:r>
        <w:rPr>
          <w:rFonts w:eastAsia="Calibri"/>
          <w:noProof/>
          <w:lang w:val="es-DO"/>
        </w:rPr>
        <w:t>C</w:t>
      </w:r>
      <w:r w:rsidRPr="004F4D1F">
        <w:rPr>
          <w:rFonts w:eastAsia="Calibri"/>
          <w:noProof/>
          <w:lang w:val="es-DO"/>
        </w:rPr>
        <w:t>lima y luego de analizar los resultados</w:t>
      </w:r>
      <w:r>
        <w:rPr>
          <w:rFonts w:eastAsia="Calibri"/>
          <w:noProof/>
          <w:lang w:val="es-DO"/>
        </w:rPr>
        <w:t>,</w:t>
      </w:r>
      <w:r w:rsidRPr="004F4D1F">
        <w:rPr>
          <w:rFonts w:eastAsia="Calibri"/>
          <w:noProof/>
          <w:lang w:val="es-DO"/>
        </w:rPr>
        <w:t xml:space="preserve"> la Dirección de Recursos Humanos elabor</w:t>
      </w:r>
      <w:r>
        <w:rPr>
          <w:rFonts w:eastAsia="Calibri"/>
          <w:noProof/>
          <w:lang w:val="es-DO"/>
        </w:rPr>
        <w:t>ó</w:t>
      </w:r>
      <w:r w:rsidRPr="004F4D1F">
        <w:rPr>
          <w:rFonts w:eastAsia="Calibri"/>
          <w:noProof/>
          <w:lang w:val="es-DO"/>
        </w:rPr>
        <w:t xml:space="preserve"> un plan de acción con las sugerencias otorgadas por nuestros colaboradores, las cuales abarcan los temas de crecimiento laboral, comunicación, compensación y beneficios, liderazgo, seguridad y salud laboral, infraestructura, entre otros. </w:t>
      </w:r>
    </w:p>
    <w:p w14:paraId="22779534" w14:textId="77777777" w:rsidR="002030EE" w:rsidRPr="004F4D1F" w:rsidRDefault="002030EE" w:rsidP="00E226E0">
      <w:pPr>
        <w:spacing w:line="360" w:lineRule="auto"/>
        <w:jc w:val="both"/>
        <w:rPr>
          <w:rFonts w:eastAsia="Calibri"/>
          <w:noProof/>
          <w:lang w:val="es-DO"/>
        </w:rPr>
      </w:pPr>
      <w:r w:rsidRPr="004F4D1F">
        <w:rPr>
          <w:rFonts w:eastAsia="Calibri"/>
          <w:noProof/>
          <w:lang w:val="es-DO"/>
        </w:rPr>
        <w:t xml:space="preserve">A la fecha tenemos un avance </w:t>
      </w:r>
      <w:r w:rsidRPr="00121F53">
        <w:rPr>
          <w:rFonts w:eastAsia="Calibri"/>
          <w:noProof/>
          <w:lang w:val="es-DO"/>
        </w:rPr>
        <w:t>de un 82%</w:t>
      </w:r>
      <w:r w:rsidRPr="004F4D1F">
        <w:rPr>
          <w:rFonts w:eastAsia="Calibri"/>
          <w:noProof/>
          <w:lang w:val="es-DO"/>
        </w:rPr>
        <w:t xml:space="preserve"> en el cumplimiento de las actividades especificadas en el plan de acción,</w:t>
      </w:r>
      <w:r>
        <w:rPr>
          <w:rFonts w:eastAsia="Calibri"/>
          <w:noProof/>
          <w:lang w:val="es-DO"/>
        </w:rPr>
        <w:t xml:space="preserve"> las actividades pendientes se estarán culminando al finalizar el 2024.</w:t>
      </w:r>
    </w:p>
    <w:p w14:paraId="5CC6565B" w14:textId="77777777" w:rsidR="00BC081A" w:rsidRDefault="00BC081A" w:rsidP="00BC081A">
      <w:pPr>
        <w:rPr>
          <w:lang w:val="es-DO"/>
        </w:rPr>
      </w:pPr>
      <w:bookmarkStart w:id="138" w:name="_Toc171677844"/>
      <w:bookmarkStart w:id="139" w:name="_Toc172118703"/>
      <w:bookmarkStart w:id="140" w:name="_Toc172119856"/>
      <w:bookmarkStart w:id="141" w:name="_Toc172120189"/>
      <w:bookmarkStart w:id="142" w:name="_Toc172121407"/>
    </w:p>
    <w:p w14:paraId="60A3AA87" w14:textId="785B2C7B" w:rsidR="002030EE" w:rsidRPr="00BC081A" w:rsidRDefault="002030EE" w:rsidP="00BC081A">
      <w:pPr>
        <w:rPr>
          <w:b/>
          <w:bCs/>
          <w:lang w:val="es-DO"/>
        </w:rPr>
      </w:pPr>
      <w:r w:rsidRPr="00BC081A">
        <w:rPr>
          <w:b/>
          <w:bCs/>
          <w:lang w:val="es-DO"/>
        </w:rPr>
        <w:t>Cumplimientos indicadores SISMAP</w:t>
      </w:r>
      <w:bookmarkEnd w:id="138"/>
      <w:bookmarkEnd w:id="139"/>
      <w:bookmarkEnd w:id="140"/>
      <w:bookmarkEnd w:id="141"/>
      <w:bookmarkEnd w:id="142"/>
    </w:p>
    <w:p w14:paraId="01D1F78E" w14:textId="77777777" w:rsidR="002030EE" w:rsidRDefault="002030EE" w:rsidP="00E226E0">
      <w:pPr>
        <w:spacing w:line="360" w:lineRule="auto"/>
        <w:jc w:val="both"/>
        <w:rPr>
          <w:rFonts w:eastAsia="Calibri"/>
          <w:noProof/>
          <w:lang w:val="es-DO"/>
        </w:rPr>
      </w:pPr>
      <w:r w:rsidRPr="004D7C6B">
        <w:rPr>
          <w:rFonts w:eastAsia="Calibri"/>
          <w:noProof/>
          <w:lang w:val="es-DO"/>
        </w:rPr>
        <w:t>El SISMAP es un sistema de monitoreo para medir los niveles de desarrollo de la gestión pública implementado por el Ministerio de Administración Pública, MAP</w:t>
      </w:r>
      <w:r>
        <w:rPr>
          <w:rFonts w:eastAsia="Calibri"/>
          <w:noProof/>
          <w:lang w:val="es-DO"/>
        </w:rPr>
        <w:t>.</w:t>
      </w:r>
      <w:r w:rsidRPr="004D7C6B">
        <w:rPr>
          <w:rFonts w:eastAsia="Calibri"/>
          <w:noProof/>
          <w:lang w:val="es-DO"/>
        </w:rPr>
        <w:t xml:space="preserve"> </w:t>
      </w:r>
      <w:r>
        <w:rPr>
          <w:rFonts w:eastAsia="Calibri"/>
          <w:noProof/>
          <w:lang w:val="es-DO"/>
        </w:rPr>
        <w:t xml:space="preserve">Esta compuesto por El </w:t>
      </w:r>
      <w:r w:rsidRPr="004D7C6B">
        <w:rPr>
          <w:rFonts w:eastAsia="Calibri"/>
          <w:noProof/>
          <w:lang w:val="es-DO"/>
        </w:rPr>
        <w:t xml:space="preserve">Sistema de Administración Pública, SASP, Gestión del Empleo, Transparencia en la Informaciones de Servicios y Funcionarios, Nivel de Administración del Sistema de Carrera Administrativa, Planificación de los Recursos Humanos, Organización del Trabajo, Manual de Organización y Funciones, Manual de Cargos Elaborado,  Gestión de las Compensaciones y Beneficios, Fortalecimiento de las Relaciones Laborales e Implementación del SISTAP. </w:t>
      </w:r>
    </w:p>
    <w:p w14:paraId="6F12B563" w14:textId="77777777" w:rsidR="002030EE" w:rsidRDefault="002030EE" w:rsidP="00E226E0">
      <w:pPr>
        <w:spacing w:line="360" w:lineRule="auto"/>
        <w:jc w:val="both"/>
        <w:rPr>
          <w:rFonts w:eastAsia="Calibri"/>
          <w:noProof/>
          <w:lang w:val="es-DO"/>
        </w:rPr>
      </w:pPr>
      <w:r w:rsidRPr="004D7C6B">
        <w:rPr>
          <w:rFonts w:eastAsia="Calibri"/>
          <w:noProof/>
          <w:lang w:val="es-DO"/>
        </w:rPr>
        <w:lastRenderedPageBreak/>
        <w:t xml:space="preserve">Estos han sido gestionados y actualizados con las evidencias correspondientes, a la fecha la Institución tiene un nivel de cumplimiento de un </w:t>
      </w:r>
      <w:r w:rsidRPr="00121F53">
        <w:rPr>
          <w:rFonts w:eastAsia="Calibri"/>
          <w:noProof/>
          <w:lang w:val="es-DO"/>
        </w:rPr>
        <w:t>87.01%.</w:t>
      </w:r>
    </w:p>
    <w:p w14:paraId="3BC576A7" w14:textId="076031FD" w:rsidR="002030EE" w:rsidRPr="00BC081A" w:rsidRDefault="002030EE" w:rsidP="00BC081A">
      <w:pPr>
        <w:rPr>
          <w:b/>
          <w:bCs/>
          <w:lang w:val="es-DO"/>
        </w:rPr>
      </w:pPr>
      <w:bookmarkStart w:id="143" w:name="_Toc171677848"/>
      <w:bookmarkStart w:id="144" w:name="_Toc172118705"/>
      <w:bookmarkStart w:id="145" w:name="_Toc172119858"/>
      <w:bookmarkStart w:id="146" w:name="_Toc172120191"/>
      <w:bookmarkStart w:id="147" w:name="_Toc172121409"/>
      <w:r w:rsidRPr="00BC081A">
        <w:rPr>
          <w:b/>
          <w:bCs/>
          <w:lang w:val="es-DO"/>
        </w:rPr>
        <w:t>Programa de Reconocimiento</w:t>
      </w:r>
      <w:bookmarkEnd w:id="143"/>
      <w:bookmarkEnd w:id="144"/>
      <w:bookmarkEnd w:id="145"/>
      <w:bookmarkEnd w:id="146"/>
      <w:bookmarkEnd w:id="147"/>
    </w:p>
    <w:p w14:paraId="2165AD6D" w14:textId="77777777" w:rsidR="002030EE" w:rsidRPr="007923B5" w:rsidRDefault="002030EE" w:rsidP="00E226E0">
      <w:pPr>
        <w:spacing w:line="360" w:lineRule="auto"/>
        <w:jc w:val="both"/>
        <w:rPr>
          <w:rFonts w:eastAsia="Calibri"/>
          <w:noProof/>
          <w:lang w:val="es-DO"/>
        </w:rPr>
      </w:pPr>
      <w:r w:rsidRPr="007923B5">
        <w:rPr>
          <w:rFonts w:eastAsia="Calibri"/>
          <w:noProof/>
          <w:lang w:val="es-DO"/>
        </w:rPr>
        <w:t xml:space="preserve">Nuestro Programa de Reconocimiento laboral tiene el objetivo principal de crear mecanismos eficientes y eficaces de motivación, para mejorar la autoestima, autoconfianza, desempeño, el clima y el bienestar de nuestros colaboradores. </w:t>
      </w:r>
    </w:p>
    <w:p w14:paraId="54BAF062" w14:textId="77777777" w:rsidR="002030EE" w:rsidRPr="007923B5" w:rsidRDefault="002030EE" w:rsidP="00E226E0">
      <w:pPr>
        <w:spacing w:line="360" w:lineRule="auto"/>
        <w:jc w:val="both"/>
        <w:rPr>
          <w:rFonts w:eastAsia="Calibri"/>
          <w:noProof/>
          <w:lang w:val="es-DO"/>
        </w:rPr>
      </w:pPr>
      <w:r w:rsidRPr="007923B5">
        <w:rPr>
          <w:rFonts w:eastAsia="Calibri"/>
          <w:noProof/>
          <w:lang w:val="es-DO"/>
        </w:rPr>
        <w:t xml:space="preserve">Para realizar una evaluación objetiva y transparente, tenemos conformado un Comité Evaluador, quienes son los responsables de recibir, revisar, analizar y evaluar las propuestas de reconocimientos recibidas. </w:t>
      </w:r>
    </w:p>
    <w:p w14:paraId="22A4CBE0" w14:textId="77777777" w:rsidR="002030EE" w:rsidRPr="007923B5" w:rsidRDefault="002030EE" w:rsidP="00E226E0">
      <w:pPr>
        <w:spacing w:line="360" w:lineRule="auto"/>
        <w:jc w:val="both"/>
        <w:rPr>
          <w:rFonts w:eastAsia="Calibri"/>
          <w:noProof/>
          <w:lang w:val="es-DO"/>
        </w:rPr>
      </w:pPr>
      <w:r w:rsidRPr="007923B5">
        <w:rPr>
          <w:rFonts w:eastAsia="Calibri"/>
          <w:noProof/>
          <w:lang w:val="es-DO"/>
        </w:rPr>
        <w:t>Tenemos contemplado cinco (05) tipos de reconocimientos a ser evaluados, a saber</w:t>
      </w:r>
      <w:r>
        <w:rPr>
          <w:rFonts w:eastAsia="Calibri"/>
          <w:noProof/>
          <w:lang w:val="es-DO"/>
        </w:rPr>
        <w:t>:</w:t>
      </w:r>
    </w:p>
    <w:p w14:paraId="272E15E9" w14:textId="77777777" w:rsidR="002030EE" w:rsidRPr="007923B5" w:rsidRDefault="002030EE" w:rsidP="002030EE">
      <w:pPr>
        <w:pStyle w:val="ListParagraph"/>
        <w:numPr>
          <w:ilvl w:val="0"/>
          <w:numId w:val="26"/>
        </w:numPr>
        <w:spacing w:before="240" w:line="360" w:lineRule="auto"/>
        <w:rPr>
          <w:rFonts w:ascii="Times New Roman" w:hAnsi="Times New Roman"/>
          <w:color w:val="767171"/>
          <w:spacing w:val="20"/>
          <w:sz w:val="24"/>
          <w:szCs w:val="24"/>
        </w:rPr>
      </w:pPr>
      <w:r w:rsidRPr="00452FE7">
        <w:rPr>
          <w:rFonts w:ascii="Times New Roman" w:hAnsi="Times New Roman"/>
          <w:b/>
          <w:bCs/>
          <w:noProof/>
          <w:color w:val="767171"/>
          <w:spacing w:val="20"/>
          <w:sz w:val="24"/>
          <w:szCs w:val="24"/>
        </w:rPr>
        <w:t>Labor Destacada.</w:t>
      </w:r>
      <w:r w:rsidRPr="007923B5">
        <w:rPr>
          <w:rFonts w:ascii="Times New Roman" w:hAnsi="Times New Roman"/>
          <w:noProof/>
          <w:color w:val="767171"/>
          <w:spacing w:val="20"/>
          <w:sz w:val="24"/>
          <w:szCs w:val="24"/>
        </w:rPr>
        <w:t xml:space="preserve"> </w:t>
      </w:r>
      <w:r w:rsidRPr="007923B5">
        <w:rPr>
          <w:rFonts w:ascii="Times New Roman" w:hAnsi="Times New Roman"/>
          <w:color w:val="767171"/>
          <w:spacing w:val="20"/>
          <w:sz w:val="24"/>
          <w:szCs w:val="24"/>
        </w:rPr>
        <w:t>Reconocimiento especial que se le hace a un colaborador(a) por haber realizado un trabajo extraordinario.</w:t>
      </w:r>
    </w:p>
    <w:p w14:paraId="2E0B54B3" w14:textId="77777777" w:rsidR="002030EE" w:rsidRPr="007923B5" w:rsidRDefault="002030EE" w:rsidP="002030EE">
      <w:pPr>
        <w:pStyle w:val="ListParagraph"/>
        <w:numPr>
          <w:ilvl w:val="0"/>
          <w:numId w:val="26"/>
        </w:numPr>
        <w:spacing w:before="240" w:line="360" w:lineRule="auto"/>
        <w:rPr>
          <w:rFonts w:ascii="Times New Roman" w:hAnsi="Times New Roman"/>
          <w:noProof/>
          <w:color w:val="767171"/>
          <w:spacing w:val="20"/>
          <w:sz w:val="24"/>
          <w:szCs w:val="24"/>
        </w:rPr>
      </w:pPr>
      <w:r w:rsidRPr="00452FE7">
        <w:rPr>
          <w:rFonts w:ascii="Times New Roman" w:hAnsi="Times New Roman"/>
          <w:b/>
          <w:bCs/>
          <w:noProof/>
          <w:color w:val="767171"/>
          <w:spacing w:val="20"/>
          <w:sz w:val="24"/>
          <w:szCs w:val="24"/>
        </w:rPr>
        <w:t>Innovación.</w:t>
      </w:r>
      <w:r w:rsidRPr="007923B5">
        <w:rPr>
          <w:rFonts w:ascii="Times New Roman" w:hAnsi="Times New Roman"/>
          <w:noProof/>
          <w:color w:val="767171"/>
          <w:spacing w:val="20"/>
          <w:sz w:val="24"/>
          <w:szCs w:val="24"/>
        </w:rPr>
        <w:t xml:space="preserve"> Reconocimiento que se otorga cuando se ejecutan un conjunto de acciones con el propósito de mejorar u optimizar uno o varios objetivos/servicios de la Institución.  </w:t>
      </w:r>
    </w:p>
    <w:p w14:paraId="03BD34B1" w14:textId="77777777" w:rsidR="002030EE" w:rsidRPr="007923B5" w:rsidRDefault="002030EE" w:rsidP="002030EE">
      <w:pPr>
        <w:pStyle w:val="ListParagraph"/>
        <w:numPr>
          <w:ilvl w:val="0"/>
          <w:numId w:val="26"/>
        </w:numPr>
        <w:spacing w:before="240" w:line="360" w:lineRule="auto"/>
        <w:rPr>
          <w:rFonts w:ascii="Times New Roman" w:hAnsi="Times New Roman"/>
          <w:noProof/>
          <w:color w:val="767171"/>
          <w:spacing w:val="20"/>
          <w:sz w:val="24"/>
          <w:szCs w:val="24"/>
        </w:rPr>
      </w:pPr>
      <w:r w:rsidRPr="00452FE7">
        <w:rPr>
          <w:rFonts w:ascii="Times New Roman" w:hAnsi="Times New Roman"/>
          <w:b/>
          <w:bCs/>
          <w:noProof/>
          <w:color w:val="767171"/>
          <w:spacing w:val="20"/>
          <w:sz w:val="24"/>
          <w:szCs w:val="24"/>
        </w:rPr>
        <w:t>Trabajo en Equipo.</w:t>
      </w:r>
      <w:r w:rsidRPr="007923B5">
        <w:rPr>
          <w:rFonts w:ascii="Times New Roman" w:hAnsi="Times New Roman"/>
          <w:noProof/>
          <w:color w:val="767171"/>
          <w:spacing w:val="20"/>
          <w:sz w:val="24"/>
          <w:szCs w:val="24"/>
        </w:rPr>
        <w:t xml:space="preserve"> Conjunto de personas con habilidades complementarias que están comprometidas con un propósito, un conjunto de metas de desempeño y un enforque común, por los cuáles se hacen mutuamente responsables.</w:t>
      </w:r>
    </w:p>
    <w:p w14:paraId="0C9B1FBA" w14:textId="77777777" w:rsidR="002030EE" w:rsidRPr="007923B5" w:rsidRDefault="002030EE" w:rsidP="002030EE">
      <w:pPr>
        <w:pStyle w:val="ListParagraph"/>
        <w:numPr>
          <w:ilvl w:val="0"/>
          <w:numId w:val="26"/>
        </w:numPr>
        <w:spacing w:before="240" w:line="360" w:lineRule="auto"/>
        <w:rPr>
          <w:rFonts w:ascii="Times New Roman" w:hAnsi="Times New Roman"/>
          <w:noProof/>
          <w:color w:val="767171"/>
          <w:spacing w:val="20"/>
          <w:sz w:val="24"/>
          <w:szCs w:val="24"/>
        </w:rPr>
      </w:pPr>
      <w:r w:rsidRPr="00452FE7">
        <w:rPr>
          <w:rFonts w:ascii="Times New Roman" w:hAnsi="Times New Roman"/>
          <w:b/>
          <w:bCs/>
          <w:noProof/>
          <w:color w:val="767171"/>
          <w:spacing w:val="20"/>
          <w:sz w:val="24"/>
          <w:szCs w:val="24"/>
        </w:rPr>
        <w:t>Héroes Anónimos</w:t>
      </w:r>
      <w:r w:rsidRPr="007923B5">
        <w:rPr>
          <w:rFonts w:ascii="Times New Roman" w:hAnsi="Times New Roman"/>
          <w:noProof/>
          <w:color w:val="767171"/>
          <w:spacing w:val="20"/>
          <w:sz w:val="24"/>
          <w:szCs w:val="24"/>
        </w:rPr>
        <w:t xml:space="preserve">. Este reconocimiento es para aquel que está detrás de bambalinas o bastidores, es decir, los objetivos se lograron, pero detrás hay personas que fueron importantes pero que no son vistos por el público. Aportaron </w:t>
      </w:r>
      <w:r w:rsidRPr="007923B5">
        <w:rPr>
          <w:rFonts w:ascii="Times New Roman" w:hAnsi="Times New Roman"/>
          <w:noProof/>
          <w:color w:val="767171"/>
          <w:spacing w:val="20"/>
          <w:sz w:val="24"/>
          <w:szCs w:val="24"/>
        </w:rPr>
        <w:lastRenderedPageBreak/>
        <w:t xml:space="preserve">ideas, tiempo, trabajaron durante el proceso y buscaron soluciones a los problemas surgidos, dieron la milla extra para colaborar a que se logre el objetivo, etc. </w:t>
      </w:r>
    </w:p>
    <w:p w14:paraId="361CE99A" w14:textId="77777777" w:rsidR="002030EE" w:rsidRDefault="002030EE" w:rsidP="002030EE">
      <w:pPr>
        <w:pStyle w:val="ListParagraph"/>
        <w:numPr>
          <w:ilvl w:val="0"/>
          <w:numId w:val="26"/>
        </w:numPr>
        <w:spacing w:before="240" w:line="360" w:lineRule="auto"/>
        <w:rPr>
          <w:rFonts w:ascii="Times New Roman" w:hAnsi="Times New Roman"/>
          <w:noProof/>
          <w:color w:val="767171"/>
          <w:spacing w:val="20"/>
          <w:sz w:val="24"/>
          <w:szCs w:val="24"/>
        </w:rPr>
      </w:pPr>
      <w:r w:rsidRPr="00452FE7">
        <w:rPr>
          <w:rFonts w:ascii="Times New Roman" w:hAnsi="Times New Roman"/>
          <w:b/>
          <w:bCs/>
          <w:noProof/>
          <w:color w:val="767171"/>
          <w:spacing w:val="20"/>
          <w:sz w:val="24"/>
          <w:szCs w:val="24"/>
        </w:rPr>
        <w:t>Colaborador del Año.</w:t>
      </w:r>
      <w:r w:rsidRPr="007923B5">
        <w:rPr>
          <w:rFonts w:ascii="Times New Roman" w:hAnsi="Times New Roman"/>
          <w:noProof/>
          <w:color w:val="767171"/>
          <w:spacing w:val="20"/>
          <w:sz w:val="24"/>
          <w:szCs w:val="24"/>
        </w:rPr>
        <w:t xml:space="preserve"> Se seleccionará un solo Colaborador(a) que haya sido reconocido dentro de las categorías: “Labor destacada”, “Innovación” y “Héroes anónimos”. Este reconocimiento será por votación. </w:t>
      </w:r>
    </w:p>
    <w:p w14:paraId="0E3A9A48" w14:textId="77777777" w:rsidR="002030EE" w:rsidRPr="00C8126A" w:rsidRDefault="002030EE" w:rsidP="002030EE">
      <w:pPr>
        <w:spacing w:line="360" w:lineRule="auto"/>
        <w:jc w:val="both"/>
        <w:rPr>
          <w:rFonts w:eastAsia="Calibri"/>
          <w:noProof/>
          <w:lang w:val="es-DO"/>
        </w:rPr>
      </w:pPr>
      <w:r w:rsidRPr="009D6C01">
        <w:rPr>
          <w:rFonts w:eastAsia="Calibri"/>
          <w:noProof/>
          <w:lang w:val="es-DO"/>
        </w:rPr>
        <w:t>En</w:t>
      </w:r>
      <w:r>
        <w:rPr>
          <w:rFonts w:eastAsia="Calibri"/>
          <w:noProof/>
          <w:lang w:val="es-DO"/>
        </w:rPr>
        <w:t xml:space="preserve"> este año fueron</w:t>
      </w:r>
      <w:r w:rsidRPr="00901465">
        <w:rPr>
          <w:rFonts w:eastAsia="Calibri"/>
          <w:noProof/>
          <w:lang w:val="es-DO"/>
        </w:rPr>
        <w:t xml:space="preserve"> reconocidos catorce (14) colaboradores por el concepto de Labor Destacada, un (01) colaborador por Innovación  </w:t>
      </w:r>
      <w:r>
        <w:rPr>
          <w:rFonts w:eastAsia="Calibri"/>
          <w:noProof/>
          <w:lang w:val="es-DO"/>
        </w:rPr>
        <w:t xml:space="preserve">y </w:t>
      </w:r>
      <w:r w:rsidRPr="00C8126A">
        <w:rPr>
          <w:rFonts w:eastAsia="Calibri"/>
          <w:noProof/>
          <w:lang w:val="es-DO"/>
        </w:rPr>
        <w:t xml:space="preserve"> </w:t>
      </w:r>
      <w:r>
        <w:rPr>
          <w:rFonts w:eastAsia="Calibri"/>
          <w:noProof/>
          <w:lang w:val="es-DO"/>
        </w:rPr>
        <w:t xml:space="preserve">Trece (13) colaboradores reconocidos por Trabajo en Equipo, los colaboradores reconocidos pertenecen a las áreas de Servicios, Administrativa, Planificación y Desarrollo, Jurídica, OAI, Financiera, DTIC y DGNC.  </w:t>
      </w:r>
    </w:p>
    <w:p w14:paraId="793D6DC1" w14:textId="11E9AB5B" w:rsidR="002030EE" w:rsidRPr="00BC081A" w:rsidRDefault="002030EE" w:rsidP="00BC081A">
      <w:pPr>
        <w:rPr>
          <w:b/>
          <w:bCs/>
          <w:lang w:val="es-DO"/>
        </w:rPr>
      </w:pPr>
      <w:bookmarkStart w:id="148" w:name="_Toc171677849"/>
      <w:bookmarkStart w:id="149" w:name="_Toc172118706"/>
      <w:bookmarkStart w:id="150" w:name="_Toc172119859"/>
      <w:bookmarkStart w:id="151" w:name="_Toc172120192"/>
      <w:bookmarkStart w:id="152" w:name="_Toc172121410"/>
      <w:bookmarkStart w:id="153" w:name="_Toc171677850"/>
      <w:bookmarkStart w:id="154" w:name="_Toc172118707"/>
      <w:bookmarkStart w:id="155" w:name="_Toc172119860"/>
      <w:bookmarkStart w:id="156" w:name="_Toc172120193"/>
      <w:bookmarkStart w:id="157" w:name="_Toc172121411"/>
      <w:r w:rsidRPr="00BC081A">
        <w:rPr>
          <w:b/>
          <w:bCs/>
          <w:lang w:val="es-DO"/>
        </w:rPr>
        <w:t>Sistema de Seguridad y Salud en el Trabajo</w:t>
      </w:r>
      <w:bookmarkEnd w:id="148"/>
      <w:bookmarkEnd w:id="149"/>
      <w:bookmarkEnd w:id="150"/>
      <w:bookmarkEnd w:id="151"/>
      <w:bookmarkEnd w:id="152"/>
    </w:p>
    <w:p w14:paraId="44A88EC2" w14:textId="77777777" w:rsidR="002030EE" w:rsidRPr="002400E0" w:rsidRDefault="002030EE" w:rsidP="002030EE">
      <w:pPr>
        <w:spacing w:before="240" w:line="360" w:lineRule="auto"/>
        <w:jc w:val="both"/>
        <w:rPr>
          <w:rFonts w:eastAsia="Calibri"/>
          <w:noProof/>
          <w:lang w:val="es-DO"/>
        </w:rPr>
      </w:pPr>
      <w:r>
        <w:rPr>
          <w:rFonts w:eastAsia="Calibri"/>
          <w:noProof/>
          <w:lang w:val="es-DO"/>
        </w:rPr>
        <w:t>El</w:t>
      </w:r>
      <w:r w:rsidRPr="002400E0">
        <w:rPr>
          <w:rFonts w:eastAsia="Calibri"/>
          <w:noProof/>
          <w:lang w:val="es-DO"/>
        </w:rPr>
        <w:t xml:space="preserve"> Sistema de Seguridad y Salud en el Trabajo contribuye a mejorar la gestión de la organización en materia de seguridad y salud, además, nos permite implementar estrategias que contribuyan a prevenir accidentes laborales, posibles enfermedades ocupacionales y lo más importante, fomentar una cultura de seguridad entre los colaboradores. </w:t>
      </w:r>
    </w:p>
    <w:p w14:paraId="117975E1" w14:textId="77777777" w:rsidR="002030EE" w:rsidRPr="002400E0" w:rsidRDefault="002030EE" w:rsidP="002030EE">
      <w:pPr>
        <w:spacing w:before="240" w:line="360" w:lineRule="auto"/>
        <w:jc w:val="both"/>
        <w:rPr>
          <w:rFonts w:eastAsia="Calibri"/>
          <w:noProof/>
          <w:lang w:val="es-DO"/>
        </w:rPr>
      </w:pPr>
      <w:r w:rsidRPr="002400E0">
        <w:rPr>
          <w:rFonts w:eastAsia="Calibri"/>
          <w:noProof/>
          <w:lang w:val="es-DO"/>
        </w:rPr>
        <w:t>Entend</w:t>
      </w:r>
      <w:r>
        <w:rPr>
          <w:rFonts w:eastAsia="Calibri"/>
          <w:noProof/>
          <w:lang w:val="es-DO"/>
        </w:rPr>
        <w:t>iend</w:t>
      </w:r>
      <w:r w:rsidRPr="002400E0">
        <w:rPr>
          <w:rFonts w:eastAsia="Calibri"/>
          <w:noProof/>
          <w:lang w:val="es-DO"/>
        </w:rPr>
        <w:t xml:space="preserve">o su importancia y cumpliendo con lo establecido en el Reglamento </w:t>
      </w:r>
      <w:r>
        <w:rPr>
          <w:rFonts w:eastAsia="Calibri"/>
          <w:noProof/>
          <w:lang w:val="es-DO"/>
        </w:rPr>
        <w:t xml:space="preserve">no. </w:t>
      </w:r>
      <w:r w:rsidRPr="002400E0">
        <w:rPr>
          <w:rFonts w:eastAsia="Calibri"/>
          <w:noProof/>
          <w:lang w:val="es-DO"/>
        </w:rPr>
        <w:t xml:space="preserve">522-06 de Seguridad y Salud en el Trabajo, la TSS cuenta un Comité Mixto de Seguridad y Salud en el Trabajo, el cual desarrolla las actividades necesarias para la ejecución de los requisitos establecidos en la Guía Metodológica para la Implementación del SISTAP, a continuación, presentamos las actividades realizadas en el </w:t>
      </w:r>
      <w:r>
        <w:rPr>
          <w:rFonts w:eastAsia="Calibri"/>
          <w:noProof/>
          <w:lang w:val="es-DO"/>
        </w:rPr>
        <w:t>2024.</w:t>
      </w:r>
    </w:p>
    <w:p w14:paraId="7BAC0490" w14:textId="77777777" w:rsidR="002030EE" w:rsidRPr="00C5486B"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Pr>
          <w:rFonts w:ascii="Times New Roman" w:hAnsi="Times New Roman"/>
          <w:color w:val="767171"/>
          <w:spacing w:val="20"/>
          <w:sz w:val="24"/>
          <w:szCs w:val="24"/>
        </w:rPr>
        <w:t>Durante el periodo señalado se realizaron las reuniones mensuales correspondientes, en cumplimiento con lo establecido en el Reglamento 522-06.</w:t>
      </w:r>
    </w:p>
    <w:p w14:paraId="113801A0" w14:textId="77777777" w:rsidR="002030EE" w:rsidRPr="002400E0"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2400E0">
        <w:rPr>
          <w:rFonts w:ascii="Times New Roman" w:hAnsi="Times New Roman"/>
          <w:color w:val="767171"/>
          <w:spacing w:val="20"/>
          <w:sz w:val="24"/>
          <w:szCs w:val="24"/>
        </w:rPr>
        <w:lastRenderedPageBreak/>
        <w:t>04 de marzo</w:t>
      </w:r>
      <w:r>
        <w:rPr>
          <w:rFonts w:ascii="Times New Roman" w:hAnsi="Times New Roman"/>
          <w:color w:val="767171"/>
          <w:spacing w:val="20"/>
          <w:sz w:val="24"/>
          <w:szCs w:val="24"/>
        </w:rPr>
        <w:t>,</w:t>
      </w:r>
      <w:r w:rsidRPr="002400E0">
        <w:rPr>
          <w:rFonts w:ascii="Times New Roman" w:hAnsi="Times New Roman"/>
          <w:color w:val="767171"/>
          <w:spacing w:val="20"/>
          <w:sz w:val="24"/>
          <w:szCs w:val="24"/>
        </w:rPr>
        <w:t xml:space="preserve"> nos unimos a las efemérides del día Mundial Contra la Obesidad, concientizando al personal sobre los riesgos asociados a la obesidad y a su vez promover un cambio de vida saludable. </w:t>
      </w:r>
    </w:p>
    <w:p w14:paraId="2CA30D99" w14:textId="77777777" w:rsidR="002030EE" w:rsidRPr="002400E0"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2400E0">
        <w:rPr>
          <w:rFonts w:ascii="Times New Roman" w:hAnsi="Times New Roman"/>
          <w:color w:val="767171"/>
          <w:spacing w:val="20"/>
          <w:sz w:val="24"/>
          <w:szCs w:val="24"/>
        </w:rPr>
        <w:t xml:space="preserve">12 de marzo, en conmemoración del día de la Mujer y como una iniciativa del Comité SST, se llevó a cabo la charla “Salud Física y Mental”. </w:t>
      </w:r>
    </w:p>
    <w:p w14:paraId="064D8273" w14:textId="77777777" w:rsidR="002030EE" w:rsidRPr="002400E0"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2400E0">
        <w:rPr>
          <w:rFonts w:ascii="Times New Roman" w:hAnsi="Times New Roman"/>
          <w:color w:val="767171"/>
          <w:spacing w:val="20"/>
          <w:sz w:val="24"/>
          <w:szCs w:val="24"/>
        </w:rPr>
        <w:t>26 de marzo,</w:t>
      </w:r>
      <w:r>
        <w:rPr>
          <w:rFonts w:ascii="Times New Roman" w:hAnsi="Times New Roman"/>
          <w:color w:val="767171"/>
          <w:spacing w:val="20"/>
          <w:sz w:val="24"/>
          <w:szCs w:val="24"/>
        </w:rPr>
        <w:t xml:space="preserve"> se</w:t>
      </w:r>
      <w:r w:rsidRPr="002400E0">
        <w:rPr>
          <w:rFonts w:ascii="Times New Roman" w:hAnsi="Times New Roman"/>
          <w:color w:val="767171"/>
          <w:spacing w:val="20"/>
          <w:sz w:val="24"/>
          <w:szCs w:val="24"/>
        </w:rPr>
        <w:t xml:space="preserve"> envi</w:t>
      </w:r>
      <w:r>
        <w:rPr>
          <w:rFonts w:ascii="Times New Roman" w:hAnsi="Times New Roman"/>
          <w:color w:val="767171"/>
          <w:spacing w:val="20"/>
          <w:sz w:val="24"/>
          <w:szCs w:val="24"/>
        </w:rPr>
        <w:t>ó</w:t>
      </w:r>
      <w:r w:rsidRPr="002400E0">
        <w:rPr>
          <w:rFonts w:ascii="Times New Roman" w:hAnsi="Times New Roman"/>
          <w:color w:val="767171"/>
          <w:spacing w:val="20"/>
          <w:sz w:val="24"/>
          <w:szCs w:val="24"/>
        </w:rPr>
        <w:t xml:space="preserve"> </w:t>
      </w:r>
      <w:proofErr w:type="spellStart"/>
      <w:r w:rsidRPr="002400E0">
        <w:rPr>
          <w:rFonts w:ascii="Times New Roman" w:hAnsi="Times New Roman"/>
          <w:color w:val="767171"/>
          <w:spacing w:val="20"/>
          <w:sz w:val="24"/>
          <w:szCs w:val="24"/>
        </w:rPr>
        <w:t>tips</w:t>
      </w:r>
      <w:proofErr w:type="spellEnd"/>
      <w:r w:rsidRPr="002400E0">
        <w:rPr>
          <w:rFonts w:ascii="Times New Roman" w:hAnsi="Times New Roman"/>
          <w:color w:val="767171"/>
          <w:spacing w:val="20"/>
          <w:sz w:val="24"/>
          <w:szCs w:val="24"/>
        </w:rPr>
        <w:t xml:space="preserve"> sobre la seguridad en semana santa y las recomendaciones según las autoridades locales. </w:t>
      </w:r>
    </w:p>
    <w:p w14:paraId="66921D6A" w14:textId="77777777" w:rsidR="002030EE" w:rsidRPr="002400E0"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2400E0">
        <w:rPr>
          <w:rFonts w:ascii="Times New Roman" w:hAnsi="Times New Roman"/>
          <w:color w:val="767171"/>
          <w:spacing w:val="20"/>
          <w:sz w:val="24"/>
          <w:szCs w:val="24"/>
        </w:rPr>
        <w:t xml:space="preserve">05 de abril, nos unimos a las efemérides a propósito de la conmemoración del día mundial de la salud, motivando a todo el personal a llevar estilos de vida saludable y a la prevención de enfermedades. </w:t>
      </w:r>
    </w:p>
    <w:p w14:paraId="0E7F48B9" w14:textId="77777777" w:rsidR="002030EE" w:rsidRPr="002400E0"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2400E0">
        <w:rPr>
          <w:rFonts w:ascii="Times New Roman" w:hAnsi="Times New Roman"/>
          <w:color w:val="767171"/>
          <w:spacing w:val="20"/>
          <w:sz w:val="24"/>
          <w:szCs w:val="24"/>
        </w:rPr>
        <w:t xml:space="preserve">10 de abril, Publicación de nuestra Política de Seguridad y Salud en el Trabajo. </w:t>
      </w:r>
    </w:p>
    <w:p w14:paraId="4415932F" w14:textId="77777777" w:rsidR="002030EE" w:rsidRPr="002400E0"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2400E0">
        <w:rPr>
          <w:rFonts w:ascii="Times New Roman" w:hAnsi="Times New Roman"/>
          <w:color w:val="767171"/>
          <w:spacing w:val="20"/>
          <w:sz w:val="24"/>
          <w:szCs w:val="24"/>
        </w:rPr>
        <w:t xml:space="preserve">11 de abril, se llevó a cabo el primer simulacro contra incendios del año, fue realizado de acuerdo con la programación establecida. </w:t>
      </w:r>
    </w:p>
    <w:p w14:paraId="0ABC51D6" w14:textId="77777777" w:rsidR="002030EE" w:rsidRPr="002400E0"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2400E0">
        <w:rPr>
          <w:rFonts w:ascii="Times New Roman" w:hAnsi="Times New Roman"/>
          <w:color w:val="767171"/>
          <w:spacing w:val="20"/>
          <w:sz w:val="24"/>
          <w:szCs w:val="24"/>
        </w:rPr>
        <w:t xml:space="preserve">12 y 19 de abril, participación de los miembros del Comité Mixto y Brigadistas en la Charla sobre Plan de Emergencia y Evacuación, en modalidad tanto presencial como virtual. </w:t>
      </w:r>
    </w:p>
    <w:p w14:paraId="759C3776" w14:textId="77777777" w:rsidR="002030EE" w:rsidRPr="002400E0"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2400E0">
        <w:rPr>
          <w:rFonts w:ascii="Times New Roman" w:hAnsi="Times New Roman"/>
          <w:color w:val="767171"/>
          <w:spacing w:val="20"/>
          <w:sz w:val="24"/>
          <w:szCs w:val="24"/>
        </w:rPr>
        <w:t xml:space="preserve">Campaña de Seguridad y Salud celebrada a partir del día </w:t>
      </w:r>
      <w:r>
        <w:rPr>
          <w:rFonts w:ascii="Times New Roman" w:hAnsi="Times New Roman"/>
          <w:color w:val="767171"/>
          <w:spacing w:val="20"/>
          <w:sz w:val="24"/>
          <w:szCs w:val="24"/>
        </w:rPr>
        <w:t xml:space="preserve">22 </w:t>
      </w:r>
      <w:r w:rsidRPr="002400E0">
        <w:rPr>
          <w:rFonts w:ascii="Times New Roman" w:hAnsi="Times New Roman"/>
          <w:color w:val="767171"/>
          <w:spacing w:val="20"/>
          <w:sz w:val="24"/>
          <w:szCs w:val="24"/>
        </w:rPr>
        <w:t>hasta el día 26 de abril, con el tema “Repercusiones del cambio climático en la seguridad y la salud en el trabajo”.</w:t>
      </w:r>
    </w:p>
    <w:p w14:paraId="050896F7" w14:textId="77777777" w:rsidR="002030EE" w:rsidRPr="002400E0"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2400E0">
        <w:rPr>
          <w:rFonts w:ascii="Times New Roman" w:hAnsi="Times New Roman"/>
          <w:color w:val="767171"/>
          <w:spacing w:val="20"/>
          <w:sz w:val="24"/>
          <w:szCs w:val="24"/>
        </w:rPr>
        <w:t xml:space="preserve">Participación en el boletín informativo mensual correspondiente al mes de abril a propósito de la celebración del Día Mundial de la Salud y la Seguridad en el Trabajo, destacando la importancia que tiene este tema para nosotros como organización dentro del Sistema Dominicano de Seguridad Social. </w:t>
      </w:r>
    </w:p>
    <w:p w14:paraId="35944731" w14:textId="77777777" w:rsidR="002030EE" w:rsidRPr="002400E0"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2400E0">
        <w:rPr>
          <w:rFonts w:ascii="Times New Roman" w:hAnsi="Times New Roman"/>
          <w:color w:val="767171"/>
          <w:spacing w:val="20"/>
          <w:sz w:val="24"/>
          <w:szCs w:val="24"/>
        </w:rPr>
        <w:t xml:space="preserve">Presentación de la Brigada de Emergencia, correo informativo con los brigadistas según localidad, con el </w:t>
      </w:r>
      <w:r w:rsidRPr="002400E0">
        <w:rPr>
          <w:rFonts w:ascii="Times New Roman" w:hAnsi="Times New Roman"/>
          <w:color w:val="767171"/>
          <w:spacing w:val="20"/>
          <w:sz w:val="24"/>
          <w:szCs w:val="24"/>
        </w:rPr>
        <w:lastRenderedPageBreak/>
        <w:t>prop</w:t>
      </w:r>
      <w:r w:rsidRPr="00C30D4E">
        <w:rPr>
          <w:rFonts w:ascii="Times New Roman" w:hAnsi="Times New Roman"/>
          <w:color w:val="767171"/>
          <w:spacing w:val="20"/>
          <w:sz w:val="24"/>
          <w:szCs w:val="24"/>
        </w:rPr>
        <w:t>ó</w:t>
      </w:r>
      <w:r w:rsidRPr="002400E0">
        <w:rPr>
          <w:rFonts w:ascii="Times New Roman" w:hAnsi="Times New Roman"/>
          <w:color w:val="767171"/>
          <w:spacing w:val="20"/>
          <w:sz w:val="24"/>
          <w:szCs w:val="24"/>
        </w:rPr>
        <w:t xml:space="preserve">sito de que el personal conozca a quien puede recurrir en caso de emergencia. </w:t>
      </w:r>
    </w:p>
    <w:p w14:paraId="147BE4E4" w14:textId="77777777" w:rsidR="002030EE" w:rsidRPr="002400E0"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2400E0">
        <w:rPr>
          <w:rFonts w:ascii="Times New Roman" w:hAnsi="Times New Roman"/>
          <w:color w:val="767171"/>
          <w:spacing w:val="20"/>
          <w:sz w:val="24"/>
          <w:szCs w:val="24"/>
        </w:rPr>
        <w:t>En el mes de mayo</w:t>
      </w:r>
      <w:r>
        <w:rPr>
          <w:rFonts w:ascii="Times New Roman" w:hAnsi="Times New Roman"/>
          <w:color w:val="767171"/>
          <w:spacing w:val="20"/>
          <w:sz w:val="24"/>
          <w:szCs w:val="24"/>
        </w:rPr>
        <w:t>,</w:t>
      </w:r>
      <w:r w:rsidRPr="002400E0">
        <w:rPr>
          <w:rFonts w:ascii="Times New Roman" w:hAnsi="Times New Roman"/>
          <w:color w:val="767171"/>
          <w:spacing w:val="20"/>
          <w:sz w:val="24"/>
          <w:szCs w:val="24"/>
        </w:rPr>
        <w:t xml:space="preserve"> a causa de las condiciones climáticas, el Comité Mixto se reunió de manera extraordinaria para establecer las principales medidas preventivas a tomar en cuenta, entre estas podemos destacar: identificación del personal que reside en zonas vulnerables, remisión de boletín informativo con un resumen de los pronósticos emitidos por el COE y la Oficina Nacional de Meteorología y presentó un recordatorio de las recomendaciones a seguir antes, durante y después de una vaguada. </w:t>
      </w:r>
    </w:p>
    <w:p w14:paraId="7008BA3E" w14:textId="77777777" w:rsidR="002030EE" w:rsidRPr="002400E0"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2400E0">
        <w:rPr>
          <w:rFonts w:ascii="Times New Roman" w:hAnsi="Times New Roman"/>
          <w:color w:val="767171"/>
          <w:spacing w:val="20"/>
          <w:sz w:val="24"/>
          <w:szCs w:val="24"/>
        </w:rPr>
        <w:t xml:space="preserve">Aprobación y socialización de los siguientes documentos: Procedimiento Control de Acceso Físico y Plan de Manejo de Emergencias.  </w:t>
      </w:r>
    </w:p>
    <w:p w14:paraId="19DDDE4D" w14:textId="7F6882D5" w:rsidR="002030EE" w:rsidRPr="00B505A8"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2400E0">
        <w:rPr>
          <w:rFonts w:ascii="Times New Roman" w:hAnsi="Times New Roman"/>
          <w:color w:val="767171"/>
          <w:spacing w:val="20"/>
          <w:sz w:val="24"/>
          <w:szCs w:val="24"/>
        </w:rPr>
        <w:t>En el mes de junio</w:t>
      </w:r>
      <w:r>
        <w:rPr>
          <w:rFonts w:ascii="Times New Roman" w:hAnsi="Times New Roman"/>
          <w:color w:val="767171"/>
          <w:spacing w:val="20"/>
          <w:sz w:val="24"/>
          <w:szCs w:val="24"/>
        </w:rPr>
        <w:t>,</w:t>
      </w:r>
      <w:r w:rsidRPr="002400E0">
        <w:rPr>
          <w:rFonts w:ascii="Times New Roman" w:hAnsi="Times New Roman"/>
          <w:color w:val="767171"/>
          <w:spacing w:val="20"/>
          <w:sz w:val="24"/>
          <w:szCs w:val="24"/>
        </w:rPr>
        <w:t xml:space="preserve"> fue inaugurada nuestra segunda Sala de Lactancia, ubicada en nuestras oficinas de Plaza Naco, este espacio es para el uso de todas las colaboradoras en per</w:t>
      </w:r>
      <w:r>
        <w:rPr>
          <w:rFonts w:ascii="Times New Roman" w:hAnsi="Times New Roman"/>
          <w:color w:val="767171"/>
          <w:spacing w:val="20"/>
          <w:sz w:val="24"/>
          <w:szCs w:val="24"/>
        </w:rPr>
        <w:t>í</w:t>
      </w:r>
      <w:r w:rsidRPr="002400E0">
        <w:rPr>
          <w:rFonts w:ascii="Times New Roman" w:hAnsi="Times New Roman"/>
          <w:color w:val="767171"/>
          <w:spacing w:val="20"/>
          <w:sz w:val="24"/>
          <w:szCs w:val="24"/>
        </w:rPr>
        <w:t>odo de lactancia, de manera que puedan conciliar su</w:t>
      </w:r>
      <w:r w:rsidR="008D600F">
        <w:rPr>
          <w:rFonts w:ascii="Times New Roman" w:hAnsi="Times New Roman"/>
          <w:color w:val="767171"/>
          <w:spacing w:val="20"/>
          <w:sz w:val="24"/>
          <w:szCs w:val="24"/>
        </w:rPr>
        <w:t>s</w:t>
      </w:r>
      <w:r w:rsidRPr="002400E0">
        <w:rPr>
          <w:rFonts w:ascii="Times New Roman" w:hAnsi="Times New Roman"/>
          <w:color w:val="767171"/>
          <w:spacing w:val="20"/>
          <w:sz w:val="24"/>
          <w:szCs w:val="24"/>
        </w:rPr>
        <w:t xml:space="preserve"> actividades productivas con la lactancia materna. </w:t>
      </w:r>
      <w:bookmarkStart w:id="158" w:name="_Hlk180407693"/>
    </w:p>
    <w:p w14:paraId="6FA5FA86" w14:textId="77777777" w:rsidR="002030EE" w:rsidRPr="00B505A8"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B505A8">
        <w:rPr>
          <w:rFonts w:ascii="Times New Roman" w:hAnsi="Times New Roman"/>
          <w:color w:val="767171"/>
          <w:spacing w:val="20"/>
          <w:sz w:val="24"/>
          <w:szCs w:val="24"/>
        </w:rPr>
        <w:t xml:space="preserve">30 de agosto, se realizó el segundo simulacro del año, en esta ocasión contando con la colaboración de la DIDA y el CNSS, instituciones ubicadas en la Torre de la Seguridad Social. </w:t>
      </w:r>
    </w:p>
    <w:p w14:paraId="4D88DC9E" w14:textId="77777777" w:rsidR="002030EE" w:rsidRPr="009670BB"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77565E">
        <w:rPr>
          <w:rFonts w:ascii="Times New Roman" w:hAnsi="Times New Roman"/>
          <w:color w:val="767171"/>
          <w:spacing w:val="20"/>
          <w:sz w:val="24"/>
          <w:szCs w:val="24"/>
        </w:rPr>
        <w:t>3 de septiembre, como iniciativa para la identificaci</w:t>
      </w:r>
      <w:r>
        <w:rPr>
          <w:rFonts w:ascii="Times New Roman" w:hAnsi="Times New Roman"/>
          <w:color w:val="767171"/>
          <w:spacing w:val="20"/>
          <w:sz w:val="24"/>
          <w:szCs w:val="24"/>
        </w:rPr>
        <w:t>ó</w:t>
      </w:r>
      <w:r w:rsidRPr="0077565E">
        <w:rPr>
          <w:rFonts w:ascii="Times New Roman" w:hAnsi="Times New Roman"/>
          <w:color w:val="767171"/>
          <w:spacing w:val="20"/>
          <w:sz w:val="24"/>
          <w:szCs w:val="24"/>
        </w:rPr>
        <w:t xml:space="preserve">n de </w:t>
      </w:r>
      <w:r>
        <w:rPr>
          <w:rFonts w:ascii="Times New Roman" w:hAnsi="Times New Roman"/>
          <w:color w:val="767171"/>
          <w:spacing w:val="20"/>
          <w:sz w:val="24"/>
          <w:szCs w:val="24"/>
        </w:rPr>
        <w:t>B</w:t>
      </w:r>
      <w:r w:rsidRPr="0077565E">
        <w:rPr>
          <w:rFonts w:ascii="Times New Roman" w:hAnsi="Times New Roman"/>
          <w:color w:val="767171"/>
          <w:spacing w:val="20"/>
          <w:sz w:val="24"/>
          <w:szCs w:val="24"/>
        </w:rPr>
        <w:t xml:space="preserve">rigada de </w:t>
      </w:r>
      <w:r>
        <w:rPr>
          <w:rFonts w:ascii="Times New Roman" w:hAnsi="Times New Roman"/>
          <w:color w:val="767171"/>
          <w:spacing w:val="20"/>
          <w:sz w:val="24"/>
          <w:szCs w:val="24"/>
        </w:rPr>
        <w:t>E</w:t>
      </w:r>
      <w:r w:rsidRPr="0077565E">
        <w:rPr>
          <w:rFonts w:ascii="Times New Roman" w:hAnsi="Times New Roman"/>
          <w:color w:val="767171"/>
          <w:spacing w:val="20"/>
          <w:sz w:val="24"/>
          <w:szCs w:val="24"/>
        </w:rPr>
        <w:t>m</w:t>
      </w:r>
      <w:r>
        <w:rPr>
          <w:rFonts w:ascii="Times New Roman" w:hAnsi="Times New Roman"/>
          <w:color w:val="767171"/>
          <w:spacing w:val="20"/>
          <w:sz w:val="24"/>
          <w:szCs w:val="24"/>
        </w:rPr>
        <w:t>er</w:t>
      </w:r>
      <w:r w:rsidRPr="0077565E">
        <w:rPr>
          <w:rFonts w:ascii="Times New Roman" w:hAnsi="Times New Roman"/>
          <w:color w:val="767171"/>
          <w:spacing w:val="20"/>
          <w:sz w:val="24"/>
          <w:szCs w:val="24"/>
        </w:rPr>
        <w:t>gencias</w:t>
      </w:r>
      <w:r>
        <w:rPr>
          <w:rFonts w:ascii="Times New Roman" w:hAnsi="Times New Roman"/>
          <w:color w:val="767171"/>
          <w:spacing w:val="20"/>
          <w:sz w:val="24"/>
          <w:szCs w:val="24"/>
        </w:rPr>
        <w:t xml:space="preserve"> de la TSS</w:t>
      </w:r>
      <w:r w:rsidRPr="0077565E">
        <w:rPr>
          <w:rFonts w:ascii="Times New Roman" w:hAnsi="Times New Roman"/>
          <w:color w:val="767171"/>
          <w:spacing w:val="20"/>
          <w:sz w:val="24"/>
          <w:szCs w:val="24"/>
        </w:rPr>
        <w:t>, se realizó una encue</w:t>
      </w:r>
      <w:r>
        <w:rPr>
          <w:rFonts w:ascii="Times New Roman" w:hAnsi="Times New Roman"/>
          <w:color w:val="767171"/>
          <w:spacing w:val="20"/>
          <w:sz w:val="24"/>
          <w:szCs w:val="24"/>
        </w:rPr>
        <w:t>sta a</w:t>
      </w:r>
      <w:r w:rsidRPr="0077565E">
        <w:rPr>
          <w:rFonts w:ascii="Times New Roman" w:hAnsi="Times New Roman"/>
          <w:color w:val="767171"/>
          <w:spacing w:val="20"/>
          <w:sz w:val="24"/>
          <w:szCs w:val="24"/>
        </w:rPr>
        <w:t xml:space="preserve"> los brigadistas con la finalidad de e</w:t>
      </w:r>
      <w:r>
        <w:rPr>
          <w:rFonts w:ascii="Times New Roman" w:hAnsi="Times New Roman"/>
          <w:color w:val="767171"/>
          <w:spacing w:val="20"/>
          <w:sz w:val="24"/>
          <w:szCs w:val="24"/>
        </w:rPr>
        <w:t>s</w:t>
      </w:r>
      <w:r w:rsidRPr="0077565E">
        <w:rPr>
          <w:rFonts w:ascii="Times New Roman" w:hAnsi="Times New Roman"/>
          <w:color w:val="767171"/>
          <w:spacing w:val="20"/>
          <w:sz w:val="24"/>
          <w:szCs w:val="24"/>
        </w:rPr>
        <w:t>coger</w:t>
      </w:r>
      <w:r>
        <w:rPr>
          <w:rFonts w:ascii="Times New Roman" w:hAnsi="Times New Roman"/>
          <w:color w:val="767171"/>
          <w:spacing w:val="20"/>
          <w:sz w:val="24"/>
          <w:szCs w:val="24"/>
        </w:rPr>
        <w:t xml:space="preserve"> el</w:t>
      </w:r>
      <w:r w:rsidRPr="0077565E">
        <w:rPr>
          <w:rFonts w:ascii="Times New Roman" w:hAnsi="Times New Roman"/>
          <w:color w:val="767171"/>
          <w:spacing w:val="20"/>
          <w:sz w:val="24"/>
          <w:szCs w:val="24"/>
        </w:rPr>
        <w:t xml:space="preserve"> logo de representación </w:t>
      </w:r>
      <w:r>
        <w:rPr>
          <w:rFonts w:ascii="Times New Roman" w:hAnsi="Times New Roman"/>
          <w:color w:val="767171"/>
          <w:spacing w:val="20"/>
          <w:sz w:val="24"/>
          <w:szCs w:val="24"/>
        </w:rPr>
        <w:t xml:space="preserve">para los colgantes o brazaletes. </w:t>
      </w:r>
    </w:p>
    <w:p w14:paraId="16846FA5" w14:textId="77777777" w:rsidR="002030EE" w:rsidRPr="0077565E"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sidRPr="0077565E">
        <w:rPr>
          <w:rFonts w:ascii="Times New Roman" w:hAnsi="Times New Roman"/>
          <w:color w:val="767171"/>
          <w:spacing w:val="20"/>
          <w:sz w:val="24"/>
          <w:szCs w:val="24"/>
        </w:rPr>
        <w:t xml:space="preserve">10 de septiembre, capacitación </w:t>
      </w:r>
      <w:r>
        <w:rPr>
          <w:rFonts w:ascii="Times New Roman" w:hAnsi="Times New Roman"/>
          <w:color w:val="767171"/>
          <w:spacing w:val="20"/>
          <w:sz w:val="24"/>
          <w:szCs w:val="24"/>
        </w:rPr>
        <w:t>“</w:t>
      </w:r>
      <w:r w:rsidRPr="0077565E">
        <w:rPr>
          <w:rFonts w:ascii="Times New Roman" w:hAnsi="Times New Roman"/>
          <w:color w:val="767171"/>
          <w:spacing w:val="20"/>
          <w:sz w:val="24"/>
          <w:szCs w:val="24"/>
        </w:rPr>
        <w:t>Primeros Auxilios</w:t>
      </w:r>
      <w:r>
        <w:rPr>
          <w:rFonts w:ascii="Times New Roman" w:hAnsi="Times New Roman"/>
          <w:color w:val="767171"/>
          <w:spacing w:val="20"/>
          <w:sz w:val="24"/>
          <w:szCs w:val="24"/>
        </w:rPr>
        <w:t>”</w:t>
      </w:r>
      <w:r w:rsidRPr="0077565E">
        <w:rPr>
          <w:rFonts w:ascii="Times New Roman" w:hAnsi="Times New Roman"/>
          <w:color w:val="767171"/>
          <w:spacing w:val="20"/>
          <w:sz w:val="24"/>
          <w:szCs w:val="24"/>
        </w:rPr>
        <w:t>,</w:t>
      </w:r>
      <w:r>
        <w:rPr>
          <w:rFonts w:ascii="Times New Roman" w:hAnsi="Times New Roman"/>
          <w:color w:val="767171"/>
          <w:spacing w:val="20"/>
          <w:sz w:val="24"/>
          <w:szCs w:val="24"/>
        </w:rPr>
        <w:t xml:space="preserve"> con la participación de </w:t>
      </w:r>
      <w:r w:rsidRPr="00D7053E">
        <w:rPr>
          <w:rFonts w:ascii="Times New Roman" w:hAnsi="Times New Roman"/>
          <w:color w:val="767171"/>
          <w:spacing w:val="20"/>
          <w:sz w:val="24"/>
          <w:szCs w:val="24"/>
        </w:rPr>
        <w:t>21 brigadistas</w:t>
      </w:r>
      <w:r w:rsidRPr="0077565E">
        <w:rPr>
          <w:rFonts w:ascii="Times New Roman" w:hAnsi="Times New Roman"/>
          <w:color w:val="767171"/>
          <w:spacing w:val="20"/>
          <w:sz w:val="24"/>
          <w:szCs w:val="24"/>
        </w:rPr>
        <w:t xml:space="preserve">, </w:t>
      </w:r>
      <w:r>
        <w:rPr>
          <w:rFonts w:ascii="Times New Roman" w:hAnsi="Times New Roman"/>
          <w:color w:val="767171"/>
          <w:spacing w:val="20"/>
          <w:sz w:val="24"/>
          <w:szCs w:val="24"/>
        </w:rPr>
        <w:t xml:space="preserve">impartida por el Instituto Nacional de Formación Técnico Profesional (INFOTEP), </w:t>
      </w:r>
      <w:r w:rsidRPr="0077565E">
        <w:rPr>
          <w:rFonts w:ascii="Times New Roman" w:hAnsi="Times New Roman"/>
          <w:color w:val="767171"/>
          <w:spacing w:val="20"/>
          <w:sz w:val="24"/>
          <w:szCs w:val="24"/>
        </w:rPr>
        <w:t>la misma con resultados muy positivos</w:t>
      </w:r>
      <w:r>
        <w:rPr>
          <w:rFonts w:ascii="Times New Roman" w:hAnsi="Times New Roman"/>
          <w:color w:val="767171"/>
          <w:spacing w:val="20"/>
          <w:sz w:val="24"/>
          <w:szCs w:val="24"/>
        </w:rPr>
        <w:t xml:space="preserve">. </w:t>
      </w:r>
    </w:p>
    <w:p w14:paraId="71BBC309" w14:textId="77777777" w:rsidR="002030EE" w:rsidRPr="0077565E"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Pr>
          <w:rFonts w:ascii="Times New Roman" w:hAnsi="Times New Roman"/>
          <w:color w:val="767171"/>
          <w:spacing w:val="20"/>
          <w:sz w:val="24"/>
          <w:szCs w:val="24"/>
        </w:rPr>
        <w:lastRenderedPageBreak/>
        <w:t xml:space="preserve">20 de septiembre, participamos en la capacitación Seguridad y Salud Ocupacional, </w:t>
      </w:r>
      <w:r w:rsidRPr="0077565E">
        <w:rPr>
          <w:rFonts w:ascii="Times New Roman" w:hAnsi="Times New Roman"/>
          <w:color w:val="767171"/>
          <w:spacing w:val="20"/>
          <w:sz w:val="24"/>
          <w:szCs w:val="24"/>
        </w:rPr>
        <w:t>dirigida a brigadistas y personal con DNC det</w:t>
      </w:r>
      <w:r>
        <w:rPr>
          <w:rFonts w:ascii="Times New Roman" w:hAnsi="Times New Roman"/>
          <w:color w:val="767171"/>
          <w:spacing w:val="20"/>
          <w:sz w:val="24"/>
          <w:szCs w:val="24"/>
        </w:rPr>
        <w:t>e</w:t>
      </w:r>
      <w:r w:rsidRPr="0077565E">
        <w:rPr>
          <w:rFonts w:ascii="Times New Roman" w:hAnsi="Times New Roman"/>
          <w:color w:val="767171"/>
          <w:spacing w:val="20"/>
          <w:sz w:val="24"/>
          <w:szCs w:val="24"/>
        </w:rPr>
        <w:t>ctado</w:t>
      </w:r>
      <w:r>
        <w:rPr>
          <w:rFonts w:ascii="Times New Roman" w:hAnsi="Times New Roman"/>
          <w:color w:val="767171"/>
          <w:spacing w:val="20"/>
          <w:sz w:val="24"/>
          <w:szCs w:val="24"/>
        </w:rPr>
        <w:t xml:space="preserve">, con una totalidad de 25 participantes, impartida por el Instituto Nacional de Formación Técnico Profesional (INFOTEP). </w:t>
      </w:r>
    </w:p>
    <w:p w14:paraId="4B363604" w14:textId="5BBEFCF8" w:rsidR="002030EE"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14 de octubre a </w:t>
      </w:r>
      <w:r w:rsidR="008D600F">
        <w:rPr>
          <w:rFonts w:ascii="Times New Roman" w:hAnsi="Times New Roman"/>
          <w:color w:val="767171"/>
          <w:spacing w:val="20"/>
          <w:sz w:val="24"/>
          <w:szCs w:val="24"/>
        </w:rPr>
        <w:t>propósito,</w:t>
      </w:r>
      <w:r>
        <w:rPr>
          <w:rFonts w:ascii="Times New Roman" w:hAnsi="Times New Roman"/>
          <w:color w:val="767171"/>
          <w:spacing w:val="20"/>
          <w:sz w:val="24"/>
          <w:szCs w:val="24"/>
        </w:rPr>
        <w:t xml:space="preserve"> al Dia Mundial de la Salud Mental estuvimos interactuando con los miembros del Comité Mixto de Seguridad y Salud sobre la importancia de mantener y promover una buena salud mental, conociendo diferentes estrategias y ejercicios que contribuyen a mejorar nuestra calidad de vida y obtener un mejor rendimiento en todo lo que hacemos. </w:t>
      </w:r>
    </w:p>
    <w:p w14:paraId="79C31A21" w14:textId="77777777" w:rsidR="002030EE" w:rsidRDefault="002030EE" w:rsidP="00031B71">
      <w:pPr>
        <w:pStyle w:val="ListParagraph"/>
        <w:numPr>
          <w:ilvl w:val="0"/>
          <w:numId w:val="27"/>
        </w:numPr>
        <w:spacing w:before="240" w:after="240"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30 de octubre, participación en el Simulacro Nacional de Emergencias. </w:t>
      </w:r>
    </w:p>
    <w:p w14:paraId="4CCE6CA8" w14:textId="77777777" w:rsidR="002030EE" w:rsidRPr="00031B71" w:rsidRDefault="002030EE" w:rsidP="00BC081A">
      <w:pPr>
        <w:rPr>
          <w:rFonts w:eastAsiaTheme="majorEastAsia" w:cstheme="majorBidi"/>
          <w:b/>
          <w:color w:val="767171" w:themeColor="background2" w:themeShade="80"/>
          <w:spacing w:val="0"/>
          <w:lang w:val="es-DO"/>
        </w:rPr>
      </w:pPr>
      <w:r w:rsidRPr="00031B71">
        <w:rPr>
          <w:rFonts w:eastAsiaTheme="majorEastAsia" w:cstheme="majorBidi"/>
          <w:b/>
          <w:color w:val="767171" w:themeColor="background2" w:themeShade="80"/>
          <w:spacing w:val="0"/>
          <w:lang w:val="es-DO"/>
        </w:rPr>
        <w:t>Capacitación y Adiestramiento TSS</w:t>
      </w:r>
    </w:p>
    <w:p w14:paraId="262B4EDC" w14:textId="77777777" w:rsidR="002030EE" w:rsidRPr="001E5C11" w:rsidRDefault="002030EE" w:rsidP="00031B71">
      <w:pPr>
        <w:spacing w:line="360" w:lineRule="auto"/>
        <w:jc w:val="both"/>
        <w:rPr>
          <w:rFonts w:eastAsia="Calibri"/>
          <w:noProof/>
          <w:lang w:val="es-DO"/>
        </w:rPr>
      </w:pPr>
      <w:r w:rsidRPr="001E5C11">
        <w:rPr>
          <w:rFonts w:eastAsia="Calibri"/>
          <w:noProof/>
          <w:lang w:val="es-DO"/>
        </w:rPr>
        <w:t>Capacitar y adiestrar consiste en una serie de actividades planeadas y basadas en las necesidades de la institución que se orientan en proporcionar los conocimientos, habilidades y aptitudes a los colaboradores de manera que estos puedan desarrollar sus actividades de manera eficiente.</w:t>
      </w:r>
    </w:p>
    <w:p w14:paraId="667D21FD" w14:textId="77777777" w:rsidR="002030EE" w:rsidRPr="001E5C11" w:rsidRDefault="002030EE" w:rsidP="00031B71">
      <w:pPr>
        <w:spacing w:line="360" w:lineRule="auto"/>
        <w:jc w:val="both"/>
        <w:rPr>
          <w:rFonts w:eastAsia="Calibri"/>
          <w:noProof/>
          <w:lang w:val="es-DO"/>
        </w:rPr>
      </w:pPr>
      <w:r w:rsidRPr="001E5C11">
        <w:rPr>
          <w:rFonts w:eastAsia="Calibri"/>
          <w:noProof/>
          <w:lang w:val="es-DO"/>
        </w:rPr>
        <w:t>La Tesorería de la Seguridad Social como entidad con una cultura de compromiso con la excelencia y transparencia en sus funciones, orienta a sus colaboradores a la mejora continua mediante el desarrollo de nuevas habilidades y conocimientos adiestrándolos en las competencias necesarias en sus funciones de manera que estos puedan dar respuestas acertadas a los retos y desafíos que surgen como parte de la globalización y constantes cambios tecnológicos.</w:t>
      </w:r>
    </w:p>
    <w:p w14:paraId="698DDF78" w14:textId="77777777" w:rsidR="002030EE" w:rsidRPr="001E5C11" w:rsidRDefault="002030EE" w:rsidP="00031B71">
      <w:pPr>
        <w:spacing w:line="360" w:lineRule="auto"/>
        <w:jc w:val="both"/>
        <w:rPr>
          <w:rFonts w:eastAsia="Calibri"/>
          <w:noProof/>
          <w:lang w:val="es-DO"/>
        </w:rPr>
      </w:pPr>
      <w:r w:rsidRPr="001E5C11">
        <w:rPr>
          <w:rFonts w:eastAsia="Calibri"/>
          <w:noProof/>
          <w:lang w:val="es-DO"/>
        </w:rPr>
        <w:t xml:space="preserve">Desde la Dirección de Recursos Humanos como parte del eje estratégico de crecimiento y desarrollo se diseña el Programa de </w:t>
      </w:r>
      <w:r w:rsidRPr="001E5C11">
        <w:rPr>
          <w:rFonts w:eastAsia="Calibri"/>
          <w:noProof/>
          <w:lang w:val="es-DO"/>
        </w:rPr>
        <w:lastRenderedPageBreak/>
        <w:t>Capacitación el cual da inicio con la Detección de Necesidades de Competencia (DNC), que se realiza en el último trimestre de cada año y en el que los supervisores determinan las competencias, los conocimientos y habilidades que cada uno de sus colaboradores requiere adquirir o perfeccionar para el cumplimiento de sus obligaciones.</w:t>
      </w:r>
    </w:p>
    <w:p w14:paraId="02C2E267" w14:textId="77777777" w:rsidR="002030EE" w:rsidRPr="001E5C11" w:rsidRDefault="002030EE" w:rsidP="00031B71">
      <w:pPr>
        <w:spacing w:line="360" w:lineRule="auto"/>
        <w:jc w:val="both"/>
        <w:rPr>
          <w:rFonts w:eastAsia="Calibri"/>
          <w:noProof/>
          <w:lang w:val="es-DO"/>
        </w:rPr>
      </w:pPr>
      <w:r w:rsidRPr="001E5C11">
        <w:rPr>
          <w:rFonts w:eastAsia="Calibri"/>
          <w:noProof/>
          <w:lang w:val="es-DO"/>
        </w:rPr>
        <w:t>En el año 2024, con la finalidad de dar seguimiento y evaluar las acciones y el impacto del Programa de Capacitación y Adiestramiento se ha colocado un indicador retador y realista siendo la meta por cumplir un 87% de competencias dotadas.</w:t>
      </w:r>
    </w:p>
    <w:p w14:paraId="09743ACD" w14:textId="00693958" w:rsidR="002030EE" w:rsidRPr="001E5C11" w:rsidRDefault="00031B71" w:rsidP="00031B71">
      <w:pPr>
        <w:spacing w:line="360" w:lineRule="auto"/>
        <w:jc w:val="both"/>
        <w:rPr>
          <w:rFonts w:eastAsia="Calibri"/>
          <w:noProof/>
          <w:lang w:val="es-DO"/>
        </w:rPr>
      </w:pPr>
      <w:r>
        <w:rPr>
          <w:noProof/>
          <w:lang w:val="es-DO"/>
        </w:rPr>
        <w:drawing>
          <wp:anchor distT="0" distB="0" distL="114300" distR="114300" simplePos="0" relativeHeight="251658272" behindDoc="0" locked="0" layoutInCell="1" allowOverlap="1" wp14:anchorId="2DCC1EAE" wp14:editId="5DF63073">
            <wp:simplePos x="0" y="0"/>
            <wp:positionH relativeFrom="margin">
              <wp:align>right</wp:align>
            </wp:positionH>
            <wp:positionV relativeFrom="paragraph">
              <wp:posOffset>1838325</wp:posOffset>
            </wp:positionV>
            <wp:extent cx="4805680" cy="3051810"/>
            <wp:effectExtent l="0" t="0" r="13970" b="15240"/>
            <wp:wrapSquare wrapText="bothSides"/>
            <wp:docPr id="63609417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002030EE" w:rsidRPr="001E5C11">
        <w:rPr>
          <w:rFonts w:eastAsia="Calibri"/>
          <w:noProof/>
          <w:lang w:val="es-DO"/>
        </w:rPr>
        <w:t xml:space="preserve">En cumplimiento de lo anterior expuesto, de acuerdo con el DNC 2024 realizado por los supervisores y competencias detectadas en el transcurso del año en el Programa de Capacitación y Adiestramiento para el 2024 se colocaron 388 competencias, de las cuales fueron dotadas un total de 342 lo que representa el 88.14% del total, lo que indica la superación de la meta.  </w:t>
      </w:r>
    </w:p>
    <w:p w14:paraId="1D50CF87" w14:textId="75D0755D" w:rsidR="00840D69" w:rsidRDefault="00F20655" w:rsidP="00031B71">
      <w:pPr>
        <w:spacing w:before="240" w:line="360" w:lineRule="auto"/>
        <w:rPr>
          <w:sz w:val="18"/>
          <w:szCs w:val="18"/>
          <w:lang w:val="es-DO"/>
        </w:rPr>
      </w:pPr>
      <w:bookmarkStart w:id="159" w:name="_Hlk184379491"/>
      <w:bookmarkEnd w:id="153"/>
      <w:bookmarkEnd w:id="154"/>
      <w:bookmarkEnd w:id="155"/>
      <w:bookmarkEnd w:id="156"/>
      <w:bookmarkEnd w:id="157"/>
      <w:bookmarkEnd w:id="158"/>
      <w:r>
        <w:rPr>
          <w:b/>
          <w:bCs/>
          <w:sz w:val="18"/>
          <w:szCs w:val="18"/>
          <w:lang w:val="es-DO"/>
        </w:rPr>
        <w:t xml:space="preserve"> </w:t>
      </w:r>
      <w:r w:rsidR="00690EA0" w:rsidRPr="00690EA0">
        <w:rPr>
          <w:b/>
          <w:bCs/>
          <w:sz w:val="18"/>
          <w:szCs w:val="18"/>
          <w:lang w:val="es-DO"/>
        </w:rPr>
        <w:t>Gráfico 1</w:t>
      </w:r>
      <w:r w:rsidR="008D600F">
        <w:rPr>
          <w:b/>
          <w:bCs/>
          <w:sz w:val="18"/>
          <w:szCs w:val="18"/>
          <w:lang w:val="es-DO"/>
        </w:rPr>
        <w:t>6</w:t>
      </w:r>
      <w:r w:rsidR="00690EA0" w:rsidRPr="00690EA0">
        <w:rPr>
          <w:b/>
          <w:bCs/>
          <w:sz w:val="18"/>
          <w:szCs w:val="18"/>
          <w:lang w:val="es-DO"/>
        </w:rPr>
        <w:t>:</w:t>
      </w:r>
      <w:r w:rsidR="00690EA0" w:rsidRPr="00690EA0">
        <w:rPr>
          <w:sz w:val="18"/>
          <w:szCs w:val="18"/>
          <w:lang w:val="es-DO"/>
        </w:rPr>
        <w:t xml:space="preserve"> Competencias Dotadas.</w:t>
      </w:r>
    </w:p>
    <w:p w14:paraId="3DE90DF3" w14:textId="77777777" w:rsidR="00031B71" w:rsidRPr="00690EA0" w:rsidRDefault="00031B71" w:rsidP="00031B71">
      <w:pPr>
        <w:spacing w:before="240" w:line="360" w:lineRule="auto"/>
        <w:rPr>
          <w:sz w:val="18"/>
          <w:szCs w:val="18"/>
          <w:lang w:val="es-DO"/>
        </w:rPr>
      </w:pPr>
    </w:p>
    <w:p w14:paraId="47C59DFA" w14:textId="181B47E7" w:rsidR="002030EE" w:rsidRPr="00031B71" w:rsidRDefault="008D600F" w:rsidP="00031B71">
      <w:pPr>
        <w:rPr>
          <w:rFonts w:eastAsiaTheme="majorEastAsia" w:cstheme="majorBidi"/>
          <w:b/>
          <w:color w:val="767171" w:themeColor="background2" w:themeShade="80"/>
          <w:spacing w:val="0"/>
          <w:lang w:val="es-DO"/>
        </w:rPr>
      </w:pPr>
      <w:bookmarkStart w:id="160" w:name="_Toc184981197"/>
      <w:r w:rsidRPr="001E5C11">
        <w:rPr>
          <w:rFonts w:eastAsia="Calibri"/>
          <w:noProof/>
          <w:lang w:val="es-DO"/>
        </w:rPr>
        <w:lastRenderedPageBreak/>
        <w:drawing>
          <wp:anchor distT="0" distB="0" distL="114300" distR="114300" simplePos="0" relativeHeight="251658274" behindDoc="0" locked="0" layoutInCell="1" allowOverlap="1" wp14:anchorId="44411FA4" wp14:editId="212002C2">
            <wp:simplePos x="0" y="0"/>
            <wp:positionH relativeFrom="margin">
              <wp:posOffset>142875</wp:posOffset>
            </wp:positionH>
            <wp:positionV relativeFrom="paragraph">
              <wp:posOffset>295275</wp:posOffset>
            </wp:positionV>
            <wp:extent cx="4467225" cy="2133600"/>
            <wp:effectExtent l="0" t="0" r="0" b="0"/>
            <wp:wrapSquare wrapText="bothSides"/>
            <wp:docPr id="77921315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002030EE" w:rsidRPr="00031B71">
        <w:rPr>
          <w:rFonts w:eastAsiaTheme="majorEastAsia" w:cstheme="majorBidi"/>
          <w:b/>
          <w:color w:val="767171" w:themeColor="background2" w:themeShade="80"/>
          <w:spacing w:val="0"/>
          <w:lang w:val="es-DO"/>
        </w:rPr>
        <w:t>Capacitaciones impartidas por grupo ocupacional</w:t>
      </w:r>
      <w:bookmarkEnd w:id="160"/>
    </w:p>
    <w:bookmarkEnd w:id="159"/>
    <w:p w14:paraId="0880B847" w14:textId="77777777" w:rsidR="008D600F" w:rsidRDefault="008D600F" w:rsidP="002030EE">
      <w:pPr>
        <w:spacing w:before="240" w:after="0" w:line="360" w:lineRule="auto"/>
        <w:jc w:val="both"/>
        <w:rPr>
          <w:rFonts w:eastAsia="Calibri"/>
          <w:b/>
          <w:bCs/>
          <w:noProof/>
          <w:sz w:val="18"/>
          <w:szCs w:val="18"/>
          <w:lang w:val="es-DO"/>
        </w:rPr>
      </w:pPr>
    </w:p>
    <w:p w14:paraId="06B9CDFC" w14:textId="381ADFFB" w:rsidR="008D600F" w:rsidRDefault="008D600F" w:rsidP="002030EE">
      <w:pPr>
        <w:spacing w:before="240" w:after="0" w:line="360" w:lineRule="auto"/>
        <w:jc w:val="both"/>
        <w:rPr>
          <w:rFonts w:eastAsia="Calibri"/>
          <w:noProof/>
          <w:lang w:val="es-DO"/>
        </w:rPr>
      </w:pPr>
      <w:r w:rsidRPr="008D600F">
        <w:rPr>
          <w:rFonts w:eastAsia="Calibri"/>
          <w:b/>
          <w:bCs/>
          <w:noProof/>
          <w:sz w:val="18"/>
          <w:szCs w:val="18"/>
          <w:lang w:val="es-DO"/>
        </w:rPr>
        <w:t>Gráfico</w:t>
      </w:r>
      <w:r>
        <w:rPr>
          <w:rFonts w:eastAsia="Calibri"/>
          <w:b/>
          <w:bCs/>
          <w:noProof/>
          <w:sz w:val="18"/>
          <w:szCs w:val="18"/>
          <w:lang w:val="es-DO"/>
        </w:rPr>
        <w:t xml:space="preserve"> </w:t>
      </w:r>
      <w:r w:rsidRPr="008D600F">
        <w:rPr>
          <w:rFonts w:eastAsia="Calibri"/>
          <w:b/>
          <w:bCs/>
          <w:noProof/>
          <w:sz w:val="18"/>
          <w:szCs w:val="18"/>
          <w:lang w:val="es-DO"/>
        </w:rPr>
        <w:t>1</w:t>
      </w:r>
      <w:r w:rsidR="00BA45A8">
        <w:rPr>
          <w:rFonts w:eastAsia="Calibri"/>
          <w:b/>
          <w:bCs/>
          <w:noProof/>
          <w:sz w:val="18"/>
          <w:szCs w:val="18"/>
          <w:lang w:val="es-DO"/>
        </w:rPr>
        <w:t>7</w:t>
      </w:r>
      <w:r>
        <w:rPr>
          <w:rFonts w:eastAsia="Calibri"/>
          <w:noProof/>
          <w:lang w:val="es-DO"/>
        </w:rPr>
        <w:t xml:space="preserve">: </w:t>
      </w:r>
      <w:r w:rsidRPr="008D600F">
        <w:rPr>
          <w:rFonts w:eastAsia="Calibri"/>
          <w:noProof/>
          <w:sz w:val="18"/>
          <w:szCs w:val="18"/>
          <w:lang w:val="es-DO"/>
        </w:rPr>
        <w:t>Competencias Detectadas por Grupo Ocupacional.</w:t>
      </w:r>
    </w:p>
    <w:p w14:paraId="58752203" w14:textId="6ABD9995" w:rsidR="002030EE" w:rsidRPr="001E5C11" w:rsidRDefault="002030EE" w:rsidP="002030EE">
      <w:pPr>
        <w:spacing w:before="240" w:after="0" w:line="360" w:lineRule="auto"/>
        <w:jc w:val="both"/>
        <w:rPr>
          <w:rFonts w:eastAsia="Calibri"/>
          <w:noProof/>
          <w:lang w:val="es-DO"/>
        </w:rPr>
      </w:pPr>
      <w:r w:rsidRPr="001E5C11">
        <w:rPr>
          <w:rFonts w:eastAsia="Calibri"/>
          <w:noProof/>
          <w:lang w:val="es-DO"/>
        </w:rPr>
        <w:t>Para garantizar el logro de objetivos y productividad es indispensable que la Detección de Necesidades se realice sin distinción de género o grupo ocupacional. Es por esto que durante el año 2024 fueron dotadas 89 competencias en el grupo ocupacional II, 39 en el grupo III, 132 para el grupo IV y 82 en el grupo ocupacional V.</w:t>
      </w:r>
    </w:p>
    <w:p w14:paraId="464DD288" w14:textId="77777777" w:rsidR="00BC081A" w:rsidRDefault="00BC081A" w:rsidP="00094D78">
      <w:pPr>
        <w:spacing w:after="0"/>
        <w:rPr>
          <w:lang w:val="es-DO"/>
        </w:rPr>
      </w:pPr>
    </w:p>
    <w:p w14:paraId="758157D4" w14:textId="77777777" w:rsidR="008D600F" w:rsidRDefault="002030EE" w:rsidP="008D600F">
      <w:pPr>
        <w:rPr>
          <w:b/>
          <w:bCs/>
          <w:lang w:val="es-DO"/>
        </w:rPr>
      </w:pPr>
      <w:r w:rsidRPr="00BC081A">
        <w:rPr>
          <w:b/>
          <w:bCs/>
          <w:lang w:val="es-DO"/>
        </w:rPr>
        <w:t>Capacitaciones impartidas por grupo ocupacional</w:t>
      </w:r>
    </w:p>
    <w:p w14:paraId="1CBDFF74" w14:textId="54BA0FC5" w:rsidR="008A3AF0" w:rsidRPr="008D600F" w:rsidRDefault="002030EE" w:rsidP="008D600F">
      <w:pPr>
        <w:spacing w:before="240" w:after="0" w:line="360" w:lineRule="auto"/>
        <w:jc w:val="both"/>
        <w:rPr>
          <w:rFonts w:eastAsia="Calibri"/>
          <w:noProof/>
          <w:lang w:val="es-DO"/>
        </w:rPr>
      </w:pPr>
      <w:r w:rsidRPr="008D600F">
        <w:rPr>
          <w:rFonts w:eastAsia="Calibri"/>
          <w:noProof/>
          <w:lang w:val="es-DO"/>
        </w:rPr>
        <w:t>Comprometidos con el desarrollo de nuestros colaboradores en las habilidades interpersonales que les permitirán una correcta interacción con los demás, así como el desarrollo de aquellas competencias que les permitirán desempeñarse de manera exitosa en sus funciones profesionales, fueron dotadas 94 competencias blandas y 248 duras o técnicas</w:t>
      </w:r>
      <w:r w:rsidRPr="001E5C11">
        <w:rPr>
          <w:rFonts w:eastAsia="Calibri"/>
          <w:noProof/>
          <w:lang w:val="es-DO"/>
        </w:rPr>
        <w:t>.</w:t>
      </w:r>
    </w:p>
    <w:p w14:paraId="08405A45" w14:textId="77777777" w:rsidR="008D600F" w:rsidRDefault="008D600F" w:rsidP="008A3AF0">
      <w:pPr>
        <w:spacing w:before="240" w:after="0" w:line="360" w:lineRule="auto"/>
        <w:jc w:val="both"/>
        <w:rPr>
          <w:rFonts w:eastAsia="Calibri"/>
          <w:noProof/>
          <w:sz w:val="18"/>
          <w:szCs w:val="18"/>
          <w:lang w:val="es-DO"/>
        </w:rPr>
      </w:pPr>
    </w:p>
    <w:p w14:paraId="7F574517" w14:textId="77777777" w:rsidR="008D600F" w:rsidRDefault="008D600F" w:rsidP="008A3AF0">
      <w:pPr>
        <w:spacing w:before="240" w:after="0" w:line="360" w:lineRule="auto"/>
        <w:jc w:val="both"/>
        <w:rPr>
          <w:rFonts w:eastAsia="Calibri"/>
          <w:noProof/>
          <w:sz w:val="18"/>
          <w:szCs w:val="18"/>
          <w:lang w:val="es-DO"/>
        </w:rPr>
      </w:pPr>
    </w:p>
    <w:p w14:paraId="59BBE38B" w14:textId="3DBDB5E1" w:rsidR="008D600F" w:rsidRDefault="008D600F" w:rsidP="008D600F">
      <w:pPr>
        <w:spacing w:before="240" w:after="0" w:line="360" w:lineRule="auto"/>
        <w:jc w:val="both"/>
        <w:rPr>
          <w:rFonts w:eastAsia="Calibri"/>
          <w:noProof/>
          <w:sz w:val="18"/>
          <w:szCs w:val="18"/>
          <w:lang w:val="es-DO"/>
        </w:rPr>
      </w:pPr>
      <w:r w:rsidRPr="008D600F">
        <w:rPr>
          <w:noProof/>
        </w:rPr>
        <w:lastRenderedPageBreak/>
        <w:drawing>
          <wp:anchor distT="0" distB="0" distL="114300" distR="114300" simplePos="0" relativeHeight="251658275" behindDoc="0" locked="0" layoutInCell="1" allowOverlap="1" wp14:anchorId="5420F0EF" wp14:editId="05F20517">
            <wp:simplePos x="0" y="0"/>
            <wp:positionH relativeFrom="margin">
              <wp:align>left</wp:align>
            </wp:positionH>
            <wp:positionV relativeFrom="paragraph">
              <wp:posOffset>0</wp:posOffset>
            </wp:positionV>
            <wp:extent cx="4732020" cy="2915920"/>
            <wp:effectExtent l="0" t="0" r="11430" b="17780"/>
            <wp:wrapSquare wrapText="bothSides"/>
            <wp:docPr id="96690015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Pr="00690EA0">
        <w:rPr>
          <w:rFonts w:eastAsia="Calibri"/>
          <w:b/>
          <w:bCs/>
          <w:noProof/>
          <w:sz w:val="18"/>
          <w:szCs w:val="18"/>
          <w:lang w:val="es-DO"/>
        </w:rPr>
        <w:t>Gráfico 1</w:t>
      </w:r>
      <w:r w:rsidR="00BA45A8">
        <w:rPr>
          <w:rFonts w:eastAsia="Calibri"/>
          <w:b/>
          <w:bCs/>
          <w:noProof/>
          <w:sz w:val="18"/>
          <w:szCs w:val="18"/>
          <w:lang w:val="es-DO"/>
        </w:rPr>
        <w:t>8</w:t>
      </w:r>
      <w:r w:rsidRPr="00690EA0">
        <w:rPr>
          <w:rFonts w:eastAsia="Calibri"/>
          <w:b/>
          <w:bCs/>
          <w:noProof/>
          <w:sz w:val="18"/>
          <w:szCs w:val="18"/>
          <w:lang w:val="es-DO"/>
        </w:rPr>
        <w:t>:</w:t>
      </w:r>
      <w:r w:rsidRPr="00690EA0">
        <w:rPr>
          <w:rFonts w:eastAsia="Calibri"/>
          <w:noProof/>
          <w:sz w:val="18"/>
          <w:szCs w:val="18"/>
          <w:lang w:val="es-DO"/>
        </w:rPr>
        <w:t xml:space="preserve"> Competencias Blandas y Duras</w:t>
      </w:r>
    </w:p>
    <w:p w14:paraId="0953E4CE" w14:textId="019C107D" w:rsidR="002030EE" w:rsidRPr="008A3AF0" w:rsidRDefault="008A3AF0" w:rsidP="008A3AF0">
      <w:pPr>
        <w:spacing w:before="240" w:after="0" w:line="360" w:lineRule="auto"/>
        <w:jc w:val="both"/>
        <w:rPr>
          <w:rFonts w:eastAsia="Calibri"/>
          <w:noProof/>
          <w:lang w:val="es-DO"/>
        </w:rPr>
      </w:pPr>
      <w:r>
        <w:rPr>
          <w:rFonts w:eastAsia="Calibri"/>
          <w:noProof/>
          <w:lang w:val="es-DO"/>
        </w:rPr>
        <w:t xml:space="preserve">Es necesario que </w:t>
      </w:r>
      <w:r w:rsidR="002030EE" w:rsidRPr="008A3AF0">
        <w:rPr>
          <w:rFonts w:eastAsia="Calibri"/>
          <w:noProof/>
          <w:lang w:val="es-DO"/>
        </w:rPr>
        <w:t>cada supervisor identifique y alinee las competencias de su personal con las metas institucionales, diseñando planes de desarrollo personalizados para potenciar las fortalezas y abordar áreas de mejora. Es por esto que, en el mes de agosto 2024 se realizó la detección de las necesidades de competencias correspondiente al 2025 de las cuales se levantaron 952 competencias que conforme sus supervisores requieren ser cubiertas. Esto permitirá una mejor planificación a nivel de capacitación y administración del presupuesto.</w:t>
      </w:r>
    </w:p>
    <w:p w14:paraId="3F4DB430" w14:textId="77777777" w:rsidR="00BC081A" w:rsidRDefault="00BC081A" w:rsidP="009978F6">
      <w:pPr>
        <w:spacing w:after="0"/>
        <w:rPr>
          <w:lang w:val="es-DO"/>
        </w:rPr>
      </w:pPr>
    </w:p>
    <w:p w14:paraId="529C5C46" w14:textId="5DFC9E31" w:rsidR="002030EE" w:rsidRPr="00BC081A" w:rsidRDefault="002030EE" w:rsidP="00BC081A">
      <w:pPr>
        <w:rPr>
          <w:b/>
          <w:bCs/>
          <w:lang w:val="es-DO"/>
        </w:rPr>
      </w:pPr>
      <w:r w:rsidRPr="00BC081A">
        <w:rPr>
          <w:b/>
          <w:bCs/>
          <w:lang w:val="es-DO"/>
        </w:rPr>
        <w:t xml:space="preserve">Sensibilizaciones antisoborno y </w:t>
      </w:r>
      <w:r w:rsidR="005652BB" w:rsidRPr="00BC081A">
        <w:rPr>
          <w:b/>
          <w:bCs/>
          <w:lang w:val="es-DO"/>
        </w:rPr>
        <w:t>Compliance</w:t>
      </w:r>
    </w:p>
    <w:p w14:paraId="538CC451" w14:textId="77777777" w:rsidR="002030EE" w:rsidRPr="001E5C11" w:rsidRDefault="002030EE" w:rsidP="002030EE">
      <w:pPr>
        <w:spacing w:line="360" w:lineRule="auto"/>
        <w:jc w:val="both"/>
        <w:rPr>
          <w:rFonts w:eastAsia="Calibri"/>
          <w:noProof/>
          <w:lang w:val="es-DO"/>
        </w:rPr>
      </w:pPr>
      <w:r w:rsidRPr="001E5C11">
        <w:rPr>
          <w:rFonts w:eastAsia="Calibri"/>
          <w:noProof/>
          <w:lang w:val="es-DO"/>
        </w:rPr>
        <w:t>La Tesorería de la Seguridad Social en el año 2024, inició el proceso de implementación de las normas ISO 37001 e ISO 37301 de cumplimiento regulatorio y antisoborno con el acompañamiento de la empresa Legal, Risk &amp; Management Solutions (LEXI).</w:t>
      </w:r>
      <w:r>
        <w:rPr>
          <w:rFonts w:eastAsia="Calibri"/>
          <w:noProof/>
          <w:lang w:val="es-DO"/>
        </w:rPr>
        <w:t xml:space="preserve"> </w:t>
      </w:r>
      <w:r w:rsidRPr="001E5C11">
        <w:rPr>
          <w:rFonts w:eastAsia="Calibri"/>
          <w:noProof/>
          <w:lang w:val="es-DO"/>
        </w:rPr>
        <w:t xml:space="preserve">Desde el departamento de capacitación en acompañamiento con la OAI impartieron varios talleres, a los fines de sensibilizar a todos los colaboradores TSS en la identificación de obligaciones legales internas y externas para gestionar los riesgos de incumplimiento y </w:t>
      </w:r>
      <w:r w:rsidRPr="001E5C11">
        <w:rPr>
          <w:rFonts w:eastAsia="Calibri"/>
          <w:noProof/>
          <w:lang w:val="es-DO"/>
        </w:rPr>
        <w:lastRenderedPageBreak/>
        <w:t xml:space="preserve">promover una cultura de integridad y prevención de incumplimiento así mismo la corrupción administrativa. </w:t>
      </w:r>
    </w:p>
    <w:p w14:paraId="5A543DED" w14:textId="77777777" w:rsidR="002030EE" w:rsidRPr="001E5C11" w:rsidRDefault="002030EE" w:rsidP="002030EE">
      <w:pPr>
        <w:spacing w:line="360" w:lineRule="auto"/>
        <w:jc w:val="both"/>
        <w:rPr>
          <w:rFonts w:eastAsia="Calibri"/>
          <w:noProof/>
          <w:lang w:val="es-DO"/>
        </w:rPr>
      </w:pPr>
      <w:r w:rsidRPr="001E5C11">
        <w:rPr>
          <w:rFonts w:eastAsia="Calibri"/>
          <w:noProof/>
          <w:lang w:val="es-DO"/>
        </w:rPr>
        <w:t>Los talleres se desarrollaron de manera presencial y virtual, dándoles participación a todos nuestros colaboradores a nivel nacional y en el interior. Fueron sensibilizados de manera presencial 161 colaboradores y 113 a través de TEAMS, siendo un total de 274 colaboradores capacitados.</w:t>
      </w:r>
    </w:p>
    <w:p w14:paraId="6CD89984" w14:textId="77777777" w:rsidR="002030EE" w:rsidRPr="00BC081A" w:rsidRDefault="002030EE" w:rsidP="00BC081A">
      <w:pPr>
        <w:rPr>
          <w:b/>
          <w:bCs/>
          <w:lang w:val="es-DO"/>
        </w:rPr>
      </w:pPr>
      <w:r w:rsidRPr="00BC081A">
        <w:rPr>
          <w:b/>
          <w:bCs/>
          <w:lang w:val="es-DO"/>
        </w:rPr>
        <w:t>Talleres FODA y CAME</w:t>
      </w:r>
    </w:p>
    <w:p w14:paraId="4C8656C9" w14:textId="77777777" w:rsidR="002030EE" w:rsidRPr="001E5C11" w:rsidRDefault="002030EE" w:rsidP="002030EE">
      <w:pPr>
        <w:spacing w:line="360" w:lineRule="auto"/>
        <w:jc w:val="both"/>
        <w:rPr>
          <w:rFonts w:eastAsia="Calibri"/>
          <w:noProof/>
          <w:lang w:val="es-DO"/>
        </w:rPr>
      </w:pPr>
      <w:r w:rsidRPr="001E5C11">
        <w:rPr>
          <w:rFonts w:eastAsia="Calibri"/>
          <w:noProof/>
          <w:lang w:val="es-DO"/>
        </w:rPr>
        <w:t>Como parte del proceso de elaboración del PEI 2025-2028, en el mes de junio se impartió el taller “Planificación Estratégica e Innovación” en colaboración con la Dirección de Planificación y Desarrollo, en el que participaron los encargados de departamentos y divisiones, con el objetivo de fortalecer las capacidades de los participantes en áreas claves para el desarrollo y ejecución de estrategias institucionales innovadoras.</w:t>
      </w:r>
    </w:p>
    <w:p w14:paraId="58BC4458" w14:textId="2B6ADA05" w:rsidR="002030EE" w:rsidRPr="001E5C11" w:rsidRDefault="00F20655" w:rsidP="002030EE">
      <w:pPr>
        <w:spacing w:line="360" w:lineRule="auto"/>
        <w:jc w:val="both"/>
        <w:rPr>
          <w:rFonts w:eastAsia="Calibri"/>
          <w:noProof/>
          <w:lang w:val="es-DO"/>
        </w:rPr>
      </w:pPr>
      <w:r>
        <w:rPr>
          <w:rFonts w:eastAsia="Calibri"/>
          <w:noProof/>
          <w:lang w:val="es-DO"/>
        </w:rPr>
        <w:t>Se</w:t>
      </w:r>
      <w:r w:rsidR="002030EE" w:rsidRPr="001E5C11">
        <w:rPr>
          <w:rFonts w:eastAsia="Calibri"/>
          <w:noProof/>
          <w:lang w:val="es-DO"/>
        </w:rPr>
        <w:t xml:space="preserve">  desarrol</w:t>
      </w:r>
      <w:r>
        <w:rPr>
          <w:rFonts w:eastAsia="Calibri"/>
          <w:noProof/>
          <w:lang w:val="es-DO"/>
        </w:rPr>
        <w:t>laron</w:t>
      </w:r>
      <w:r w:rsidR="002030EE" w:rsidRPr="001E5C11">
        <w:rPr>
          <w:rFonts w:eastAsia="Calibri"/>
          <w:noProof/>
          <w:lang w:val="es-DO"/>
        </w:rPr>
        <w:t xml:space="preserve"> los talleres FODA y CAME dirigidos a todos los colaboradores de la institución, con la finalidad de construir nuestro Plan Estratégico considerando todas las perspectivas, experiencias y expectativas de nuestros colaboradores, logrando una visión compartida y un compromiso colectivo con los objetivos institucionales.</w:t>
      </w:r>
    </w:p>
    <w:p w14:paraId="4996D051" w14:textId="77777777" w:rsidR="002030EE" w:rsidRPr="001E0A70" w:rsidRDefault="002030EE" w:rsidP="001E0A70">
      <w:pPr>
        <w:spacing w:line="360" w:lineRule="auto"/>
        <w:jc w:val="both"/>
        <w:rPr>
          <w:b/>
          <w:bCs/>
          <w:lang w:val="es-DO"/>
        </w:rPr>
      </w:pPr>
      <w:r w:rsidRPr="001E0A70">
        <w:rPr>
          <w:b/>
          <w:bCs/>
          <w:lang w:val="es-DO"/>
        </w:rPr>
        <w:t>Inducción personal de nuevo ingreso</w:t>
      </w:r>
    </w:p>
    <w:p w14:paraId="39C27FEE" w14:textId="77777777" w:rsidR="002030EE" w:rsidRPr="001E5C11" w:rsidRDefault="002030EE" w:rsidP="002030EE">
      <w:pPr>
        <w:spacing w:line="360" w:lineRule="auto"/>
        <w:jc w:val="both"/>
        <w:rPr>
          <w:rFonts w:eastAsia="Calibri"/>
          <w:noProof/>
          <w:lang w:val="es-DO"/>
        </w:rPr>
      </w:pPr>
      <w:r w:rsidRPr="001E5C11">
        <w:rPr>
          <w:rFonts w:eastAsia="Calibri"/>
          <w:noProof/>
          <w:lang w:val="es-DO"/>
        </w:rPr>
        <w:t xml:space="preserve">Entendiendo que cuando un nuevo colaborador se incorpora a la Institución es de vital importancia que este sea dotado de los conocimientos acerca de la misión, funciones y diferentes departamentos que componen el ecosistema de la Tesorería de la Seguridad Social, brindándoles una sensación de bienestar y pertenencia desde el principio, en el año 2024 participaron en nuestro programa de inducción veintinueve (29) colaboradores </w:t>
      </w:r>
      <w:r w:rsidRPr="001E5C11">
        <w:rPr>
          <w:rFonts w:eastAsia="Calibri"/>
          <w:noProof/>
          <w:lang w:val="es-DO"/>
        </w:rPr>
        <w:lastRenderedPageBreak/>
        <w:t>equivalentes al 100% del personal que ingresaron durante el año 2024.</w:t>
      </w:r>
    </w:p>
    <w:p w14:paraId="75B29264" w14:textId="5F947A64" w:rsidR="002030EE" w:rsidRPr="000523C0" w:rsidRDefault="002030EE" w:rsidP="009978F6">
      <w:pPr>
        <w:spacing w:before="240" w:after="0"/>
        <w:jc w:val="both"/>
        <w:rPr>
          <w:b/>
          <w:bCs/>
          <w:lang w:val="es-DO"/>
        </w:rPr>
      </w:pPr>
      <w:r w:rsidRPr="000523C0">
        <w:rPr>
          <w:b/>
          <w:bCs/>
          <w:lang w:val="es-DO"/>
        </w:rPr>
        <w:t>Acuerdos de Desempeño y Evaluación del desempeño</w:t>
      </w:r>
    </w:p>
    <w:p w14:paraId="5EA70ABA" w14:textId="77777777" w:rsidR="002030EE" w:rsidRPr="001E5C11" w:rsidRDefault="002030EE" w:rsidP="009978F6">
      <w:pPr>
        <w:spacing w:before="240" w:after="0" w:line="360" w:lineRule="auto"/>
        <w:jc w:val="both"/>
        <w:rPr>
          <w:rFonts w:eastAsia="Calibri"/>
          <w:noProof/>
          <w:lang w:val="es-DO"/>
        </w:rPr>
      </w:pPr>
      <w:r w:rsidRPr="001E5C11">
        <w:rPr>
          <w:rFonts w:eastAsia="Calibri"/>
          <w:noProof/>
          <w:lang w:val="es-DO"/>
        </w:rPr>
        <w:t>El sistema de evaluación del desempeño es una herramienta que permite medir de manera objetiva la conducta profesional, las competencias, el rendimiento, la productividad y el cumplimiento de objetivos de manera integral y su impacto en el logro de las metas departamentales.</w:t>
      </w:r>
    </w:p>
    <w:p w14:paraId="495359E9" w14:textId="77777777" w:rsidR="002030EE" w:rsidRPr="001E5C11" w:rsidRDefault="002030EE" w:rsidP="009978F6">
      <w:pPr>
        <w:spacing w:before="240" w:after="0" w:line="360" w:lineRule="auto"/>
        <w:jc w:val="both"/>
        <w:rPr>
          <w:rFonts w:eastAsia="Calibri"/>
          <w:noProof/>
          <w:lang w:val="es-DO"/>
        </w:rPr>
      </w:pPr>
      <w:r w:rsidRPr="001E5C11">
        <w:rPr>
          <w:rFonts w:eastAsia="Calibri"/>
          <w:noProof/>
          <w:lang w:val="es-DO"/>
        </w:rPr>
        <w:t>En cumplimiento con las pautas establecidas en la circular del MAP No. 017428 donde se disponen las pautas y las fechas establecidas para la entrega de las documentaciones de seguimiento correspondiente a este proceso, en enero 2024 se recibieron todos los acuerdos de desempeño elaborados de los colaboradores TSS los cuales determinan los objetivos que debe alcanzar cada colaborador de manera individual y a la vez alineados a su POA departamental.</w:t>
      </w:r>
    </w:p>
    <w:p w14:paraId="1DAD1F68" w14:textId="77777777" w:rsidR="002030EE" w:rsidRPr="001E5C11" w:rsidRDefault="002030EE" w:rsidP="002030EE">
      <w:pPr>
        <w:spacing w:line="360" w:lineRule="auto"/>
        <w:jc w:val="both"/>
        <w:rPr>
          <w:rFonts w:eastAsia="Calibri"/>
          <w:noProof/>
          <w:lang w:val="es-DO"/>
        </w:rPr>
      </w:pPr>
      <w:r w:rsidRPr="001E5C11">
        <w:rPr>
          <w:rFonts w:eastAsia="Calibri"/>
          <w:noProof/>
          <w:lang w:val="es-DO"/>
        </w:rPr>
        <w:t>En cumplimiento a lo anterior, en el mes de marzo implementamos el formulario de minuta actualizado para ser utilizado en las minutas de monitoreo trimestrales.</w:t>
      </w:r>
    </w:p>
    <w:p w14:paraId="159A9181" w14:textId="77777777" w:rsidR="002030EE" w:rsidRPr="001E5C11" w:rsidRDefault="002030EE" w:rsidP="002030EE">
      <w:pPr>
        <w:spacing w:line="360" w:lineRule="auto"/>
        <w:jc w:val="both"/>
        <w:rPr>
          <w:rFonts w:eastAsia="Calibri"/>
          <w:noProof/>
          <w:lang w:val="es-DO"/>
        </w:rPr>
      </w:pPr>
      <w:r w:rsidRPr="001E5C11">
        <w:rPr>
          <w:rFonts w:eastAsia="Calibri"/>
          <w:noProof/>
          <w:lang w:val="es-DO"/>
        </w:rPr>
        <w:t>De acuerdo con lo establecido en el proceso de evaluación del desempeño evidenciamos la reunión entre el supervisor y el supervisado sobre el estatus de sus metas propuestas y si los mismos poseen inconvenientes para cumplirlas a través de las minutas de monitoreo. Durante el año 2024 se han programado 3 minutas de las cuales se han realizado las 3 de manera satisfactoria.</w:t>
      </w:r>
    </w:p>
    <w:p w14:paraId="65CCC898" w14:textId="77777777" w:rsidR="002030EE" w:rsidRPr="001E5C11" w:rsidRDefault="002030EE" w:rsidP="002030EE">
      <w:pPr>
        <w:spacing w:line="360" w:lineRule="auto"/>
        <w:jc w:val="both"/>
        <w:rPr>
          <w:rFonts w:eastAsia="Calibri"/>
          <w:noProof/>
          <w:lang w:val="es-DO"/>
        </w:rPr>
      </w:pPr>
      <w:r w:rsidRPr="001E5C11">
        <w:rPr>
          <w:rFonts w:eastAsia="Calibri"/>
          <w:noProof/>
          <w:lang w:val="es-DO"/>
        </w:rPr>
        <w:t xml:space="preserve">A partir del año 2024, como parte de la mejora continua de nuestros procesos se implementó la Matriz de evaluación del desempeño, la cual permitirá obtener informaciones acerca del cumplimiento de los tiempos en la entrega de los insumos </w:t>
      </w:r>
      <w:r w:rsidRPr="001E5C11">
        <w:rPr>
          <w:rFonts w:eastAsia="Calibri"/>
          <w:noProof/>
          <w:lang w:val="es-DO"/>
        </w:rPr>
        <w:lastRenderedPageBreak/>
        <w:t>requeridos durante el año y realizar comparaciones en el desempeño de nuestros colaboradores.</w:t>
      </w:r>
    </w:p>
    <w:p w14:paraId="7C385B0A" w14:textId="77777777" w:rsidR="002030EE" w:rsidRPr="000523C0" w:rsidRDefault="002030EE" w:rsidP="000523C0">
      <w:pPr>
        <w:rPr>
          <w:b/>
          <w:bCs/>
          <w:lang w:val="es-DO"/>
        </w:rPr>
      </w:pPr>
      <w:r w:rsidRPr="000523C0">
        <w:rPr>
          <w:b/>
          <w:bCs/>
          <w:lang w:val="es-DO"/>
        </w:rPr>
        <w:t>Talleres evaluación del desempeño y metas SMART</w:t>
      </w:r>
    </w:p>
    <w:p w14:paraId="19097716" w14:textId="77777777" w:rsidR="002030EE" w:rsidRDefault="002030EE" w:rsidP="002030EE">
      <w:pPr>
        <w:spacing w:line="360" w:lineRule="auto"/>
        <w:jc w:val="both"/>
        <w:rPr>
          <w:rFonts w:eastAsia="Calibri"/>
          <w:noProof/>
          <w:lang w:val="es-DO"/>
        </w:rPr>
      </w:pPr>
      <w:r w:rsidRPr="001E5C11">
        <w:rPr>
          <w:rFonts w:eastAsia="Calibri"/>
          <w:noProof/>
          <w:lang w:val="es-DO"/>
        </w:rPr>
        <w:t>A los fines de reforzar los conocimientos sobre la elaboración de los acuerdos de desempeño, así como la debida forma en la que deben de completarse los formularios correspondientes a este proceso se realizaron en los meses de agosto y septiembre 2 talleres dirigidos a todos los supervisores de la TSS. Participaron en total de 54 colaboradores que ejercen posiciones de supervisión.</w:t>
      </w:r>
    </w:p>
    <w:p w14:paraId="1B2A4290" w14:textId="77777777" w:rsidR="002030EE" w:rsidRPr="000523C0" w:rsidRDefault="002030EE" w:rsidP="000523C0">
      <w:pPr>
        <w:rPr>
          <w:b/>
          <w:bCs/>
          <w:lang w:val="es-DO"/>
        </w:rPr>
      </w:pPr>
      <w:r w:rsidRPr="000523C0">
        <w:rPr>
          <w:b/>
          <w:bCs/>
          <w:lang w:val="es-DO"/>
        </w:rPr>
        <w:t>Evaluación del desempeño 2024</w:t>
      </w:r>
    </w:p>
    <w:p w14:paraId="3F48514C" w14:textId="09BA14E4" w:rsidR="002030EE" w:rsidRPr="001E5C11" w:rsidRDefault="002030EE" w:rsidP="002030EE">
      <w:pPr>
        <w:spacing w:line="360" w:lineRule="auto"/>
        <w:jc w:val="both"/>
        <w:rPr>
          <w:rFonts w:eastAsia="Calibri"/>
          <w:noProof/>
          <w:lang w:val="es-DO"/>
        </w:rPr>
      </w:pPr>
      <w:r w:rsidRPr="001E5C11">
        <w:rPr>
          <w:rFonts w:eastAsia="Calibri"/>
          <w:noProof/>
          <w:lang w:val="es-DO"/>
        </w:rPr>
        <w:t xml:space="preserve">Como parte final del proceso de evaluación del desempeño en el mes de diciembre se estuvieron recibiendo los acuerdos de evaluados de los colaboradores </w:t>
      </w:r>
      <w:r w:rsidR="001E0A70">
        <w:rPr>
          <w:rFonts w:eastAsia="Calibri"/>
          <w:noProof/>
          <w:lang w:val="es-DO"/>
        </w:rPr>
        <w:t>F</w:t>
      </w:r>
      <w:r w:rsidRPr="001E5C11">
        <w:rPr>
          <w:rFonts w:eastAsia="Calibri"/>
          <w:noProof/>
          <w:lang w:val="es-DO"/>
        </w:rPr>
        <w:t>de las diferentes direcciones y departamentos. Fueron evaluados y reportados al MAP el 100% de los colaboradores activos y 13 excolaboradores con calificaciones por encima de 85%.</w:t>
      </w:r>
    </w:p>
    <w:tbl>
      <w:tblPr>
        <w:tblW w:w="7650" w:type="dxa"/>
        <w:jc w:val="center"/>
        <w:tblLook w:val="04A0" w:firstRow="1" w:lastRow="0" w:firstColumn="1" w:lastColumn="0" w:noHBand="0" w:noVBand="1"/>
      </w:tblPr>
      <w:tblGrid>
        <w:gridCol w:w="4555"/>
        <w:gridCol w:w="3095"/>
      </w:tblGrid>
      <w:tr w:rsidR="00210980" w:rsidRPr="00210980" w14:paraId="46817DDC" w14:textId="77777777" w:rsidTr="00CF34B7">
        <w:trPr>
          <w:trHeight w:val="630"/>
          <w:tblHeader/>
          <w:jc w:val="center"/>
        </w:trPr>
        <w:tc>
          <w:tcPr>
            <w:tcW w:w="7650" w:type="dxa"/>
            <w:gridSpan w:val="2"/>
            <w:tcBorders>
              <w:top w:val="single" w:sz="4" w:space="0" w:color="auto"/>
              <w:left w:val="single" w:sz="4" w:space="0" w:color="auto"/>
              <w:bottom w:val="single" w:sz="4" w:space="0" w:color="auto"/>
              <w:right w:val="single" w:sz="4" w:space="0" w:color="000000"/>
            </w:tcBorders>
            <w:shd w:val="clear" w:color="000000" w:fill="002060"/>
            <w:vAlign w:val="center"/>
            <w:hideMark/>
          </w:tcPr>
          <w:p w14:paraId="1538FE53" w14:textId="700E1F87" w:rsidR="00210980" w:rsidRPr="00CF34B7" w:rsidRDefault="008D600F" w:rsidP="00210980">
            <w:pPr>
              <w:spacing w:after="0" w:line="240" w:lineRule="auto"/>
              <w:jc w:val="center"/>
              <w:rPr>
                <w:rFonts w:eastAsia="Times New Roman"/>
                <w:b/>
                <w:bCs/>
                <w:color w:val="FFFFFF"/>
                <w:spacing w:val="0"/>
              </w:rPr>
            </w:pPr>
            <w:r w:rsidRPr="00CF34B7">
              <w:rPr>
                <w:rFonts w:eastAsia="Times New Roman"/>
                <w:b/>
                <w:bCs/>
                <w:color w:val="FFFFFF"/>
                <w:spacing w:val="0"/>
              </w:rPr>
              <w:t>COLABORADORES EVALUADOS</w:t>
            </w:r>
          </w:p>
        </w:tc>
      </w:tr>
      <w:tr w:rsidR="00210980" w:rsidRPr="00210980" w14:paraId="6769AA91" w14:textId="77777777" w:rsidTr="00CF34B7">
        <w:trPr>
          <w:trHeight w:val="960"/>
          <w:jc w:val="center"/>
        </w:trPr>
        <w:tc>
          <w:tcPr>
            <w:tcW w:w="4555" w:type="dxa"/>
            <w:tcBorders>
              <w:top w:val="nil"/>
              <w:left w:val="single" w:sz="8" w:space="0" w:color="auto"/>
              <w:bottom w:val="single" w:sz="8" w:space="0" w:color="auto"/>
              <w:right w:val="single" w:sz="8" w:space="0" w:color="auto"/>
            </w:tcBorders>
            <w:shd w:val="clear" w:color="auto" w:fill="auto"/>
            <w:vAlign w:val="center"/>
            <w:hideMark/>
          </w:tcPr>
          <w:p w14:paraId="70C6343D" w14:textId="77777777" w:rsidR="00210980" w:rsidRPr="00CF34B7" w:rsidRDefault="00210980" w:rsidP="00210980">
            <w:pPr>
              <w:spacing w:after="0" w:line="240" w:lineRule="auto"/>
              <w:jc w:val="center"/>
              <w:rPr>
                <w:rFonts w:eastAsia="Times New Roman"/>
                <w:spacing w:val="0"/>
                <w:lang w:val="es-ES"/>
              </w:rPr>
            </w:pPr>
            <w:r w:rsidRPr="00CF34B7">
              <w:rPr>
                <w:rFonts w:eastAsia="Times New Roman"/>
                <w:spacing w:val="0"/>
                <w:lang w:val="es-ES"/>
              </w:rPr>
              <w:t>Cantidad de colaboradores activos evaluados</w:t>
            </w:r>
          </w:p>
        </w:tc>
        <w:tc>
          <w:tcPr>
            <w:tcW w:w="3095" w:type="dxa"/>
            <w:tcBorders>
              <w:top w:val="nil"/>
              <w:left w:val="nil"/>
              <w:bottom w:val="single" w:sz="8" w:space="0" w:color="auto"/>
              <w:right w:val="single" w:sz="8" w:space="0" w:color="auto"/>
            </w:tcBorders>
            <w:shd w:val="clear" w:color="auto" w:fill="auto"/>
            <w:noWrap/>
            <w:vAlign w:val="center"/>
            <w:hideMark/>
          </w:tcPr>
          <w:p w14:paraId="7ECF07C2" w14:textId="77777777" w:rsidR="00210980" w:rsidRPr="00CF34B7" w:rsidRDefault="00210980" w:rsidP="00210980">
            <w:pPr>
              <w:spacing w:after="0" w:line="240" w:lineRule="auto"/>
              <w:jc w:val="center"/>
              <w:rPr>
                <w:rFonts w:eastAsia="Times New Roman"/>
                <w:spacing w:val="0"/>
              </w:rPr>
            </w:pPr>
            <w:r w:rsidRPr="00CF34B7">
              <w:rPr>
                <w:rFonts w:eastAsia="Times New Roman"/>
                <w:spacing w:val="0"/>
              </w:rPr>
              <w:t>340</w:t>
            </w:r>
          </w:p>
        </w:tc>
      </w:tr>
      <w:tr w:rsidR="00210980" w:rsidRPr="00210980" w14:paraId="22638CC4" w14:textId="77777777" w:rsidTr="00CF34B7">
        <w:trPr>
          <w:trHeight w:val="915"/>
          <w:jc w:val="center"/>
        </w:trPr>
        <w:tc>
          <w:tcPr>
            <w:tcW w:w="4555" w:type="dxa"/>
            <w:tcBorders>
              <w:top w:val="nil"/>
              <w:left w:val="single" w:sz="8" w:space="0" w:color="auto"/>
              <w:bottom w:val="single" w:sz="8" w:space="0" w:color="auto"/>
              <w:right w:val="single" w:sz="8" w:space="0" w:color="auto"/>
            </w:tcBorders>
            <w:shd w:val="clear" w:color="auto" w:fill="auto"/>
            <w:vAlign w:val="center"/>
            <w:hideMark/>
          </w:tcPr>
          <w:p w14:paraId="5BC157B6" w14:textId="58998C87" w:rsidR="00210980" w:rsidRPr="00CF34B7" w:rsidRDefault="00210980" w:rsidP="00210980">
            <w:pPr>
              <w:spacing w:after="0" w:line="240" w:lineRule="auto"/>
              <w:jc w:val="center"/>
              <w:rPr>
                <w:rFonts w:eastAsia="Times New Roman"/>
                <w:spacing w:val="0"/>
                <w:lang w:val="es-ES"/>
              </w:rPr>
            </w:pPr>
            <w:r w:rsidRPr="00CF34B7">
              <w:rPr>
                <w:rFonts w:eastAsia="Times New Roman"/>
                <w:spacing w:val="0"/>
                <w:lang w:val="es-ES"/>
              </w:rPr>
              <w:t>Cantidad de excolaboradores evaluados</w:t>
            </w:r>
          </w:p>
        </w:tc>
        <w:tc>
          <w:tcPr>
            <w:tcW w:w="3095" w:type="dxa"/>
            <w:tcBorders>
              <w:top w:val="nil"/>
              <w:left w:val="nil"/>
              <w:bottom w:val="single" w:sz="8" w:space="0" w:color="auto"/>
              <w:right w:val="single" w:sz="8" w:space="0" w:color="auto"/>
            </w:tcBorders>
            <w:shd w:val="clear" w:color="auto" w:fill="auto"/>
            <w:noWrap/>
            <w:vAlign w:val="center"/>
            <w:hideMark/>
          </w:tcPr>
          <w:p w14:paraId="234ED58F" w14:textId="77777777" w:rsidR="00210980" w:rsidRPr="00CF34B7" w:rsidRDefault="00210980" w:rsidP="00210980">
            <w:pPr>
              <w:spacing w:after="0" w:line="240" w:lineRule="auto"/>
              <w:jc w:val="center"/>
              <w:rPr>
                <w:rFonts w:eastAsia="Times New Roman"/>
                <w:spacing w:val="0"/>
              </w:rPr>
            </w:pPr>
            <w:r w:rsidRPr="00CF34B7">
              <w:rPr>
                <w:rFonts w:eastAsia="Times New Roman"/>
                <w:spacing w:val="0"/>
              </w:rPr>
              <w:t>13</w:t>
            </w:r>
          </w:p>
        </w:tc>
      </w:tr>
      <w:tr w:rsidR="00210980" w:rsidRPr="00210980" w14:paraId="22FE2BB7" w14:textId="77777777" w:rsidTr="00CF34B7">
        <w:trPr>
          <w:trHeight w:val="330"/>
          <w:jc w:val="center"/>
        </w:trPr>
        <w:tc>
          <w:tcPr>
            <w:tcW w:w="4555" w:type="dxa"/>
            <w:tcBorders>
              <w:top w:val="nil"/>
              <w:left w:val="single" w:sz="8" w:space="0" w:color="auto"/>
              <w:bottom w:val="single" w:sz="8" w:space="0" w:color="auto"/>
              <w:right w:val="single" w:sz="8" w:space="0" w:color="auto"/>
            </w:tcBorders>
            <w:shd w:val="clear" w:color="auto" w:fill="auto"/>
            <w:vAlign w:val="center"/>
            <w:hideMark/>
          </w:tcPr>
          <w:p w14:paraId="601C0F6C" w14:textId="7430D900" w:rsidR="00210980" w:rsidRPr="00CF34B7" w:rsidRDefault="00CF34B7" w:rsidP="00CF34B7">
            <w:pPr>
              <w:spacing w:after="0" w:line="240" w:lineRule="auto"/>
              <w:rPr>
                <w:rFonts w:eastAsia="Times New Roman"/>
                <w:b/>
                <w:bCs/>
                <w:spacing w:val="0"/>
              </w:rPr>
            </w:pPr>
            <w:r w:rsidRPr="00CF34B7">
              <w:rPr>
                <w:rFonts w:eastAsia="Times New Roman"/>
                <w:b/>
                <w:bCs/>
                <w:spacing w:val="0"/>
              </w:rPr>
              <w:t>TOTAL EVALUADOS</w:t>
            </w:r>
          </w:p>
        </w:tc>
        <w:tc>
          <w:tcPr>
            <w:tcW w:w="3095" w:type="dxa"/>
            <w:tcBorders>
              <w:top w:val="nil"/>
              <w:left w:val="nil"/>
              <w:bottom w:val="single" w:sz="8" w:space="0" w:color="auto"/>
              <w:right w:val="single" w:sz="8" w:space="0" w:color="auto"/>
            </w:tcBorders>
            <w:shd w:val="clear" w:color="auto" w:fill="auto"/>
            <w:noWrap/>
            <w:vAlign w:val="center"/>
            <w:hideMark/>
          </w:tcPr>
          <w:p w14:paraId="2F88825E" w14:textId="77777777" w:rsidR="00210980" w:rsidRPr="00CF34B7" w:rsidRDefault="00210980" w:rsidP="00210980">
            <w:pPr>
              <w:spacing w:after="0" w:line="240" w:lineRule="auto"/>
              <w:jc w:val="center"/>
              <w:rPr>
                <w:rFonts w:eastAsia="Times New Roman"/>
                <w:b/>
                <w:bCs/>
                <w:spacing w:val="0"/>
              </w:rPr>
            </w:pPr>
            <w:r w:rsidRPr="00CF34B7">
              <w:rPr>
                <w:rFonts w:eastAsia="Times New Roman"/>
                <w:b/>
                <w:bCs/>
                <w:spacing w:val="0"/>
              </w:rPr>
              <w:t>3.53</w:t>
            </w:r>
          </w:p>
        </w:tc>
      </w:tr>
    </w:tbl>
    <w:p w14:paraId="686DB85A" w14:textId="37300619" w:rsidR="002030EE" w:rsidRPr="00690EA0" w:rsidRDefault="00B07950" w:rsidP="002030EE">
      <w:pPr>
        <w:jc w:val="both"/>
        <w:rPr>
          <w:color w:val="7B7B7B" w:themeColor="accent3" w:themeShade="BF"/>
          <w:sz w:val="18"/>
          <w:szCs w:val="18"/>
          <w:lang w:val="es-DO"/>
        </w:rPr>
      </w:pPr>
      <w:r>
        <w:rPr>
          <w:b/>
          <w:bCs/>
          <w:color w:val="7B7B7B" w:themeColor="accent3" w:themeShade="BF"/>
          <w:sz w:val="18"/>
          <w:szCs w:val="18"/>
          <w:lang w:val="es-DO"/>
        </w:rPr>
        <w:t xml:space="preserve"> </w:t>
      </w:r>
      <w:r w:rsidR="00690EA0" w:rsidRPr="00690EA0">
        <w:rPr>
          <w:b/>
          <w:bCs/>
          <w:color w:val="7B7B7B" w:themeColor="accent3" w:themeShade="BF"/>
          <w:sz w:val="18"/>
          <w:szCs w:val="18"/>
          <w:lang w:val="es-DO"/>
        </w:rPr>
        <w:t xml:space="preserve">Tabla </w:t>
      </w:r>
      <w:r w:rsidR="008D600F">
        <w:rPr>
          <w:b/>
          <w:bCs/>
          <w:color w:val="7B7B7B" w:themeColor="accent3" w:themeShade="BF"/>
          <w:sz w:val="18"/>
          <w:szCs w:val="18"/>
          <w:lang w:val="es-DO"/>
        </w:rPr>
        <w:t>2</w:t>
      </w:r>
      <w:r w:rsidR="00C50277">
        <w:rPr>
          <w:b/>
          <w:bCs/>
          <w:color w:val="7B7B7B" w:themeColor="accent3" w:themeShade="BF"/>
          <w:sz w:val="18"/>
          <w:szCs w:val="18"/>
          <w:lang w:val="es-DO"/>
        </w:rPr>
        <w:t>2</w:t>
      </w:r>
      <w:r w:rsidR="00690EA0" w:rsidRPr="00690EA0">
        <w:rPr>
          <w:b/>
          <w:bCs/>
          <w:color w:val="7B7B7B" w:themeColor="accent3" w:themeShade="BF"/>
          <w:sz w:val="18"/>
          <w:szCs w:val="18"/>
          <w:lang w:val="es-DO"/>
        </w:rPr>
        <w:t>:</w:t>
      </w:r>
      <w:r w:rsidR="00690EA0" w:rsidRPr="00690EA0">
        <w:rPr>
          <w:color w:val="7B7B7B" w:themeColor="accent3" w:themeShade="BF"/>
          <w:sz w:val="18"/>
          <w:szCs w:val="18"/>
          <w:lang w:val="es-DO"/>
        </w:rPr>
        <w:t xml:space="preserve"> Colaboradores Evaluados</w:t>
      </w:r>
    </w:p>
    <w:p w14:paraId="54464B15" w14:textId="3D3AB268" w:rsidR="002030EE" w:rsidRPr="00F20655" w:rsidRDefault="002030EE" w:rsidP="000523C0">
      <w:pPr>
        <w:rPr>
          <w:b/>
          <w:bCs/>
          <w:lang w:val="es-DO"/>
        </w:rPr>
      </w:pPr>
      <w:r w:rsidRPr="00F20655">
        <w:rPr>
          <w:b/>
          <w:bCs/>
          <w:lang w:val="es-DO"/>
        </w:rPr>
        <w:t>Diagnóstico Comunicación y Liderazgo</w:t>
      </w:r>
    </w:p>
    <w:p w14:paraId="27BB3E2C" w14:textId="77777777" w:rsidR="002030EE" w:rsidRPr="001E5C11" w:rsidRDefault="002030EE" w:rsidP="002030EE">
      <w:pPr>
        <w:spacing w:line="360" w:lineRule="auto"/>
        <w:jc w:val="both"/>
        <w:rPr>
          <w:rFonts w:eastAsia="Calibri"/>
          <w:noProof/>
          <w:lang w:val="es-DO"/>
        </w:rPr>
      </w:pPr>
      <w:r w:rsidRPr="001E5C11">
        <w:rPr>
          <w:rFonts w:eastAsia="Calibri"/>
          <w:noProof/>
          <w:lang w:val="es-DO"/>
        </w:rPr>
        <w:t xml:space="preserve">Enfocados en una cultura basada en la medición y el análisis de los datos, durante los meses de junio y julio se realizó una encuesta de comunicación y liderazgo, entendiendo que la comunicación es una herramienta que permite a los lideres inspirar, motivar y guiar a su equipo. </w:t>
      </w:r>
    </w:p>
    <w:p w14:paraId="554CD3C8" w14:textId="0EA053E0" w:rsidR="002030EE" w:rsidRPr="001E5C11" w:rsidRDefault="002030EE" w:rsidP="002030EE">
      <w:pPr>
        <w:spacing w:line="360" w:lineRule="auto"/>
        <w:jc w:val="both"/>
        <w:rPr>
          <w:rFonts w:eastAsia="Calibri"/>
          <w:noProof/>
          <w:lang w:val="es-DO"/>
        </w:rPr>
      </w:pPr>
      <w:r w:rsidRPr="001E5C11">
        <w:rPr>
          <w:rFonts w:eastAsia="Calibri"/>
          <w:noProof/>
          <w:lang w:val="es-DO"/>
        </w:rPr>
        <w:lastRenderedPageBreak/>
        <w:t>Para evaluar el nivel existente de las competencias pertinentes a la comunicación y liderazgo en las diferentes Direcciones y Departamentos, durante el diagnóstico se evidenciaron los siguientes resultados, con los cuales se realizará un plan de mejora que será ejecutado a partir del año 2025.</w:t>
      </w:r>
    </w:p>
    <w:p w14:paraId="43966C51" w14:textId="601833B3" w:rsidR="002030EE" w:rsidRPr="00F20655" w:rsidRDefault="002030EE" w:rsidP="00F20655">
      <w:pPr>
        <w:rPr>
          <w:b/>
          <w:bCs/>
          <w:lang w:val="es-DO"/>
        </w:rPr>
      </w:pPr>
      <w:r w:rsidRPr="00F20655">
        <w:rPr>
          <w:b/>
          <w:bCs/>
          <w:lang w:val="es-DO"/>
        </w:rPr>
        <w:t>Fortalecimiento del Liderazgo Institucional</w:t>
      </w:r>
    </w:p>
    <w:p w14:paraId="7CC6470C" w14:textId="77777777" w:rsidR="002030EE" w:rsidRDefault="002030EE" w:rsidP="002030EE">
      <w:pPr>
        <w:spacing w:line="360" w:lineRule="auto"/>
        <w:jc w:val="both"/>
        <w:rPr>
          <w:rFonts w:eastAsia="Calibri"/>
          <w:noProof/>
          <w:lang w:val="es-DO"/>
        </w:rPr>
      </w:pPr>
      <w:r w:rsidRPr="001E5C11">
        <w:rPr>
          <w:rFonts w:eastAsia="Calibri"/>
          <w:noProof/>
          <w:lang w:val="es-DO"/>
        </w:rPr>
        <w:t>En ese sentido también se llevó a cabo una encuesta para evaluar el liderazgo a nivel individual de cada supervisor con la finalidad de realizar planes de mejoras personalizados durante el 2025. Fueron evaluados 69 supervisores de las siguientes áreas:</w:t>
      </w:r>
    </w:p>
    <w:p w14:paraId="3D92319C" w14:textId="77777777" w:rsidR="00210980" w:rsidRPr="001E5C11" w:rsidRDefault="00210980" w:rsidP="00F20655">
      <w:pPr>
        <w:spacing w:after="0" w:line="360" w:lineRule="auto"/>
        <w:jc w:val="both"/>
        <w:rPr>
          <w:rFonts w:eastAsia="Calibri"/>
          <w:noProof/>
          <w:lang w:val="es-DO"/>
        </w:rPr>
      </w:pPr>
    </w:p>
    <w:tbl>
      <w:tblPr>
        <w:tblW w:w="7645" w:type="dxa"/>
        <w:jc w:val="center"/>
        <w:tblLook w:val="04A0" w:firstRow="1" w:lastRow="0" w:firstColumn="1" w:lastColumn="0" w:noHBand="0" w:noVBand="1"/>
      </w:tblPr>
      <w:tblGrid>
        <w:gridCol w:w="3408"/>
        <w:gridCol w:w="4237"/>
      </w:tblGrid>
      <w:tr w:rsidR="00210980" w:rsidRPr="00210980" w14:paraId="4B63371D" w14:textId="77777777" w:rsidTr="00CF34B7">
        <w:trPr>
          <w:trHeight w:val="315"/>
          <w:tblHeader/>
          <w:jc w:val="center"/>
        </w:trPr>
        <w:tc>
          <w:tcPr>
            <w:tcW w:w="7645" w:type="dxa"/>
            <w:gridSpan w:val="2"/>
            <w:tcBorders>
              <w:top w:val="single" w:sz="4" w:space="0" w:color="auto"/>
              <w:left w:val="single" w:sz="4" w:space="0" w:color="auto"/>
              <w:bottom w:val="single" w:sz="4" w:space="0" w:color="auto"/>
              <w:right w:val="single" w:sz="4" w:space="0" w:color="000000"/>
            </w:tcBorders>
            <w:shd w:val="clear" w:color="000000" w:fill="002060"/>
            <w:vAlign w:val="center"/>
            <w:hideMark/>
          </w:tcPr>
          <w:p w14:paraId="4578EE85" w14:textId="3177E846" w:rsidR="00210980" w:rsidRPr="00CF34B7" w:rsidRDefault="008D600F" w:rsidP="00210980">
            <w:pPr>
              <w:spacing w:after="0" w:line="240" w:lineRule="auto"/>
              <w:jc w:val="center"/>
              <w:rPr>
                <w:rFonts w:eastAsia="Times New Roman"/>
                <w:b/>
                <w:bCs/>
                <w:color w:val="FFFFFF"/>
                <w:spacing w:val="0"/>
              </w:rPr>
            </w:pPr>
            <w:r w:rsidRPr="00CF34B7">
              <w:rPr>
                <w:b/>
                <w:bCs/>
                <w:color w:val="FFFFFF" w:themeColor="background1"/>
                <w:lang w:val="es-DO"/>
              </w:rPr>
              <w:t>ÁREAS EVALUADAS</w:t>
            </w:r>
          </w:p>
        </w:tc>
      </w:tr>
      <w:tr w:rsidR="00210980" w:rsidRPr="00210980" w14:paraId="3C9F3F52" w14:textId="77777777" w:rsidTr="00CF34B7">
        <w:trPr>
          <w:trHeight w:val="315"/>
          <w:jc w:val="center"/>
        </w:trPr>
        <w:tc>
          <w:tcPr>
            <w:tcW w:w="3408" w:type="dxa"/>
            <w:tcBorders>
              <w:top w:val="nil"/>
              <w:left w:val="single" w:sz="4" w:space="0" w:color="auto"/>
              <w:bottom w:val="single" w:sz="4" w:space="0" w:color="auto"/>
              <w:right w:val="single" w:sz="4" w:space="0" w:color="auto"/>
            </w:tcBorders>
            <w:shd w:val="clear" w:color="000000" w:fill="FFFFFF"/>
            <w:vAlign w:val="center"/>
            <w:hideMark/>
          </w:tcPr>
          <w:p w14:paraId="3846225C" w14:textId="77777777" w:rsidR="00210980" w:rsidRPr="00210980" w:rsidRDefault="00210980" w:rsidP="00CF34B7">
            <w:pPr>
              <w:spacing w:after="0" w:line="240" w:lineRule="auto"/>
              <w:rPr>
                <w:lang w:val="es-DO"/>
              </w:rPr>
            </w:pPr>
            <w:r w:rsidRPr="00210980">
              <w:rPr>
                <w:lang w:val="es-DO"/>
              </w:rPr>
              <w:t>Dirección Administrativa</w:t>
            </w:r>
          </w:p>
        </w:tc>
        <w:tc>
          <w:tcPr>
            <w:tcW w:w="4237" w:type="dxa"/>
            <w:tcBorders>
              <w:top w:val="nil"/>
              <w:left w:val="nil"/>
              <w:bottom w:val="single" w:sz="4" w:space="0" w:color="auto"/>
              <w:right w:val="single" w:sz="4" w:space="0" w:color="auto"/>
            </w:tcBorders>
            <w:shd w:val="clear" w:color="000000" w:fill="FFFFFF"/>
            <w:vAlign w:val="center"/>
            <w:hideMark/>
          </w:tcPr>
          <w:p w14:paraId="75A1008E" w14:textId="77777777" w:rsidR="00210980" w:rsidRPr="00210980" w:rsidRDefault="00210980" w:rsidP="00210980">
            <w:pPr>
              <w:spacing w:after="0" w:line="240" w:lineRule="auto"/>
              <w:jc w:val="center"/>
              <w:rPr>
                <w:lang w:val="es-DO"/>
              </w:rPr>
            </w:pPr>
            <w:r w:rsidRPr="00210980">
              <w:rPr>
                <w:lang w:val="es-DO"/>
              </w:rPr>
              <w:t>10</w:t>
            </w:r>
          </w:p>
        </w:tc>
      </w:tr>
      <w:tr w:rsidR="00210980" w:rsidRPr="00210980" w14:paraId="00BADF6B" w14:textId="77777777" w:rsidTr="00CF34B7">
        <w:trPr>
          <w:trHeight w:val="315"/>
          <w:jc w:val="center"/>
        </w:trPr>
        <w:tc>
          <w:tcPr>
            <w:tcW w:w="3408" w:type="dxa"/>
            <w:tcBorders>
              <w:top w:val="nil"/>
              <w:left w:val="single" w:sz="4" w:space="0" w:color="auto"/>
              <w:bottom w:val="single" w:sz="4" w:space="0" w:color="auto"/>
              <w:right w:val="single" w:sz="4" w:space="0" w:color="auto"/>
            </w:tcBorders>
            <w:shd w:val="clear" w:color="000000" w:fill="FFFFFF"/>
            <w:vAlign w:val="center"/>
            <w:hideMark/>
          </w:tcPr>
          <w:p w14:paraId="444D10D2" w14:textId="77777777" w:rsidR="00210980" w:rsidRPr="00210980" w:rsidRDefault="00210980" w:rsidP="00CF34B7">
            <w:pPr>
              <w:spacing w:after="0" w:line="240" w:lineRule="auto"/>
              <w:rPr>
                <w:lang w:val="es-DO"/>
              </w:rPr>
            </w:pPr>
            <w:r w:rsidRPr="00210980">
              <w:rPr>
                <w:lang w:val="es-DO"/>
              </w:rPr>
              <w:t>CAO</w:t>
            </w:r>
          </w:p>
        </w:tc>
        <w:tc>
          <w:tcPr>
            <w:tcW w:w="4237" w:type="dxa"/>
            <w:tcBorders>
              <w:top w:val="nil"/>
              <w:left w:val="nil"/>
              <w:bottom w:val="single" w:sz="4" w:space="0" w:color="auto"/>
              <w:right w:val="single" w:sz="4" w:space="0" w:color="auto"/>
            </w:tcBorders>
            <w:shd w:val="clear" w:color="000000" w:fill="FFFFFF"/>
            <w:vAlign w:val="center"/>
            <w:hideMark/>
          </w:tcPr>
          <w:p w14:paraId="5B8B0E92" w14:textId="77777777" w:rsidR="00210980" w:rsidRPr="00210980" w:rsidRDefault="00210980" w:rsidP="00210980">
            <w:pPr>
              <w:spacing w:after="0" w:line="240" w:lineRule="auto"/>
              <w:jc w:val="center"/>
              <w:rPr>
                <w:lang w:val="es-DO"/>
              </w:rPr>
            </w:pPr>
            <w:r w:rsidRPr="00210980">
              <w:rPr>
                <w:lang w:val="es-DO"/>
              </w:rPr>
              <w:t>1</w:t>
            </w:r>
          </w:p>
        </w:tc>
      </w:tr>
      <w:tr w:rsidR="00210980" w:rsidRPr="00210980" w14:paraId="024AEAD6" w14:textId="77777777" w:rsidTr="00CF34B7">
        <w:trPr>
          <w:trHeight w:val="315"/>
          <w:jc w:val="center"/>
        </w:trPr>
        <w:tc>
          <w:tcPr>
            <w:tcW w:w="3408" w:type="dxa"/>
            <w:tcBorders>
              <w:top w:val="nil"/>
              <w:left w:val="single" w:sz="4" w:space="0" w:color="auto"/>
              <w:bottom w:val="single" w:sz="4" w:space="0" w:color="auto"/>
              <w:right w:val="single" w:sz="4" w:space="0" w:color="auto"/>
            </w:tcBorders>
            <w:shd w:val="clear" w:color="000000" w:fill="FFFFFF"/>
            <w:vAlign w:val="center"/>
            <w:hideMark/>
          </w:tcPr>
          <w:p w14:paraId="1C19C053" w14:textId="77777777" w:rsidR="00210980" w:rsidRPr="00210980" w:rsidRDefault="00210980" w:rsidP="00CF34B7">
            <w:pPr>
              <w:spacing w:after="0" w:line="240" w:lineRule="auto"/>
              <w:rPr>
                <w:lang w:val="es-DO"/>
              </w:rPr>
            </w:pPr>
            <w:r w:rsidRPr="00210980">
              <w:rPr>
                <w:lang w:val="es-DO"/>
              </w:rPr>
              <w:t>Dirección de Finanzas</w:t>
            </w:r>
          </w:p>
        </w:tc>
        <w:tc>
          <w:tcPr>
            <w:tcW w:w="4237" w:type="dxa"/>
            <w:tcBorders>
              <w:top w:val="nil"/>
              <w:left w:val="nil"/>
              <w:bottom w:val="single" w:sz="4" w:space="0" w:color="auto"/>
              <w:right w:val="single" w:sz="4" w:space="0" w:color="auto"/>
            </w:tcBorders>
            <w:shd w:val="clear" w:color="000000" w:fill="FFFFFF"/>
            <w:vAlign w:val="center"/>
            <w:hideMark/>
          </w:tcPr>
          <w:p w14:paraId="22F3E953" w14:textId="77777777" w:rsidR="00210980" w:rsidRPr="00210980" w:rsidRDefault="00210980" w:rsidP="00210980">
            <w:pPr>
              <w:spacing w:after="0" w:line="240" w:lineRule="auto"/>
              <w:jc w:val="center"/>
              <w:rPr>
                <w:lang w:val="es-DO"/>
              </w:rPr>
            </w:pPr>
            <w:r w:rsidRPr="00210980">
              <w:rPr>
                <w:lang w:val="es-DO"/>
              </w:rPr>
              <w:t>5</w:t>
            </w:r>
          </w:p>
        </w:tc>
      </w:tr>
      <w:tr w:rsidR="00210980" w:rsidRPr="00210980" w14:paraId="58A90A4F" w14:textId="77777777" w:rsidTr="00CF34B7">
        <w:trPr>
          <w:trHeight w:val="315"/>
          <w:jc w:val="center"/>
        </w:trPr>
        <w:tc>
          <w:tcPr>
            <w:tcW w:w="3408" w:type="dxa"/>
            <w:tcBorders>
              <w:top w:val="nil"/>
              <w:left w:val="single" w:sz="4" w:space="0" w:color="auto"/>
              <w:bottom w:val="single" w:sz="4" w:space="0" w:color="auto"/>
              <w:right w:val="single" w:sz="4" w:space="0" w:color="auto"/>
            </w:tcBorders>
            <w:shd w:val="clear" w:color="000000" w:fill="FFFFFF"/>
            <w:vAlign w:val="center"/>
            <w:hideMark/>
          </w:tcPr>
          <w:p w14:paraId="0F1FCF20" w14:textId="77777777" w:rsidR="00210980" w:rsidRPr="00210980" w:rsidRDefault="00210980" w:rsidP="00CF34B7">
            <w:pPr>
              <w:spacing w:after="0" w:line="240" w:lineRule="auto"/>
              <w:rPr>
                <w:lang w:val="es-DO"/>
              </w:rPr>
            </w:pPr>
            <w:r w:rsidRPr="00210980">
              <w:rPr>
                <w:lang w:val="es-DO"/>
              </w:rPr>
              <w:t>Fiscalización Externa</w:t>
            </w:r>
          </w:p>
        </w:tc>
        <w:tc>
          <w:tcPr>
            <w:tcW w:w="4237" w:type="dxa"/>
            <w:tcBorders>
              <w:top w:val="nil"/>
              <w:left w:val="nil"/>
              <w:bottom w:val="single" w:sz="4" w:space="0" w:color="auto"/>
              <w:right w:val="single" w:sz="4" w:space="0" w:color="auto"/>
            </w:tcBorders>
            <w:shd w:val="clear" w:color="000000" w:fill="FFFFFF"/>
            <w:vAlign w:val="center"/>
            <w:hideMark/>
          </w:tcPr>
          <w:p w14:paraId="5259C360" w14:textId="77777777" w:rsidR="00210980" w:rsidRPr="00210980" w:rsidRDefault="00210980" w:rsidP="00210980">
            <w:pPr>
              <w:spacing w:after="0" w:line="240" w:lineRule="auto"/>
              <w:jc w:val="center"/>
              <w:rPr>
                <w:lang w:val="es-DO"/>
              </w:rPr>
            </w:pPr>
            <w:r w:rsidRPr="00210980">
              <w:rPr>
                <w:lang w:val="es-DO"/>
              </w:rPr>
              <w:t>15</w:t>
            </w:r>
          </w:p>
        </w:tc>
      </w:tr>
      <w:tr w:rsidR="00210980" w:rsidRPr="00210980" w14:paraId="67AA0FC8" w14:textId="77777777" w:rsidTr="00CF34B7">
        <w:trPr>
          <w:trHeight w:val="315"/>
          <w:jc w:val="center"/>
        </w:trPr>
        <w:tc>
          <w:tcPr>
            <w:tcW w:w="3408" w:type="dxa"/>
            <w:tcBorders>
              <w:top w:val="nil"/>
              <w:left w:val="single" w:sz="4" w:space="0" w:color="auto"/>
              <w:bottom w:val="single" w:sz="4" w:space="0" w:color="auto"/>
              <w:right w:val="single" w:sz="4" w:space="0" w:color="auto"/>
            </w:tcBorders>
            <w:shd w:val="clear" w:color="000000" w:fill="FFFFFF"/>
            <w:vAlign w:val="center"/>
            <w:hideMark/>
          </w:tcPr>
          <w:p w14:paraId="67FD6558" w14:textId="77777777" w:rsidR="00210980" w:rsidRPr="00210980" w:rsidRDefault="00210980" w:rsidP="00CF34B7">
            <w:pPr>
              <w:spacing w:after="0" w:line="240" w:lineRule="auto"/>
              <w:rPr>
                <w:lang w:val="es-DO"/>
              </w:rPr>
            </w:pPr>
            <w:r w:rsidRPr="00210980">
              <w:rPr>
                <w:lang w:val="es-DO"/>
              </w:rPr>
              <w:t>Fiscalización Interna</w:t>
            </w:r>
          </w:p>
        </w:tc>
        <w:tc>
          <w:tcPr>
            <w:tcW w:w="4237" w:type="dxa"/>
            <w:tcBorders>
              <w:top w:val="nil"/>
              <w:left w:val="nil"/>
              <w:bottom w:val="single" w:sz="4" w:space="0" w:color="auto"/>
              <w:right w:val="single" w:sz="4" w:space="0" w:color="auto"/>
            </w:tcBorders>
            <w:shd w:val="clear" w:color="000000" w:fill="FFFFFF"/>
            <w:vAlign w:val="center"/>
            <w:hideMark/>
          </w:tcPr>
          <w:p w14:paraId="7F25C957" w14:textId="77777777" w:rsidR="00210980" w:rsidRPr="00210980" w:rsidRDefault="00210980" w:rsidP="00210980">
            <w:pPr>
              <w:spacing w:after="0" w:line="240" w:lineRule="auto"/>
              <w:jc w:val="center"/>
              <w:rPr>
                <w:lang w:val="es-DO"/>
              </w:rPr>
            </w:pPr>
            <w:r w:rsidRPr="00210980">
              <w:rPr>
                <w:lang w:val="es-DO"/>
              </w:rPr>
              <w:t>1</w:t>
            </w:r>
          </w:p>
        </w:tc>
      </w:tr>
      <w:tr w:rsidR="00210980" w:rsidRPr="00210980" w14:paraId="4B8E5048" w14:textId="77777777" w:rsidTr="00CF34B7">
        <w:trPr>
          <w:trHeight w:val="315"/>
          <w:jc w:val="center"/>
        </w:trPr>
        <w:tc>
          <w:tcPr>
            <w:tcW w:w="3408" w:type="dxa"/>
            <w:tcBorders>
              <w:top w:val="nil"/>
              <w:left w:val="single" w:sz="4" w:space="0" w:color="auto"/>
              <w:bottom w:val="single" w:sz="4" w:space="0" w:color="auto"/>
              <w:right w:val="single" w:sz="4" w:space="0" w:color="auto"/>
            </w:tcBorders>
            <w:shd w:val="clear" w:color="000000" w:fill="FFFFFF"/>
            <w:vAlign w:val="center"/>
            <w:hideMark/>
          </w:tcPr>
          <w:p w14:paraId="022C4B32" w14:textId="77777777" w:rsidR="00210980" w:rsidRPr="00210980" w:rsidRDefault="00210980" w:rsidP="00CF34B7">
            <w:pPr>
              <w:spacing w:after="0" w:line="240" w:lineRule="auto"/>
              <w:rPr>
                <w:lang w:val="es-DO"/>
              </w:rPr>
            </w:pPr>
            <w:r w:rsidRPr="00210980">
              <w:rPr>
                <w:lang w:val="es-DO"/>
              </w:rPr>
              <w:t>GNCC</w:t>
            </w:r>
          </w:p>
        </w:tc>
        <w:tc>
          <w:tcPr>
            <w:tcW w:w="4237" w:type="dxa"/>
            <w:tcBorders>
              <w:top w:val="nil"/>
              <w:left w:val="nil"/>
              <w:bottom w:val="single" w:sz="4" w:space="0" w:color="auto"/>
              <w:right w:val="single" w:sz="4" w:space="0" w:color="auto"/>
            </w:tcBorders>
            <w:shd w:val="clear" w:color="000000" w:fill="FFFFFF"/>
            <w:vAlign w:val="center"/>
            <w:hideMark/>
          </w:tcPr>
          <w:p w14:paraId="784D60FA" w14:textId="77777777" w:rsidR="00210980" w:rsidRPr="00210980" w:rsidRDefault="00210980" w:rsidP="00210980">
            <w:pPr>
              <w:spacing w:after="0" w:line="240" w:lineRule="auto"/>
              <w:jc w:val="center"/>
              <w:rPr>
                <w:lang w:val="es-DO"/>
              </w:rPr>
            </w:pPr>
            <w:r w:rsidRPr="00210980">
              <w:rPr>
                <w:lang w:val="es-DO"/>
              </w:rPr>
              <w:t>2</w:t>
            </w:r>
          </w:p>
        </w:tc>
      </w:tr>
      <w:tr w:rsidR="00210980" w:rsidRPr="00210980" w14:paraId="1B8068E8" w14:textId="77777777" w:rsidTr="00CF34B7">
        <w:trPr>
          <w:trHeight w:val="315"/>
          <w:jc w:val="center"/>
        </w:trPr>
        <w:tc>
          <w:tcPr>
            <w:tcW w:w="3408" w:type="dxa"/>
            <w:tcBorders>
              <w:top w:val="nil"/>
              <w:left w:val="single" w:sz="4" w:space="0" w:color="auto"/>
              <w:bottom w:val="single" w:sz="4" w:space="0" w:color="auto"/>
              <w:right w:val="single" w:sz="4" w:space="0" w:color="auto"/>
            </w:tcBorders>
            <w:shd w:val="clear" w:color="000000" w:fill="FFFFFF"/>
            <w:vAlign w:val="center"/>
            <w:hideMark/>
          </w:tcPr>
          <w:p w14:paraId="2DAAB57F" w14:textId="77777777" w:rsidR="00210980" w:rsidRPr="00210980" w:rsidRDefault="00210980" w:rsidP="00CF34B7">
            <w:pPr>
              <w:spacing w:after="0" w:line="240" w:lineRule="auto"/>
              <w:rPr>
                <w:lang w:val="es-DO"/>
              </w:rPr>
            </w:pPr>
            <w:r w:rsidRPr="00210980">
              <w:rPr>
                <w:lang w:val="es-DO"/>
              </w:rPr>
              <w:t>Dirección Jurídica</w:t>
            </w:r>
          </w:p>
        </w:tc>
        <w:tc>
          <w:tcPr>
            <w:tcW w:w="4237" w:type="dxa"/>
            <w:tcBorders>
              <w:top w:val="nil"/>
              <w:left w:val="nil"/>
              <w:bottom w:val="single" w:sz="4" w:space="0" w:color="auto"/>
              <w:right w:val="single" w:sz="4" w:space="0" w:color="auto"/>
            </w:tcBorders>
            <w:shd w:val="clear" w:color="000000" w:fill="FFFFFF"/>
            <w:vAlign w:val="center"/>
            <w:hideMark/>
          </w:tcPr>
          <w:p w14:paraId="09018CBA" w14:textId="77777777" w:rsidR="00210980" w:rsidRPr="00210980" w:rsidRDefault="00210980" w:rsidP="00210980">
            <w:pPr>
              <w:spacing w:after="0" w:line="240" w:lineRule="auto"/>
              <w:jc w:val="center"/>
              <w:rPr>
                <w:lang w:val="es-DO"/>
              </w:rPr>
            </w:pPr>
            <w:r w:rsidRPr="00210980">
              <w:rPr>
                <w:lang w:val="es-DO"/>
              </w:rPr>
              <w:t>5</w:t>
            </w:r>
          </w:p>
        </w:tc>
      </w:tr>
      <w:tr w:rsidR="00210980" w:rsidRPr="00210980" w14:paraId="3EE31635" w14:textId="77777777" w:rsidTr="00CF34B7">
        <w:trPr>
          <w:trHeight w:val="315"/>
          <w:jc w:val="center"/>
        </w:trPr>
        <w:tc>
          <w:tcPr>
            <w:tcW w:w="3408" w:type="dxa"/>
            <w:tcBorders>
              <w:top w:val="nil"/>
              <w:left w:val="single" w:sz="4" w:space="0" w:color="auto"/>
              <w:bottom w:val="single" w:sz="4" w:space="0" w:color="auto"/>
              <w:right w:val="single" w:sz="4" w:space="0" w:color="auto"/>
            </w:tcBorders>
            <w:shd w:val="clear" w:color="000000" w:fill="FFFFFF"/>
            <w:vAlign w:val="center"/>
            <w:hideMark/>
          </w:tcPr>
          <w:p w14:paraId="28453BA3" w14:textId="77777777" w:rsidR="00210980" w:rsidRPr="00210980" w:rsidRDefault="00210980" w:rsidP="00CF34B7">
            <w:pPr>
              <w:spacing w:after="0" w:line="240" w:lineRule="auto"/>
              <w:rPr>
                <w:lang w:val="es-DO"/>
              </w:rPr>
            </w:pPr>
            <w:r w:rsidRPr="00210980">
              <w:rPr>
                <w:lang w:val="es-DO"/>
              </w:rPr>
              <w:t>OAI</w:t>
            </w:r>
          </w:p>
        </w:tc>
        <w:tc>
          <w:tcPr>
            <w:tcW w:w="4237" w:type="dxa"/>
            <w:tcBorders>
              <w:top w:val="nil"/>
              <w:left w:val="nil"/>
              <w:bottom w:val="single" w:sz="4" w:space="0" w:color="auto"/>
              <w:right w:val="single" w:sz="4" w:space="0" w:color="auto"/>
            </w:tcBorders>
            <w:shd w:val="clear" w:color="000000" w:fill="FFFFFF"/>
            <w:vAlign w:val="center"/>
            <w:hideMark/>
          </w:tcPr>
          <w:p w14:paraId="030DAE44" w14:textId="77777777" w:rsidR="00210980" w:rsidRPr="00210980" w:rsidRDefault="00210980" w:rsidP="00210980">
            <w:pPr>
              <w:spacing w:after="0" w:line="240" w:lineRule="auto"/>
              <w:jc w:val="center"/>
              <w:rPr>
                <w:lang w:val="es-DO"/>
              </w:rPr>
            </w:pPr>
            <w:r w:rsidRPr="00210980">
              <w:rPr>
                <w:lang w:val="es-DO"/>
              </w:rPr>
              <w:t>1</w:t>
            </w:r>
          </w:p>
        </w:tc>
      </w:tr>
      <w:tr w:rsidR="00210980" w:rsidRPr="00210980" w14:paraId="0DA08C0D" w14:textId="77777777" w:rsidTr="00CF34B7">
        <w:trPr>
          <w:trHeight w:val="315"/>
          <w:jc w:val="center"/>
        </w:trPr>
        <w:tc>
          <w:tcPr>
            <w:tcW w:w="3408" w:type="dxa"/>
            <w:tcBorders>
              <w:top w:val="nil"/>
              <w:left w:val="single" w:sz="4" w:space="0" w:color="auto"/>
              <w:bottom w:val="single" w:sz="4" w:space="0" w:color="auto"/>
              <w:right w:val="single" w:sz="4" w:space="0" w:color="auto"/>
            </w:tcBorders>
            <w:shd w:val="clear" w:color="000000" w:fill="FFFFFF"/>
            <w:vAlign w:val="center"/>
            <w:hideMark/>
          </w:tcPr>
          <w:p w14:paraId="28D7CF3E" w14:textId="77777777" w:rsidR="00210980" w:rsidRPr="00210980" w:rsidRDefault="00210980" w:rsidP="00CF34B7">
            <w:pPr>
              <w:spacing w:after="0" w:line="240" w:lineRule="auto"/>
              <w:rPr>
                <w:lang w:val="es-DO"/>
              </w:rPr>
            </w:pPr>
            <w:r w:rsidRPr="00210980">
              <w:rPr>
                <w:lang w:val="es-DO"/>
              </w:rPr>
              <w:t>PYD</w:t>
            </w:r>
          </w:p>
        </w:tc>
        <w:tc>
          <w:tcPr>
            <w:tcW w:w="4237" w:type="dxa"/>
            <w:tcBorders>
              <w:top w:val="nil"/>
              <w:left w:val="nil"/>
              <w:bottom w:val="single" w:sz="4" w:space="0" w:color="auto"/>
              <w:right w:val="single" w:sz="4" w:space="0" w:color="auto"/>
            </w:tcBorders>
            <w:shd w:val="clear" w:color="000000" w:fill="FFFFFF"/>
            <w:vAlign w:val="center"/>
            <w:hideMark/>
          </w:tcPr>
          <w:p w14:paraId="7A363BC9" w14:textId="77777777" w:rsidR="00210980" w:rsidRPr="00210980" w:rsidRDefault="00210980" w:rsidP="00210980">
            <w:pPr>
              <w:spacing w:after="0" w:line="240" w:lineRule="auto"/>
              <w:jc w:val="center"/>
              <w:rPr>
                <w:lang w:val="es-DO"/>
              </w:rPr>
            </w:pPr>
            <w:r w:rsidRPr="00210980">
              <w:rPr>
                <w:lang w:val="es-DO"/>
              </w:rPr>
              <w:t>2</w:t>
            </w:r>
          </w:p>
        </w:tc>
      </w:tr>
      <w:tr w:rsidR="00210980" w:rsidRPr="00210980" w14:paraId="6B4F489D" w14:textId="77777777" w:rsidTr="00CF34B7">
        <w:trPr>
          <w:trHeight w:val="315"/>
          <w:jc w:val="center"/>
        </w:trPr>
        <w:tc>
          <w:tcPr>
            <w:tcW w:w="3408" w:type="dxa"/>
            <w:tcBorders>
              <w:top w:val="nil"/>
              <w:left w:val="single" w:sz="4" w:space="0" w:color="auto"/>
              <w:bottom w:val="single" w:sz="4" w:space="0" w:color="auto"/>
              <w:right w:val="single" w:sz="4" w:space="0" w:color="auto"/>
            </w:tcBorders>
            <w:shd w:val="clear" w:color="000000" w:fill="FFFFFF"/>
            <w:vAlign w:val="center"/>
            <w:hideMark/>
          </w:tcPr>
          <w:p w14:paraId="63299647" w14:textId="77777777" w:rsidR="00210980" w:rsidRPr="00210980" w:rsidRDefault="00210980" w:rsidP="00CF34B7">
            <w:pPr>
              <w:spacing w:after="0" w:line="240" w:lineRule="auto"/>
              <w:rPr>
                <w:lang w:val="es-DO"/>
              </w:rPr>
            </w:pPr>
            <w:r w:rsidRPr="00210980">
              <w:rPr>
                <w:lang w:val="es-DO"/>
              </w:rPr>
              <w:t>RRHH</w:t>
            </w:r>
          </w:p>
        </w:tc>
        <w:tc>
          <w:tcPr>
            <w:tcW w:w="4237" w:type="dxa"/>
            <w:tcBorders>
              <w:top w:val="nil"/>
              <w:left w:val="nil"/>
              <w:bottom w:val="single" w:sz="4" w:space="0" w:color="auto"/>
              <w:right w:val="single" w:sz="4" w:space="0" w:color="auto"/>
            </w:tcBorders>
            <w:shd w:val="clear" w:color="000000" w:fill="FFFFFF"/>
            <w:vAlign w:val="center"/>
            <w:hideMark/>
          </w:tcPr>
          <w:p w14:paraId="4D770D8A" w14:textId="77777777" w:rsidR="00210980" w:rsidRPr="00210980" w:rsidRDefault="00210980" w:rsidP="00210980">
            <w:pPr>
              <w:spacing w:after="0" w:line="240" w:lineRule="auto"/>
              <w:jc w:val="center"/>
              <w:rPr>
                <w:lang w:val="es-DO"/>
              </w:rPr>
            </w:pPr>
            <w:r w:rsidRPr="00210980">
              <w:rPr>
                <w:lang w:val="es-DO"/>
              </w:rPr>
              <w:t>3</w:t>
            </w:r>
          </w:p>
        </w:tc>
      </w:tr>
      <w:tr w:rsidR="00210980" w:rsidRPr="00210980" w14:paraId="631EFD25" w14:textId="77777777" w:rsidTr="00CF34B7">
        <w:trPr>
          <w:trHeight w:val="315"/>
          <w:jc w:val="center"/>
        </w:trPr>
        <w:tc>
          <w:tcPr>
            <w:tcW w:w="3408" w:type="dxa"/>
            <w:tcBorders>
              <w:top w:val="nil"/>
              <w:left w:val="single" w:sz="4" w:space="0" w:color="auto"/>
              <w:bottom w:val="single" w:sz="4" w:space="0" w:color="auto"/>
              <w:right w:val="single" w:sz="4" w:space="0" w:color="auto"/>
            </w:tcBorders>
            <w:shd w:val="clear" w:color="000000" w:fill="FFFFFF"/>
            <w:vAlign w:val="center"/>
            <w:hideMark/>
          </w:tcPr>
          <w:p w14:paraId="5BA194F0" w14:textId="77777777" w:rsidR="00210980" w:rsidRPr="00210980" w:rsidRDefault="00210980" w:rsidP="00CF34B7">
            <w:pPr>
              <w:spacing w:after="0" w:line="240" w:lineRule="auto"/>
              <w:rPr>
                <w:lang w:val="es-DO"/>
              </w:rPr>
            </w:pPr>
            <w:r w:rsidRPr="00210980">
              <w:rPr>
                <w:lang w:val="es-DO"/>
              </w:rPr>
              <w:t>Dirección de Servicios</w:t>
            </w:r>
          </w:p>
        </w:tc>
        <w:tc>
          <w:tcPr>
            <w:tcW w:w="4237" w:type="dxa"/>
            <w:tcBorders>
              <w:top w:val="nil"/>
              <w:left w:val="nil"/>
              <w:bottom w:val="single" w:sz="4" w:space="0" w:color="auto"/>
              <w:right w:val="single" w:sz="4" w:space="0" w:color="auto"/>
            </w:tcBorders>
            <w:shd w:val="clear" w:color="000000" w:fill="FFFFFF"/>
            <w:vAlign w:val="center"/>
            <w:hideMark/>
          </w:tcPr>
          <w:p w14:paraId="60DB9639" w14:textId="77777777" w:rsidR="00210980" w:rsidRPr="00210980" w:rsidRDefault="00210980" w:rsidP="00210980">
            <w:pPr>
              <w:spacing w:after="0" w:line="240" w:lineRule="auto"/>
              <w:jc w:val="center"/>
              <w:rPr>
                <w:lang w:val="es-DO"/>
              </w:rPr>
            </w:pPr>
            <w:r w:rsidRPr="00210980">
              <w:rPr>
                <w:lang w:val="es-DO"/>
              </w:rPr>
              <w:t>8</w:t>
            </w:r>
          </w:p>
        </w:tc>
      </w:tr>
      <w:tr w:rsidR="00210980" w:rsidRPr="00210980" w14:paraId="42FC4051" w14:textId="77777777" w:rsidTr="00CF34B7">
        <w:trPr>
          <w:trHeight w:val="315"/>
          <w:jc w:val="center"/>
        </w:trPr>
        <w:tc>
          <w:tcPr>
            <w:tcW w:w="3408" w:type="dxa"/>
            <w:tcBorders>
              <w:top w:val="nil"/>
              <w:left w:val="single" w:sz="4" w:space="0" w:color="auto"/>
              <w:bottom w:val="single" w:sz="4" w:space="0" w:color="auto"/>
              <w:right w:val="single" w:sz="4" w:space="0" w:color="auto"/>
            </w:tcBorders>
            <w:shd w:val="clear" w:color="000000" w:fill="FFFFFF"/>
            <w:vAlign w:val="center"/>
            <w:hideMark/>
          </w:tcPr>
          <w:p w14:paraId="36E2589F" w14:textId="77777777" w:rsidR="00210980" w:rsidRPr="00210980" w:rsidRDefault="00210980" w:rsidP="00CF34B7">
            <w:pPr>
              <w:spacing w:after="0" w:line="240" w:lineRule="auto"/>
              <w:rPr>
                <w:lang w:val="es-DO"/>
              </w:rPr>
            </w:pPr>
            <w:r w:rsidRPr="00210980">
              <w:rPr>
                <w:lang w:val="es-DO"/>
              </w:rPr>
              <w:t>Dirección TIC</w:t>
            </w:r>
          </w:p>
        </w:tc>
        <w:tc>
          <w:tcPr>
            <w:tcW w:w="4237" w:type="dxa"/>
            <w:tcBorders>
              <w:top w:val="nil"/>
              <w:left w:val="nil"/>
              <w:bottom w:val="single" w:sz="4" w:space="0" w:color="auto"/>
              <w:right w:val="single" w:sz="4" w:space="0" w:color="auto"/>
            </w:tcBorders>
            <w:shd w:val="clear" w:color="000000" w:fill="FFFFFF"/>
            <w:vAlign w:val="center"/>
            <w:hideMark/>
          </w:tcPr>
          <w:p w14:paraId="246E9FFC" w14:textId="77777777" w:rsidR="00210980" w:rsidRPr="00210980" w:rsidRDefault="00210980" w:rsidP="00210980">
            <w:pPr>
              <w:spacing w:after="0" w:line="240" w:lineRule="auto"/>
              <w:jc w:val="center"/>
              <w:rPr>
                <w:lang w:val="es-DO"/>
              </w:rPr>
            </w:pPr>
            <w:r w:rsidRPr="00210980">
              <w:rPr>
                <w:lang w:val="es-DO"/>
              </w:rPr>
              <w:t>15</w:t>
            </w:r>
          </w:p>
        </w:tc>
      </w:tr>
      <w:tr w:rsidR="00210980" w:rsidRPr="00210980" w14:paraId="626B5EBF" w14:textId="77777777" w:rsidTr="00CF34B7">
        <w:trPr>
          <w:trHeight w:val="315"/>
          <w:jc w:val="center"/>
        </w:trPr>
        <w:tc>
          <w:tcPr>
            <w:tcW w:w="3408" w:type="dxa"/>
            <w:tcBorders>
              <w:top w:val="nil"/>
              <w:left w:val="single" w:sz="4" w:space="0" w:color="auto"/>
              <w:bottom w:val="single" w:sz="4" w:space="0" w:color="auto"/>
              <w:right w:val="single" w:sz="4" w:space="0" w:color="auto"/>
            </w:tcBorders>
            <w:shd w:val="clear" w:color="000000" w:fill="FFFFFF"/>
            <w:vAlign w:val="center"/>
            <w:hideMark/>
          </w:tcPr>
          <w:p w14:paraId="623C3EFD" w14:textId="0DBB6C07" w:rsidR="00210980" w:rsidRPr="00CF34B7" w:rsidRDefault="00CF34B7" w:rsidP="00210980">
            <w:pPr>
              <w:spacing w:after="0" w:line="240" w:lineRule="auto"/>
              <w:jc w:val="center"/>
              <w:rPr>
                <w:b/>
                <w:bCs/>
                <w:lang w:val="es-DO"/>
              </w:rPr>
            </w:pPr>
            <w:proofErr w:type="gramStart"/>
            <w:r w:rsidRPr="00CF34B7">
              <w:rPr>
                <w:b/>
                <w:bCs/>
                <w:lang w:val="es-DO"/>
              </w:rPr>
              <w:t>TOTAL</w:t>
            </w:r>
            <w:proofErr w:type="gramEnd"/>
            <w:r w:rsidRPr="00CF34B7">
              <w:rPr>
                <w:b/>
                <w:bCs/>
                <w:lang w:val="es-DO"/>
              </w:rPr>
              <w:t xml:space="preserve"> EVALUADOS</w:t>
            </w:r>
          </w:p>
        </w:tc>
        <w:tc>
          <w:tcPr>
            <w:tcW w:w="4237" w:type="dxa"/>
            <w:tcBorders>
              <w:top w:val="nil"/>
              <w:left w:val="nil"/>
              <w:bottom w:val="single" w:sz="4" w:space="0" w:color="auto"/>
              <w:right w:val="single" w:sz="4" w:space="0" w:color="auto"/>
            </w:tcBorders>
            <w:shd w:val="clear" w:color="000000" w:fill="FFFFFF"/>
            <w:vAlign w:val="center"/>
            <w:hideMark/>
          </w:tcPr>
          <w:p w14:paraId="3C494867" w14:textId="378C59AA" w:rsidR="00210980" w:rsidRPr="00CF34B7" w:rsidRDefault="00CF34B7" w:rsidP="00210980">
            <w:pPr>
              <w:spacing w:after="0" w:line="240" w:lineRule="auto"/>
              <w:jc w:val="center"/>
              <w:rPr>
                <w:b/>
                <w:bCs/>
                <w:lang w:val="es-DO"/>
              </w:rPr>
            </w:pPr>
            <w:r w:rsidRPr="00CF34B7">
              <w:rPr>
                <w:b/>
                <w:bCs/>
                <w:lang w:val="es-DO"/>
              </w:rPr>
              <w:t>69</w:t>
            </w:r>
          </w:p>
        </w:tc>
      </w:tr>
    </w:tbl>
    <w:p w14:paraId="555DCD89" w14:textId="25E7EB94" w:rsidR="00690EA0" w:rsidRPr="006D7301" w:rsidRDefault="00690EA0" w:rsidP="00690EA0">
      <w:pPr>
        <w:pStyle w:val="Heading1"/>
        <w:jc w:val="left"/>
        <w:rPr>
          <w:color w:val="7B7B7B" w:themeColor="accent3" w:themeShade="BF"/>
          <w:sz w:val="18"/>
          <w:szCs w:val="20"/>
          <w:lang w:val="es-ES"/>
        </w:rPr>
      </w:pPr>
      <w:bookmarkStart w:id="161" w:name="_Toc184981198"/>
      <w:bookmarkStart w:id="162" w:name="_Toc185245102"/>
      <w:r w:rsidRPr="00690EA0">
        <w:rPr>
          <w:color w:val="7B7B7B" w:themeColor="accent3" w:themeShade="BF"/>
          <w:sz w:val="18"/>
          <w:szCs w:val="20"/>
          <w:lang w:val="es-DO"/>
        </w:rPr>
        <w:t xml:space="preserve">Tabla </w:t>
      </w:r>
      <w:r w:rsidR="006D7301">
        <w:rPr>
          <w:color w:val="7B7B7B" w:themeColor="accent3" w:themeShade="BF"/>
          <w:sz w:val="18"/>
          <w:szCs w:val="20"/>
          <w:lang w:val="es-DO"/>
        </w:rPr>
        <w:t>2</w:t>
      </w:r>
      <w:r w:rsidR="00C50277">
        <w:rPr>
          <w:color w:val="7B7B7B" w:themeColor="accent3" w:themeShade="BF"/>
          <w:sz w:val="18"/>
          <w:szCs w:val="20"/>
          <w:lang w:val="es-DO"/>
        </w:rPr>
        <w:t>3</w:t>
      </w:r>
      <w:r w:rsidRPr="00690EA0">
        <w:rPr>
          <w:color w:val="7B7B7B" w:themeColor="accent3" w:themeShade="BF"/>
          <w:sz w:val="18"/>
          <w:szCs w:val="20"/>
          <w:lang w:val="es-DO"/>
        </w:rPr>
        <w:t xml:space="preserve">: </w:t>
      </w:r>
      <w:bookmarkEnd w:id="161"/>
      <w:r w:rsidR="006D7301" w:rsidRPr="006D7301">
        <w:rPr>
          <w:rStyle w:val="mw-page-title-main"/>
          <w:color w:val="7B7B7B" w:themeColor="accent3" w:themeShade="BF"/>
          <w:sz w:val="18"/>
          <w:szCs w:val="20"/>
          <w:lang w:val="es-ES"/>
        </w:rPr>
        <w:t>Evaluación de Liderazgo p</w:t>
      </w:r>
      <w:r w:rsidR="006D7301">
        <w:rPr>
          <w:rStyle w:val="mw-page-title-main"/>
          <w:color w:val="7B7B7B" w:themeColor="accent3" w:themeShade="BF"/>
          <w:sz w:val="18"/>
          <w:szCs w:val="20"/>
          <w:lang w:val="es-ES"/>
        </w:rPr>
        <w:t>or supervisor por área.</w:t>
      </w:r>
      <w:bookmarkEnd w:id="162"/>
    </w:p>
    <w:p w14:paraId="4D603D4A" w14:textId="0AA2E939" w:rsidR="002030EE" w:rsidRDefault="002030EE" w:rsidP="002030EE">
      <w:pPr>
        <w:jc w:val="both"/>
        <w:rPr>
          <w:color w:val="FF0000"/>
          <w:lang w:val="es-DO"/>
        </w:rPr>
      </w:pPr>
    </w:p>
    <w:p w14:paraId="77E63762" w14:textId="77777777" w:rsidR="002030EE" w:rsidRPr="00CF34B7" w:rsidRDefault="002030EE" w:rsidP="002030EE">
      <w:pPr>
        <w:pStyle w:val="Heading1"/>
        <w:jc w:val="left"/>
        <w:rPr>
          <w:spacing w:val="0"/>
          <w:sz w:val="24"/>
          <w:szCs w:val="24"/>
          <w:lang w:val="es-DO"/>
        </w:rPr>
      </w:pPr>
      <w:bookmarkStart w:id="163" w:name="_Toc184981199"/>
      <w:bookmarkStart w:id="164" w:name="_Toc185245103"/>
      <w:r w:rsidRPr="00CF34B7">
        <w:rPr>
          <w:spacing w:val="0"/>
          <w:sz w:val="24"/>
          <w:szCs w:val="24"/>
          <w:lang w:val="es-DO"/>
        </w:rPr>
        <w:lastRenderedPageBreak/>
        <w:t>Presentación PEI 2025-2028</w:t>
      </w:r>
      <w:bookmarkEnd w:id="163"/>
      <w:bookmarkEnd w:id="164"/>
    </w:p>
    <w:p w14:paraId="55E79825" w14:textId="77777777" w:rsidR="002030EE" w:rsidRDefault="002030EE" w:rsidP="00D467CA">
      <w:pPr>
        <w:spacing w:line="360" w:lineRule="auto"/>
        <w:jc w:val="both"/>
        <w:rPr>
          <w:lang w:val="es-DO"/>
        </w:rPr>
      </w:pPr>
      <w:r>
        <w:rPr>
          <w:noProof/>
        </w:rPr>
        <w:drawing>
          <wp:anchor distT="0" distB="0" distL="114300" distR="114300" simplePos="0" relativeHeight="251658276" behindDoc="0" locked="0" layoutInCell="1" allowOverlap="1" wp14:anchorId="32BA9B8A" wp14:editId="3BEDD147">
            <wp:simplePos x="0" y="0"/>
            <wp:positionH relativeFrom="column">
              <wp:posOffset>-114300</wp:posOffset>
            </wp:positionH>
            <wp:positionV relativeFrom="paragraph">
              <wp:posOffset>80010</wp:posOffset>
            </wp:positionV>
            <wp:extent cx="2148840" cy="3118485"/>
            <wp:effectExtent l="0" t="0" r="3810" b="5715"/>
            <wp:wrapSquare wrapText="bothSides"/>
            <wp:docPr id="800226462" name="Picture 1" descr="A book with a blue and green cov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ook with a blue and green cover&#10;&#10;Description automatically generated with medium confidence"/>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48840" cy="31184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s-DO"/>
        </w:rPr>
        <w:t>Con el objetivo de dar a conocer nuestros próximos pasos como institución clave en el sistema de seguridad social dominicano, el 22 de noviembre se realizó la presentación de nuestro Plan Estratégico Institucional 2025-2028 el cual refleja la ruta de nuestra visión.</w:t>
      </w:r>
    </w:p>
    <w:p w14:paraId="30C4B2DC" w14:textId="77777777" w:rsidR="002030EE" w:rsidRDefault="002030EE" w:rsidP="00D467CA">
      <w:pPr>
        <w:spacing w:line="360" w:lineRule="auto"/>
        <w:jc w:val="both"/>
        <w:rPr>
          <w:lang w:val="es-DO"/>
        </w:rPr>
      </w:pPr>
      <w:r>
        <w:rPr>
          <w:lang w:val="es-DO"/>
        </w:rPr>
        <w:t>La presentación se llevó a cabo en el Hotel Sheraton, Santo Domingo y de la mano del equipo de KPMG y la Dirección de Planificación y Desarrollo desglosaron el PEI 2025-2028.</w:t>
      </w:r>
    </w:p>
    <w:p w14:paraId="050E7F96" w14:textId="77777777" w:rsidR="002030EE" w:rsidRDefault="002030EE" w:rsidP="00D467CA">
      <w:pPr>
        <w:spacing w:line="360" w:lineRule="auto"/>
        <w:jc w:val="both"/>
        <w:rPr>
          <w:lang w:val="es-DO"/>
        </w:rPr>
      </w:pPr>
      <w:r>
        <w:rPr>
          <w:lang w:val="es-DO"/>
        </w:rPr>
        <w:t>Durante el acto fueron reconocidos los colaboradores con mayor antigüedad en la institución (10, 15 y 20 años). También fueron reconocidos los directores de las diferentes áreas y un reconocimiento especial a nuestra máxima autoridad por su trayectoria impecable, siendo ejemplo de transparencia en todos los procesos que involucra la Tesorería de la Seguridad Social.</w:t>
      </w:r>
    </w:p>
    <w:p w14:paraId="184152EB" w14:textId="77777777" w:rsidR="002030EE" w:rsidRDefault="002030EE" w:rsidP="00D467CA">
      <w:pPr>
        <w:spacing w:line="360" w:lineRule="auto"/>
        <w:jc w:val="both"/>
        <w:rPr>
          <w:lang w:val="es-DO"/>
        </w:rPr>
      </w:pPr>
      <w:r>
        <w:rPr>
          <w:lang w:val="es-DO"/>
        </w:rPr>
        <w:t>La asistencia a este evento fue masiva con un total de 328 colaboradores.</w:t>
      </w:r>
      <w:r>
        <w:rPr>
          <w:lang w:val="es-DO"/>
        </w:rPr>
        <w:br w:type="textWrapping" w:clear="all"/>
      </w:r>
    </w:p>
    <w:p w14:paraId="1D16C868" w14:textId="77777777" w:rsidR="002030EE" w:rsidRPr="00F20655" w:rsidRDefault="002030EE" w:rsidP="00D467CA">
      <w:pPr>
        <w:spacing w:line="360" w:lineRule="auto"/>
        <w:rPr>
          <w:b/>
          <w:bCs/>
          <w:lang w:val="es-DO"/>
        </w:rPr>
      </w:pPr>
      <w:r w:rsidRPr="00F20655">
        <w:rPr>
          <w:b/>
          <w:bCs/>
          <w:lang w:val="es-DO"/>
        </w:rPr>
        <w:t>Compromiso Social</w:t>
      </w:r>
    </w:p>
    <w:p w14:paraId="08DDB5B8" w14:textId="77777777" w:rsidR="002030EE" w:rsidRDefault="002030EE" w:rsidP="00D467CA">
      <w:pPr>
        <w:spacing w:line="360" w:lineRule="auto"/>
        <w:jc w:val="both"/>
        <w:rPr>
          <w:lang w:val="es-DO"/>
        </w:rPr>
      </w:pPr>
      <w:r w:rsidRPr="00EC3D0D">
        <w:rPr>
          <w:lang w:val="es-DO"/>
        </w:rPr>
        <w:t>El compromiso social se</w:t>
      </w:r>
      <w:r>
        <w:rPr>
          <w:lang w:val="es-DO"/>
        </w:rPr>
        <w:t xml:space="preserve"> refiere a forma en que las empresas integran consideraciones sociales y ambientales en sus operaciones, contribuyendo a la mejora en la calidad de vida de las comunidades en las que operan, mejorando la reputación de la empresa y fomentando la retención y motivación de los empleados.</w:t>
      </w:r>
    </w:p>
    <w:p w14:paraId="3C9110C3" w14:textId="77777777" w:rsidR="002030EE" w:rsidRDefault="002030EE" w:rsidP="00D467CA">
      <w:pPr>
        <w:spacing w:line="360" w:lineRule="auto"/>
        <w:jc w:val="both"/>
        <w:rPr>
          <w:lang w:val="es-DO"/>
        </w:rPr>
      </w:pPr>
      <w:r>
        <w:rPr>
          <w:lang w:val="es-DO"/>
        </w:rPr>
        <w:lastRenderedPageBreak/>
        <w:t xml:space="preserve">El compromiso Social para la Tesorería de la Seguridad Social representa un pilar fundamental que se incluye dentro de nuestros valores institucionales, es por esto </w:t>
      </w:r>
      <w:proofErr w:type="gramStart"/>
      <w:r>
        <w:rPr>
          <w:lang w:val="es-DO"/>
        </w:rPr>
        <w:t>que</w:t>
      </w:r>
      <w:proofErr w:type="gramEnd"/>
      <w:r>
        <w:rPr>
          <w:lang w:val="es-DO"/>
        </w:rPr>
        <w:t>, con el objetivo de promover el empoderamiento entre sus colaboradores, la TSS muestra su compromiso social conforme programas de pasantías, voluntariado y proyecto 3R´s.</w:t>
      </w:r>
    </w:p>
    <w:p w14:paraId="243CD62B" w14:textId="77777777" w:rsidR="002030EE" w:rsidRPr="00F20655" w:rsidRDefault="002030EE" w:rsidP="00D467CA">
      <w:pPr>
        <w:spacing w:after="0" w:line="360" w:lineRule="auto"/>
        <w:rPr>
          <w:b/>
          <w:bCs/>
          <w:lang w:val="es-DO"/>
        </w:rPr>
      </w:pPr>
      <w:r w:rsidRPr="00F20655">
        <w:rPr>
          <w:b/>
          <w:bCs/>
          <w:lang w:val="es-DO"/>
        </w:rPr>
        <w:t>Programa de Pasantías</w:t>
      </w:r>
    </w:p>
    <w:p w14:paraId="4CF0F47B" w14:textId="77777777" w:rsidR="002030EE" w:rsidRPr="00F513C9" w:rsidRDefault="002030EE" w:rsidP="006D7301">
      <w:pPr>
        <w:spacing w:after="0" w:line="360" w:lineRule="auto"/>
        <w:rPr>
          <w:sz w:val="12"/>
          <w:szCs w:val="12"/>
          <w:lang w:val="es-DO"/>
        </w:rPr>
      </w:pPr>
    </w:p>
    <w:p w14:paraId="1ED88075" w14:textId="77777777" w:rsidR="00CF34B7" w:rsidRPr="00CF34B7" w:rsidRDefault="002030EE" w:rsidP="00D467CA">
      <w:pPr>
        <w:spacing w:before="240" w:line="360" w:lineRule="auto"/>
        <w:jc w:val="both"/>
        <w:rPr>
          <w:rFonts w:eastAsia="Calibri"/>
          <w:noProof/>
          <w:lang w:val="es-DO"/>
        </w:rPr>
      </w:pPr>
      <w:r w:rsidRPr="00CF34B7">
        <w:rPr>
          <w:rFonts w:eastAsia="Calibri"/>
          <w:noProof/>
          <w:lang w:val="es-DO"/>
        </w:rPr>
        <w:t>Las pasantías son periodos en el que los estudiantes al final de sus años de formación realizan prácticas profesionales durante un tiempo determinado en empresas de distintos sectores, con el objetivo de obtener experiencia en el mundo laboral y poner en práctica los conocimientos adquiridos durante sus años de estudio.</w:t>
      </w:r>
    </w:p>
    <w:p w14:paraId="73174722" w14:textId="181D3FE0" w:rsidR="002030EE" w:rsidRPr="00CF34B7" w:rsidRDefault="002030EE" w:rsidP="00D467CA">
      <w:pPr>
        <w:spacing w:before="240" w:line="360" w:lineRule="auto"/>
        <w:jc w:val="both"/>
        <w:rPr>
          <w:rFonts w:eastAsia="Calibri"/>
          <w:noProof/>
          <w:lang w:val="es-DO"/>
        </w:rPr>
      </w:pPr>
      <w:r w:rsidRPr="00CF34B7">
        <w:rPr>
          <w:rFonts w:eastAsia="Calibri"/>
          <w:noProof/>
          <w:lang w:val="es-DO"/>
        </w:rPr>
        <w:t>Para nosotros el desarrollo de un programa de pasantía, es crucial ya que nos ayudará a transmitir mejor nuestros valores institucionales, propiciando una mejor integración entre nuestros colaboradores y pasante, generando profesionales competitivos, ya que a través de este medio contribuimos al crecimiento y consolidación de sus conocimientos, habilidades, actitudes y conductas, para asegurarnos que desempeñen sus actividades laborales bajo las mejores prácticas posible.</w:t>
      </w:r>
    </w:p>
    <w:p w14:paraId="5F10E221" w14:textId="77777777" w:rsidR="002030EE" w:rsidRPr="00CF34B7" w:rsidRDefault="002030EE" w:rsidP="00D467CA">
      <w:pPr>
        <w:spacing w:before="240" w:line="360" w:lineRule="auto"/>
        <w:jc w:val="both"/>
        <w:rPr>
          <w:rFonts w:eastAsia="Calibri"/>
          <w:noProof/>
          <w:lang w:val="es-DO"/>
        </w:rPr>
      </w:pPr>
      <w:r w:rsidRPr="00CF34B7">
        <w:rPr>
          <w:rFonts w:eastAsia="Calibri"/>
          <w:noProof/>
          <w:lang w:val="es-DO"/>
        </w:rPr>
        <w:t>La Tesorería de la Seguridad Social durante el año 2024, como parte de nuestro aporte a la sociedad, realizamos el acompañamiento de 8 estudiantes en sus pasantías de término de diferentes áreas y Centros Educativos.</w:t>
      </w:r>
    </w:p>
    <w:p w14:paraId="4FCF3171" w14:textId="77777777" w:rsidR="002030EE" w:rsidRPr="00F20655" w:rsidRDefault="002030EE" w:rsidP="00D467CA">
      <w:pPr>
        <w:spacing w:line="360" w:lineRule="auto"/>
        <w:rPr>
          <w:b/>
          <w:bCs/>
          <w:lang w:val="es-DO"/>
        </w:rPr>
      </w:pPr>
      <w:r w:rsidRPr="00F20655">
        <w:rPr>
          <w:b/>
          <w:bCs/>
          <w:lang w:val="es-DO"/>
        </w:rPr>
        <w:t>Jornada de Limpieza de Costas</w:t>
      </w:r>
    </w:p>
    <w:p w14:paraId="5D807BE4" w14:textId="77777777" w:rsidR="002030EE" w:rsidRPr="001E5C11" w:rsidRDefault="002030EE" w:rsidP="00D467CA">
      <w:pPr>
        <w:spacing w:before="240" w:line="360" w:lineRule="auto"/>
        <w:jc w:val="both"/>
        <w:rPr>
          <w:lang w:val="es-DO"/>
        </w:rPr>
      </w:pPr>
      <w:r w:rsidRPr="001E5C11">
        <w:rPr>
          <w:lang w:val="es-DO"/>
        </w:rPr>
        <w:t xml:space="preserve">En el mes de mayo, como parte de nuestra contribución como institución al medio ambiente, realizamos la Jornada de Limpieza </w:t>
      </w:r>
      <w:r w:rsidRPr="001E5C11">
        <w:rPr>
          <w:lang w:val="es-DO"/>
        </w:rPr>
        <w:lastRenderedPageBreak/>
        <w:t xml:space="preserve">de Costas de la mano de la empresa EMSG y la Fundación Vida Azul en la Playa Montesinos, ubicada en el Distrito Nacional. </w:t>
      </w:r>
    </w:p>
    <w:p w14:paraId="251DC880" w14:textId="77777777" w:rsidR="002030EE" w:rsidRDefault="002030EE" w:rsidP="00D467CA">
      <w:pPr>
        <w:spacing w:before="240" w:line="360" w:lineRule="auto"/>
        <w:jc w:val="both"/>
        <w:rPr>
          <w:lang w:val="es-DO"/>
        </w:rPr>
      </w:pPr>
      <w:r w:rsidRPr="001E5C11">
        <w:rPr>
          <w:lang w:val="es-DO"/>
        </w:rPr>
        <w:t xml:space="preserve">En la jornada participaron un aproximado de 50 colaboradores TSS de todas las Direcciones y fueron recolectadas 3,020 </w:t>
      </w:r>
      <w:proofErr w:type="spellStart"/>
      <w:r w:rsidRPr="001E5C11">
        <w:rPr>
          <w:lang w:val="es-DO"/>
        </w:rPr>
        <w:t>lbs</w:t>
      </w:r>
      <w:proofErr w:type="spellEnd"/>
      <w:r w:rsidRPr="001E5C11">
        <w:rPr>
          <w:lang w:val="es-DO"/>
        </w:rPr>
        <w:t xml:space="preserve"> de residuos.</w:t>
      </w:r>
    </w:p>
    <w:tbl>
      <w:tblPr>
        <w:tblW w:w="7615" w:type="dxa"/>
        <w:jc w:val="center"/>
        <w:tblLook w:val="04A0" w:firstRow="1" w:lastRow="0" w:firstColumn="1" w:lastColumn="0" w:noHBand="0" w:noVBand="1"/>
      </w:tblPr>
      <w:tblGrid>
        <w:gridCol w:w="3325"/>
        <w:gridCol w:w="4290"/>
      </w:tblGrid>
      <w:tr w:rsidR="003A6A45" w:rsidRPr="003A6A45" w14:paraId="52BDEBB4" w14:textId="77777777" w:rsidTr="00CF34B7">
        <w:trPr>
          <w:trHeight w:val="315"/>
          <w:tblHeader/>
          <w:jc w:val="center"/>
        </w:trPr>
        <w:tc>
          <w:tcPr>
            <w:tcW w:w="7615" w:type="dxa"/>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2FF485CE" w14:textId="031F3560" w:rsidR="003A6A45" w:rsidRPr="003A6A45" w:rsidRDefault="006D7301" w:rsidP="00D467CA">
            <w:pPr>
              <w:spacing w:after="0" w:line="360" w:lineRule="auto"/>
              <w:jc w:val="center"/>
              <w:rPr>
                <w:rFonts w:eastAsia="Times New Roman"/>
                <w:b/>
                <w:bCs/>
                <w:color w:val="FFFFFF"/>
                <w:spacing w:val="0"/>
              </w:rPr>
            </w:pPr>
            <w:r w:rsidRPr="003A6A45">
              <w:rPr>
                <w:rFonts w:eastAsia="Times New Roman"/>
                <w:b/>
                <w:bCs/>
                <w:color w:val="FFFFFF"/>
                <w:spacing w:val="0"/>
              </w:rPr>
              <w:t>RESULTADOS LIMPIEZA DE COSTAS</w:t>
            </w:r>
          </w:p>
        </w:tc>
      </w:tr>
      <w:tr w:rsidR="003A6A45" w:rsidRPr="003A6A45" w14:paraId="59CC42DF" w14:textId="77777777" w:rsidTr="00CF34B7">
        <w:trPr>
          <w:trHeight w:val="330"/>
          <w:jc w:val="center"/>
        </w:trPr>
        <w:tc>
          <w:tcPr>
            <w:tcW w:w="3325" w:type="dxa"/>
            <w:tcBorders>
              <w:top w:val="nil"/>
              <w:left w:val="single" w:sz="8" w:space="0" w:color="auto"/>
              <w:bottom w:val="single" w:sz="8" w:space="0" w:color="auto"/>
              <w:right w:val="single" w:sz="8" w:space="0" w:color="auto"/>
            </w:tcBorders>
            <w:shd w:val="clear" w:color="auto" w:fill="auto"/>
            <w:vAlign w:val="center"/>
            <w:hideMark/>
          </w:tcPr>
          <w:p w14:paraId="5B083740" w14:textId="77777777" w:rsidR="003A6A45" w:rsidRPr="003A6A45" w:rsidRDefault="003A6A45" w:rsidP="00D467CA">
            <w:pPr>
              <w:spacing w:after="0" w:line="360" w:lineRule="auto"/>
              <w:jc w:val="center"/>
              <w:rPr>
                <w:rFonts w:eastAsia="Times New Roman"/>
                <w:spacing w:val="0"/>
              </w:rPr>
            </w:pPr>
            <w:r w:rsidRPr="003A6A45">
              <w:rPr>
                <w:rFonts w:eastAsia="Times New Roman"/>
                <w:spacing w:val="0"/>
                <w:lang w:val="es-DO"/>
              </w:rPr>
              <w:t>Plástico</w:t>
            </w:r>
          </w:p>
        </w:tc>
        <w:tc>
          <w:tcPr>
            <w:tcW w:w="4290" w:type="dxa"/>
            <w:tcBorders>
              <w:top w:val="nil"/>
              <w:left w:val="nil"/>
              <w:bottom w:val="single" w:sz="8" w:space="0" w:color="auto"/>
              <w:right w:val="single" w:sz="8" w:space="0" w:color="auto"/>
            </w:tcBorders>
            <w:shd w:val="clear" w:color="auto" w:fill="auto"/>
            <w:noWrap/>
            <w:vAlign w:val="center"/>
            <w:hideMark/>
          </w:tcPr>
          <w:p w14:paraId="653C6A70" w14:textId="77777777" w:rsidR="003A6A45" w:rsidRPr="003A6A45" w:rsidRDefault="003A6A45" w:rsidP="00D467CA">
            <w:pPr>
              <w:spacing w:after="0" w:line="360" w:lineRule="auto"/>
              <w:jc w:val="center"/>
              <w:rPr>
                <w:rFonts w:eastAsia="Times New Roman"/>
                <w:spacing w:val="0"/>
              </w:rPr>
            </w:pPr>
            <w:r w:rsidRPr="003A6A45">
              <w:rPr>
                <w:rFonts w:eastAsia="Times New Roman"/>
                <w:spacing w:val="0"/>
                <w:lang w:val="es-DO"/>
              </w:rPr>
              <w:t xml:space="preserve">540 </w:t>
            </w:r>
            <w:proofErr w:type="spellStart"/>
            <w:r w:rsidRPr="003A6A45">
              <w:rPr>
                <w:rFonts w:eastAsia="Times New Roman"/>
                <w:spacing w:val="0"/>
                <w:lang w:val="es-DO"/>
              </w:rPr>
              <w:t>lbs</w:t>
            </w:r>
            <w:proofErr w:type="spellEnd"/>
          </w:p>
        </w:tc>
      </w:tr>
      <w:tr w:rsidR="003A6A45" w:rsidRPr="003A6A45" w14:paraId="3AB34C5C" w14:textId="77777777" w:rsidTr="00CF34B7">
        <w:trPr>
          <w:trHeight w:val="330"/>
          <w:jc w:val="center"/>
        </w:trPr>
        <w:tc>
          <w:tcPr>
            <w:tcW w:w="3325" w:type="dxa"/>
            <w:tcBorders>
              <w:top w:val="nil"/>
              <w:left w:val="single" w:sz="8" w:space="0" w:color="auto"/>
              <w:bottom w:val="single" w:sz="8" w:space="0" w:color="auto"/>
              <w:right w:val="single" w:sz="8" w:space="0" w:color="auto"/>
            </w:tcBorders>
            <w:shd w:val="clear" w:color="auto" w:fill="auto"/>
            <w:vAlign w:val="center"/>
            <w:hideMark/>
          </w:tcPr>
          <w:p w14:paraId="0C2E4C57" w14:textId="77777777" w:rsidR="003A6A45" w:rsidRPr="003A6A45" w:rsidRDefault="003A6A45" w:rsidP="00D467CA">
            <w:pPr>
              <w:spacing w:after="0" w:line="360" w:lineRule="auto"/>
              <w:jc w:val="center"/>
              <w:rPr>
                <w:rFonts w:eastAsia="Times New Roman"/>
                <w:spacing w:val="0"/>
              </w:rPr>
            </w:pPr>
            <w:r w:rsidRPr="003A6A45">
              <w:rPr>
                <w:rFonts w:eastAsia="Times New Roman"/>
                <w:spacing w:val="0"/>
                <w:lang w:val="es-DO"/>
              </w:rPr>
              <w:t>Vidrio</w:t>
            </w:r>
          </w:p>
        </w:tc>
        <w:tc>
          <w:tcPr>
            <w:tcW w:w="4290" w:type="dxa"/>
            <w:tcBorders>
              <w:top w:val="nil"/>
              <w:left w:val="nil"/>
              <w:bottom w:val="single" w:sz="8" w:space="0" w:color="auto"/>
              <w:right w:val="single" w:sz="8" w:space="0" w:color="auto"/>
            </w:tcBorders>
            <w:shd w:val="clear" w:color="auto" w:fill="auto"/>
            <w:noWrap/>
            <w:vAlign w:val="center"/>
            <w:hideMark/>
          </w:tcPr>
          <w:p w14:paraId="67336B96" w14:textId="77777777" w:rsidR="003A6A45" w:rsidRPr="003A6A45" w:rsidRDefault="003A6A45" w:rsidP="00D467CA">
            <w:pPr>
              <w:spacing w:after="0" w:line="360" w:lineRule="auto"/>
              <w:jc w:val="center"/>
              <w:rPr>
                <w:rFonts w:eastAsia="Times New Roman"/>
                <w:spacing w:val="0"/>
              </w:rPr>
            </w:pPr>
            <w:r w:rsidRPr="003A6A45">
              <w:rPr>
                <w:rFonts w:eastAsia="Times New Roman"/>
                <w:spacing w:val="0"/>
                <w:lang w:val="es-DO"/>
              </w:rPr>
              <w:t xml:space="preserve">105 </w:t>
            </w:r>
            <w:proofErr w:type="spellStart"/>
            <w:r w:rsidRPr="003A6A45">
              <w:rPr>
                <w:rFonts w:eastAsia="Times New Roman"/>
                <w:spacing w:val="0"/>
                <w:lang w:val="es-DO"/>
              </w:rPr>
              <w:t>lbs</w:t>
            </w:r>
            <w:proofErr w:type="spellEnd"/>
          </w:p>
        </w:tc>
      </w:tr>
      <w:tr w:rsidR="003A6A45" w:rsidRPr="003A6A45" w14:paraId="146747FD" w14:textId="77777777" w:rsidTr="00CF34B7">
        <w:trPr>
          <w:trHeight w:val="330"/>
          <w:jc w:val="center"/>
        </w:trPr>
        <w:tc>
          <w:tcPr>
            <w:tcW w:w="3325" w:type="dxa"/>
            <w:tcBorders>
              <w:top w:val="nil"/>
              <w:left w:val="single" w:sz="8" w:space="0" w:color="auto"/>
              <w:bottom w:val="single" w:sz="8" w:space="0" w:color="auto"/>
              <w:right w:val="single" w:sz="8" w:space="0" w:color="auto"/>
            </w:tcBorders>
            <w:shd w:val="clear" w:color="auto" w:fill="auto"/>
            <w:vAlign w:val="center"/>
            <w:hideMark/>
          </w:tcPr>
          <w:p w14:paraId="0B852A5C" w14:textId="77777777" w:rsidR="003A6A45" w:rsidRPr="003A6A45" w:rsidRDefault="003A6A45" w:rsidP="00D467CA">
            <w:pPr>
              <w:spacing w:after="0" w:line="360" w:lineRule="auto"/>
              <w:jc w:val="center"/>
              <w:rPr>
                <w:rFonts w:eastAsia="Times New Roman"/>
                <w:spacing w:val="0"/>
              </w:rPr>
            </w:pPr>
            <w:r w:rsidRPr="003A6A45">
              <w:rPr>
                <w:rFonts w:eastAsia="Times New Roman"/>
                <w:spacing w:val="0"/>
                <w:lang w:val="es-DO"/>
              </w:rPr>
              <w:t>Metal</w:t>
            </w:r>
          </w:p>
        </w:tc>
        <w:tc>
          <w:tcPr>
            <w:tcW w:w="4290" w:type="dxa"/>
            <w:tcBorders>
              <w:top w:val="nil"/>
              <w:left w:val="nil"/>
              <w:bottom w:val="single" w:sz="8" w:space="0" w:color="auto"/>
              <w:right w:val="single" w:sz="8" w:space="0" w:color="auto"/>
            </w:tcBorders>
            <w:shd w:val="clear" w:color="auto" w:fill="auto"/>
            <w:noWrap/>
            <w:vAlign w:val="center"/>
            <w:hideMark/>
          </w:tcPr>
          <w:p w14:paraId="0EB6C319" w14:textId="77777777" w:rsidR="003A6A45" w:rsidRPr="003A6A45" w:rsidRDefault="003A6A45" w:rsidP="00D467CA">
            <w:pPr>
              <w:spacing w:after="0" w:line="360" w:lineRule="auto"/>
              <w:jc w:val="center"/>
              <w:rPr>
                <w:rFonts w:eastAsia="Times New Roman"/>
                <w:spacing w:val="0"/>
              </w:rPr>
            </w:pPr>
            <w:r w:rsidRPr="003A6A45">
              <w:rPr>
                <w:rFonts w:eastAsia="Times New Roman"/>
                <w:spacing w:val="0"/>
                <w:lang w:val="es-DO"/>
              </w:rPr>
              <w:t xml:space="preserve">15 </w:t>
            </w:r>
            <w:proofErr w:type="spellStart"/>
            <w:r w:rsidRPr="003A6A45">
              <w:rPr>
                <w:rFonts w:eastAsia="Times New Roman"/>
                <w:spacing w:val="0"/>
                <w:lang w:val="es-DO"/>
              </w:rPr>
              <w:t>lbs</w:t>
            </w:r>
            <w:proofErr w:type="spellEnd"/>
          </w:p>
        </w:tc>
      </w:tr>
      <w:tr w:rsidR="003A6A45" w:rsidRPr="003A6A45" w14:paraId="7D43CF22" w14:textId="77777777" w:rsidTr="00CF34B7">
        <w:trPr>
          <w:trHeight w:val="330"/>
          <w:jc w:val="center"/>
        </w:trPr>
        <w:tc>
          <w:tcPr>
            <w:tcW w:w="3325" w:type="dxa"/>
            <w:tcBorders>
              <w:top w:val="nil"/>
              <w:left w:val="single" w:sz="8" w:space="0" w:color="auto"/>
              <w:bottom w:val="single" w:sz="8" w:space="0" w:color="auto"/>
              <w:right w:val="single" w:sz="8" w:space="0" w:color="auto"/>
            </w:tcBorders>
            <w:shd w:val="clear" w:color="auto" w:fill="auto"/>
            <w:vAlign w:val="center"/>
            <w:hideMark/>
          </w:tcPr>
          <w:p w14:paraId="59416756" w14:textId="77777777" w:rsidR="003A6A45" w:rsidRPr="003A6A45" w:rsidRDefault="003A6A45" w:rsidP="00D467CA">
            <w:pPr>
              <w:spacing w:after="0" w:line="360" w:lineRule="auto"/>
              <w:jc w:val="center"/>
              <w:rPr>
                <w:rFonts w:eastAsia="Times New Roman"/>
                <w:spacing w:val="0"/>
              </w:rPr>
            </w:pPr>
            <w:r w:rsidRPr="003A6A45">
              <w:rPr>
                <w:rFonts w:eastAsia="Times New Roman"/>
                <w:spacing w:val="0"/>
                <w:lang w:val="es-DO"/>
              </w:rPr>
              <w:t>Tapitas x Quimio</w:t>
            </w:r>
          </w:p>
        </w:tc>
        <w:tc>
          <w:tcPr>
            <w:tcW w:w="4290" w:type="dxa"/>
            <w:tcBorders>
              <w:top w:val="nil"/>
              <w:left w:val="nil"/>
              <w:bottom w:val="single" w:sz="8" w:space="0" w:color="auto"/>
              <w:right w:val="single" w:sz="8" w:space="0" w:color="auto"/>
            </w:tcBorders>
            <w:shd w:val="clear" w:color="auto" w:fill="auto"/>
            <w:noWrap/>
            <w:vAlign w:val="center"/>
            <w:hideMark/>
          </w:tcPr>
          <w:p w14:paraId="3D263173" w14:textId="77777777" w:rsidR="003A6A45" w:rsidRPr="003A6A45" w:rsidRDefault="003A6A45" w:rsidP="00D467CA">
            <w:pPr>
              <w:spacing w:after="0" w:line="360" w:lineRule="auto"/>
              <w:jc w:val="center"/>
              <w:rPr>
                <w:rFonts w:eastAsia="Times New Roman"/>
                <w:spacing w:val="0"/>
              </w:rPr>
            </w:pPr>
            <w:r w:rsidRPr="003A6A45">
              <w:rPr>
                <w:rFonts w:eastAsia="Times New Roman"/>
                <w:spacing w:val="0"/>
                <w:lang w:val="es-DO"/>
              </w:rPr>
              <w:t xml:space="preserve">50 </w:t>
            </w:r>
            <w:proofErr w:type="spellStart"/>
            <w:r w:rsidRPr="003A6A45">
              <w:rPr>
                <w:rFonts w:eastAsia="Times New Roman"/>
                <w:spacing w:val="0"/>
                <w:lang w:val="es-DO"/>
              </w:rPr>
              <w:t>lbs</w:t>
            </w:r>
            <w:proofErr w:type="spellEnd"/>
          </w:p>
        </w:tc>
      </w:tr>
      <w:tr w:rsidR="003A6A45" w:rsidRPr="003A6A45" w14:paraId="284A63B6" w14:textId="77777777" w:rsidTr="00CF34B7">
        <w:trPr>
          <w:trHeight w:val="330"/>
          <w:jc w:val="center"/>
        </w:trPr>
        <w:tc>
          <w:tcPr>
            <w:tcW w:w="3325" w:type="dxa"/>
            <w:tcBorders>
              <w:top w:val="nil"/>
              <w:left w:val="single" w:sz="8" w:space="0" w:color="auto"/>
              <w:bottom w:val="single" w:sz="8" w:space="0" w:color="auto"/>
              <w:right w:val="single" w:sz="8" w:space="0" w:color="auto"/>
            </w:tcBorders>
            <w:shd w:val="clear" w:color="auto" w:fill="auto"/>
            <w:vAlign w:val="center"/>
            <w:hideMark/>
          </w:tcPr>
          <w:p w14:paraId="2D6E3AB2" w14:textId="77777777" w:rsidR="003A6A45" w:rsidRPr="003A6A45" w:rsidRDefault="003A6A45" w:rsidP="00D467CA">
            <w:pPr>
              <w:spacing w:after="0" w:line="360" w:lineRule="auto"/>
              <w:jc w:val="center"/>
              <w:rPr>
                <w:rFonts w:eastAsia="Times New Roman"/>
                <w:spacing w:val="0"/>
              </w:rPr>
            </w:pPr>
            <w:r w:rsidRPr="003A6A45">
              <w:rPr>
                <w:rFonts w:eastAsia="Times New Roman"/>
                <w:spacing w:val="0"/>
                <w:lang w:val="es-DO"/>
              </w:rPr>
              <w:t>Madera</w:t>
            </w:r>
          </w:p>
        </w:tc>
        <w:tc>
          <w:tcPr>
            <w:tcW w:w="4290" w:type="dxa"/>
            <w:tcBorders>
              <w:top w:val="nil"/>
              <w:left w:val="nil"/>
              <w:bottom w:val="single" w:sz="8" w:space="0" w:color="auto"/>
              <w:right w:val="single" w:sz="8" w:space="0" w:color="auto"/>
            </w:tcBorders>
            <w:shd w:val="clear" w:color="auto" w:fill="auto"/>
            <w:noWrap/>
            <w:vAlign w:val="center"/>
            <w:hideMark/>
          </w:tcPr>
          <w:p w14:paraId="78CE9581" w14:textId="77777777" w:rsidR="003A6A45" w:rsidRPr="003A6A45" w:rsidRDefault="003A6A45" w:rsidP="00D467CA">
            <w:pPr>
              <w:spacing w:after="0" w:line="360" w:lineRule="auto"/>
              <w:jc w:val="center"/>
              <w:rPr>
                <w:rFonts w:eastAsia="Times New Roman"/>
                <w:spacing w:val="0"/>
              </w:rPr>
            </w:pPr>
            <w:r w:rsidRPr="003A6A45">
              <w:rPr>
                <w:rFonts w:eastAsia="Times New Roman"/>
                <w:spacing w:val="0"/>
                <w:lang w:val="es-DO"/>
              </w:rPr>
              <w:t xml:space="preserve">150 </w:t>
            </w:r>
            <w:proofErr w:type="spellStart"/>
            <w:r w:rsidRPr="003A6A45">
              <w:rPr>
                <w:rFonts w:eastAsia="Times New Roman"/>
                <w:spacing w:val="0"/>
                <w:lang w:val="es-DO"/>
              </w:rPr>
              <w:t>lbs</w:t>
            </w:r>
            <w:proofErr w:type="spellEnd"/>
          </w:p>
        </w:tc>
      </w:tr>
      <w:tr w:rsidR="003A6A45" w:rsidRPr="003A6A45" w14:paraId="1C65E40A" w14:textId="77777777" w:rsidTr="00CF34B7">
        <w:trPr>
          <w:trHeight w:val="330"/>
          <w:jc w:val="center"/>
        </w:trPr>
        <w:tc>
          <w:tcPr>
            <w:tcW w:w="3325" w:type="dxa"/>
            <w:tcBorders>
              <w:top w:val="nil"/>
              <w:left w:val="single" w:sz="8" w:space="0" w:color="auto"/>
              <w:bottom w:val="single" w:sz="8" w:space="0" w:color="auto"/>
              <w:right w:val="single" w:sz="8" w:space="0" w:color="auto"/>
            </w:tcBorders>
            <w:shd w:val="clear" w:color="auto" w:fill="auto"/>
            <w:vAlign w:val="center"/>
            <w:hideMark/>
          </w:tcPr>
          <w:p w14:paraId="48DFFBAF" w14:textId="77777777" w:rsidR="003A6A45" w:rsidRPr="003A6A45" w:rsidRDefault="003A6A45" w:rsidP="00D467CA">
            <w:pPr>
              <w:spacing w:after="0" w:line="360" w:lineRule="auto"/>
              <w:jc w:val="center"/>
              <w:rPr>
                <w:rFonts w:eastAsia="Times New Roman"/>
                <w:spacing w:val="0"/>
              </w:rPr>
            </w:pPr>
            <w:r w:rsidRPr="003A6A45">
              <w:rPr>
                <w:rFonts w:eastAsia="Times New Roman"/>
                <w:spacing w:val="0"/>
                <w:lang w:val="es-DO"/>
              </w:rPr>
              <w:t>Basura general</w:t>
            </w:r>
          </w:p>
        </w:tc>
        <w:tc>
          <w:tcPr>
            <w:tcW w:w="4290" w:type="dxa"/>
            <w:tcBorders>
              <w:top w:val="nil"/>
              <w:left w:val="nil"/>
              <w:bottom w:val="single" w:sz="8" w:space="0" w:color="auto"/>
              <w:right w:val="single" w:sz="8" w:space="0" w:color="auto"/>
            </w:tcBorders>
            <w:shd w:val="clear" w:color="auto" w:fill="auto"/>
            <w:noWrap/>
            <w:vAlign w:val="center"/>
            <w:hideMark/>
          </w:tcPr>
          <w:p w14:paraId="53C735C0" w14:textId="77777777" w:rsidR="003A6A45" w:rsidRPr="003A6A45" w:rsidRDefault="003A6A45" w:rsidP="00D467CA">
            <w:pPr>
              <w:spacing w:after="0" w:line="360" w:lineRule="auto"/>
              <w:jc w:val="center"/>
              <w:rPr>
                <w:rFonts w:eastAsia="Times New Roman"/>
                <w:spacing w:val="0"/>
              </w:rPr>
            </w:pPr>
            <w:r w:rsidRPr="003A6A45">
              <w:rPr>
                <w:rFonts w:eastAsia="Times New Roman"/>
                <w:spacing w:val="0"/>
                <w:lang w:val="es-DO"/>
              </w:rPr>
              <w:t xml:space="preserve">2,140 </w:t>
            </w:r>
            <w:proofErr w:type="spellStart"/>
            <w:r w:rsidRPr="003A6A45">
              <w:rPr>
                <w:rFonts w:eastAsia="Times New Roman"/>
                <w:spacing w:val="0"/>
                <w:lang w:val="es-DO"/>
              </w:rPr>
              <w:t>lbs</w:t>
            </w:r>
            <w:proofErr w:type="spellEnd"/>
          </w:p>
        </w:tc>
      </w:tr>
    </w:tbl>
    <w:p w14:paraId="0CB35DC3" w14:textId="76AFA5D2" w:rsidR="00690EA0" w:rsidRPr="00690EA0" w:rsidRDefault="00690EA0" w:rsidP="006D7301">
      <w:pPr>
        <w:pStyle w:val="Heading1"/>
        <w:spacing w:after="240"/>
        <w:jc w:val="left"/>
        <w:rPr>
          <w:spacing w:val="0"/>
          <w:sz w:val="18"/>
          <w:szCs w:val="18"/>
          <w:lang w:val="es-DO"/>
        </w:rPr>
      </w:pPr>
      <w:bookmarkStart w:id="165" w:name="_Toc184981200"/>
      <w:bookmarkStart w:id="166" w:name="_Toc185245104"/>
      <w:r w:rsidRPr="00690EA0">
        <w:rPr>
          <w:spacing w:val="0"/>
          <w:sz w:val="18"/>
          <w:szCs w:val="18"/>
          <w:lang w:val="es-DO"/>
        </w:rPr>
        <w:t>Tabla 2</w:t>
      </w:r>
      <w:r w:rsidR="00C50277">
        <w:rPr>
          <w:spacing w:val="0"/>
          <w:sz w:val="18"/>
          <w:szCs w:val="18"/>
          <w:lang w:val="es-DO"/>
        </w:rPr>
        <w:t>4</w:t>
      </w:r>
      <w:r w:rsidRPr="00690EA0">
        <w:rPr>
          <w:spacing w:val="0"/>
          <w:sz w:val="18"/>
          <w:szCs w:val="18"/>
          <w:lang w:val="es-DO"/>
        </w:rPr>
        <w:t xml:space="preserve">: </w:t>
      </w:r>
      <w:r w:rsidRPr="00690EA0">
        <w:rPr>
          <w:b w:val="0"/>
          <w:bCs/>
          <w:spacing w:val="0"/>
          <w:sz w:val="18"/>
          <w:szCs w:val="18"/>
          <w:lang w:val="es-DO"/>
        </w:rPr>
        <w:t>Resultados de Limpieza de Costas</w:t>
      </w:r>
      <w:bookmarkEnd w:id="165"/>
      <w:bookmarkEnd w:id="166"/>
    </w:p>
    <w:p w14:paraId="02A194D8" w14:textId="412D94D4" w:rsidR="002030EE" w:rsidRPr="00F20655" w:rsidRDefault="002030EE" w:rsidP="006D7301">
      <w:pPr>
        <w:spacing w:after="240" w:line="360" w:lineRule="auto"/>
        <w:rPr>
          <w:b/>
          <w:bCs/>
          <w:lang w:val="es-DO"/>
        </w:rPr>
      </w:pPr>
      <w:r w:rsidRPr="00F20655">
        <w:rPr>
          <w:b/>
          <w:bCs/>
          <w:lang w:val="es-DO"/>
        </w:rPr>
        <w:t>Depósito Ofrenda Floral</w:t>
      </w:r>
    </w:p>
    <w:p w14:paraId="0BD7DABE" w14:textId="77777777" w:rsidR="002030EE" w:rsidRDefault="002030EE" w:rsidP="00D467CA">
      <w:pPr>
        <w:spacing w:line="360" w:lineRule="auto"/>
        <w:jc w:val="both"/>
        <w:rPr>
          <w:lang w:val="es-DO"/>
        </w:rPr>
      </w:pPr>
      <w:r w:rsidRPr="001E5C11">
        <w:rPr>
          <w:lang w:val="es-DO"/>
        </w:rPr>
        <w:t xml:space="preserve">La TSS como institución que inculca y honra la patria y sus valores, por lo que en el mes de febrero participó junto al CNSS en la ofrenda floral realiza en el altar de la patria en la que estuvieron presentes 16 de nuestros colaboradores. </w:t>
      </w:r>
    </w:p>
    <w:p w14:paraId="72EF6E4F" w14:textId="77777777" w:rsidR="002030EE" w:rsidRPr="00F20655" w:rsidRDefault="002030EE" w:rsidP="00D467CA">
      <w:pPr>
        <w:spacing w:before="240" w:line="360" w:lineRule="auto"/>
        <w:rPr>
          <w:b/>
          <w:bCs/>
          <w:lang w:val="es-DO"/>
        </w:rPr>
      </w:pPr>
      <w:r w:rsidRPr="00F20655">
        <w:rPr>
          <w:b/>
          <w:bCs/>
          <w:lang w:val="es-DO"/>
        </w:rPr>
        <w:t>Día Verde</w:t>
      </w:r>
    </w:p>
    <w:p w14:paraId="6667C1E0" w14:textId="77777777" w:rsidR="002030EE" w:rsidRPr="001E5C11" w:rsidRDefault="002030EE" w:rsidP="00D467CA">
      <w:pPr>
        <w:spacing w:before="240" w:line="360" w:lineRule="auto"/>
        <w:jc w:val="both"/>
        <w:rPr>
          <w:lang w:val="es-DO"/>
        </w:rPr>
      </w:pPr>
      <w:r w:rsidRPr="001E5C11">
        <w:rPr>
          <w:lang w:val="es-DO"/>
        </w:rPr>
        <w:t>Como estrategia para motivar e incentivar las buenas prácticas para el cuidado de nuestro planeta tanto en los hogares como en el espacio de trabajo el 8 de noviembre se realizó el día verde en el que se motivó a los colaboradores que vistieran una prenda verde en señal de apoyo a la causa.</w:t>
      </w:r>
    </w:p>
    <w:p w14:paraId="2FCEBC4C" w14:textId="4C9B8D57" w:rsidR="002030EE" w:rsidRPr="003A6A45" w:rsidRDefault="002030EE" w:rsidP="00D467CA">
      <w:pPr>
        <w:spacing w:before="240" w:line="360" w:lineRule="auto"/>
        <w:jc w:val="both"/>
        <w:rPr>
          <w:lang w:val="es-DO"/>
        </w:rPr>
      </w:pPr>
      <w:r w:rsidRPr="001E5C11">
        <w:rPr>
          <w:lang w:val="es-DO"/>
        </w:rPr>
        <w:t xml:space="preserve">En coordinación con el Ministerio de Medio Ambiente, se impartió la charla “Oficinas Verdes” en la que participaron un total de 74 colaboradores. Fueron donadas 150 plantas de sombra en las </w:t>
      </w:r>
      <w:r w:rsidRPr="001E5C11">
        <w:rPr>
          <w:lang w:val="es-DO"/>
        </w:rPr>
        <w:lastRenderedPageBreak/>
        <w:t>siguientes variedades:</w:t>
      </w:r>
      <w:r w:rsidR="003A6A45">
        <w:rPr>
          <w:lang w:val="es-DO"/>
        </w:rPr>
        <w:t xml:space="preserve"> </w:t>
      </w:r>
      <w:r w:rsidRPr="003A6A45">
        <w:rPr>
          <w:lang w:val="es-DO"/>
        </w:rPr>
        <w:t xml:space="preserve">Sauco </w:t>
      </w:r>
      <w:proofErr w:type="spellStart"/>
      <w:r w:rsidRPr="003A6A45">
        <w:rPr>
          <w:lang w:val="es-DO"/>
        </w:rPr>
        <w:t>Amarilo</w:t>
      </w:r>
      <w:proofErr w:type="spellEnd"/>
      <w:r w:rsidRPr="003A6A45">
        <w:rPr>
          <w:lang w:val="es-DO"/>
        </w:rPr>
        <w:t xml:space="preserve"> – </w:t>
      </w:r>
      <w:proofErr w:type="spellStart"/>
      <w:r w:rsidRPr="003A6A45">
        <w:rPr>
          <w:lang w:val="es-DO"/>
        </w:rPr>
        <w:t>Tecoma</w:t>
      </w:r>
      <w:proofErr w:type="spellEnd"/>
      <w:r w:rsidRPr="003A6A45">
        <w:rPr>
          <w:lang w:val="es-DO"/>
        </w:rPr>
        <w:t xml:space="preserve"> </w:t>
      </w:r>
      <w:proofErr w:type="spellStart"/>
      <w:r w:rsidRPr="003A6A45">
        <w:rPr>
          <w:lang w:val="es-DO"/>
        </w:rPr>
        <w:t>Stans</w:t>
      </w:r>
      <w:proofErr w:type="spellEnd"/>
      <w:r w:rsidR="003A6A45">
        <w:rPr>
          <w:lang w:val="es-DO"/>
        </w:rPr>
        <w:t xml:space="preserve">, </w:t>
      </w:r>
      <w:r w:rsidRPr="003A6A45">
        <w:rPr>
          <w:lang w:val="es-DO"/>
        </w:rPr>
        <w:t xml:space="preserve">Mara – </w:t>
      </w:r>
      <w:proofErr w:type="spellStart"/>
      <w:r w:rsidRPr="003A6A45">
        <w:rPr>
          <w:lang w:val="es-DO"/>
        </w:rPr>
        <w:t>Calophyllum</w:t>
      </w:r>
      <w:proofErr w:type="spellEnd"/>
      <w:r w:rsidRPr="003A6A45">
        <w:rPr>
          <w:lang w:val="es-DO"/>
        </w:rPr>
        <w:t xml:space="preserve"> Calaba</w:t>
      </w:r>
      <w:r w:rsidR="003A6A45">
        <w:rPr>
          <w:lang w:val="es-DO"/>
        </w:rPr>
        <w:t xml:space="preserve">, </w:t>
      </w:r>
      <w:r w:rsidRPr="003A6A45">
        <w:rPr>
          <w:lang w:val="es-DO"/>
        </w:rPr>
        <w:t xml:space="preserve">Palma Manila – </w:t>
      </w:r>
      <w:proofErr w:type="spellStart"/>
      <w:r w:rsidRPr="003A6A45">
        <w:rPr>
          <w:lang w:val="es-DO"/>
        </w:rPr>
        <w:t>Adonidia</w:t>
      </w:r>
      <w:proofErr w:type="spellEnd"/>
      <w:r w:rsidRPr="003A6A45">
        <w:rPr>
          <w:lang w:val="es-DO"/>
        </w:rPr>
        <w:t xml:space="preserve"> </w:t>
      </w:r>
      <w:proofErr w:type="spellStart"/>
      <w:r w:rsidRPr="003A6A45">
        <w:rPr>
          <w:lang w:val="es-DO"/>
        </w:rPr>
        <w:t>Merrillii</w:t>
      </w:r>
      <w:proofErr w:type="spellEnd"/>
      <w:r w:rsidR="003A6A45">
        <w:rPr>
          <w:lang w:val="es-DO"/>
        </w:rPr>
        <w:t xml:space="preserve">, </w:t>
      </w:r>
      <w:proofErr w:type="spellStart"/>
      <w:r w:rsidRPr="003A6A45">
        <w:rPr>
          <w:lang w:val="es-DO"/>
        </w:rPr>
        <w:t>Guayacan</w:t>
      </w:r>
      <w:proofErr w:type="spellEnd"/>
      <w:r w:rsidRPr="003A6A45">
        <w:rPr>
          <w:lang w:val="es-DO"/>
        </w:rPr>
        <w:t xml:space="preserve"> – </w:t>
      </w:r>
      <w:proofErr w:type="spellStart"/>
      <w:r w:rsidRPr="003A6A45">
        <w:rPr>
          <w:lang w:val="es-DO"/>
        </w:rPr>
        <w:t>Guaiacum</w:t>
      </w:r>
      <w:proofErr w:type="spellEnd"/>
      <w:r w:rsidRPr="003A6A45">
        <w:rPr>
          <w:lang w:val="es-DO"/>
        </w:rPr>
        <w:t xml:space="preserve"> </w:t>
      </w:r>
      <w:proofErr w:type="spellStart"/>
      <w:r w:rsidRPr="003A6A45">
        <w:rPr>
          <w:lang w:val="es-DO"/>
        </w:rPr>
        <w:t>Officinale</w:t>
      </w:r>
      <w:proofErr w:type="spellEnd"/>
      <w:r w:rsidR="003A6A45">
        <w:rPr>
          <w:lang w:val="es-DO"/>
        </w:rPr>
        <w:t xml:space="preserve">, </w:t>
      </w:r>
      <w:r w:rsidRPr="003A6A45">
        <w:rPr>
          <w:lang w:val="es-DO"/>
        </w:rPr>
        <w:t xml:space="preserve">Penda – </w:t>
      </w:r>
      <w:proofErr w:type="spellStart"/>
      <w:r w:rsidRPr="003A6A45">
        <w:rPr>
          <w:lang w:val="es-DO"/>
        </w:rPr>
        <w:t>Citharexylum</w:t>
      </w:r>
      <w:proofErr w:type="spellEnd"/>
      <w:r w:rsidRPr="003A6A45">
        <w:rPr>
          <w:lang w:val="es-DO"/>
        </w:rPr>
        <w:t xml:space="preserve"> </w:t>
      </w:r>
      <w:proofErr w:type="spellStart"/>
      <w:r w:rsidRPr="003A6A45">
        <w:rPr>
          <w:lang w:val="es-DO"/>
        </w:rPr>
        <w:t>Fruticosum</w:t>
      </w:r>
      <w:proofErr w:type="spellEnd"/>
      <w:r w:rsidR="003A6A45">
        <w:rPr>
          <w:lang w:val="es-DO"/>
        </w:rPr>
        <w:t xml:space="preserve">, </w:t>
      </w:r>
      <w:r w:rsidRPr="003A6A45">
        <w:rPr>
          <w:lang w:val="es-DO"/>
        </w:rPr>
        <w:t>Caoba Criolla -</w:t>
      </w:r>
      <w:proofErr w:type="spellStart"/>
      <w:r w:rsidRPr="003A6A45">
        <w:rPr>
          <w:lang w:val="es-DO"/>
        </w:rPr>
        <w:t>Swietenia</w:t>
      </w:r>
      <w:proofErr w:type="spellEnd"/>
      <w:r w:rsidRPr="003A6A45">
        <w:rPr>
          <w:lang w:val="es-DO"/>
        </w:rPr>
        <w:t xml:space="preserve"> </w:t>
      </w:r>
      <w:proofErr w:type="spellStart"/>
      <w:r w:rsidRPr="003A6A45">
        <w:rPr>
          <w:lang w:val="es-DO"/>
        </w:rPr>
        <w:t>Mahagoni</w:t>
      </w:r>
      <w:proofErr w:type="spellEnd"/>
      <w:r w:rsidR="003A6A45" w:rsidRPr="003A6A45">
        <w:rPr>
          <w:lang w:val="es-DO"/>
        </w:rPr>
        <w:t>.</w:t>
      </w:r>
    </w:p>
    <w:p w14:paraId="291A7D33" w14:textId="77777777" w:rsidR="002030EE" w:rsidRPr="00F20655" w:rsidRDefault="002030EE" w:rsidP="00D467CA">
      <w:pPr>
        <w:spacing w:before="240" w:line="360" w:lineRule="auto"/>
        <w:rPr>
          <w:b/>
          <w:bCs/>
          <w:lang w:val="es-DO"/>
        </w:rPr>
      </w:pPr>
      <w:r w:rsidRPr="00F20655">
        <w:rPr>
          <w:b/>
          <w:bCs/>
          <w:lang w:val="es-DO"/>
        </w:rPr>
        <w:t>Donación de Sangre</w:t>
      </w:r>
    </w:p>
    <w:p w14:paraId="7841D797" w14:textId="15264D67" w:rsidR="002030EE" w:rsidRPr="001E5C11" w:rsidRDefault="002030EE" w:rsidP="00D467CA">
      <w:pPr>
        <w:spacing w:before="240" w:line="360" w:lineRule="auto"/>
        <w:jc w:val="both"/>
        <w:rPr>
          <w:lang w:val="es-DO"/>
        </w:rPr>
      </w:pPr>
      <w:r w:rsidRPr="001E5C11">
        <w:rPr>
          <w:lang w:val="es-DO"/>
        </w:rPr>
        <w:t xml:space="preserve">En el mes de septiembre, en conjunto con el Consejo Nacional de Seguridad Social, se realizó una jornada de Donación de Sangre con </w:t>
      </w:r>
      <w:r w:rsidR="003A6A45" w:rsidRPr="001E5C11">
        <w:rPr>
          <w:lang w:val="es-DO"/>
        </w:rPr>
        <w:t>Homocentro</w:t>
      </w:r>
      <w:r w:rsidRPr="001E5C11">
        <w:rPr>
          <w:lang w:val="es-DO"/>
        </w:rPr>
        <w:t xml:space="preserve"> Nacional.  Donaron 6 colaboradores TSS, pertenecientes a las áreas de Fiscalización Externa, Finanzas, Tecnología y Recursos Humanos.</w:t>
      </w:r>
    </w:p>
    <w:p w14:paraId="10F8BE0C" w14:textId="77777777" w:rsidR="002030EE" w:rsidRPr="00F20655" w:rsidRDefault="002030EE" w:rsidP="00D467CA">
      <w:pPr>
        <w:spacing w:before="240" w:line="360" w:lineRule="auto"/>
        <w:rPr>
          <w:b/>
          <w:bCs/>
          <w:lang w:val="es-DO"/>
        </w:rPr>
      </w:pPr>
      <w:r w:rsidRPr="00F20655">
        <w:rPr>
          <w:b/>
          <w:bCs/>
          <w:lang w:val="es-DO"/>
        </w:rPr>
        <w:t>Donación Casa Rosada</w:t>
      </w:r>
    </w:p>
    <w:p w14:paraId="319F89BC" w14:textId="77777777" w:rsidR="002030EE" w:rsidRPr="001E5C11" w:rsidRDefault="002030EE" w:rsidP="00D467CA">
      <w:pPr>
        <w:spacing w:before="240" w:line="360" w:lineRule="auto"/>
        <w:jc w:val="both"/>
        <w:rPr>
          <w:lang w:val="es-DO"/>
        </w:rPr>
      </w:pPr>
      <w:r w:rsidRPr="001E5C11">
        <w:rPr>
          <w:lang w:val="es-DO"/>
        </w:rPr>
        <w:t>Comprometida con sociedad la TSS organizó una donación enfocada al Albergue Casa Rosada. Es un hogar/hospital que se fundó el día 9 de julio del año 2001 en Los Tres Brazos, donde viven unos 50 niños infectados con el VIH, es una obra de la Parroquia Santa Luisa de Marillac, los sacerdotes de la Misión P.P. Las monjas, Hijas de la Caridad de San Vicente de Paúl, quienes dirigen y administran el proyecto, con la ayuda de un equipo multidisciplinario compuesto por pediatras, enfermeras, sicólogos, trabajadoras sociales, profesores, educadores, personal de apoyo y voluntarios que ofrecen sus servicios con amor y dedicación.</w:t>
      </w:r>
    </w:p>
    <w:p w14:paraId="5073ADB0" w14:textId="77777777" w:rsidR="002030EE" w:rsidRPr="001E5C11" w:rsidRDefault="002030EE" w:rsidP="00D467CA">
      <w:pPr>
        <w:shd w:val="clear" w:color="auto" w:fill="FFFFFF" w:themeFill="background1"/>
        <w:spacing w:line="360" w:lineRule="auto"/>
        <w:jc w:val="both"/>
        <w:rPr>
          <w:lang w:val="es-DO"/>
        </w:rPr>
      </w:pPr>
      <w:r w:rsidRPr="001E5C11">
        <w:rPr>
          <w:lang w:val="es-DO"/>
        </w:rPr>
        <w:t>La donación se realizó en el mes agosto donde se recolectaron 1,525 artículos entre los cuales se encuentran:</w:t>
      </w:r>
    </w:p>
    <w:p w14:paraId="00DB2237" w14:textId="77777777" w:rsidR="002030EE" w:rsidRPr="005D63AE" w:rsidRDefault="002030EE" w:rsidP="00D467CA">
      <w:pPr>
        <w:pStyle w:val="ListParagraph"/>
        <w:numPr>
          <w:ilvl w:val="0"/>
          <w:numId w:val="31"/>
        </w:numPr>
        <w:shd w:val="clear" w:color="auto" w:fill="FFFFFF" w:themeFill="background1"/>
        <w:spacing w:line="360" w:lineRule="auto"/>
        <w:rPr>
          <w:rFonts w:ascii="Times New Roman" w:eastAsiaTheme="minorHAnsi" w:hAnsi="Times New Roman"/>
          <w:color w:val="767171"/>
          <w:spacing w:val="20"/>
          <w:sz w:val="24"/>
          <w:szCs w:val="24"/>
        </w:rPr>
      </w:pPr>
      <w:r w:rsidRPr="005D63AE">
        <w:rPr>
          <w:rFonts w:ascii="Times New Roman" w:eastAsiaTheme="minorHAnsi" w:hAnsi="Times New Roman"/>
          <w:color w:val="767171"/>
          <w:spacing w:val="20"/>
          <w:sz w:val="24"/>
          <w:szCs w:val="24"/>
        </w:rPr>
        <w:t>101 unidades de enlatados</w:t>
      </w:r>
    </w:p>
    <w:p w14:paraId="71BC5352" w14:textId="77777777" w:rsidR="002030EE" w:rsidRPr="005D63AE" w:rsidRDefault="002030EE" w:rsidP="00D467CA">
      <w:pPr>
        <w:pStyle w:val="ListParagraph"/>
        <w:numPr>
          <w:ilvl w:val="0"/>
          <w:numId w:val="31"/>
        </w:numPr>
        <w:shd w:val="clear" w:color="auto" w:fill="FFFFFF" w:themeFill="background1"/>
        <w:spacing w:line="360" w:lineRule="auto"/>
        <w:rPr>
          <w:rFonts w:ascii="Times New Roman" w:eastAsiaTheme="minorHAnsi" w:hAnsi="Times New Roman"/>
          <w:color w:val="767171"/>
          <w:spacing w:val="20"/>
          <w:sz w:val="24"/>
          <w:szCs w:val="24"/>
        </w:rPr>
      </w:pPr>
      <w:r w:rsidRPr="005D63AE">
        <w:rPr>
          <w:rFonts w:ascii="Times New Roman" w:eastAsiaTheme="minorHAnsi" w:hAnsi="Times New Roman"/>
          <w:color w:val="767171"/>
          <w:spacing w:val="20"/>
          <w:sz w:val="24"/>
          <w:szCs w:val="24"/>
        </w:rPr>
        <w:t>222 unidades de productos alimenticios</w:t>
      </w:r>
    </w:p>
    <w:p w14:paraId="60D56B99" w14:textId="77777777" w:rsidR="002030EE" w:rsidRPr="005D63AE" w:rsidRDefault="002030EE" w:rsidP="00D467CA">
      <w:pPr>
        <w:pStyle w:val="ListParagraph"/>
        <w:numPr>
          <w:ilvl w:val="0"/>
          <w:numId w:val="31"/>
        </w:numPr>
        <w:shd w:val="clear" w:color="auto" w:fill="FFFFFF" w:themeFill="background1"/>
        <w:spacing w:line="360" w:lineRule="auto"/>
        <w:rPr>
          <w:rFonts w:ascii="Times New Roman" w:eastAsiaTheme="minorHAnsi" w:hAnsi="Times New Roman"/>
          <w:color w:val="767171"/>
          <w:spacing w:val="20"/>
          <w:sz w:val="24"/>
          <w:szCs w:val="24"/>
        </w:rPr>
      </w:pPr>
      <w:r w:rsidRPr="005D63AE">
        <w:rPr>
          <w:rFonts w:ascii="Times New Roman" w:eastAsiaTheme="minorHAnsi" w:hAnsi="Times New Roman"/>
          <w:color w:val="767171"/>
          <w:spacing w:val="20"/>
          <w:sz w:val="24"/>
          <w:szCs w:val="24"/>
        </w:rPr>
        <w:t>30 unidades de detergentes</w:t>
      </w:r>
    </w:p>
    <w:p w14:paraId="768DA6DE" w14:textId="77777777" w:rsidR="002030EE" w:rsidRPr="005D63AE" w:rsidRDefault="002030EE" w:rsidP="00D467CA">
      <w:pPr>
        <w:pStyle w:val="ListParagraph"/>
        <w:numPr>
          <w:ilvl w:val="0"/>
          <w:numId w:val="31"/>
        </w:numPr>
        <w:shd w:val="clear" w:color="auto" w:fill="FFFFFF" w:themeFill="background1"/>
        <w:spacing w:line="360" w:lineRule="auto"/>
        <w:rPr>
          <w:rFonts w:ascii="Times New Roman" w:eastAsiaTheme="minorHAnsi" w:hAnsi="Times New Roman"/>
          <w:color w:val="767171"/>
          <w:spacing w:val="20"/>
          <w:sz w:val="24"/>
          <w:szCs w:val="24"/>
        </w:rPr>
      </w:pPr>
      <w:r w:rsidRPr="005D63AE">
        <w:rPr>
          <w:rFonts w:ascii="Times New Roman" w:eastAsiaTheme="minorHAnsi" w:hAnsi="Times New Roman"/>
          <w:color w:val="767171"/>
          <w:spacing w:val="20"/>
          <w:sz w:val="24"/>
          <w:szCs w:val="24"/>
        </w:rPr>
        <w:t>307 unidades de escolares</w:t>
      </w:r>
    </w:p>
    <w:p w14:paraId="33478E22" w14:textId="77777777" w:rsidR="002030EE" w:rsidRPr="005D63AE" w:rsidRDefault="002030EE" w:rsidP="00D467CA">
      <w:pPr>
        <w:pStyle w:val="ListParagraph"/>
        <w:numPr>
          <w:ilvl w:val="0"/>
          <w:numId w:val="31"/>
        </w:numPr>
        <w:shd w:val="clear" w:color="auto" w:fill="FFFFFF" w:themeFill="background1"/>
        <w:spacing w:line="360" w:lineRule="auto"/>
        <w:rPr>
          <w:rFonts w:ascii="Times New Roman" w:eastAsiaTheme="minorHAnsi" w:hAnsi="Times New Roman"/>
          <w:color w:val="767171"/>
          <w:spacing w:val="20"/>
          <w:sz w:val="24"/>
          <w:szCs w:val="24"/>
        </w:rPr>
      </w:pPr>
      <w:r w:rsidRPr="005D63AE">
        <w:rPr>
          <w:rFonts w:ascii="Times New Roman" w:eastAsiaTheme="minorHAnsi" w:hAnsi="Times New Roman"/>
          <w:color w:val="767171"/>
          <w:spacing w:val="20"/>
          <w:sz w:val="24"/>
          <w:szCs w:val="24"/>
        </w:rPr>
        <w:t>731 unidades de productos de higiene personal</w:t>
      </w:r>
    </w:p>
    <w:p w14:paraId="5B246F03" w14:textId="77777777" w:rsidR="002030EE" w:rsidRPr="005D63AE" w:rsidRDefault="002030EE" w:rsidP="00D467CA">
      <w:pPr>
        <w:pStyle w:val="ListParagraph"/>
        <w:numPr>
          <w:ilvl w:val="0"/>
          <w:numId w:val="31"/>
        </w:numPr>
        <w:shd w:val="clear" w:color="auto" w:fill="FFFFFF" w:themeFill="background1"/>
        <w:spacing w:line="360" w:lineRule="auto"/>
        <w:rPr>
          <w:rFonts w:ascii="Times New Roman" w:eastAsiaTheme="minorHAnsi" w:hAnsi="Times New Roman"/>
          <w:color w:val="767171"/>
          <w:spacing w:val="20"/>
          <w:sz w:val="24"/>
          <w:szCs w:val="24"/>
        </w:rPr>
      </w:pPr>
      <w:r w:rsidRPr="005D63AE">
        <w:rPr>
          <w:rFonts w:ascii="Times New Roman" w:eastAsiaTheme="minorHAnsi" w:hAnsi="Times New Roman"/>
          <w:color w:val="767171"/>
          <w:spacing w:val="20"/>
          <w:sz w:val="24"/>
          <w:szCs w:val="24"/>
        </w:rPr>
        <w:lastRenderedPageBreak/>
        <w:t>134 unidades de juguetes</w:t>
      </w:r>
    </w:p>
    <w:p w14:paraId="3333AD16" w14:textId="77777777" w:rsidR="002030EE" w:rsidRPr="00F20655" w:rsidRDefault="002030EE" w:rsidP="00D467CA">
      <w:pPr>
        <w:spacing w:line="360" w:lineRule="auto"/>
        <w:rPr>
          <w:b/>
          <w:bCs/>
          <w:lang w:val="es-DO"/>
        </w:rPr>
      </w:pPr>
      <w:r w:rsidRPr="00F20655">
        <w:rPr>
          <w:b/>
          <w:bCs/>
          <w:lang w:val="es-DO"/>
        </w:rPr>
        <w:t>Campaña de Concienciación al Mes Rosa</w:t>
      </w:r>
    </w:p>
    <w:p w14:paraId="3F7889B8" w14:textId="795E6F54" w:rsidR="002030EE" w:rsidRPr="003A6A45" w:rsidRDefault="002030EE" w:rsidP="00D467CA">
      <w:pPr>
        <w:spacing w:line="360" w:lineRule="auto"/>
        <w:jc w:val="both"/>
        <w:rPr>
          <w:lang w:val="es-DO"/>
        </w:rPr>
      </w:pPr>
      <w:r w:rsidRPr="001E5C11">
        <w:rPr>
          <w:lang w:val="es-DO"/>
        </w:rPr>
        <w:t>Como una manera de fomentar nuestra cultura de compromiso social nos unimos a la sensibilización sobre el cáncer de mama invitando a todos los colaboradores durante los viernes del mes acudir con una prenda de vestir rosada.</w:t>
      </w:r>
    </w:p>
    <w:p w14:paraId="0E4835CF" w14:textId="77777777" w:rsidR="002030EE" w:rsidRDefault="002030EE" w:rsidP="00D467CA">
      <w:pPr>
        <w:shd w:val="clear" w:color="auto" w:fill="FFFFFF" w:themeFill="background1"/>
        <w:spacing w:line="360" w:lineRule="auto"/>
        <w:rPr>
          <w:b/>
          <w:color w:val="767171" w:themeColor="background2" w:themeShade="80"/>
          <w:spacing w:val="0"/>
          <w:lang w:val="es-DO"/>
        </w:rPr>
      </w:pPr>
      <w:r w:rsidRPr="001E5C11">
        <w:rPr>
          <w:b/>
          <w:color w:val="767171" w:themeColor="background2" w:themeShade="80"/>
          <w:spacing w:val="0"/>
          <w:lang w:val="es-DO"/>
        </w:rPr>
        <w:t>Bienestar y Salud</w:t>
      </w:r>
    </w:p>
    <w:p w14:paraId="06E38244" w14:textId="77777777" w:rsidR="002030EE" w:rsidRPr="001E5C11" w:rsidRDefault="002030EE" w:rsidP="00D467CA">
      <w:pPr>
        <w:spacing w:line="360" w:lineRule="auto"/>
        <w:jc w:val="both"/>
        <w:rPr>
          <w:lang w:val="es-DO"/>
        </w:rPr>
      </w:pPr>
      <w:r w:rsidRPr="001E5C11">
        <w:rPr>
          <w:lang w:val="es-DO"/>
        </w:rPr>
        <w:t>La Dirección de Recursos Humanos con el firme objetivo de garantizar el bienestar físico, mental y emocional de los colaboradores, posee dentro de sus programas Bienestar y Salud, campañas de vacunación, chequeos médicos periódicos, promoción de estilos de vida saludables, programas de control del estrés entre otros.</w:t>
      </w:r>
    </w:p>
    <w:p w14:paraId="6109272C" w14:textId="77777777" w:rsidR="002030EE" w:rsidRPr="001E5C11" w:rsidRDefault="002030EE" w:rsidP="00D467CA">
      <w:pPr>
        <w:spacing w:line="360" w:lineRule="auto"/>
        <w:jc w:val="both"/>
        <w:rPr>
          <w:lang w:val="es-DO"/>
        </w:rPr>
      </w:pPr>
      <w:r w:rsidRPr="001E5C11">
        <w:rPr>
          <w:lang w:val="es-DO"/>
        </w:rPr>
        <w:t>En ese sentido, considerando que con una adecuada salud física, mental y emocional los colaboradores TSS estarán preparados para afrontar cualquier desafío laboral y alcanzar los objetivos de la institución, durante el año 2024 se realizaron diferentes actividades de bienestar para los colaboradores.</w:t>
      </w:r>
    </w:p>
    <w:p w14:paraId="3730A3DC" w14:textId="77777777" w:rsidR="002030EE" w:rsidRPr="001E5C11" w:rsidRDefault="002030EE" w:rsidP="00D467CA">
      <w:pPr>
        <w:spacing w:line="360" w:lineRule="auto"/>
        <w:jc w:val="both"/>
        <w:rPr>
          <w:lang w:val="es-DO"/>
        </w:rPr>
      </w:pPr>
      <w:r w:rsidRPr="001E5C11">
        <w:rPr>
          <w:lang w:val="es-DO"/>
        </w:rPr>
        <w:t>En el mes de marzo, se realizó la charla de salud física y emocional donde participaron 52 colaboradores.</w:t>
      </w:r>
    </w:p>
    <w:p w14:paraId="600AF427" w14:textId="77777777" w:rsidR="002030EE" w:rsidRPr="001E5C11" w:rsidRDefault="002030EE" w:rsidP="00D467CA">
      <w:pPr>
        <w:spacing w:line="360" w:lineRule="auto"/>
        <w:jc w:val="both"/>
        <w:rPr>
          <w:lang w:val="es-DO"/>
        </w:rPr>
      </w:pPr>
      <w:r w:rsidRPr="001E5C11">
        <w:rPr>
          <w:lang w:val="es-DO"/>
        </w:rPr>
        <w:t>En el mes de agosto, a la Charla Salud mental y autocuidado, impartida en colaboración con AFP Siembra. La misma se realizó en el Centro de Capacitación TSS ubicado en Plaza Naco. Participaron un total de 40 colaboradores.</w:t>
      </w:r>
    </w:p>
    <w:p w14:paraId="1F457614" w14:textId="77777777" w:rsidR="002030EE" w:rsidRPr="001E5C11" w:rsidRDefault="002030EE" w:rsidP="00D467CA">
      <w:pPr>
        <w:spacing w:line="360" w:lineRule="auto"/>
        <w:jc w:val="both"/>
        <w:rPr>
          <w:lang w:val="es-DO"/>
        </w:rPr>
      </w:pPr>
      <w:r w:rsidRPr="001E5C11">
        <w:rPr>
          <w:lang w:val="es-DO"/>
        </w:rPr>
        <w:t>En apoyo a la causa se impartió de manera virtual en conjunto con ARS SENASA la charla de “Prevención Cáncer de mama” en la cual participaron 24 colaboradores. También se realizó una jornada de sonomamografía para afiliados de SENASA en la que participaron 25 colaboradores.</w:t>
      </w:r>
    </w:p>
    <w:p w14:paraId="46CFA50C" w14:textId="77777777" w:rsidR="002030EE" w:rsidRDefault="002030EE" w:rsidP="00D467CA">
      <w:pPr>
        <w:spacing w:line="360" w:lineRule="auto"/>
        <w:jc w:val="both"/>
        <w:rPr>
          <w:lang w:val="es-DO"/>
        </w:rPr>
      </w:pPr>
      <w:r w:rsidRPr="001E5C11">
        <w:rPr>
          <w:lang w:val="es-DO"/>
        </w:rPr>
        <w:lastRenderedPageBreak/>
        <w:t>Preocupados por el cuidado de la salud de nuestros colaboradores, se gestionó en el mes de noviembre la Jornada de Azúcar en equilibrio en coordinación con ARS Mapfre. Participaron 78 colaboradores y la evaluación incluía:</w:t>
      </w:r>
    </w:p>
    <w:p w14:paraId="26FB97A6" w14:textId="77777777" w:rsidR="002030EE" w:rsidRPr="003A6A45" w:rsidRDefault="002030EE" w:rsidP="00D467CA">
      <w:pPr>
        <w:pStyle w:val="ListParagraph"/>
        <w:numPr>
          <w:ilvl w:val="0"/>
          <w:numId w:val="30"/>
        </w:numPr>
        <w:spacing w:after="0" w:line="360" w:lineRule="auto"/>
        <w:rPr>
          <w:rFonts w:ascii="Times New Roman" w:eastAsiaTheme="minorHAnsi" w:hAnsi="Times New Roman"/>
          <w:color w:val="767171"/>
          <w:spacing w:val="20"/>
          <w:sz w:val="24"/>
          <w:szCs w:val="24"/>
        </w:rPr>
      </w:pPr>
      <w:r w:rsidRPr="003A6A45">
        <w:rPr>
          <w:rFonts w:ascii="Times New Roman" w:eastAsiaTheme="minorHAnsi" w:hAnsi="Times New Roman"/>
          <w:color w:val="767171"/>
          <w:spacing w:val="20"/>
          <w:sz w:val="24"/>
          <w:szCs w:val="24"/>
        </w:rPr>
        <w:t>Antecedentes Familiares</w:t>
      </w:r>
    </w:p>
    <w:p w14:paraId="1CF5906D" w14:textId="77777777" w:rsidR="002030EE" w:rsidRPr="003A6A45" w:rsidRDefault="002030EE" w:rsidP="00D467CA">
      <w:pPr>
        <w:pStyle w:val="ListParagraph"/>
        <w:numPr>
          <w:ilvl w:val="0"/>
          <w:numId w:val="30"/>
        </w:numPr>
        <w:spacing w:after="0" w:line="360" w:lineRule="auto"/>
        <w:rPr>
          <w:rFonts w:ascii="Times New Roman" w:eastAsiaTheme="minorHAnsi" w:hAnsi="Times New Roman"/>
          <w:color w:val="767171"/>
          <w:spacing w:val="20"/>
          <w:sz w:val="24"/>
          <w:szCs w:val="24"/>
        </w:rPr>
      </w:pPr>
      <w:r w:rsidRPr="003A6A45">
        <w:rPr>
          <w:rFonts w:ascii="Times New Roman" w:eastAsiaTheme="minorHAnsi" w:hAnsi="Times New Roman"/>
          <w:color w:val="767171"/>
          <w:spacing w:val="20"/>
          <w:sz w:val="24"/>
          <w:szCs w:val="24"/>
        </w:rPr>
        <w:t>Toma de Glicemia</w:t>
      </w:r>
    </w:p>
    <w:p w14:paraId="13B26644" w14:textId="77777777" w:rsidR="002030EE" w:rsidRPr="003A6A45" w:rsidRDefault="002030EE" w:rsidP="00D467CA">
      <w:pPr>
        <w:pStyle w:val="ListParagraph"/>
        <w:numPr>
          <w:ilvl w:val="0"/>
          <w:numId w:val="30"/>
        </w:numPr>
        <w:spacing w:after="0" w:line="360" w:lineRule="auto"/>
        <w:rPr>
          <w:rFonts w:ascii="Times New Roman" w:eastAsiaTheme="minorHAnsi" w:hAnsi="Times New Roman"/>
          <w:color w:val="767171"/>
          <w:spacing w:val="20"/>
          <w:sz w:val="24"/>
          <w:szCs w:val="24"/>
        </w:rPr>
      </w:pPr>
      <w:r w:rsidRPr="003A6A45">
        <w:rPr>
          <w:rFonts w:ascii="Times New Roman" w:eastAsiaTheme="minorHAnsi" w:hAnsi="Times New Roman"/>
          <w:color w:val="767171"/>
          <w:spacing w:val="20"/>
          <w:sz w:val="24"/>
          <w:szCs w:val="24"/>
        </w:rPr>
        <w:t>Examen físico</w:t>
      </w:r>
    </w:p>
    <w:p w14:paraId="3E09E8D0" w14:textId="77777777" w:rsidR="002030EE" w:rsidRPr="003A6A45" w:rsidRDefault="002030EE" w:rsidP="00D467CA">
      <w:pPr>
        <w:pStyle w:val="ListParagraph"/>
        <w:numPr>
          <w:ilvl w:val="0"/>
          <w:numId w:val="30"/>
        </w:numPr>
        <w:spacing w:after="0" w:line="360" w:lineRule="auto"/>
        <w:rPr>
          <w:rFonts w:ascii="Times New Roman" w:eastAsiaTheme="minorHAnsi" w:hAnsi="Times New Roman"/>
          <w:color w:val="767171"/>
          <w:spacing w:val="20"/>
          <w:sz w:val="24"/>
          <w:szCs w:val="24"/>
        </w:rPr>
      </w:pPr>
      <w:r w:rsidRPr="003A6A45">
        <w:rPr>
          <w:rFonts w:ascii="Times New Roman" w:eastAsiaTheme="minorHAnsi" w:hAnsi="Times New Roman"/>
          <w:color w:val="767171"/>
          <w:spacing w:val="20"/>
          <w:sz w:val="24"/>
          <w:szCs w:val="24"/>
        </w:rPr>
        <w:t>Medición presión corporal</w:t>
      </w:r>
    </w:p>
    <w:p w14:paraId="1D35508D" w14:textId="77777777" w:rsidR="002030EE" w:rsidRPr="003A6A45" w:rsidRDefault="002030EE" w:rsidP="00D467CA">
      <w:pPr>
        <w:pStyle w:val="ListParagraph"/>
        <w:numPr>
          <w:ilvl w:val="0"/>
          <w:numId w:val="30"/>
        </w:numPr>
        <w:spacing w:after="0" w:line="360" w:lineRule="auto"/>
        <w:rPr>
          <w:rFonts w:ascii="Times New Roman" w:eastAsiaTheme="minorHAnsi" w:hAnsi="Times New Roman"/>
          <w:color w:val="767171"/>
          <w:spacing w:val="20"/>
          <w:sz w:val="24"/>
          <w:szCs w:val="24"/>
        </w:rPr>
      </w:pPr>
      <w:r w:rsidRPr="003A6A45">
        <w:rPr>
          <w:rFonts w:ascii="Times New Roman" w:eastAsiaTheme="minorHAnsi" w:hAnsi="Times New Roman"/>
          <w:color w:val="767171"/>
          <w:spacing w:val="20"/>
          <w:sz w:val="24"/>
          <w:szCs w:val="24"/>
        </w:rPr>
        <w:t>Ficha personal para seguimiento</w:t>
      </w:r>
    </w:p>
    <w:p w14:paraId="215FF4A9" w14:textId="77777777" w:rsidR="002030EE" w:rsidRPr="001E5C11" w:rsidRDefault="002030EE" w:rsidP="00D467CA">
      <w:pPr>
        <w:spacing w:after="0" w:line="360" w:lineRule="auto"/>
        <w:jc w:val="both"/>
        <w:rPr>
          <w:lang w:val="es-DO"/>
        </w:rPr>
      </w:pPr>
    </w:p>
    <w:p w14:paraId="7939BD26" w14:textId="77777777" w:rsidR="002030EE" w:rsidRPr="0071051D" w:rsidRDefault="002030EE" w:rsidP="00D467CA">
      <w:pPr>
        <w:spacing w:line="360" w:lineRule="auto"/>
        <w:jc w:val="both"/>
        <w:rPr>
          <w:lang w:val="es-DO"/>
        </w:rPr>
      </w:pPr>
      <w:r w:rsidRPr="0071051D">
        <w:rPr>
          <w:lang w:val="es-DO"/>
        </w:rPr>
        <w:t xml:space="preserve">El viernes 29 de </w:t>
      </w:r>
      <w:r>
        <w:rPr>
          <w:lang w:val="es-DO"/>
        </w:rPr>
        <w:t>noviembre</w:t>
      </w:r>
      <w:r w:rsidRPr="0071051D">
        <w:rPr>
          <w:lang w:val="es-DO"/>
        </w:rPr>
        <w:t xml:space="preserve"> con la finalidad de promover el trabajo en equipo y la unidad departamental nos celebramos nuestra marca país como seguidores del beisbol y todos los colaboradores fueron invitados para asistir con el vestuario que represente a su equipo favorito.</w:t>
      </w:r>
    </w:p>
    <w:p w14:paraId="18A097C9" w14:textId="2E7031F2" w:rsidR="00972A03" w:rsidRPr="00525477" w:rsidRDefault="00972A03" w:rsidP="00551CC3">
      <w:pPr>
        <w:pStyle w:val="Heading1"/>
        <w:spacing w:after="240"/>
        <w:jc w:val="both"/>
        <w:rPr>
          <w:spacing w:val="0"/>
          <w:lang w:val="es-DO"/>
        </w:rPr>
      </w:pPr>
      <w:bookmarkStart w:id="167" w:name="_Toc154736728"/>
      <w:bookmarkStart w:id="168" w:name="_Toc185245105"/>
      <w:r w:rsidRPr="00525477">
        <w:rPr>
          <w:spacing w:val="0"/>
          <w:lang w:val="es-DO"/>
        </w:rPr>
        <w:t>4.3 Desempeño de los Procesos Jurídicos</w:t>
      </w:r>
      <w:bookmarkEnd w:id="167"/>
      <w:bookmarkEnd w:id="168"/>
    </w:p>
    <w:p w14:paraId="503EDC3C" w14:textId="77777777" w:rsidR="005D0EE4" w:rsidRPr="00F20655" w:rsidRDefault="005D0EE4" w:rsidP="0011472E">
      <w:pPr>
        <w:spacing w:before="240" w:line="360" w:lineRule="auto"/>
        <w:rPr>
          <w:b/>
          <w:bCs/>
          <w:lang w:val="es-DO"/>
        </w:rPr>
      </w:pPr>
      <w:bookmarkStart w:id="169" w:name="_Toc171677854"/>
      <w:bookmarkStart w:id="170" w:name="_Toc172118671"/>
      <w:bookmarkStart w:id="171" w:name="_Toc172119864"/>
      <w:bookmarkStart w:id="172" w:name="_Toc172120197"/>
      <w:bookmarkStart w:id="173" w:name="_Toc172121415"/>
      <w:r w:rsidRPr="00F20655">
        <w:rPr>
          <w:b/>
          <w:bCs/>
          <w:lang w:val="es-DO"/>
        </w:rPr>
        <w:t>Acuerdos de Pago</w:t>
      </w:r>
      <w:bookmarkEnd w:id="169"/>
      <w:bookmarkEnd w:id="170"/>
      <w:bookmarkEnd w:id="171"/>
      <w:bookmarkEnd w:id="172"/>
      <w:bookmarkEnd w:id="173"/>
      <w:r w:rsidRPr="00F20655">
        <w:rPr>
          <w:b/>
          <w:bCs/>
          <w:lang w:val="es-DO"/>
        </w:rPr>
        <w:t xml:space="preserve"> y Contratos</w:t>
      </w:r>
      <w:bookmarkStart w:id="174" w:name="_Hlk184714216"/>
    </w:p>
    <w:p w14:paraId="40822176" w14:textId="67480042" w:rsidR="005D0EE4" w:rsidRPr="009978F6" w:rsidRDefault="005D0EE4" w:rsidP="0011472E">
      <w:pPr>
        <w:spacing w:before="240" w:line="360" w:lineRule="auto"/>
        <w:jc w:val="both"/>
        <w:rPr>
          <w:lang w:val="es-DO"/>
        </w:rPr>
      </w:pPr>
      <w:r w:rsidRPr="005D0EE4">
        <w:rPr>
          <w:lang w:val="es-DO"/>
        </w:rPr>
        <w:t xml:space="preserve">Al mes de noviembre 2024, la Dirección Jurídica a través de la División de Acuerdos de Pago del Departamento de Elaboración de Documentos Legales, generó 1,249 nuevos acuerdos de pago a empleadores con atrasos en sus obligaciones de pago al Sistema Dominicano de Seguridad Social (SDSS), así también, gestionó una cartera de cobranzas de 4,205 acuerdos incumplidos de éste y otros periodos. </w:t>
      </w:r>
    </w:p>
    <w:p w14:paraId="5B4A845B" w14:textId="780B0ABA" w:rsidR="005D0EE4" w:rsidRPr="009978F6" w:rsidRDefault="005D0EE4" w:rsidP="0011472E">
      <w:pPr>
        <w:spacing w:before="240" w:line="360" w:lineRule="auto"/>
        <w:jc w:val="both"/>
        <w:rPr>
          <w:lang w:val="es-DO"/>
        </w:rPr>
      </w:pPr>
      <w:r w:rsidRPr="009978F6">
        <w:rPr>
          <w:lang w:val="es-DO"/>
        </w:rPr>
        <w:t xml:space="preserve">Al cierre de este año, el recaudo por concepto de acuerdos de pago alcanzó una cifra aproximada de 400 Millones de </w:t>
      </w:r>
      <w:r w:rsidR="006D7301" w:rsidRPr="009978F6">
        <w:rPr>
          <w:lang w:val="es-DO"/>
        </w:rPr>
        <w:t>pesos</w:t>
      </w:r>
      <w:r w:rsidRPr="009978F6">
        <w:rPr>
          <w:lang w:val="es-DO"/>
        </w:rPr>
        <w:t xml:space="preserve">, lo que comparado al cierre del año 2023 representó un aumento superior a los 50 Millones de </w:t>
      </w:r>
      <w:r w:rsidR="00BA45A8" w:rsidRPr="009978F6">
        <w:rPr>
          <w:lang w:val="es-DO"/>
        </w:rPr>
        <w:t>pesos</w:t>
      </w:r>
      <w:r w:rsidRPr="009978F6">
        <w:rPr>
          <w:lang w:val="es-DO"/>
        </w:rPr>
        <w:t xml:space="preserve">. </w:t>
      </w:r>
    </w:p>
    <w:p w14:paraId="54C484C1" w14:textId="02C18F8A" w:rsidR="005D0EE4" w:rsidRPr="009978F6" w:rsidRDefault="005D0EE4" w:rsidP="0011472E">
      <w:pPr>
        <w:spacing w:before="240" w:line="360" w:lineRule="auto"/>
        <w:jc w:val="both"/>
        <w:rPr>
          <w:lang w:val="es-DO"/>
        </w:rPr>
      </w:pPr>
      <w:r w:rsidRPr="00ED09EE">
        <w:rPr>
          <w:lang w:val="es-DO"/>
        </w:rPr>
        <w:lastRenderedPageBreak/>
        <w:t xml:space="preserve">Mediante esta modalidad de pago concedida por la Tesorería de la Seguridad Social (TSS) a los empleadores, miles de trabajadores dominicanos lograron acceder nuevamente a los derechos y beneficios que brindan el Seguro de Riesgos Laborales, el Seguro de Vejez, Discapacidad y </w:t>
      </w:r>
      <w:r w:rsidR="00551CC3" w:rsidRPr="00ED09EE">
        <w:rPr>
          <w:lang w:val="es-DO"/>
        </w:rPr>
        <w:t>Sobrevivencia</w:t>
      </w:r>
      <w:r w:rsidRPr="00ED09EE">
        <w:rPr>
          <w:lang w:val="es-DO"/>
        </w:rPr>
        <w:t xml:space="preserve"> (pensiones) y muy especialmente el acceso a los servicios de salud a través del Seguro Familiar de Salud (SFS).</w:t>
      </w:r>
    </w:p>
    <w:p w14:paraId="1225B6F5" w14:textId="2D5914C8" w:rsidR="005D0EE4" w:rsidRPr="009978F6" w:rsidRDefault="005D0EE4" w:rsidP="0011472E">
      <w:pPr>
        <w:spacing w:before="240" w:line="360" w:lineRule="auto"/>
        <w:jc w:val="both"/>
        <w:rPr>
          <w:lang w:val="es-DO"/>
        </w:rPr>
      </w:pPr>
      <w:r w:rsidRPr="00ED09EE">
        <w:rPr>
          <w:lang w:val="es-DO"/>
        </w:rPr>
        <w:t xml:space="preserve">Por otro lado, el Departamento ha tramitado y ejecutado un total de 103 Contratos y la gestión </w:t>
      </w:r>
      <w:r w:rsidR="00551CC3" w:rsidRPr="00ED09EE">
        <w:rPr>
          <w:lang w:val="es-DO"/>
        </w:rPr>
        <w:t>exitosa</w:t>
      </w:r>
      <w:r w:rsidRPr="00ED09EE">
        <w:rPr>
          <w:lang w:val="es-DO"/>
        </w:rPr>
        <w:t xml:space="preserve"> de 91 certificaciones de éstos en la Contraloría General de la República.</w:t>
      </w:r>
    </w:p>
    <w:p w14:paraId="7828F8D5" w14:textId="77777777" w:rsidR="005D0EE4" w:rsidRPr="009978F6" w:rsidRDefault="005D0EE4" w:rsidP="0011472E">
      <w:pPr>
        <w:spacing w:before="240" w:line="360" w:lineRule="auto"/>
        <w:jc w:val="both"/>
        <w:rPr>
          <w:lang w:val="es-DO"/>
        </w:rPr>
      </w:pPr>
      <w:r w:rsidRPr="009978F6">
        <w:rPr>
          <w:b/>
          <w:bCs/>
          <w:lang w:val="es-DO"/>
        </w:rPr>
        <w:t>Convenios Interinstitucionales</w:t>
      </w:r>
      <w:r w:rsidRPr="009978F6">
        <w:rPr>
          <w:lang w:val="es-DO"/>
        </w:rPr>
        <w:t>:</w:t>
      </w:r>
    </w:p>
    <w:p w14:paraId="02C24FEB" w14:textId="77777777" w:rsidR="005D0EE4" w:rsidRPr="0011472E" w:rsidRDefault="005D0EE4" w:rsidP="0011472E">
      <w:pPr>
        <w:pStyle w:val="ListParagraph"/>
        <w:numPr>
          <w:ilvl w:val="0"/>
          <w:numId w:val="46"/>
        </w:numPr>
        <w:spacing w:before="240" w:after="240" w:line="360" w:lineRule="auto"/>
        <w:ind w:left="630"/>
        <w:rPr>
          <w:rFonts w:ascii="Times New Roman" w:hAnsi="Times New Roman"/>
          <w:color w:val="767171"/>
          <w:spacing w:val="20"/>
          <w:sz w:val="24"/>
          <w:szCs w:val="24"/>
        </w:rPr>
      </w:pPr>
      <w:r w:rsidRPr="0011472E">
        <w:rPr>
          <w:rFonts w:ascii="Times New Roman" w:hAnsi="Times New Roman"/>
          <w:color w:val="767171"/>
          <w:spacing w:val="20"/>
          <w:sz w:val="24"/>
          <w:szCs w:val="24"/>
        </w:rPr>
        <w:t>Acuerdo de Colaboración, suscrito entre la Universidad Nacional Pedro Henríquez Ureña (UNPHU) y la Tesorería de la Seguridad Social (TSS), en fecha veintidós (22) de enero del año dos mil veinticuatro (2024).</w:t>
      </w:r>
    </w:p>
    <w:p w14:paraId="7380AC4E" w14:textId="77777777" w:rsidR="005D0EE4" w:rsidRPr="0011472E" w:rsidRDefault="005D0EE4" w:rsidP="0011472E">
      <w:pPr>
        <w:pStyle w:val="ListParagraph"/>
        <w:numPr>
          <w:ilvl w:val="0"/>
          <w:numId w:val="46"/>
        </w:numPr>
        <w:spacing w:before="240" w:after="240" w:line="360" w:lineRule="auto"/>
        <w:ind w:left="630"/>
        <w:rPr>
          <w:rFonts w:ascii="Times New Roman" w:hAnsi="Times New Roman"/>
          <w:color w:val="767171"/>
          <w:spacing w:val="20"/>
          <w:sz w:val="24"/>
          <w:szCs w:val="24"/>
        </w:rPr>
      </w:pPr>
      <w:r w:rsidRPr="0011472E">
        <w:rPr>
          <w:rFonts w:ascii="Times New Roman" w:hAnsi="Times New Roman"/>
          <w:color w:val="767171"/>
          <w:spacing w:val="20"/>
          <w:sz w:val="24"/>
          <w:szCs w:val="24"/>
        </w:rPr>
        <w:t>Acuerdo de Colaboración, suscrito entre el Centro Nacional de Ciberseguridad (CNCS) y la Tesorería de la Seguridad Social (TSS), en fecha siete (07) de marzo del año dos mil veinticuatro (2024).</w:t>
      </w:r>
    </w:p>
    <w:p w14:paraId="2A5F268C" w14:textId="77777777" w:rsidR="005D0EE4" w:rsidRPr="0011472E" w:rsidRDefault="005D0EE4" w:rsidP="0011472E">
      <w:pPr>
        <w:pStyle w:val="ListParagraph"/>
        <w:numPr>
          <w:ilvl w:val="0"/>
          <w:numId w:val="46"/>
        </w:numPr>
        <w:spacing w:before="240" w:after="240" w:line="360" w:lineRule="auto"/>
        <w:ind w:left="630"/>
        <w:rPr>
          <w:rFonts w:ascii="Times New Roman" w:hAnsi="Times New Roman"/>
          <w:color w:val="767171"/>
          <w:spacing w:val="20"/>
          <w:sz w:val="24"/>
          <w:szCs w:val="24"/>
        </w:rPr>
      </w:pPr>
      <w:r w:rsidRPr="0011472E">
        <w:rPr>
          <w:rFonts w:ascii="Times New Roman" w:hAnsi="Times New Roman"/>
          <w:color w:val="767171"/>
          <w:spacing w:val="20"/>
          <w:sz w:val="24"/>
          <w:szCs w:val="24"/>
        </w:rPr>
        <w:t>Acuerdo de Colaboración, suscrito entre el Banco de Reservas de la República Dominicana (Banreservas) y la Tesorería de la Seguridad Social (TSS), en fecha primero (01) de abril del año dos mil veinticuatro (2024).</w:t>
      </w:r>
    </w:p>
    <w:p w14:paraId="1F569D28" w14:textId="77777777" w:rsidR="005D0EE4" w:rsidRPr="0011472E" w:rsidRDefault="005D0EE4" w:rsidP="0011472E">
      <w:pPr>
        <w:pStyle w:val="ListParagraph"/>
        <w:numPr>
          <w:ilvl w:val="0"/>
          <w:numId w:val="46"/>
        </w:numPr>
        <w:spacing w:before="240" w:after="240" w:line="360" w:lineRule="auto"/>
        <w:ind w:left="630"/>
        <w:rPr>
          <w:rFonts w:ascii="Times New Roman" w:hAnsi="Times New Roman"/>
          <w:color w:val="767171"/>
          <w:spacing w:val="20"/>
          <w:sz w:val="24"/>
          <w:szCs w:val="24"/>
        </w:rPr>
      </w:pPr>
      <w:r w:rsidRPr="0011472E">
        <w:rPr>
          <w:rFonts w:ascii="Times New Roman" w:hAnsi="Times New Roman"/>
          <w:color w:val="767171"/>
          <w:spacing w:val="20"/>
          <w:sz w:val="24"/>
          <w:szCs w:val="24"/>
        </w:rPr>
        <w:t>Acuerdo de Servicios, suscrito entre el Instituto Nacional de Administración Pública (INAP) y la Tesorería de la Seguridad Social (TSS), en fecha doce (12) de abril del año dos mil veinticuatro (2024).</w:t>
      </w:r>
    </w:p>
    <w:p w14:paraId="58D7C845" w14:textId="77777777" w:rsidR="005D0EE4" w:rsidRPr="0011472E" w:rsidRDefault="005D0EE4" w:rsidP="0011472E">
      <w:pPr>
        <w:pStyle w:val="ListParagraph"/>
        <w:numPr>
          <w:ilvl w:val="0"/>
          <w:numId w:val="46"/>
        </w:numPr>
        <w:spacing w:before="240" w:after="240" w:line="360" w:lineRule="auto"/>
        <w:ind w:left="630"/>
        <w:rPr>
          <w:rFonts w:ascii="Times New Roman" w:hAnsi="Times New Roman"/>
          <w:color w:val="767171"/>
          <w:spacing w:val="20"/>
          <w:sz w:val="24"/>
          <w:szCs w:val="24"/>
        </w:rPr>
      </w:pPr>
      <w:r w:rsidRPr="0011472E">
        <w:rPr>
          <w:rFonts w:ascii="Times New Roman" w:hAnsi="Times New Roman"/>
          <w:color w:val="767171"/>
          <w:spacing w:val="20"/>
          <w:sz w:val="24"/>
          <w:szCs w:val="24"/>
        </w:rPr>
        <w:t xml:space="preserve">Acuerdo de Servicios, suscrito entre el Banco de Reservas de la República Dominicana (Banreservas) y la Tesorería de la </w:t>
      </w:r>
      <w:r w:rsidRPr="0011472E">
        <w:rPr>
          <w:rFonts w:ascii="Times New Roman" w:hAnsi="Times New Roman"/>
          <w:color w:val="767171"/>
          <w:spacing w:val="20"/>
          <w:sz w:val="24"/>
          <w:szCs w:val="24"/>
        </w:rPr>
        <w:lastRenderedPageBreak/>
        <w:t>Seguridad Social (TSS), en fecha veintisiete (27) de agosto del año dos mil veinticuatro (2024).</w:t>
      </w:r>
    </w:p>
    <w:p w14:paraId="692AD681" w14:textId="77777777" w:rsidR="005D0EE4" w:rsidRPr="0011472E" w:rsidRDefault="005D0EE4" w:rsidP="0011472E">
      <w:pPr>
        <w:pStyle w:val="ListParagraph"/>
        <w:numPr>
          <w:ilvl w:val="0"/>
          <w:numId w:val="46"/>
        </w:numPr>
        <w:spacing w:before="240" w:after="240" w:line="360" w:lineRule="auto"/>
        <w:ind w:left="630"/>
        <w:rPr>
          <w:rFonts w:ascii="Times New Roman" w:hAnsi="Times New Roman"/>
          <w:color w:val="767171"/>
          <w:spacing w:val="20"/>
          <w:sz w:val="24"/>
          <w:szCs w:val="24"/>
        </w:rPr>
      </w:pPr>
      <w:r w:rsidRPr="0011472E">
        <w:rPr>
          <w:rFonts w:ascii="Times New Roman" w:hAnsi="Times New Roman"/>
          <w:color w:val="767171"/>
          <w:spacing w:val="20"/>
          <w:sz w:val="24"/>
          <w:szCs w:val="24"/>
        </w:rPr>
        <w:t>Acuerdo de Colaboración, suscrito entre el Banco Múltiple BHD, S.A., y la Tesorería de la Seguridad Social (TSS), en fecha veinte (20) de septiembre del año dos mil veinticuatro (2024).</w:t>
      </w:r>
    </w:p>
    <w:p w14:paraId="7CE0CA9D" w14:textId="337579E5" w:rsidR="005D0EE4" w:rsidRPr="00F20655" w:rsidRDefault="005D0EE4" w:rsidP="0011472E">
      <w:pPr>
        <w:spacing w:before="240" w:line="360" w:lineRule="auto"/>
        <w:rPr>
          <w:b/>
          <w:bCs/>
          <w:lang w:val="es-DO"/>
        </w:rPr>
      </w:pPr>
      <w:r w:rsidRPr="00F20655">
        <w:rPr>
          <w:b/>
          <w:bCs/>
          <w:lang w:val="es-DO"/>
        </w:rPr>
        <w:t>Cobros Persuasivos y Compulsivos</w:t>
      </w:r>
    </w:p>
    <w:p w14:paraId="7FBEFA85" w14:textId="3D0D8974" w:rsidR="005D0EE4" w:rsidRPr="009978F6" w:rsidRDefault="005D0EE4" w:rsidP="0011472E">
      <w:pPr>
        <w:pStyle w:val="NormalWeb"/>
        <w:spacing w:before="240" w:beforeAutospacing="0" w:after="240" w:afterAutospacing="0" w:line="360" w:lineRule="auto"/>
        <w:jc w:val="both"/>
        <w:rPr>
          <w:rFonts w:eastAsiaTheme="minorHAnsi"/>
          <w:color w:val="767171"/>
          <w:spacing w:val="20"/>
        </w:rPr>
      </w:pPr>
      <w:r w:rsidRPr="009978F6">
        <w:rPr>
          <w:rFonts w:eastAsiaTheme="minorHAnsi"/>
          <w:color w:val="767171"/>
          <w:spacing w:val="20"/>
        </w:rPr>
        <w:t xml:space="preserve">En apoyo al proceso del recaudo de las obligaciones de empleadores con la Seguridad Social, </w:t>
      </w:r>
      <w:r w:rsidR="007A4515" w:rsidRPr="009978F6">
        <w:rPr>
          <w:rFonts w:eastAsiaTheme="minorHAnsi"/>
          <w:color w:val="767171"/>
          <w:spacing w:val="20"/>
        </w:rPr>
        <w:t xml:space="preserve">al </w:t>
      </w:r>
      <w:r w:rsidRPr="009978F6">
        <w:rPr>
          <w:rFonts w:eastAsiaTheme="minorHAnsi"/>
          <w:color w:val="767171"/>
          <w:spacing w:val="20"/>
        </w:rPr>
        <w:t>cierre del mes de noviembre los montos recuperados en la gestión de cobranza ascendieron a un total de Treinta y Dos Mil Cuatrocientos Veintidós Millones Ochocientos Sesenta y Siete Mil Quinientos Cinco Pesos Dominicanos con 09/100 (RD$32,422,867,505.09),con un total de 240,588 notificaciones en atraso pagadas, lo que representa un incremento de más de Tres Mil Quinientos Millones de Pesos, en comparaci</w:t>
      </w:r>
      <w:r w:rsidR="00150BB3" w:rsidRPr="009978F6">
        <w:rPr>
          <w:rFonts w:eastAsiaTheme="minorHAnsi"/>
          <w:color w:val="767171"/>
          <w:spacing w:val="20"/>
        </w:rPr>
        <w:t>ó</w:t>
      </w:r>
      <w:r w:rsidRPr="009978F6">
        <w:rPr>
          <w:rFonts w:eastAsiaTheme="minorHAnsi"/>
          <w:color w:val="767171"/>
          <w:spacing w:val="20"/>
        </w:rPr>
        <w:t>n a lo recaudado en el año 2023, a saber, Veintiocho Mil Novecientos Ochenta y Cinco Millones Doscientos Cuarenta y Dos Mil Cuarenta y Cuatro Pesos Dominicanos con 01/100 (RD$28,985,242,044.01).</w:t>
      </w:r>
    </w:p>
    <w:p w14:paraId="5B0ED29D" w14:textId="77777777" w:rsidR="005D0EE4" w:rsidRPr="00F20655" w:rsidRDefault="005D0EE4" w:rsidP="0011472E">
      <w:pPr>
        <w:spacing w:before="240" w:line="360" w:lineRule="auto"/>
        <w:rPr>
          <w:b/>
          <w:bCs/>
          <w:lang w:val="es-DO"/>
        </w:rPr>
      </w:pPr>
      <w:r w:rsidRPr="00F20655">
        <w:rPr>
          <w:b/>
          <w:bCs/>
          <w:lang w:val="es-DO"/>
        </w:rPr>
        <w:t>Denuncias Casos de Fraude</w:t>
      </w:r>
    </w:p>
    <w:p w14:paraId="62B2AA93" w14:textId="64A3B8FD" w:rsidR="005D0EE4" w:rsidRPr="00235582" w:rsidRDefault="005D0EE4" w:rsidP="0011472E">
      <w:pPr>
        <w:spacing w:before="240" w:after="0" w:line="360" w:lineRule="auto"/>
        <w:jc w:val="both"/>
        <w:rPr>
          <w:lang w:val="es-DO"/>
        </w:rPr>
      </w:pPr>
      <w:r w:rsidRPr="00235582">
        <w:rPr>
          <w:lang w:val="es-DO"/>
        </w:rPr>
        <w:t xml:space="preserve">En este año, producto de las labores de fiscalización y auditoria a los </w:t>
      </w:r>
      <w:r w:rsidR="0011472E" w:rsidRPr="00235582">
        <w:rPr>
          <w:lang w:val="es-DO"/>
        </w:rPr>
        <w:t>empleadores, 101</w:t>
      </w:r>
      <w:r w:rsidRPr="00235582">
        <w:rPr>
          <w:lang w:val="es-DO"/>
        </w:rPr>
        <w:t xml:space="preserve"> informes asociados a presuntos fraudes, en perjuicio del Seguro Familiar de Salud del Régimen Contributivo del Sistema Dominicano de Seguridad Social (SDSS). </w:t>
      </w:r>
    </w:p>
    <w:p w14:paraId="7B46A590" w14:textId="77FCC0E9" w:rsidR="005D0EE4" w:rsidRPr="00235582" w:rsidRDefault="005D0EE4" w:rsidP="0011472E">
      <w:pPr>
        <w:spacing w:before="240" w:after="0" w:line="360" w:lineRule="auto"/>
        <w:jc w:val="both"/>
        <w:rPr>
          <w:lang w:val="es-DO"/>
        </w:rPr>
      </w:pPr>
      <w:r w:rsidRPr="00235582">
        <w:rPr>
          <w:lang w:val="es-DO"/>
        </w:rPr>
        <w:t xml:space="preserve">Al cierre del mes de noviembre estos expedientes fueron depositados ante la Procuraduría General de la República (PGR), más 2 casos pendientes del periodo 2023, totalizando 103 denuncias, las cuales se asocian a un registro irregular que involucra 15,272 personas como supuestos trabajadores, lo que se </w:t>
      </w:r>
      <w:r w:rsidRPr="00235582">
        <w:rPr>
          <w:lang w:val="es-DO"/>
        </w:rPr>
        <w:lastRenderedPageBreak/>
        <w:t>traduce en una pérdida económica detectada que ascendió a los Sesenta y Seis Millones de Pesos Dominicanos con 00/100 (RD$66,000,000.00), por concepto de pagos de per-cápita a las Administradoras de Riesgos de Salud (ARS), resultando en la persecución de los empleadores, sus representantes y trabajadores involucrados.</w:t>
      </w:r>
    </w:p>
    <w:p w14:paraId="604A6F2F" w14:textId="77777777" w:rsidR="005D0EE4" w:rsidRPr="00235582" w:rsidRDefault="005D0EE4" w:rsidP="0011472E">
      <w:pPr>
        <w:spacing w:before="240" w:after="0" w:line="360" w:lineRule="auto"/>
        <w:jc w:val="both"/>
        <w:rPr>
          <w:lang w:val="es-DO"/>
        </w:rPr>
      </w:pPr>
      <w:r w:rsidRPr="00235582">
        <w:rPr>
          <w:lang w:val="es-DO"/>
        </w:rPr>
        <w:t>Con la modificación de la Ley 87-01 en el año 2020 que otorga personería jurídica a la TSS, se ha apoderado al Ministerio Público de un total de 333 denuncias que se encuentran en proceso de investigación por el equipo de Fiscales asignados.</w:t>
      </w:r>
    </w:p>
    <w:p w14:paraId="487171F8" w14:textId="13DF82C1" w:rsidR="005D0EE4" w:rsidRPr="00F20655" w:rsidRDefault="005D0EE4" w:rsidP="0011472E">
      <w:pPr>
        <w:spacing w:before="240" w:line="360" w:lineRule="auto"/>
        <w:rPr>
          <w:b/>
          <w:bCs/>
          <w:lang w:val="es-DO"/>
        </w:rPr>
      </w:pPr>
      <w:bookmarkStart w:id="175" w:name="_Toc171677857"/>
      <w:bookmarkStart w:id="176" w:name="_Toc172118674"/>
      <w:bookmarkStart w:id="177" w:name="_Toc172119867"/>
      <w:bookmarkStart w:id="178" w:name="_Toc172120200"/>
      <w:bookmarkStart w:id="179" w:name="_Toc172121418"/>
      <w:r w:rsidRPr="00F20655">
        <w:rPr>
          <w:b/>
          <w:bCs/>
          <w:lang w:val="es-DO"/>
        </w:rPr>
        <w:t>Intimaciones de pago</w:t>
      </w:r>
      <w:bookmarkEnd w:id="175"/>
      <w:bookmarkEnd w:id="176"/>
      <w:bookmarkEnd w:id="177"/>
      <w:bookmarkEnd w:id="178"/>
      <w:bookmarkEnd w:id="179"/>
      <w:r w:rsidRPr="00F20655">
        <w:rPr>
          <w:b/>
          <w:bCs/>
          <w:lang w:val="es-DO"/>
        </w:rPr>
        <w:t xml:space="preserve"> </w:t>
      </w:r>
    </w:p>
    <w:p w14:paraId="577507B4" w14:textId="5DD367C1" w:rsidR="005D0EE4" w:rsidRPr="00235582" w:rsidRDefault="005D0EE4" w:rsidP="0011472E">
      <w:pPr>
        <w:spacing w:before="240" w:after="0" w:line="360" w:lineRule="auto"/>
        <w:jc w:val="both"/>
        <w:rPr>
          <w:lang w:val="es-DO"/>
        </w:rPr>
      </w:pPr>
      <w:r w:rsidRPr="00235582">
        <w:rPr>
          <w:lang w:val="es-DO"/>
        </w:rPr>
        <w:t xml:space="preserve">Durante el periodo enero – noviembre del año en curso, se han elaborado 1,124 intimaciones de pago a empleadores morosos en el Gran Santo Domingo, San Cristóbal, San Pedro de Macorís, La Vega y Santiago. Como resultado de estas acciones, se ha logrado recuperar cerca de Veintisiete Millones de </w:t>
      </w:r>
      <w:r w:rsidR="0011472E" w:rsidRPr="00235582">
        <w:rPr>
          <w:lang w:val="es-DO"/>
        </w:rPr>
        <w:t>pesos dominicanos</w:t>
      </w:r>
      <w:r w:rsidRPr="00235582">
        <w:rPr>
          <w:lang w:val="es-DO"/>
        </w:rPr>
        <w:t xml:space="preserve">, gracias al saldo de la deuda y a los acuerdos de pago </w:t>
      </w:r>
      <w:r w:rsidR="0011472E" w:rsidRPr="00235582">
        <w:rPr>
          <w:lang w:val="es-DO"/>
        </w:rPr>
        <w:t>suscritos</w:t>
      </w:r>
      <w:r w:rsidRPr="00235582">
        <w:rPr>
          <w:lang w:val="es-DO"/>
        </w:rPr>
        <w:t xml:space="preserve"> por los empleadores que presentaban atrasos, permitiendo que regularicen su estatus moroso evitando la judicialización del cobro de la deuda.</w:t>
      </w:r>
    </w:p>
    <w:p w14:paraId="4079844D" w14:textId="48AC5C3E" w:rsidR="005D0EE4" w:rsidRPr="00F20655" w:rsidRDefault="005D0EE4" w:rsidP="0011472E">
      <w:pPr>
        <w:spacing w:before="240" w:line="360" w:lineRule="auto"/>
        <w:rPr>
          <w:b/>
          <w:bCs/>
          <w:lang w:val="es-DO"/>
        </w:rPr>
      </w:pPr>
      <w:r w:rsidRPr="00F20655">
        <w:rPr>
          <w:b/>
          <w:bCs/>
          <w:lang w:val="es-DO"/>
        </w:rPr>
        <w:t xml:space="preserve">Recursos Administrativos  </w:t>
      </w:r>
    </w:p>
    <w:p w14:paraId="10D553B2" w14:textId="27B2BBB5" w:rsidR="005D0EE4" w:rsidRPr="00235582" w:rsidRDefault="005D0EE4" w:rsidP="0011472E">
      <w:pPr>
        <w:spacing w:before="240" w:after="0" w:line="360" w:lineRule="auto"/>
        <w:jc w:val="both"/>
        <w:rPr>
          <w:lang w:val="es-DO"/>
        </w:rPr>
      </w:pPr>
      <w:r w:rsidRPr="00235582">
        <w:rPr>
          <w:lang w:val="es-DO"/>
        </w:rPr>
        <w:t xml:space="preserve">Al mes de octubre de 2024, la División de Procesos Judiciales y Administrativos del Departamento de Litigación fue apoderada de 45 recursos de reconsideración sobre decisiones emitidas por la TSS. Al cierre de este informe han sido contestados oportunamente 35 recursos, siendo rechazados 28, acogidos parcialmente 4, y acogido en su totalidad </w:t>
      </w:r>
      <w:r w:rsidR="00BA45A8" w:rsidRPr="00235582">
        <w:rPr>
          <w:lang w:val="es-DO"/>
        </w:rPr>
        <w:t>1, declarado</w:t>
      </w:r>
      <w:r w:rsidRPr="00235582">
        <w:rPr>
          <w:lang w:val="es-DO"/>
        </w:rPr>
        <w:t xml:space="preserve"> inadmisible </w:t>
      </w:r>
      <w:proofErr w:type="gramStart"/>
      <w:r w:rsidRPr="00235582">
        <w:rPr>
          <w:lang w:val="es-DO"/>
        </w:rPr>
        <w:t>1 ,</w:t>
      </w:r>
      <w:proofErr w:type="gramEnd"/>
      <w:r w:rsidRPr="00235582">
        <w:rPr>
          <w:lang w:val="es-DO"/>
        </w:rPr>
        <w:t xml:space="preserve"> quedando en proceso para el mes de diciembre 10 casos. </w:t>
      </w:r>
    </w:p>
    <w:p w14:paraId="62F87F58" w14:textId="27A8AC00" w:rsidR="005D0EE4" w:rsidRPr="00235582" w:rsidRDefault="005D0EE4" w:rsidP="0011472E">
      <w:pPr>
        <w:spacing w:before="240" w:after="0" w:line="360" w:lineRule="auto"/>
        <w:jc w:val="both"/>
        <w:rPr>
          <w:lang w:val="es-DO"/>
        </w:rPr>
      </w:pPr>
      <w:r w:rsidRPr="00235582">
        <w:rPr>
          <w:lang w:val="es-DO"/>
        </w:rPr>
        <w:lastRenderedPageBreak/>
        <w:t xml:space="preserve">De las decisiones anteriores fueron recurridas en apelación ante el Consejo Nacional de la Seguridad Social </w:t>
      </w:r>
      <w:r w:rsidR="006D7301" w:rsidRPr="00235582">
        <w:rPr>
          <w:lang w:val="es-DO"/>
        </w:rPr>
        <w:t>14 casos</w:t>
      </w:r>
      <w:r w:rsidRPr="00235582">
        <w:rPr>
          <w:lang w:val="es-DO"/>
        </w:rPr>
        <w:t>. De estos, 13 fueron rechazados y 1 fue acogido parcialmente por el Consejo Nacional de la Seguridad Social (CNSS).</w:t>
      </w:r>
    </w:p>
    <w:p w14:paraId="25277B2F" w14:textId="2CE0E6ED" w:rsidR="005D0EE4" w:rsidRPr="005C4045" w:rsidRDefault="005D0EE4" w:rsidP="0011472E">
      <w:pPr>
        <w:spacing w:before="240" w:line="360" w:lineRule="auto"/>
        <w:rPr>
          <w:b/>
          <w:bCs/>
          <w:lang w:val="es-DO"/>
        </w:rPr>
      </w:pPr>
      <w:bookmarkStart w:id="180" w:name="_Toc171677859"/>
      <w:bookmarkStart w:id="181" w:name="_Toc172118676"/>
      <w:bookmarkStart w:id="182" w:name="_Toc172119869"/>
      <w:bookmarkStart w:id="183" w:name="_Toc172120202"/>
      <w:bookmarkStart w:id="184" w:name="_Toc172121420"/>
      <w:r w:rsidRPr="005C4045">
        <w:rPr>
          <w:b/>
          <w:bCs/>
          <w:lang w:val="es-DO"/>
        </w:rPr>
        <w:t>Procesos Judiciales</w:t>
      </w:r>
      <w:bookmarkEnd w:id="180"/>
      <w:bookmarkEnd w:id="181"/>
      <w:bookmarkEnd w:id="182"/>
      <w:bookmarkEnd w:id="183"/>
      <w:bookmarkEnd w:id="184"/>
      <w:r w:rsidRPr="005C4045">
        <w:rPr>
          <w:b/>
          <w:bCs/>
          <w:lang w:val="es-DO"/>
        </w:rPr>
        <w:t xml:space="preserve"> </w:t>
      </w:r>
    </w:p>
    <w:p w14:paraId="28369826" w14:textId="4D51BC6B" w:rsidR="005D0EE4" w:rsidRPr="00235582" w:rsidRDefault="005D0EE4" w:rsidP="0011472E">
      <w:pPr>
        <w:spacing w:before="240" w:after="0" w:line="360" w:lineRule="auto"/>
        <w:jc w:val="both"/>
        <w:rPr>
          <w:lang w:val="es-DO"/>
        </w:rPr>
      </w:pPr>
      <w:bookmarkStart w:id="185" w:name="_Toc171677860"/>
      <w:bookmarkStart w:id="186" w:name="_Toc172118677"/>
      <w:bookmarkStart w:id="187" w:name="_Toc172119870"/>
      <w:bookmarkStart w:id="188" w:name="_Toc172120203"/>
      <w:bookmarkStart w:id="189" w:name="_Toc172121421"/>
      <w:r w:rsidRPr="00235582">
        <w:rPr>
          <w:lang w:val="es-DO"/>
        </w:rPr>
        <w:t xml:space="preserve">De años anteriores, </w:t>
      </w:r>
      <w:r w:rsidR="0011472E" w:rsidRPr="00235582">
        <w:rPr>
          <w:lang w:val="es-DO"/>
        </w:rPr>
        <w:t>contábamos</w:t>
      </w:r>
      <w:r w:rsidRPr="00235582">
        <w:rPr>
          <w:lang w:val="es-DO"/>
        </w:rPr>
        <w:t xml:space="preserve"> con 15 procesos judiciales activos, de estos casos, en 4 presentamos conclusiones al fondo, restando 11 en curso. Durante el año 2024, se recibieron 15 nuevos procesos, de los cuales 2 fueron concluidos y 13 </w:t>
      </w:r>
      <w:r w:rsidR="0011472E" w:rsidRPr="00235582">
        <w:rPr>
          <w:lang w:val="es-DO"/>
        </w:rPr>
        <w:t>continúan</w:t>
      </w:r>
      <w:r w:rsidRPr="00235582">
        <w:rPr>
          <w:lang w:val="es-DO"/>
        </w:rPr>
        <w:t xml:space="preserve"> activos. De lo anterior, contamos con un total de 24 procesos activos en tribunales.</w:t>
      </w:r>
      <w:bookmarkEnd w:id="185"/>
      <w:bookmarkEnd w:id="186"/>
      <w:bookmarkEnd w:id="187"/>
      <w:bookmarkEnd w:id="188"/>
      <w:bookmarkEnd w:id="189"/>
      <w:r w:rsidRPr="00235582">
        <w:rPr>
          <w:lang w:val="es-DO"/>
        </w:rPr>
        <w:t xml:space="preserve"> </w:t>
      </w:r>
      <w:bookmarkStart w:id="190" w:name="_Toc171677861"/>
      <w:bookmarkStart w:id="191" w:name="_Toc172118678"/>
      <w:bookmarkStart w:id="192" w:name="_Toc172119871"/>
      <w:bookmarkStart w:id="193" w:name="_Toc172120204"/>
      <w:bookmarkStart w:id="194" w:name="_Toc172121422"/>
    </w:p>
    <w:p w14:paraId="5177C2E5" w14:textId="77777777" w:rsidR="005D0EE4" w:rsidRPr="0024181E" w:rsidRDefault="005D0EE4" w:rsidP="0024181E">
      <w:pPr>
        <w:spacing w:before="240" w:after="0" w:line="360" w:lineRule="auto"/>
        <w:rPr>
          <w:b/>
          <w:bCs/>
          <w:lang w:val="es-DO"/>
        </w:rPr>
      </w:pPr>
      <w:r w:rsidRPr="0024181E">
        <w:rPr>
          <w:b/>
          <w:bCs/>
          <w:lang w:val="es-DO"/>
        </w:rPr>
        <w:t>Jornada de capacitación</w:t>
      </w:r>
      <w:bookmarkEnd w:id="190"/>
      <w:bookmarkEnd w:id="191"/>
      <w:bookmarkEnd w:id="192"/>
      <w:bookmarkEnd w:id="193"/>
      <w:bookmarkEnd w:id="194"/>
      <w:r w:rsidRPr="0024181E">
        <w:rPr>
          <w:b/>
          <w:bCs/>
          <w:lang w:val="es-DO"/>
        </w:rPr>
        <w:t xml:space="preserve"> </w:t>
      </w:r>
    </w:p>
    <w:p w14:paraId="7A7CA3E7" w14:textId="77777777" w:rsidR="005D0EE4" w:rsidRPr="00235582" w:rsidRDefault="005D0EE4" w:rsidP="0011472E">
      <w:pPr>
        <w:spacing w:before="240" w:after="0" w:line="360" w:lineRule="auto"/>
        <w:jc w:val="both"/>
        <w:rPr>
          <w:lang w:val="es-DO"/>
        </w:rPr>
      </w:pPr>
      <w:r w:rsidRPr="00235582">
        <w:rPr>
          <w:lang w:val="es-DO"/>
        </w:rPr>
        <w:t>Durante el mes de junio del año en colaboración con la Escuela Nacional del Ministerio Público, realizamos una jornada de capacitación a procuradores, fiscales y personal especializado en análisis del fraude, sobre el Sistema Dominicano de Seguridad Social (SDSS) y las funciones de recaudo y pago de la TSS, para fortalecer los conocimientos de cara a las denuncias presentadas en perjuicio del Seguro Familiar de Salud del Régimen Contributivo.</w:t>
      </w:r>
    </w:p>
    <w:p w14:paraId="2C05F5DB" w14:textId="25539F5A" w:rsidR="00E82B86" w:rsidRPr="0011472E" w:rsidRDefault="00E82B86" w:rsidP="0011472E">
      <w:pPr>
        <w:pStyle w:val="Heading1"/>
        <w:spacing w:after="240" w:line="259" w:lineRule="auto"/>
        <w:jc w:val="both"/>
        <w:rPr>
          <w:spacing w:val="0"/>
          <w:lang w:val="es-DO"/>
        </w:rPr>
      </w:pPr>
      <w:bookmarkStart w:id="195" w:name="_Toc185245106"/>
      <w:bookmarkEnd w:id="174"/>
      <w:r w:rsidRPr="0011472E">
        <w:rPr>
          <w:spacing w:val="0"/>
          <w:lang w:val="es-DO"/>
        </w:rPr>
        <w:t>4.4 Desempeño de la Tecnología</w:t>
      </w:r>
      <w:bookmarkEnd w:id="111"/>
      <w:bookmarkEnd w:id="112"/>
      <w:bookmarkEnd w:id="113"/>
      <w:bookmarkEnd w:id="195"/>
    </w:p>
    <w:p w14:paraId="7BB5ACC5" w14:textId="77777777" w:rsidR="00E82B86" w:rsidRDefault="00E82B86" w:rsidP="0011472E">
      <w:pPr>
        <w:spacing w:before="240" w:line="360" w:lineRule="auto"/>
        <w:jc w:val="both"/>
        <w:rPr>
          <w:rFonts w:eastAsia="Calibri"/>
          <w:lang w:val="es-ES"/>
        </w:rPr>
      </w:pPr>
      <w:r w:rsidRPr="00E82B86">
        <w:rPr>
          <w:rFonts w:eastAsia="Calibri"/>
          <w:lang w:val="es-ES"/>
        </w:rPr>
        <w:t xml:space="preserve">La TSS como parte de su proceso de innovación y adaptación a los cambios tecnológicos y regulatorios actual, identificó la necesidad de crear una Dirección que permitiera junto a las ya existente estar a la vanguardia de dichos cambios. La misma ha trabajado de manera transversal con todas las áreas, así como con organismos nacionales e internacionales con el objetivo de realizar su gestión bajo las mejores prácticas, aprobada por el MAP a finales del </w:t>
      </w:r>
      <w:r w:rsidRPr="00E82B86">
        <w:rPr>
          <w:rFonts w:eastAsia="Calibri"/>
          <w:lang w:val="es-ES"/>
        </w:rPr>
        <w:lastRenderedPageBreak/>
        <w:t>2023, con el nombre de Dirección de Gestión de Normas, Cumplimiento y Ciberseguridad.</w:t>
      </w:r>
    </w:p>
    <w:p w14:paraId="0090534C" w14:textId="4956A300" w:rsidR="00490DE2" w:rsidRPr="00F20655" w:rsidRDefault="00490DE2" w:rsidP="0011472E">
      <w:pPr>
        <w:spacing w:line="360" w:lineRule="auto"/>
        <w:rPr>
          <w:b/>
          <w:bCs/>
          <w:lang w:val="es-DO"/>
        </w:rPr>
      </w:pPr>
      <w:bookmarkStart w:id="196" w:name="_Toc171677869"/>
      <w:bookmarkStart w:id="197" w:name="_Toc172119876"/>
      <w:bookmarkStart w:id="198" w:name="_Toc172120209"/>
      <w:bookmarkStart w:id="199" w:name="_Toc172121427"/>
      <w:r w:rsidRPr="00F20655">
        <w:rPr>
          <w:b/>
          <w:bCs/>
          <w:lang w:val="es-DO"/>
        </w:rPr>
        <w:t xml:space="preserve">Desempeño de la </w:t>
      </w:r>
      <w:r w:rsidR="00347F1F">
        <w:rPr>
          <w:b/>
          <w:bCs/>
          <w:lang w:val="es-DO"/>
        </w:rPr>
        <w:t>M</w:t>
      </w:r>
      <w:r w:rsidRPr="00F20655">
        <w:rPr>
          <w:b/>
          <w:bCs/>
          <w:lang w:val="es-DO"/>
        </w:rPr>
        <w:t xml:space="preserve">esa de </w:t>
      </w:r>
      <w:r w:rsidR="00347F1F">
        <w:rPr>
          <w:b/>
          <w:bCs/>
          <w:lang w:val="es-DO"/>
        </w:rPr>
        <w:t>S</w:t>
      </w:r>
      <w:r w:rsidRPr="00F20655">
        <w:rPr>
          <w:b/>
          <w:bCs/>
          <w:lang w:val="es-DO"/>
        </w:rPr>
        <w:t>ervicio</w:t>
      </w:r>
      <w:bookmarkEnd w:id="196"/>
      <w:bookmarkEnd w:id="197"/>
      <w:bookmarkEnd w:id="198"/>
      <w:bookmarkEnd w:id="199"/>
    </w:p>
    <w:p w14:paraId="3BD84521" w14:textId="77777777" w:rsidR="00490DE2" w:rsidRPr="000018ED" w:rsidRDefault="00490DE2" w:rsidP="0011472E">
      <w:pPr>
        <w:spacing w:before="240" w:after="0" w:line="360" w:lineRule="auto"/>
        <w:jc w:val="both"/>
        <w:rPr>
          <w:lang w:val="es-DO"/>
        </w:rPr>
      </w:pPr>
      <w:r w:rsidRPr="000018ED">
        <w:rPr>
          <w:noProof/>
          <w:lang w:val="es-DO"/>
        </w:rPr>
        <w:t xml:space="preserve">En el período comprendido entre enero y noviembre de 2024, la Mesa de Servicios atendió un total de 2,897 solicitudes de servicio. Este desempeño está alineado con el indicador establecido en el Sistema de Gestión Integral, el cual establece </w:t>
      </w:r>
      <w:r w:rsidRPr="000018ED">
        <w:rPr>
          <w:lang w:val="es-DO"/>
        </w:rPr>
        <w:t>como objetivo “mantener un índice de eficiencia en la respuesta a solicitudes de servicios de la mesa de ayuda de un mínimo del 96%”.</w:t>
      </w:r>
    </w:p>
    <w:p w14:paraId="72E0D781" w14:textId="77777777" w:rsidR="00490DE2" w:rsidRDefault="00490DE2" w:rsidP="0011472E">
      <w:pPr>
        <w:spacing w:before="240" w:after="0" w:line="360" w:lineRule="auto"/>
        <w:jc w:val="both"/>
        <w:rPr>
          <w:lang w:val="es-DO"/>
        </w:rPr>
      </w:pPr>
      <w:r w:rsidRPr="000018ED">
        <w:rPr>
          <w:lang w:val="es-DO"/>
        </w:rPr>
        <w:t>Del total de solicitudes recibidas, 2,794 fueron resueltas dentro del tiempo establecido, mientras que 103 se atendieron fuera del plazo estipulado, alcanzando así un índice de cumplimiento del 95.9%. Este resultado refleja el compromiso y la eficiencia del equipo en garantizar una respuesta oportuna a las necesidades de los usuarios, fortaleciendo la confianza en la calidad del servicio brindado.</w:t>
      </w:r>
    </w:p>
    <w:p w14:paraId="0C0C4E7A" w14:textId="3D28DC9E" w:rsidR="00490DE2" w:rsidRPr="00D66823" w:rsidRDefault="00490DE2" w:rsidP="00D66823">
      <w:pPr>
        <w:pStyle w:val="Heading1"/>
        <w:spacing w:after="240"/>
        <w:jc w:val="both"/>
        <w:rPr>
          <w:spacing w:val="0"/>
          <w:sz w:val="24"/>
          <w:szCs w:val="24"/>
          <w:lang w:val="es-DO"/>
        </w:rPr>
      </w:pPr>
      <w:bookmarkStart w:id="200" w:name="_Toc140587657"/>
      <w:bookmarkStart w:id="201" w:name="_Toc171677870"/>
      <w:bookmarkStart w:id="202" w:name="_Toc172119877"/>
      <w:bookmarkStart w:id="203" w:name="_Toc172120210"/>
      <w:bookmarkStart w:id="204" w:name="_Toc172121428"/>
      <w:bookmarkStart w:id="205" w:name="_Toc185245107"/>
      <w:r w:rsidRPr="00D66823">
        <w:rPr>
          <w:spacing w:val="0"/>
          <w:sz w:val="24"/>
          <w:szCs w:val="24"/>
          <w:lang w:val="es-DO"/>
        </w:rPr>
        <w:t>Resultados obtenidos en el Índice de Uso de TIC e Implementación de Gobierno Electrónico (ITICGE) durante el año y justificación en caso de incumplimiento</w:t>
      </w:r>
      <w:bookmarkEnd w:id="200"/>
      <w:bookmarkEnd w:id="201"/>
      <w:bookmarkEnd w:id="202"/>
      <w:bookmarkEnd w:id="203"/>
      <w:bookmarkEnd w:id="204"/>
      <w:r w:rsidR="00B07950" w:rsidRPr="00D66823">
        <w:rPr>
          <w:spacing w:val="0"/>
          <w:sz w:val="24"/>
          <w:szCs w:val="24"/>
          <w:lang w:val="es-DO"/>
        </w:rPr>
        <w:t>.</w:t>
      </w:r>
      <w:bookmarkEnd w:id="205"/>
    </w:p>
    <w:p w14:paraId="4F2B5192" w14:textId="63A462AD" w:rsidR="00490DE2" w:rsidRDefault="00490DE2" w:rsidP="00D66823">
      <w:pPr>
        <w:spacing w:line="360" w:lineRule="auto"/>
        <w:jc w:val="both"/>
        <w:rPr>
          <w:lang w:val="es-ES"/>
        </w:rPr>
      </w:pPr>
      <w:r w:rsidRPr="00B07950">
        <w:rPr>
          <w:lang w:val="es-ES"/>
        </w:rPr>
        <w:t>Se ha logrado un notable avance en el indicador del SISTICGE, la herramienta de medición que evalúa el progreso de la implementación de las TIC, el e-Gobierno, Gobierno Abierto, e-Participación y los Servicios en Línea en el Estado Dominicano.</w:t>
      </w:r>
    </w:p>
    <w:p w14:paraId="155648EE" w14:textId="256DACBA" w:rsidR="00525477" w:rsidRPr="00D66823" w:rsidRDefault="00490DE2" w:rsidP="00D66823">
      <w:pPr>
        <w:spacing w:line="360" w:lineRule="auto"/>
        <w:jc w:val="both"/>
        <w:rPr>
          <w:rFonts w:eastAsia="Calibri"/>
          <w:noProof/>
          <w:lang w:val="es-DO"/>
        </w:rPr>
      </w:pPr>
      <w:r w:rsidRPr="00D66823">
        <w:rPr>
          <w:rFonts w:eastAsia="Calibri"/>
          <w:noProof/>
          <w:lang w:val="es-DO"/>
        </w:rPr>
        <w:t xml:space="preserve">A partir de septiembre del 2023, fue realizado un ajuste en la medición este indicador, clasificando las instituciones en tres grandes grupos, lo que prestan servicio a la ciudadanía, los que prestan servicio al Gobierno y los gobiernos municipales, cada grupo con sus propias característica y esquema de puntuación en </w:t>
      </w:r>
      <w:r w:rsidRPr="00D66823">
        <w:rPr>
          <w:rFonts w:eastAsia="Calibri"/>
          <w:noProof/>
          <w:lang w:val="es-DO"/>
        </w:rPr>
        <w:lastRenderedPageBreak/>
        <w:t xml:space="preserve">los mismos pilares de la implementación de las TIC, el e-Gobierno, Gobierno Abierto, e-Participación y los Servicios en línea en el Estado Dominicano. </w:t>
      </w:r>
    </w:p>
    <w:p w14:paraId="329C2460" w14:textId="0CDB407D" w:rsidR="00490DE2" w:rsidRPr="00D66823" w:rsidRDefault="00490DE2" w:rsidP="00D66823">
      <w:pPr>
        <w:spacing w:line="360" w:lineRule="auto"/>
        <w:jc w:val="both"/>
        <w:rPr>
          <w:rFonts w:eastAsia="Calibri"/>
          <w:noProof/>
          <w:lang w:val="es-DO"/>
        </w:rPr>
      </w:pPr>
      <w:r w:rsidRPr="00D66823">
        <w:rPr>
          <w:rFonts w:eastAsia="Calibri"/>
          <w:noProof/>
          <w:lang w:val="es-DO"/>
        </w:rPr>
        <w:t xml:space="preserve">Donde cada uno tendría su ranking compitiendo dentro de la misma categoría buscando un sentido de justicia y equidad. </w:t>
      </w:r>
    </w:p>
    <w:tbl>
      <w:tblPr>
        <w:tblStyle w:val="TableGrid"/>
        <w:tblpPr w:leftFromText="141" w:rightFromText="141" w:vertAnchor="page" w:horzAnchor="margin" w:tblpY="3991"/>
        <w:tblW w:w="7560" w:type="dxa"/>
        <w:tblLook w:val="04A0" w:firstRow="1" w:lastRow="0" w:firstColumn="1" w:lastColumn="0" w:noHBand="0" w:noVBand="1"/>
      </w:tblPr>
      <w:tblGrid>
        <w:gridCol w:w="3955"/>
        <w:gridCol w:w="2025"/>
        <w:gridCol w:w="1580"/>
      </w:tblGrid>
      <w:tr w:rsidR="006D7301" w:rsidRPr="002346B8" w14:paraId="0AB99D82" w14:textId="77777777" w:rsidTr="006D7301">
        <w:trPr>
          <w:trHeight w:val="430"/>
        </w:trPr>
        <w:tc>
          <w:tcPr>
            <w:tcW w:w="7560" w:type="dxa"/>
            <w:gridSpan w:val="3"/>
            <w:shd w:val="clear" w:color="auto" w:fill="1F3864" w:themeFill="accent1" w:themeFillShade="80"/>
          </w:tcPr>
          <w:p w14:paraId="3922E50B" w14:textId="77777777" w:rsidR="006D7301" w:rsidRPr="00D66823" w:rsidRDefault="006D7301" w:rsidP="006D7301">
            <w:pPr>
              <w:pStyle w:val="xxmsonormal"/>
              <w:spacing w:line="360" w:lineRule="auto"/>
              <w:jc w:val="center"/>
              <w:rPr>
                <w:rFonts w:ascii="Times New Roman" w:hAnsi="Times New Roman" w:cs="Times New Roman"/>
                <w:b/>
                <w:bCs/>
                <w:color w:val="FFFFFF" w:themeColor="background1"/>
                <w:lang w:val="es-ES"/>
              </w:rPr>
            </w:pPr>
            <w:bookmarkStart w:id="206" w:name="_Hlk171503917"/>
            <w:r w:rsidRPr="00D66823">
              <w:rPr>
                <w:rFonts w:ascii="Times New Roman" w:eastAsia="Calibri" w:hAnsi="Times New Roman" w:cs="Times New Roman"/>
                <w:b/>
                <w:bCs/>
                <w:noProof/>
                <w:color w:val="FFFFFF" w:themeColor="background1"/>
                <w:spacing w:val="20"/>
              </w:rPr>
              <w:t>INDICADOR SISTICGE</w:t>
            </w:r>
          </w:p>
        </w:tc>
      </w:tr>
      <w:tr w:rsidR="006D7301" w:rsidRPr="002346B8" w14:paraId="7FBABA34" w14:textId="77777777" w:rsidTr="006D7301">
        <w:trPr>
          <w:trHeight w:val="363"/>
        </w:trPr>
        <w:tc>
          <w:tcPr>
            <w:tcW w:w="3955" w:type="dxa"/>
            <w:shd w:val="clear" w:color="auto" w:fill="1F3864" w:themeFill="accent1" w:themeFillShade="80"/>
            <w:hideMark/>
          </w:tcPr>
          <w:p w14:paraId="0DDC34C9" w14:textId="77777777" w:rsidR="006D7301" w:rsidRPr="00D66823" w:rsidRDefault="006D7301" w:rsidP="006D7301">
            <w:pPr>
              <w:pStyle w:val="xxmsonormal"/>
              <w:spacing w:line="360" w:lineRule="auto"/>
              <w:jc w:val="center"/>
              <w:rPr>
                <w:rFonts w:ascii="Times New Roman" w:hAnsi="Times New Roman" w:cs="Times New Roman"/>
                <w:b/>
                <w:bCs/>
                <w:color w:val="FFFFFF" w:themeColor="background1"/>
              </w:rPr>
            </w:pPr>
            <w:r w:rsidRPr="00D66823">
              <w:rPr>
                <w:rFonts w:ascii="Times New Roman" w:hAnsi="Times New Roman" w:cs="Times New Roman"/>
                <w:b/>
                <w:bCs/>
                <w:color w:val="FFFFFF" w:themeColor="background1"/>
                <w:lang w:val="es-ES"/>
              </w:rPr>
              <w:t>SUBPILAR</w:t>
            </w:r>
          </w:p>
        </w:tc>
        <w:tc>
          <w:tcPr>
            <w:tcW w:w="2025" w:type="dxa"/>
            <w:shd w:val="clear" w:color="auto" w:fill="1F3864" w:themeFill="accent1" w:themeFillShade="80"/>
          </w:tcPr>
          <w:p w14:paraId="53E1AB1B" w14:textId="77777777" w:rsidR="006D7301" w:rsidRPr="00D66823" w:rsidRDefault="006D7301" w:rsidP="006D7301">
            <w:pPr>
              <w:pStyle w:val="xxmsonormal"/>
              <w:spacing w:line="360" w:lineRule="auto"/>
              <w:jc w:val="center"/>
              <w:rPr>
                <w:rFonts w:ascii="Times New Roman" w:hAnsi="Times New Roman" w:cs="Times New Roman"/>
                <w:b/>
                <w:bCs/>
                <w:color w:val="FFFFFF" w:themeColor="background1"/>
                <w:lang w:val="es-ES"/>
              </w:rPr>
            </w:pPr>
            <w:r w:rsidRPr="00D66823">
              <w:rPr>
                <w:rFonts w:ascii="Times New Roman" w:hAnsi="Times New Roman" w:cs="Times New Roman"/>
                <w:b/>
                <w:bCs/>
                <w:color w:val="FFFFFF" w:themeColor="background1"/>
                <w:lang w:val="es-ES"/>
              </w:rPr>
              <w:t>CUMPLIMIENTO</w:t>
            </w:r>
          </w:p>
        </w:tc>
        <w:tc>
          <w:tcPr>
            <w:tcW w:w="1580" w:type="dxa"/>
            <w:shd w:val="clear" w:color="auto" w:fill="1F3864" w:themeFill="accent1" w:themeFillShade="80"/>
          </w:tcPr>
          <w:p w14:paraId="136E0B78" w14:textId="77777777" w:rsidR="006D7301" w:rsidRPr="00D66823" w:rsidRDefault="006D7301" w:rsidP="006D7301">
            <w:pPr>
              <w:pStyle w:val="xxmsonormal"/>
              <w:spacing w:line="360" w:lineRule="auto"/>
              <w:jc w:val="center"/>
              <w:rPr>
                <w:rFonts w:ascii="Times New Roman" w:hAnsi="Times New Roman" w:cs="Times New Roman"/>
                <w:b/>
                <w:bCs/>
                <w:color w:val="FFFFFF" w:themeColor="background1"/>
                <w:lang w:val="es-ES"/>
              </w:rPr>
            </w:pPr>
            <w:r w:rsidRPr="00D66823">
              <w:rPr>
                <w:rFonts w:ascii="Times New Roman" w:hAnsi="Times New Roman" w:cs="Times New Roman"/>
                <w:b/>
                <w:bCs/>
                <w:color w:val="FFFFFF" w:themeColor="background1"/>
                <w:lang w:val="es-ES"/>
              </w:rPr>
              <w:t>POSICIÓN</w:t>
            </w:r>
          </w:p>
        </w:tc>
      </w:tr>
      <w:tr w:rsidR="006D7301" w:rsidRPr="002346B8" w14:paraId="617C10D4" w14:textId="77777777" w:rsidTr="006D7301">
        <w:trPr>
          <w:trHeight w:val="359"/>
        </w:trPr>
        <w:tc>
          <w:tcPr>
            <w:tcW w:w="3955" w:type="dxa"/>
            <w:noWrap/>
          </w:tcPr>
          <w:p w14:paraId="39866543" w14:textId="77777777" w:rsidR="006D7301" w:rsidRPr="00D66823" w:rsidRDefault="006D7301" w:rsidP="006D7301">
            <w:pPr>
              <w:pStyle w:val="xxmsonormal"/>
              <w:spacing w:line="360" w:lineRule="auto"/>
              <w:rPr>
                <w:rFonts w:ascii="Times New Roman" w:eastAsia="Calibri" w:hAnsi="Times New Roman" w:cs="Times New Roman"/>
                <w:noProof/>
                <w:color w:val="767171"/>
                <w:spacing w:val="20"/>
                <w:sz w:val="24"/>
                <w:szCs w:val="24"/>
                <w:lang w:eastAsia="en-US"/>
              </w:rPr>
            </w:pPr>
            <w:r w:rsidRPr="00D66823">
              <w:rPr>
                <w:rFonts w:ascii="Times New Roman" w:eastAsia="Calibri" w:hAnsi="Times New Roman" w:cs="Times New Roman"/>
                <w:noProof/>
                <w:color w:val="767171"/>
                <w:spacing w:val="20"/>
                <w:sz w:val="24"/>
                <w:szCs w:val="24"/>
              </w:rPr>
              <w:t>Usos de la TIC</w:t>
            </w:r>
          </w:p>
        </w:tc>
        <w:tc>
          <w:tcPr>
            <w:tcW w:w="2025" w:type="dxa"/>
          </w:tcPr>
          <w:p w14:paraId="73E7854B" w14:textId="77777777" w:rsidR="006D7301" w:rsidRPr="00D66823" w:rsidRDefault="006D7301" w:rsidP="006D7301">
            <w:pPr>
              <w:pStyle w:val="xxmsonormal"/>
              <w:spacing w:line="360" w:lineRule="auto"/>
              <w:jc w:val="center"/>
              <w:rPr>
                <w:rFonts w:ascii="Times New Roman" w:eastAsia="Calibri" w:hAnsi="Times New Roman" w:cs="Times New Roman"/>
                <w:noProof/>
                <w:color w:val="767171"/>
                <w:spacing w:val="20"/>
                <w:sz w:val="24"/>
                <w:szCs w:val="24"/>
                <w:lang w:eastAsia="en-US"/>
              </w:rPr>
            </w:pPr>
            <w:r w:rsidRPr="00D66823">
              <w:rPr>
                <w:rFonts w:ascii="Times New Roman" w:eastAsia="Calibri" w:hAnsi="Times New Roman" w:cs="Times New Roman"/>
                <w:noProof/>
                <w:color w:val="767171"/>
                <w:spacing w:val="20"/>
                <w:sz w:val="24"/>
                <w:szCs w:val="24"/>
              </w:rPr>
              <w:t>9.23%</w:t>
            </w:r>
          </w:p>
        </w:tc>
        <w:tc>
          <w:tcPr>
            <w:tcW w:w="1580" w:type="dxa"/>
            <w:vMerge w:val="restart"/>
          </w:tcPr>
          <w:p w14:paraId="13F172CE" w14:textId="77777777" w:rsidR="006D7301" w:rsidRPr="00D66823" w:rsidRDefault="006D7301" w:rsidP="006D7301">
            <w:pPr>
              <w:pStyle w:val="xxmsonormal"/>
              <w:spacing w:line="360" w:lineRule="auto"/>
              <w:jc w:val="center"/>
              <w:rPr>
                <w:rFonts w:ascii="Times New Roman" w:eastAsia="Calibri" w:hAnsi="Times New Roman" w:cs="Times New Roman"/>
                <w:noProof/>
                <w:color w:val="767171"/>
                <w:spacing w:val="20"/>
                <w:sz w:val="24"/>
                <w:szCs w:val="24"/>
                <w:highlight w:val="yellow"/>
              </w:rPr>
            </w:pPr>
          </w:p>
          <w:p w14:paraId="30CDF352" w14:textId="77777777" w:rsidR="006D7301" w:rsidRPr="00D66823" w:rsidRDefault="006D7301" w:rsidP="006D7301">
            <w:pPr>
              <w:pStyle w:val="xxmsonormal"/>
              <w:spacing w:line="360" w:lineRule="auto"/>
              <w:jc w:val="center"/>
              <w:rPr>
                <w:rFonts w:ascii="Times New Roman" w:eastAsia="Calibri" w:hAnsi="Times New Roman" w:cs="Times New Roman"/>
                <w:noProof/>
                <w:color w:val="767171"/>
                <w:spacing w:val="20"/>
                <w:sz w:val="24"/>
                <w:szCs w:val="24"/>
                <w:highlight w:val="yellow"/>
              </w:rPr>
            </w:pPr>
          </w:p>
          <w:p w14:paraId="67FC6A40" w14:textId="77777777" w:rsidR="006D7301" w:rsidRPr="00D66823" w:rsidRDefault="006D7301" w:rsidP="006D7301">
            <w:pPr>
              <w:pStyle w:val="xxmsonormal"/>
              <w:spacing w:line="360" w:lineRule="auto"/>
              <w:jc w:val="center"/>
              <w:rPr>
                <w:rFonts w:ascii="Times New Roman" w:eastAsia="Calibri" w:hAnsi="Times New Roman" w:cs="Times New Roman"/>
                <w:noProof/>
                <w:color w:val="767171"/>
                <w:spacing w:val="20"/>
                <w:sz w:val="24"/>
                <w:szCs w:val="24"/>
                <w:highlight w:val="yellow"/>
              </w:rPr>
            </w:pPr>
          </w:p>
          <w:p w14:paraId="598514CE" w14:textId="77777777" w:rsidR="006D7301" w:rsidRPr="00D66823" w:rsidRDefault="006D7301" w:rsidP="006D7301">
            <w:pPr>
              <w:pStyle w:val="xxmsonormal"/>
              <w:spacing w:line="360" w:lineRule="auto"/>
              <w:jc w:val="center"/>
              <w:rPr>
                <w:rFonts w:ascii="Times New Roman" w:eastAsia="Calibri" w:hAnsi="Times New Roman" w:cs="Times New Roman"/>
                <w:noProof/>
                <w:color w:val="767171"/>
                <w:spacing w:val="20"/>
                <w:sz w:val="24"/>
                <w:szCs w:val="24"/>
                <w:highlight w:val="yellow"/>
                <w:lang w:eastAsia="en-US"/>
              </w:rPr>
            </w:pPr>
            <w:r w:rsidRPr="00D66823">
              <w:rPr>
                <w:rFonts w:ascii="Times New Roman" w:eastAsia="Calibri" w:hAnsi="Times New Roman" w:cs="Times New Roman"/>
                <w:noProof/>
                <w:color w:val="767171"/>
                <w:spacing w:val="20"/>
                <w:sz w:val="24"/>
                <w:szCs w:val="24"/>
              </w:rPr>
              <w:t>27</w:t>
            </w:r>
          </w:p>
        </w:tc>
      </w:tr>
      <w:tr w:rsidR="006D7301" w:rsidRPr="002346B8" w14:paraId="345F40F0" w14:textId="77777777" w:rsidTr="006D7301">
        <w:trPr>
          <w:trHeight w:val="508"/>
        </w:trPr>
        <w:tc>
          <w:tcPr>
            <w:tcW w:w="3955" w:type="dxa"/>
            <w:noWrap/>
          </w:tcPr>
          <w:p w14:paraId="6F9E87BA" w14:textId="77777777" w:rsidR="006D7301" w:rsidRPr="00D66823" w:rsidRDefault="006D7301" w:rsidP="006D7301">
            <w:pPr>
              <w:pStyle w:val="xxmsonormal"/>
              <w:spacing w:line="360" w:lineRule="auto"/>
              <w:rPr>
                <w:rFonts w:ascii="Times New Roman" w:eastAsia="Calibri" w:hAnsi="Times New Roman" w:cs="Times New Roman"/>
                <w:noProof/>
                <w:color w:val="767171"/>
                <w:spacing w:val="20"/>
                <w:sz w:val="24"/>
                <w:szCs w:val="24"/>
                <w:lang w:eastAsia="en-US"/>
              </w:rPr>
            </w:pPr>
            <w:r w:rsidRPr="00D66823">
              <w:rPr>
                <w:rFonts w:ascii="Times New Roman" w:eastAsia="Calibri" w:hAnsi="Times New Roman" w:cs="Times New Roman"/>
                <w:noProof/>
                <w:color w:val="767171"/>
                <w:spacing w:val="20"/>
                <w:sz w:val="24"/>
                <w:szCs w:val="24"/>
              </w:rPr>
              <w:t>Gobierno digigal</w:t>
            </w:r>
          </w:p>
        </w:tc>
        <w:tc>
          <w:tcPr>
            <w:tcW w:w="2025" w:type="dxa"/>
          </w:tcPr>
          <w:p w14:paraId="2FC9EE4C" w14:textId="77777777" w:rsidR="006D7301" w:rsidRPr="00D66823" w:rsidRDefault="006D7301" w:rsidP="006D7301">
            <w:pPr>
              <w:pStyle w:val="xxmsonormal"/>
              <w:spacing w:line="360" w:lineRule="auto"/>
              <w:jc w:val="center"/>
              <w:rPr>
                <w:rFonts w:ascii="Times New Roman" w:eastAsia="Calibri" w:hAnsi="Times New Roman" w:cs="Times New Roman"/>
                <w:noProof/>
                <w:color w:val="767171"/>
                <w:spacing w:val="20"/>
                <w:sz w:val="24"/>
                <w:szCs w:val="24"/>
                <w:lang w:eastAsia="en-US"/>
              </w:rPr>
            </w:pPr>
            <w:r w:rsidRPr="00D66823">
              <w:rPr>
                <w:rFonts w:ascii="Times New Roman" w:eastAsia="Calibri" w:hAnsi="Times New Roman" w:cs="Times New Roman"/>
                <w:noProof/>
                <w:color w:val="767171"/>
                <w:spacing w:val="20"/>
                <w:sz w:val="24"/>
                <w:szCs w:val="24"/>
              </w:rPr>
              <w:t>20%</w:t>
            </w:r>
          </w:p>
        </w:tc>
        <w:tc>
          <w:tcPr>
            <w:tcW w:w="1580" w:type="dxa"/>
            <w:vMerge/>
          </w:tcPr>
          <w:p w14:paraId="70C799AC" w14:textId="77777777" w:rsidR="006D7301" w:rsidRPr="00D66823" w:rsidRDefault="006D7301" w:rsidP="006D7301">
            <w:pPr>
              <w:pStyle w:val="xxmsonormal"/>
              <w:spacing w:line="360" w:lineRule="auto"/>
              <w:jc w:val="center"/>
              <w:rPr>
                <w:rFonts w:ascii="Times New Roman" w:eastAsia="Calibri" w:hAnsi="Times New Roman" w:cs="Times New Roman"/>
                <w:noProof/>
                <w:color w:val="767171"/>
                <w:spacing w:val="20"/>
                <w:sz w:val="24"/>
                <w:szCs w:val="24"/>
                <w:lang w:eastAsia="en-US"/>
              </w:rPr>
            </w:pPr>
          </w:p>
        </w:tc>
      </w:tr>
      <w:tr w:rsidR="006D7301" w:rsidRPr="002346B8" w14:paraId="565E4322" w14:textId="77777777" w:rsidTr="006D7301">
        <w:trPr>
          <w:trHeight w:val="517"/>
        </w:trPr>
        <w:tc>
          <w:tcPr>
            <w:tcW w:w="3955" w:type="dxa"/>
            <w:noWrap/>
          </w:tcPr>
          <w:p w14:paraId="454B0EEE" w14:textId="77777777" w:rsidR="006D7301" w:rsidRPr="00D66823" w:rsidRDefault="006D7301" w:rsidP="006D7301">
            <w:pPr>
              <w:pStyle w:val="xxmsonormal"/>
              <w:spacing w:line="360" w:lineRule="auto"/>
              <w:rPr>
                <w:rFonts w:ascii="Times New Roman" w:eastAsia="Calibri" w:hAnsi="Times New Roman" w:cs="Times New Roman"/>
                <w:noProof/>
                <w:color w:val="767171"/>
                <w:spacing w:val="20"/>
                <w:sz w:val="24"/>
                <w:szCs w:val="24"/>
                <w:lang w:eastAsia="en-US"/>
              </w:rPr>
            </w:pPr>
            <w:r w:rsidRPr="00D66823">
              <w:rPr>
                <w:rFonts w:ascii="Times New Roman" w:eastAsia="Calibri" w:hAnsi="Times New Roman" w:cs="Times New Roman"/>
                <w:noProof/>
                <w:color w:val="767171"/>
                <w:spacing w:val="20"/>
                <w:sz w:val="24"/>
                <w:szCs w:val="24"/>
              </w:rPr>
              <w:t>Innovación</w:t>
            </w:r>
          </w:p>
        </w:tc>
        <w:tc>
          <w:tcPr>
            <w:tcW w:w="2025" w:type="dxa"/>
          </w:tcPr>
          <w:p w14:paraId="6B888ED5" w14:textId="77777777" w:rsidR="006D7301" w:rsidRPr="00D66823" w:rsidRDefault="006D7301" w:rsidP="006D7301">
            <w:pPr>
              <w:pStyle w:val="xxmsonormal"/>
              <w:spacing w:line="360" w:lineRule="auto"/>
              <w:jc w:val="center"/>
              <w:rPr>
                <w:rFonts w:ascii="Times New Roman" w:eastAsia="Calibri" w:hAnsi="Times New Roman" w:cs="Times New Roman"/>
                <w:noProof/>
                <w:color w:val="767171"/>
                <w:spacing w:val="20"/>
                <w:sz w:val="24"/>
                <w:szCs w:val="24"/>
                <w:lang w:eastAsia="en-US"/>
              </w:rPr>
            </w:pPr>
            <w:r w:rsidRPr="00D66823">
              <w:rPr>
                <w:rFonts w:ascii="Times New Roman" w:eastAsia="Calibri" w:hAnsi="Times New Roman" w:cs="Times New Roman"/>
                <w:noProof/>
                <w:color w:val="767171"/>
                <w:spacing w:val="20"/>
                <w:sz w:val="24"/>
                <w:szCs w:val="24"/>
              </w:rPr>
              <w:t>14.10%</w:t>
            </w:r>
          </w:p>
        </w:tc>
        <w:tc>
          <w:tcPr>
            <w:tcW w:w="1580" w:type="dxa"/>
            <w:vMerge/>
          </w:tcPr>
          <w:p w14:paraId="70DC816E" w14:textId="77777777" w:rsidR="006D7301" w:rsidRPr="00D66823" w:rsidRDefault="006D7301" w:rsidP="006D7301">
            <w:pPr>
              <w:pStyle w:val="xxmsonormal"/>
              <w:spacing w:line="360" w:lineRule="auto"/>
              <w:jc w:val="center"/>
              <w:rPr>
                <w:rFonts w:ascii="Times New Roman" w:eastAsia="Calibri" w:hAnsi="Times New Roman" w:cs="Times New Roman"/>
                <w:noProof/>
                <w:color w:val="767171"/>
                <w:spacing w:val="20"/>
                <w:sz w:val="24"/>
                <w:szCs w:val="24"/>
                <w:lang w:eastAsia="en-US"/>
              </w:rPr>
            </w:pPr>
          </w:p>
        </w:tc>
      </w:tr>
      <w:tr w:rsidR="006D7301" w:rsidRPr="00C10156" w14:paraId="2A0FF9B5" w14:textId="77777777" w:rsidTr="006D7301">
        <w:trPr>
          <w:trHeight w:val="565"/>
        </w:trPr>
        <w:tc>
          <w:tcPr>
            <w:tcW w:w="3955" w:type="dxa"/>
            <w:noWrap/>
          </w:tcPr>
          <w:p w14:paraId="79425806" w14:textId="77777777" w:rsidR="006D7301" w:rsidRPr="00D66823" w:rsidRDefault="006D7301" w:rsidP="006D7301">
            <w:pPr>
              <w:pStyle w:val="xxmsonormal"/>
              <w:spacing w:line="360" w:lineRule="auto"/>
              <w:rPr>
                <w:rFonts w:ascii="Times New Roman" w:eastAsia="Calibri" w:hAnsi="Times New Roman" w:cs="Times New Roman"/>
                <w:noProof/>
                <w:color w:val="767171"/>
                <w:spacing w:val="20"/>
                <w:sz w:val="24"/>
                <w:szCs w:val="24"/>
                <w:lang w:eastAsia="en-US"/>
              </w:rPr>
            </w:pPr>
            <w:r w:rsidRPr="00D66823">
              <w:rPr>
                <w:rFonts w:ascii="Times New Roman" w:eastAsia="Calibri" w:hAnsi="Times New Roman" w:cs="Times New Roman"/>
                <w:noProof/>
                <w:color w:val="767171"/>
                <w:spacing w:val="20"/>
                <w:sz w:val="24"/>
                <w:szCs w:val="24"/>
              </w:rPr>
              <w:t>E-Participación</w:t>
            </w:r>
          </w:p>
        </w:tc>
        <w:tc>
          <w:tcPr>
            <w:tcW w:w="2025" w:type="dxa"/>
          </w:tcPr>
          <w:p w14:paraId="0137D4DF" w14:textId="77777777" w:rsidR="006D7301" w:rsidRPr="00D66823" w:rsidRDefault="006D7301" w:rsidP="006D7301">
            <w:pPr>
              <w:pStyle w:val="xxmsonormal"/>
              <w:spacing w:line="360" w:lineRule="auto"/>
              <w:jc w:val="center"/>
              <w:rPr>
                <w:rFonts w:ascii="Times New Roman" w:eastAsia="Calibri" w:hAnsi="Times New Roman" w:cs="Times New Roman"/>
                <w:noProof/>
                <w:color w:val="767171"/>
                <w:spacing w:val="20"/>
                <w:sz w:val="24"/>
                <w:szCs w:val="24"/>
                <w:lang w:eastAsia="en-US"/>
              </w:rPr>
            </w:pPr>
            <w:r w:rsidRPr="00D66823">
              <w:rPr>
                <w:rFonts w:ascii="Times New Roman" w:eastAsia="Calibri" w:hAnsi="Times New Roman" w:cs="Times New Roman"/>
                <w:noProof/>
                <w:color w:val="767171"/>
                <w:spacing w:val="20"/>
                <w:sz w:val="24"/>
                <w:szCs w:val="24"/>
              </w:rPr>
              <w:t>11.25%</w:t>
            </w:r>
          </w:p>
        </w:tc>
        <w:tc>
          <w:tcPr>
            <w:tcW w:w="1580" w:type="dxa"/>
            <w:vMerge/>
          </w:tcPr>
          <w:p w14:paraId="55EE17B2" w14:textId="77777777" w:rsidR="006D7301" w:rsidRPr="00D66823" w:rsidRDefault="006D7301" w:rsidP="006D7301">
            <w:pPr>
              <w:pStyle w:val="xxmsonormal"/>
              <w:spacing w:line="360" w:lineRule="auto"/>
              <w:jc w:val="center"/>
              <w:rPr>
                <w:rFonts w:ascii="Times New Roman" w:eastAsia="Calibri" w:hAnsi="Times New Roman" w:cs="Times New Roman"/>
                <w:noProof/>
                <w:color w:val="767171"/>
                <w:spacing w:val="20"/>
                <w:sz w:val="24"/>
                <w:szCs w:val="24"/>
                <w:lang w:eastAsia="en-US"/>
              </w:rPr>
            </w:pPr>
          </w:p>
        </w:tc>
      </w:tr>
      <w:tr w:rsidR="006D7301" w:rsidRPr="00C10156" w14:paraId="3931FB39" w14:textId="77777777" w:rsidTr="006D7301">
        <w:trPr>
          <w:trHeight w:val="565"/>
        </w:trPr>
        <w:tc>
          <w:tcPr>
            <w:tcW w:w="3955" w:type="dxa"/>
            <w:noWrap/>
          </w:tcPr>
          <w:p w14:paraId="41EB653A" w14:textId="77777777" w:rsidR="006D7301" w:rsidRPr="00D66823" w:rsidRDefault="006D7301" w:rsidP="006D7301">
            <w:pPr>
              <w:pStyle w:val="xxmsonormal"/>
              <w:spacing w:line="360" w:lineRule="auto"/>
              <w:rPr>
                <w:rFonts w:ascii="Times New Roman" w:eastAsia="Calibri" w:hAnsi="Times New Roman" w:cs="Times New Roman"/>
                <w:noProof/>
                <w:color w:val="767171"/>
                <w:spacing w:val="20"/>
                <w:sz w:val="24"/>
                <w:szCs w:val="24"/>
              </w:rPr>
            </w:pPr>
            <w:r w:rsidRPr="00D66823">
              <w:rPr>
                <w:rFonts w:ascii="Times New Roman" w:eastAsia="Calibri" w:hAnsi="Times New Roman" w:cs="Times New Roman"/>
                <w:noProof/>
                <w:color w:val="767171"/>
                <w:spacing w:val="20"/>
                <w:sz w:val="24"/>
                <w:szCs w:val="24"/>
                <w:lang w:eastAsia="en-US"/>
              </w:rPr>
              <w:t>Servicios en Línea</w:t>
            </w:r>
          </w:p>
        </w:tc>
        <w:tc>
          <w:tcPr>
            <w:tcW w:w="2025" w:type="dxa"/>
          </w:tcPr>
          <w:p w14:paraId="7E973F0E" w14:textId="77777777" w:rsidR="006D7301" w:rsidRPr="00D66823" w:rsidRDefault="006D7301" w:rsidP="006D7301">
            <w:pPr>
              <w:pStyle w:val="xxmsonormal"/>
              <w:spacing w:line="360" w:lineRule="auto"/>
              <w:jc w:val="center"/>
              <w:rPr>
                <w:rFonts w:ascii="Times New Roman" w:eastAsia="Calibri" w:hAnsi="Times New Roman" w:cs="Times New Roman"/>
                <w:noProof/>
                <w:color w:val="767171"/>
                <w:spacing w:val="20"/>
                <w:sz w:val="24"/>
                <w:szCs w:val="24"/>
              </w:rPr>
            </w:pPr>
            <w:r w:rsidRPr="00D66823">
              <w:rPr>
                <w:rFonts w:ascii="Times New Roman" w:eastAsia="Calibri" w:hAnsi="Times New Roman" w:cs="Times New Roman"/>
                <w:noProof/>
                <w:color w:val="767171"/>
                <w:spacing w:val="20"/>
                <w:sz w:val="24"/>
                <w:szCs w:val="24"/>
              </w:rPr>
              <w:t>26.87%</w:t>
            </w:r>
          </w:p>
        </w:tc>
        <w:tc>
          <w:tcPr>
            <w:tcW w:w="1580" w:type="dxa"/>
            <w:vMerge/>
          </w:tcPr>
          <w:p w14:paraId="0B5AE5E3" w14:textId="77777777" w:rsidR="006D7301" w:rsidRPr="00D66823" w:rsidRDefault="006D7301" w:rsidP="006D7301">
            <w:pPr>
              <w:pStyle w:val="xxmsonormal"/>
              <w:spacing w:line="360" w:lineRule="auto"/>
              <w:jc w:val="center"/>
              <w:rPr>
                <w:rFonts w:ascii="Times New Roman" w:eastAsia="Calibri" w:hAnsi="Times New Roman" w:cs="Times New Roman"/>
                <w:noProof/>
                <w:color w:val="767171"/>
                <w:spacing w:val="20"/>
                <w:sz w:val="24"/>
                <w:szCs w:val="24"/>
                <w:lang w:eastAsia="en-US"/>
              </w:rPr>
            </w:pPr>
          </w:p>
        </w:tc>
      </w:tr>
      <w:tr w:rsidR="006D7301" w:rsidRPr="00C10156" w14:paraId="66B9B87C" w14:textId="77777777" w:rsidTr="006D7301">
        <w:trPr>
          <w:trHeight w:val="382"/>
        </w:trPr>
        <w:tc>
          <w:tcPr>
            <w:tcW w:w="3955" w:type="dxa"/>
            <w:noWrap/>
          </w:tcPr>
          <w:p w14:paraId="4D7F97AB" w14:textId="77777777" w:rsidR="006D7301" w:rsidRPr="00D66823" w:rsidRDefault="006D7301" w:rsidP="006D7301">
            <w:pPr>
              <w:pStyle w:val="xxmsonormal"/>
              <w:spacing w:line="360" w:lineRule="auto"/>
              <w:rPr>
                <w:rFonts w:ascii="Times New Roman" w:eastAsia="Calibri" w:hAnsi="Times New Roman" w:cs="Times New Roman"/>
                <w:b/>
                <w:bCs/>
                <w:noProof/>
                <w:color w:val="767171"/>
                <w:spacing w:val="20"/>
                <w:sz w:val="24"/>
                <w:szCs w:val="24"/>
                <w:lang w:eastAsia="en-US"/>
              </w:rPr>
            </w:pPr>
            <w:r w:rsidRPr="00D66823">
              <w:rPr>
                <w:rFonts w:ascii="Times New Roman" w:eastAsia="Calibri" w:hAnsi="Times New Roman" w:cs="Times New Roman"/>
                <w:b/>
                <w:bCs/>
                <w:noProof/>
                <w:color w:val="767171"/>
                <w:spacing w:val="20"/>
                <w:sz w:val="24"/>
                <w:szCs w:val="24"/>
                <w:lang w:eastAsia="en-US"/>
              </w:rPr>
              <w:t>TOTAL</w:t>
            </w:r>
          </w:p>
        </w:tc>
        <w:tc>
          <w:tcPr>
            <w:tcW w:w="2025" w:type="dxa"/>
          </w:tcPr>
          <w:p w14:paraId="32EA4C6B" w14:textId="77777777" w:rsidR="006D7301" w:rsidRPr="00D66823" w:rsidRDefault="006D7301" w:rsidP="006D7301">
            <w:pPr>
              <w:pStyle w:val="xxmsonormal"/>
              <w:spacing w:line="360" w:lineRule="auto"/>
              <w:jc w:val="center"/>
              <w:rPr>
                <w:rFonts w:ascii="Times New Roman" w:eastAsia="Calibri" w:hAnsi="Times New Roman" w:cs="Times New Roman"/>
                <w:b/>
                <w:bCs/>
                <w:noProof/>
                <w:color w:val="767171"/>
                <w:spacing w:val="20"/>
                <w:sz w:val="24"/>
                <w:szCs w:val="24"/>
                <w:lang w:eastAsia="en-US"/>
              </w:rPr>
            </w:pPr>
            <w:r w:rsidRPr="00D66823">
              <w:rPr>
                <w:rFonts w:ascii="Times New Roman" w:eastAsia="Calibri" w:hAnsi="Times New Roman" w:cs="Times New Roman"/>
                <w:b/>
                <w:bCs/>
                <w:noProof/>
                <w:color w:val="767171"/>
                <w:spacing w:val="20"/>
                <w:sz w:val="24"/>
                <w:szCs w:val="24"/>
              </w:rPr>
              <w:t>81.45%</w:t>
            </w:r>
          </w:p>
        </w:tc>
        <w:tc>
          <w:tcPr>
            <w:tcW w:w="1580" w:type="dxa"/>
            <w:vMerge/>
          </w:tcPr>
          <w:p w14:paraId="618281C8" w14:textId="77777777" w:rsidR="006D7301" w:rsidRPr="00D66823" w:rsidRDefault="006D7301" w:rsidP="006D7301">
            <w:pPr>
              <w:pStyle w:val="xxmsonormal"/>
              <w:spacing w:line="360" w:lineRule="auto"/>
              <w:jc w:val="center"/>
              <w:rPr>
                <w:rFonts w:ascii="Times New Roman" w:eastAsia="Calibri" w:hAnsi="Times New Roman" w:cs="Times New Roman"/>
                <w:noProof/>
                <w:color w:val="767171"/>
                <w:spacing w:val="20"/>
                <w:sz w:val="24"/>
                <w:szCs w:val="24"/>
                <w:lang w:eastAsia="en-US"/>
              </w:rPr>
            </w:pPr>
          </w:p>
        </w:tc>
      </w:tr>
    </w:tbl>
    <w:bookmarkEnd w:id="206"/>
    <w:p w14:paraId="7DE75D49" w14:textId="0864200B" w:rsidR="006D7301" w:rsidRPr="003303DE" w:rsidRDefault="006D7301" w:rsidP="006D7301">
      <w:pPr>
        <w:spacing w:line="360" w:lineRule="auto"/>
        <w:rPr>
          <w:rFonts w:eastAsia="Calibri"/>
          <w:sz w:val="18"/>
          <w:szCs w:val="18"/>
          <w:lang w:val="es-ES"/>
        </w:rPr>
      </w:pPr>
      <w:r w:rsidRPr="003303DE">
        <w:rPr>
          <w:rFonts w:eastAsia="Calibri"/>
          <w:b/>
          <w:bCs/>
          <w:sz w:val="18"/>
          <w:szCs w:val="18"/>
          <w:lang w:val="es-ES"/>
        </w:rPr>
        <w:t>Tabla 2</w:t>
      </w:r>
      <w:r w:rsidR="00C50277">
        <w:rPr>
          <w:rFonts w:eastAsia="Calibri"/>
          <w:b/>
          <w:bCs/>
          <w:sz w:val="18"/>
          <w:szCs w:val="18"/>
          <w:lang w:val="es-ES"/>
        </w:rPr>
        <w:t>5</w:t>
      </w:r>
      <w:r w:rsidRPr="003303DE">
        <w:rPr>
          <w:rFonts w:eastAsia="Calibri"/>
          <w:b/>
          <w:bCs/>
          <w:sz w:val="18"/>
          <w:szCs w:val="18"/>
          <w:lang w:val="es-ES"/>
        </w:rPr>
        <w:t xml:space="preserve">: </w:t>
      </w:r>
      <w:hyperlink r:id="rId42" w:history="1">
        <w:r w:rsidRPr="003303DE">
          <w:rPr>
            <w:rFonts w:eastAsia="Calibri"/>
            <w:sz w:val="18"/>
            <w:szCs w:val="18"/>
            <w:lang w:val="es-ES"/>
          </w:rPr>
          <w:t>http://sisticge.dominicana.gob.do/dashboard.php</w:t>
        </w:r>
      </w:hyperlink>
    </w:p>
    <w:p w14:paraId="03FDB626" w14:textId="65CDC039" w:rsidR="00490DE2" w:rsidRPr="00D66823" w:rsidRDefault="00490DE2" w:rsidP="00D66823">
      <w:pPr>
        <w:spacing w:line="360" w:lineRule="auto"/>
        <w:jc w:val="both"/>
        <w:rPr>
          <w:rFonts w:eastAsia="Calibri"/>
          <w:noProof/>
          <w:lang w:val="es-DO"/>
        </w:rPr>
      </w:pPr>
      <w:r w:rsidRPr="00D66823">
        <w:rPr>
          <w:rFonts w:eastAsia="Calibri"/>
          <w:noProof/>
          <w:lang w:val="es-DO"/>
        </w:rPr>
        <w:t>Luego de esta reevaluación fuimos colocado en la posición 27 con la puntuación de 81.45%  debido al peso que tienen los pilares dentro de la nueva estructura.</w:t>
      </w:r>
    </w:p>
    <w:p w14:paraId="374184B4" w14:textId="77777777" w:rsidR="00490DE2" w:rsidRPr="00D66823" w:rsidRDefault="00490DE2" w:rsidP="00D66823">
      <w:pPr>
        <w:spacing w:line="360" w:lineRule="auto"/>
        <w:jc w:val="both"/>
        <w:rPr>
          <w:rFonts w:eastAsia="Calibri"/>
          <w:noProof/>
          <w:lang w:val="es-DO"/>
        </w:rPr>
      </w:pPr>
      <w:r w:rsidRPr="00D66823">
        <w:rPr>
          <w:rFonts w:eastAsia="Calibri"/>
          <w:noProof/>
          <w:lang w:val="es-DO"/>
        </w:rPr>
        <w:t xml:space="preserve">Este éxito es un incentivo para seguir avanzando y continuar mejorando en el uso de las tecnologías en beneficio de los ciudadanos y la eficiencia en la gestión gubernamental.     </w:t>
      </w:r>
    </w:p>
    <w:p w14:paraId="60FE0554" w14:textId="7B18A248" w:rsidR="00F20655" w:rsidRDefault="00490DE2" w:rsidP="006D7301">
      <w:pPr>
        <w:spacing w:line="360" w:lineRule="auto"/>
        <w:jc w:val="both"/>
        <w:rPr>
          <w:rFonts w:eastAsia="Calibri"/>
          <w:noProof/>
          <w:lang w:val="es-DO"/>
        </w:rPr>
      </w:pPr>
      <w:r>
        <w:rPr>
          <w:rFonts w:eastAsia="Calibri"/>
          <w:noProof/>
          <w:lang w:val="es-DO"/>
        </w:rPr>
        <w:t>En la consecución de este perido del a</w:t>
      </w:r>
      <w:r w:rsidRPr="001F0F5A">
        <w:rPr>
          <w:rFonts w:eastAsia="Calibri"/>
          <w:noProof/>
          <w:lang w:val="es-DO"/>
        </w:rPr>
        <w:t>ño</w:t>
      </w:r>
      <w:r w:rsidRPr="006B5338">
        <w:rPr>
          <w:rFonts w:eastAsia="Calibri"/>
          <w:noProof/>
          <w:lang w:val="es-DO"/>
        </w:rPr>
        <w:t xml:space="preserve">, la TSS ha demostrado un compromiso constante con la excelencia y la mejora continua. </w:t>
      </w:r>
    </w:p>
    <w:p w14:paraId="0C836FEA" w14:textId="1193750C" w:rsidR="007F5225" w:rsidRPr="00F20655" w:rsidRDefault="00490DE2" w:rsidP="00D66823">
      <w:pPr>
        <w:spacing w:after="0" w:line="360" w:lineRule="auto"/>
        <w:jc w:val="both"/>
        <w:rPr>
          <w:rFonts w:eastAsia="Calibri"/>
          <w:b/>
          <w:bCs/>
          <w:noProof/>
          <w:lang w:val="es-DO"/>
        </w:rPr>
      </w:pPr>
      <w:r w:rsidRPr="00F20655">
        <w:rPr>
          <w:rFonts w:eastAsia="Calibri"/>
          <w:b/>
          <w:bCs/>
          <w:noProof/>
          <w:lang w:val="es-DO"/>
        </w:rPr>
        <w:t>Estos son algunos de los logros más destacados:</w:t>
      </w:r>
    </w:p>
    <w:p w14:paraId="22B8FABE" w14:textId="77777777" w:rsidR="00490DE2" w:rsidRPr="001F0F5A" w:rsidRDefault="00490DE2" w:rsidP="00D66823">
      <w:pPr>
        <w:spacing w:before="240" w:after="0" w:line="360" w:lineRule="auto"/>
        <w:jc w:val="both"/>
        <w:rPr>
          <w:rFonts w:eastAsia="Calibri"/>
          <w:b/>
          <w:bCs/>
          <w:noProof/>
          <w:lang w:val="es-DO"/>
        </w:rPr>
      </w:pPr>
      <w:r w:rsidRPr="00452FE7">
        <w:rPr>
          <w:rFonts w:eastAsia="Calibri"/>
          <w:b/>
          <w:bCs/>
          <w:noProof/>
          <w:lang w:val="es-DO"/>
        </w:rPr>
        <w:t>Mejora Significativa en la Calidad de las Pruebas:</w:t>
      </w:r>
      <w:r>
        <w:rPr>
          <w:rFonts w:eastAsia="Calibri"/>
          <w:b/>
          <w:bCs/>
          <w:noProof/>
          <w:lang w:val="es-DO"/>
        </w:rPr>
        <w:t xml:space="preserve"> </w:t>
      </w:r>
      <w:r w:rsidRPr="006B5338">
        <w:rPr>
          <w:rFonts w:eastAsia="Calibri"/>
          <w:noProof/>
          <w:lang w:val="es-DO"/>
        </w:rPr>
        <w:t>Implementamos nuevos controles de revisión y supervisión para detectar tempranamente errores y fallos, reduciendo el tiempo necesario para corregir defectos antes del despliegue en producción.</w:t>
      </w:r>
    </w:p>
    <w:p w14:paraId="2D77FE93" w14:textId="77777777" w:rsidR="00490DE2" w:rsidRPr="006B5338" w:rsidRDefault="00490DE2" w:rsidP="00D66823">
      <w:pPr>
        <w:spacing w:before="240" w:after="0" w:line="360" w:lineRule="auto"/>
        <w:jc w:val="both"/>
        <w:rPr>
          <w:rFonts w:eastAsia="Calibri"/>
          <w:noProof/>
          <w:lang w:val="es-DO"/>
        </w:rPr>
      </w:pPr>
      <w:r w:rsidRPr="00452FE7">
        <w:rPr>
          <w:rFonts w:eastAsia="Calibri"/>
          <w:b/>
          <w:bCs/>
          <w:noProof/>
          <w:lang w:val="es-DO"/>
        </w:rPr>
        <w:lastRenderedPageBreak/>
        <w:t>Cumplimiento de Plazos</w:t>
      </w:r>
      <w:r w:rsidRPr="00452FE7">
        <w:rPr>
          <w:rFonts w:eastAsia="Calibri"/>
          <w:noProof/>
          <w:lang w:val="es-DO"/>
        </w:rPr>
        <w:t>:</w:t>
      </w:r>
      <w:r w:rsidRPr="006B5338">
        <w:rPr>
          <w:rFonts w:eastAsia="Calibri"/>
          <w:noProof/>
          <w:lang w:val="es-DO"/>
        </w:rPr>
        <w:t>Optimizamos los tiempos de entrega de las tareas mediante la asignación precisa de tiempos para la ejecución de pruebas, asegurando el cumplimiento de los plazos establecidos.</w:t>
      </w:r>
    </w:p>
    <w:p w14:paraId="6F6E260A" w14:textId="77777777" w:rsidR="00490DE2" w:rsidRPr="001F0F5A" w:rsidRDefault="00490DE2" w:rsidP="00D66823">
      <w:pPr>
        <w:spacing w:before="240" w:after="0" w:line="360" w:lineRule="auto"/>
        <w:jc w:val="both"/>
        <w:rPr>
          <w:rFonts w:eastAsia="Calibri"/>
          <w:b/>
          <w:bCs/>
          <w:noProof/>
          <w:lang w:val="es-DO"/>
        </w:rPr>
      </w:pPr>
      <w:r w:rsidRPr="00452FE7">
        <w:rPr>
          <w:rFonts w:eastAsia="Calibri"/>
          <w:b/>
          <w:bCs/>
          <w:noProof/>
          <w:lang w:val="es-DO"/>
        </w:rPr>
        <w:t>Reducción de Fallos en Producción:</w:t>
      </w:r>
      <w:r>
        <w:rPr>
          <w:rFonts w:eastAsia="Calibri"/>
          <w:b/>
          <w:bCs/>
          <w:noProof/>
          <w:lang w:val="es-DO"/>
        </w:rPr>
        <w:t xml:space="preserve"> </w:t>
      </w:r>
      <w:r w:rsidRPr="006B5338">
        <w:rPr>
          <w:rFonts w:eastAsia="Calibri"/>
          <w:noProof/>
          <w:lang w:val="es-DO"/>
        </w:rPr>
        <w:t>Logramos una notable disminución de fallos relacionados con pruebas y su impacto en el entorno de producción, mejorando la experiencia del usuario final y reduciendo el tiempo de inactividad.</w:t>
      </w:r>
    </w:p>
    <w:p w14:paraId="6FB64943" w14:textId="77777777" w:rsidR="00490DE2" w:rsidRPr="001F0F5A" w:rsidRDefault="00490DE2" w:rsidP="00D66823">
      <w:pPr>
        <w:spacing w:before="240" w:after="0" w:line="360" w:lineRule="auto"/>
        <w:jc w:val="both"/>
        <w:rPr>
          <w:rFonts w:eastAsia="Calibri"/>
          <w:b/>
          <w:bCs/>
          <w:noProof/>
          <w:lang w:val="es-DO"/>
        </w:rPr>
      </w:pPr>
      <w:r w:rsidRPr="00452FE7">
        <w:rPr>
          <w:rFonts w:eastAsia="Calibri"/>
          <w:b/>
          <w:bCs/>
          <w:noProof/>
          <w:lang w:val="es-DO"/>
        </w:rPr>
        <w:t>Actualización del Cluster Nutanix de NACO:</w:t>
      </w:r>
      <w:r>
        <w:rPr>
          <w:rFonts w:eastAsia="Calibri"/>
          <w:b/>
          <w:bCs/>
          <w:noProof/>
          <w:lang w:val="es-DO"/>
        </w:rPr>
        <w:t xml:space="preserve"> </w:t>
      </w:r>
      <w:r w:rsidRPr="006B5338">
        <w:rPr>
          <w:rFonts w:eastAsia="Calibri"/>
          <w:noProof/>
          <w:lang w:val="es-DO"/>
        </w:rPr>
        <w:t>Mejoramos la seguridad del sistema del cluster y corregimos errores, fortaleciendo la infraestructura tecnológica de la TSS.</w:t>
      </w:r>
    </w:p>
    <w:p w14:paraId="3F258474" w14:textId="77777777" w:rsidR="00490DE2" w:rsidRPr="001F0F5A" w:rsidRDefault="00490DE2" w:rsidP="00D66823">
      <w:pPr>
        <w:spacing w:before="240" w:after="0" w:line="360" w:lineRule="auto"/>
        <w:jc w:val="both"/>
        <w:rPr>
          <w:rFonts w:eastAsia="Calibri"/>
          <w:b/>
          <w:bCs/>
          <w:noProof/>
          <w:lang w:val="es-DO"/>
        </w:rPr>
      </w:pPr>
      <w:r w:rsidRPr="001F0F5A">
        <w:rPr>
          <w:rFonts w:eastAsia="Calibri"/>
          <w:b/>
          <w:bCs/>
          <w:noProof/>
          <w:lang w:val="es-DO"/>
        </w:rPr>
        <w:t>Implementación del Software TeamMate:</w:t>
      </w:r>
      <w:r>
        <w:rPr>
          <w:rFonts w:eastAsia="Calibri"/>
          <w:b/>
          <w:bCs/>
          <w:noProof/>
          <w:lang w:val="es-DO"/>
        </w:rPr>
        <w:t xml:space="preserve"> </w:t>
      </w:r>
      <w:r w:rsidRPr="006B5338">
        <w:rPr>
          <w:rFonts w:eastAsia="Calibri"/>
          <w:noProof/>
          <w:lang w:val="es-DO"/>
        </w:rPr>
        <w:t>Mejoramos la precisión y eficiencia en la revisión de datos financieros y operativos, reforzando la fiscalización externa.</w:t>
      </w:r>
    </w:p>
    <w:p w14:paraId="1D572C63" w14:textId="77777777" w:rsidR="00490DE2" w:rsidRPr="006B5338" w:rsidRDefault="00490DE2" w:rsidP="00D66823">
      <w:pPr>
        <w:spacing w:before="240" w:after="0" w:line="360" w:lineRule="auto"/>
        <w:jc w:val="both"/>
        <w:rPr>
          <w:rFonts w:eastAsia="Calibri"/>
          <w:noProof/>
          <w:lang w:val="es-DO"/>
        </w:rPr>
      </w:pPr>
      <w:r w:rsidRPr="006B5338">
        <w:rPr>
          <w:rFonts w:eastAsia="Calibri"/>
          <w:noProof/>
          <w:lang w:val="es-DO"/>
        </w:rPr>
        <w:t>Al centrarnos en la planificación estratégica, las soluciones basadas en datos y la transparencia, nuestro departamento se ha posicionado como líder en la organización, demostrando un compromiso constante con la excelencia y la innovación</w:t>
      </w:r>
      <w:r>
        <w:rPr>
          <w:rFonts w:eastAsia="Calibri"/>
          <w:noProof/>
          <w:lang w:val="es-DO"/>
        </w:rPr>
        <w:t>.</w:t>
      </w:r>
    </w:p>
    <w:p w14:paraId="344E8810" w14:textId="77777777" w:rsidR="00490DE2" w:rsidRPr="001F0F5A" w:rsidRDefault="00490DE2" w:rsidP="00D66823">
      <w:pPr>
        <w:spacing w:before="240" w:after="0" w:line="360" w:lineRule="auto"/>
        <w:jc w:val="both"/>
        <w:rPr>
          <w:rFonts w:eastAsia="Calibri"/>
          <w:noProof/>
          <w:lang w:val="es-DO"/>
        </w:rPr>
      </w:pPr>
      <w:r w:rsidRPr="001F0F5A">
        <w:rPr>
          <w:rFonts w:eastAsia="Calibri"/>
          <w:b/>
          <w:bCs/>
          <w:noProof/>
          <w:lang w:val="es-DO"/>
        </w:rPr>
        <w:t>Automatización de Tareas</w:t>
      </w:r>
      <w:r w:rsidRPr="001F0F5A">
        <w:rPr>
          <w:rFonts w:eastAsia="Calibri"/>
          <w:noProof/>
          <w:lang w:val="es-DO"/>
        </w:rPr>
        <w:t>: Automatizamos tareas frecuentes, liberando tiempo valioso de los empleados para iniciativas estratégicas y minimizando errores.</w:t>
      </w:r>
    </w:p>
    <w:p w14:paraId="43C6AD32" w14:textId="77777777" w:rsidR="00490DE2" w:rsidRPr="001F0F5A" w:rsidRDefault="00490DE2" w:rsidP="00D66823">
      <w:pPr>
        <w:spacing w:before="240" w:after="0" w:line="360" w:lineRule="auto"/>
        <w:jc w:val="both"/>
        <w:rPr>
          <w:rFonts w:eastAsia="Calibri"/>
          <w:noProof/>
          <w:lang w:val="es-DO"/>
        </w:rPr>
      </w:pPr>
      <w:r w:rsidRPr="001F0F5A">
        <w:rPr>
          <w:rFonts w:eastAsia="Calibri"/>
          <w:b/>
          <w:bCs/>
          <w:noProof/>
          <w:lang w:val="es-DO"/>
        </w:rPr>
        <w:t>Modelo Predictivo de Fraude</w:t>
      </w:r>
      <w:r w:rsidRPr="001F0F5A">
        <w:rPr>
          <w:rFonts w:eastAsia="Calibri"/>
          <w:noProof/>
          <w:lang w:val="es-DO"/>
        </w:rPr>
        <w:t>: Desarrollamos un modelo a la vanguardia para salvaguardar los recursos de posibles amenazas.</w:t>
      </w:r>
    </w:p>
    <w:p w14:paraId="37EF39C5" w14:textId="77777777" w:rsidR="00490DE2" w:rsidRDefault="00490DE2" w:rsidP="00D66823">
      <w:pPr>
        <w:spacing w:before="240" w:after="0" w:line="360" w:lineRule="auto"/>
        <w:jc w:val="both"/>
        <w:rPr>
          <w:rFonts w:eastAsia="Calibri"/>
          <w:noProof/>
          <w:lang w:val="es-DO"/>
        </w:rPr>
      </w:pPr>
      <w:r w:rsidRPr="001F0F5A">
        <w:rPr>
          <w:rFonts w:eastAsia="Calibri"/>
          <w:b/>
          <w:bCs/>
          <w:noProof/>
          <w:lang w:val="es-DO"/>
        </w:rPr>
        <w:t>Implementación de NETBOTZ:</w:t>
      </w:r>
      <w:r w:rsidRPr="001F0F5A">
        <w:rPr>
          <w:rFonts w:eastAsia="Calibri"/>
          <w:noProof/>
          <w:lang w:val="es-DO"/>
        </w:rPr>
        <w:t xml:space="preserve"> Proporcionamos visibilidad en tiempo real y alertas sobre el estado del datacenter, optimizando la eficiencia operativa y reduciendo costos y riesgos.</w:t>
      </w:r>
    </w:p>
    <w:p w14:paraId="4904F401" w14:textId="77777777" w:rsidR="00150BB3" w:rsidRDefault="00150BB3" w:rsidP="00D66823">
      <w:pPr>
        <w:spacing w:after="0" w:line="360" w:lineRule="auto"/>
        <w:jc w:val="both"/>
        <w:rPr>
          <w:rFonts w:eastAsia="Calibri"/>
          <w:b/>
          <w:bCs/>
          <w:noProof/>
          <w:lang w:val="es-ES"/>
        </w:rPr>
      </w:pPr>
    </w:p>
    <w:p w14:paraId="6DB34733" w14:textId="3FE82CA1" w:rsidR="00371782" w:rsidRPr="00371782" w:rsidRDefault="00490DE2" w:rsidP="00D66823">
      <w:pPr>
        <w:spacing w:line="360" w:lineRule="auto"/>
        <w:jc w:val="both"/>
        <w:rPr>
          <w:rFonts w:eastAsia="Calibri"/>
          <w:b/>
          <w:bCs/>
          <w:noProof/>
          <w:lang w:val="es-ES"/>
        </w:rPr>
      </w:pPr>
      <w:r w:rsidRPr="00371782">
        <w:rPr>
          <w:rFonts w:eastAsia="Calibri"/>
          <w:b/>
          <w:bCs/>
          <w:noProof/>
          <w:lang w:val="es-ES"/>
        </w:rPr>
        <w:lastRenderedPageBreak/>
        <w:t xml:space="preserve">Estudio Determinantes de las Recaudaciones del Sistema Dominicano de Seguridad Social (SDSS): </w:t>
      </w:r>
    </w:p>
    <w:p w14:paraId="52BD28DE" w14:textId="75808FFF" w:rsidR="00490DE2" w:rsidRPr="00371782" w:rsidRDefault="003303DE" w:rsidP="00D66823">
      <w:pPr>
        <w:spacing w:line="360" w:lineRule="auto"/>
        <w:jc w:val="both"/>
        <w:rPr>
          <w:rFonts w:eastAsia="Calibri"/>
          <w:lang w:val="es-ES"/>
        </w:rPr>
      </w:pPr>
      <w:r w:rsidRPr="00371782">
        <w:rPr>
          <w:rFonts w:eastAsia="Calibri"/>
          <w:lang w:val="es-ES"/>
        </w:rPr>
        <w:t>El estudio para desarrollar</w:t>
      </w:r>
      <w:r w:rsidR="00490DE2" w:rsidRPr="00371782">
        <w:rPr>
          <w:rFonts w:eastAsia="Calibri"/>
          <w:lang w:val="es-ES"/>
        </w:rPr>
        <w:t xml:space="preserve"> tiene como objetivo identificar y cuantificar el peso de diferentes factores, previamente seleccionados, sobre la evolución de las recaudaciones del SDSS. De manera específica, se pretende describir el impacto de los aumentos salariales, así como el del crecimiento en el número de trabajadores cotizantes en el esquema de seguridad social nacional, sobre el monto recaudado a través</w:t>
      </w:r>
      <w:r w:rsidR="001309C4" w:rsidRPr="00371782">
        <w:rPr>
          <w:rFonts w:eastAsia="Calibri"/>
          <w:lang w:val="es-ES"/>
        </w:rPr>
        <w:t xml:space="preserve"> </w:t>
      </w:r>
      <w:r w:rsidR="00490DE2" w:rsidRPr="00371782">
        <w:rPr>
          <w:rFonts w:eastAsia="Calibri"/>
          <w:lang w:val="es-ES"/>
        </w:rPr>
        <w:t>de la Tesorería de la Seguridad social</w:t>
      </w:r>
      <w:r w:rsidR="00371782" w:rsidRPr="00371782">
        <w:rPr>
          <w:rFonts w:eastAsia="Calibri"/>
          <w:lang w:val="es-ES"/>
        </w:rPr>
        <w:t>.</w:t>
      </w:r>
    </w:p>
    <w:p w14:paraId="3DD5A07E" w14:textId="77777777" w:rsidR="00490DE2" w:rsidRDefault="00490DE2" w:rsidP="00D66823">
      <w:pPr>
        <w:spacing w:line="360" w:lineRule="auto"/>
        <w:jc w:val="both"/>
        <w:rPr>
          <w:rFonts w:eastAsia="Calibri"/>
          <w:lang w:val="es-ES"/>
        </w:rPr>
      </w:pPr>
      <w:r>
        <w:rPr>
          <w:rFonts w:eastAsia="Calibri"/>
          <w:b/>
          <w:bCs/>
          <w:noProof/>
          <w:lang w:val="es-ES"/>
        </w:rPr>
        <w:t xml:space="preserve">Estudio sobre las </w:t>
      </w:r>
      <w:r w:rsidRPr="00236CC0">
        <w:rPr>
          <w:rFonts w:eastAsia="Calibri"/>
          <w:b/>
          <w:bCs/>
          <w:noProof/>
          <w:lang w:val="es-ES"/>
        </w:rPr>
        <w:t>Caracterización de la duración y la recurrencia de la evasión contributiva en el Sistema Dominicano de Seguridad Social:</w:t>
      </w:r>
      <w:r w:rsidRPr="00236CC0">
        <w:rPr>
          <w:rFonts w:eastAsia="Calibri"/>
          <w:noProof/>
          <w:lang w:val="es-ES"/>
        </w:rPr>
        <w:t xml:space="preserve"> </w:t>
      </w:r>
      <w:r w:rsidRPr="00236CC0">
        <w:rPr>
          <w:rFonts w:eastAsia="Calibri"/>
          <w:lang w:val="es-ES"/>
        </w:rPr>
        <w:t>Esta investigación busca caracterizar la duración y la recurrencia de la evasión contributiva en el Sistema Dominicano de Seguridad Social (SDSS). Mediante la aplicación del análisis de supervivencia y funciones de riesgo instantáneo, así como también de la estimación de un modelo de respuesta binaria, se lograron</w:t>
      </w:r>
      <w:r w:rsidRPr="00236CC0">
        <w:rPr>
          <w:rFonts w:eastAsia="Calibri"/>
          <w:noProof/>
          <w:lang w:val="es-ES"/>
        </w:rPr>
        <w:t xml:space="preserve"> obtener importantes resultados </w:t>
      </w:r>
      <w:r w:rsidRPr="00236CC0">
        <w:rPr>
          <w:rFonts w:eastAsia="Calibri"/>
          <w:lang w:val="es-ES"/>
        </w:rPr>
        <w:t>sobre la evasión contributiva en la República Dominicana.</w:t>
      </w:r>
    </w:p>
    <w:p w14:paraId="50C076C4" w14:textId="387D4955" w:rsidR="00490DE2" w:rsidRPr="00371782" w:rsidRDefault="00490DE2" w:rsidP="00853594">
      <w:pPr>
        <w:spacing w:line="360" w:lineRule="auto"/>
        <w:jc w:val="both"/>
        <w:rPr>
          <w:rFonts w:eastAsia="Calibri"/>
          <w:b/>
          <w:bCs/>
          <w:lang w:val="es-ES"/>
        </w:rPr>
      </w:pPr>
      <w:r w:rsidRPr="00371782">
        <w:rPr>
          <w:rFonts w:eastAsia="Calibri"/>
          <w:b/>
          <w:bCs/>
          <w:lang w:val="es-ES"/>
        </w:rPr>
        <w:t>Definición DMZ</w:t>
      </w:r>
    </w:p>
    <w:p w14:paraId="029913D3" w14:textId="28DC7367" w:rsidR="00490DE2" w:rsidRPr="00490DE2" w:rsidRDefault="00490DE2" w:rsidP="00853594">
      <w:pPr>
        <w:spacing w:line="360" w:lineRule="auto"/>
        <w:jc w:val="both"/>
        <w:rPr>
          <w:rFonts w:eastAsia="Calibri"/>
          <w:lang w:val="es-ES"/>
        </w:rPr>
      </w:pPr>
      <w:r w:rsidRPr="00490DE2">
        <w:rPr>
          <w:rFonts w:eastAsia="Calibri"/>
          <w:lang w:val="es-ES"/>
        </w:rPr>
        <w:t>DMZ</w:t>
      </w:r>
      <w:r w:rsidR="00AF252F">
        <w:rPr>
          <w:rFonts w:eastAsia="Calibri"/>
          <w:lang w:val="es-ES"/>
        </w:rPr>
        <w:t>,</w:t>
      </w:r>
      <w:r w:rsidRPr="00490DE2">
        <w:rPr>
          <w:rFonts w:eastAsia="Calibri"/>
          <w:lang w:val="es-ES"/>
        </w:rPr>
        <w:t xml:space="preserve"> zona desmilitarizada es una red aislada que se encuentra dentro de la red interna de la organización. En ella se encuentran ubicados exclusivamente todos los recursos de la empresa que deben ser accesibles desde Internet, como el servidor web o de correo.</w:t>
      </w:r>
    </w:p>
    <w:p w14:paraId="459A383B" w14:textId="325EE399" w:rsidR="00490DE2" w:rsidRPr="00490DE2" w:rsidRDefault="00490DE2" w:rsidP="00853594">
      <w:pPr>
        <w:spacing w:before="240" w:after="0" w:line="360" w:lineRule="auto"/>
        <w:jc w:val="both"/>
        <w:rPr>
          <w:rFonts w:eastAsia="Calibri"/>
          <w:lang w:val="es-ES"/>
        </w:rPr>
      </w:pPr>
      <w:r w:rsidRPr="00490DE2">
        <w:rPr>
          <w:rFonts w:eastAsia="Calibri"/>
          <w:lang w:val="es-ES"/>
        </w:rPr>
        <w:t>Para la TSS es necesario proteger el SUIR con una red perimetral que contemple filtrado, inspección, detención y mitigación de peticiones maliciosas que son recibidas en el esquema de cortafuegos</w:t>
      </w:r>
      <w:r w:rsidR="009A5D5A">
        <w:rPr>
          <w:rFonts w:eastAsia="Calibri"/>
          <w:lang w:val="es-ES"/>
        </w:rPr>
        <w:t xml:space="preserve"> </w:t>
      </w:r>
      <w:r w:rsidRPr="00490DE2">
        <w:rPr>
          <w:rFonts w:eastAsia="Calibri"/>
          <w:lang w:val="es-ES"/>
        </w:rPr>
        <w:t>(DMZ zona desmilitarizada) y que esta pueda proteger la integridad de la información del SUIR.</w:t>
      </w:r>
    </w:p>
    <w:p w14:paraId="03B1F615" w14:textId="77777777" w:rsidR="00E82B86" w:rsidRPr="00150BB3" w:rsidRDefault="00E82B86" w:rsidP="00853594">
      <w:pPr>
        <w:spacing w:line="360" w:lineRule="auto"/>
        <w:jc w:val="both"/>
        <w:rPr>
          <w:b/>
          <w:bCs/>
          <w:lang w:val="es-ES"/>
        </w:rPr>
      </w:pPr>
      <w:bookmarkStart w:id="207" w:name="_Hlk152923439"/>
      <w:bookmarkStart w:id="208" w:name="_Toc171677867"/>
      <w:bookmarkStart w:id="209" w:name="_Toc172119874"/>
      <w:bookmarkStart w:id="210" w:name="_Toc172120207"/>
      <w:bookmarkStart w:id="211" w:name="_Toc172121425"/>
      <w:r w:rsidRPr="00150BB3">
        <w:rPr>
          <w:b/>
          <w:bCs/>
          <w:lang w:val="es-ES"/>
        </w:rPr>
        <w:lastRenderedPageBreak/>
        <w:t>Departamento de Gestión Seguridad de la Información</w:t>
      </w:r>
      <w:bookmarkEnd w:id="207"/>
      <w:bookmarkEnd w:id="208"/>
      <w:bookmarkEnd w:id="209"/>
      <w:bookmarkEnd w:id="210"/>
      <w:bookmarkEnd w:id="211"/>
    </w:p>
    <w:p w14:paraId="5D3A487D" w14:textId="77777777" w:rsidR="00E82B86" w:rsidRPr="00E82B86" w:rsidRDefault="00E82B86" w:rsidP="00853594">
      <w:pPr>
        <w:spacing w:line="360" w:lineRule="auto"/>
        <w:jc w:val="both"/>
        <w:rPr>
          <w:rFonts w:eastAsia="Calibri"/>
          <w:lang w:val="es-ES"/>
        </w:rPr>
      </w:pPr>
      <w:r w:rsidRPr="00E82B86">
        <w:rPr>
          <w:rFonts w:eastAsia="Calibri"/>
          <w:lang w:val="es-ES"/>
        </w:rPr>
        <w:t>Durante este año, el Depto. de Gestión de Seguridad de la Información, desempeño su rol en garantizar la protección, continuidad y eficiencia de los servicios críticos de la institución, a continuación, las principales actividades, proyectos e impactos logrados alineado con los objetivos estratégicos:</w:t>
      </w:r>
    </w:p>
    <w:p w14:paraId="1FFBBA7B" w14:textId="54AF60BC" w:rsidR="00E82B86" w:rsidRPr="00E82B86" w:rsidRDefault="00E82B86" w:rsidP="00E82B86">
      <w:pPr>
        <w:spacing w:before="100" w:beforeAutospacing="1" w:after="100" w:afterAutospacing="1" w:line="360" w:lineRule="auto"/>
        <w:jc w:val="both"/>
        <w:outlineLvl w:val="4"/>
        <w:rPr>
          <w:rFonts w:eastAsia="Times New Roman"/>
          <w:b/>
          <w:bCs/>
          <w:sz w:val="20"/>
          <w:szCs w:val="20"/>
          <w:lang w:val="es-ES" w:eastAsia="es-DO"/>
        </w:rPr>
      </w:pPr>
      <w:r w:rsidRPr="00E82B86">
        <w:rPr>
          <w:rFonts w:eastAsia="Times New Roman"/>
          <w:b/>
          <w:bCs/>
          <w:lang w:val="es-ES" w:eastAsia="es-DO"/>
        </w:rPr>
        <w:t>Seguridad en Infraestructura y Gestión de Proyectos Clave.</w:t>
      </w:r>
    </w:p>
    <w:p w14:paraId="172DB6B6" w14:textId="77777777" w:rsidR="00E82B86" w:rsidRPr="00E82B86" w:rsidRDefault="00E82B86" w:rsidP="00E82B86">
      <w:pPr>
        <w:numPr>
          <w:ilvl w:val="0"/>
          <w:numId w:val="10"/>
        </w:numPr>
        <w:spacing w:before="100" w:beforeAutospacing="1" w:after="100" w:afterAutospacing="1" w:line="360" w:lineRule="auto"/>
        <w:jc w:val="both"/>
        <w:rPr>
          <w:rFonts w:eastAsia="Times New Roman"/>
          <w:lang w:val="es-ES" w:eastAsia="es-DO"/>
        </w:rPr>
      </w:pPr>
      <w:r w:rsidRPr="00E82B86">
        <w:rPr>
          <w:rFonts w:eastAsia="Times New Roman"/>
          <w:b/>
          <w:bCs/>
          <w:lang w:val="es-ES" w:eastAsia="es-DO"/>
        </w:rPr>
        <w:t>Reestructuración de la infraestructura en la DMZ NAP</w:t>
      </w:r>
      <w:r w:rsidRPr="00E82B86">
        <w:rPr>
          <w:rFonts w:eastAsia="Times New Roman"/>
          <w:lang w:val="es-ES" w:eastAsia="es-DO"/>
        </w:rPr>
        <w:t>​</w:t>
      </w:r>
    </w:p>
    <w:p w14:paraId="4FC7162B" w14:textId="77777777" w:rsidR="00E82B86" w:rsidRPr="00E82B86" w:rsidRDefault="00E82B86" w:rsidP="00E82B86">
      <w:pPr>
        <w:numPr>
          <w:ilvl w:val="1"/>
          <w:numId w:val="10"/>
        </w:numPr>
        <w:spacing w:before="100" w:beforeAutospacing="1" w:after="100" w:afterAutospacing="1" w:line="360" w:lineRule="auto"/>
        <w:jc w:val="both"/>
        <w:rPr>
          <w:rFonts w:eastAsia="Times New Roman"/>
          <w:lang w:val="es-ES" w:eastAsia="es-DO"/>
        </w:rPr>
      </w:pPr>
      <w:r w:rsidRPr="00E82B86">
        <w:rPr>
          <w:rFonts w:eastAsia="Times New Roman"/>
          <w:lang w:val="es-ES" w:eastAsia="es-DO"/>
        </w:rPr>
        <w:t>Configuración de nuevos equipos para fortalecer la seguridad y capacidad de la red.</w:t>
      </w:r>
    </w:p>
    <w:p w14:paraId="23AA565A" w14:textId="77777777" w:rsidR="00E82B86" w:rsidRPr="00E82B86" w:rsidRDefault="00E82B86" w:rsidP="00E82B86">
      <w:pPr>
        <w:numPr>
          <w:ilvl w:val="1"/>
          <w:numId w:val="10"/>
        </w:numPr>
        <w:spacing w:before="100" w:beforeAutospacing="1" w:after="100" w:afterAutospacing="1" w:line="360" w:lineRule="auto"/>
        <w:jc w:val="both"/>
        <w:rPr>
          <w:rFonts w:eastAsia="Times New Roman"/>
          <w:lang w:val="es-ES" w:eastAsia="es-DO"/>
        </w:rPr>
      </w:pPr>
      <w:r w:rsidRPr="00E82B86">
        <w:rPr>
          <w:rFonts w:eastAsia="Times New Roman"/>
          <w:lang w:val="es-ES" w:eastAsia="es-DO"/>
        </w:rPr>
        <w:t>Creación de canales alternos de VPN para garantizar acceso remoto seguro.</w:t>
      </w:r>
    </w:p>
    <w:p w14:paraId="58BF6F4B" w14:textId="7D4E3C8B" w:rsidR="00E82B86" w:rsidRPr="00E82B86" w:rsidRDefault="00E82B86" w:rsidP="00E82B86">
      <w:pPr>
        <w:pStyle w:val="NormalWeb"/>
        <w:numPr>
          <w:ilvl w:val="0"/>
          <w:numId w:val="10"/>
        </w:numPr>
        <w:spacing w:line="360" w:lineRule="auto"/>
        <w:jc w:val="both"/>
        <w:rPr>
          <w:b/>
          <w:bCs/>
          <w:color w:val="767171"/>
          <w:spacing w:val="20"/>
          <w:lang w:eastAsia="es-DO"/>
        </w:rPr>
      </w:pPr>
      <w:r w:rsidRPr="00E82B86">
        <w:rPr>
          <w:b/>
          <w:bCs/>
          <w:color w:val="767171"/>
          <w:spacing w:val="20"/>
          <w:lang w:eastAsia="es-DO"/>
        </w:rPr>
        <w:t xml:space="preserve">Configuración de </w:t>
      </w:r>
      <w:r w:rsidR="007B7B6E" w:rsidRPr="00E82B86">
        <w:rPr>
          <w:b/>
          <w:bCs/>
          <w:color w:val="767171"/>
          <w:spacing w:val="20"/>
          <w:lang w:eastAsia="es-DO"/>
        </w:rPr>
        <w:t>Wifi</w:t>
      </w:r>
      <w:r w:rsidRPr="00E82B86">
        <w:rPr>
          <w:b/>
          <w:bCs/>
          <w:color w:val="767171"/>
          <w:spacing w:val="20"/>
          <w:lang w:eastAsia="es-DO"/>
        </w:rPr>
        <w:t xml:space="preserve"> con Autenticación de Dominio</w:t>
      </w:r>
    </w:p>
    <w:p w14:paraId="431D7DB7" w14:textId="77777777" w:rsidR="00E82B86" w:rsidRDefault="00E82B86" w:rsidP="00E82B86">
      <w:pPr>
        <w:pStyle w:val="NormalWeb"/>
        <w:numPr>
          <w:ilvl w:val="1"/>
          <w:numId w:val="10"/>
        </w:numPr>
        <w:spacing w:line="360" w:lineRule="auto"/>
        <w:jc w:val="both"/>
        <w:rPr>
          <w:color w:val="767171"/>
          <w:spacing w:val="20"/>
          <w:lang w:eastAsia="es-DO"/>
        </w:rPr>
      </w:pPr>
      <w:r w:rsidRPr="00E82B86">
        <w:rPr>
          <w:color w:val="767171"/>
          <w:spacing w:val="20"/>
          <w:lang w:eastAsia="es-DO"/>
        </w:rPr>
        <w:t>Implementación de redes inalámbricas seguras mediante autenticación LDAP con servidor RADIUS integrado en controladores de dominio. El acceso se restringió a equipos institucionales y usuarios con credenciales verificadas, garantizando control y protección en el entorno de red dentro de las sucursales NACO y GMR.</w:t>
      </w:r>
    </w:p>
    <w:p w14:paraId="5D6CBDC7" w14:textId="77777777" w:rsidR="00E82B86" w:rsidRPr="00E82B86" w:rsidRDefault="00E82B86" w:rsidP="00E82B86">
      <w:pPr>
        <w:numPr>
          <w:ilvl w:val="0"/>
          <w:numId w:val="10"/>
        </w:numPr>
        <w:spacing w:before="100" w:beforeAutospacing="1" w:after="100" w:afterAutospacing="1" w:line="360" w:lineRule="auto"/>
        <w:jc w:val="both"/>
        <w:rPr>
          <w:rFonts w:eastAsia="Times New Roman"/>
          <w:lang w:eastAsia="es-DO"/>
        </w:rPr>
      </w:pPr>
      <w:r w:rsidRPr="00E82B86">
        <w:rPr>
          <w:rFonts w:eastAsia="Times New Roman"/>
          <w:b/>
          <w:bCs/>
          <w:lang w:eastAsia="es-DO"/>
        </w:rPr>
        <w:t xml:space="preserve">Implementación SIEM-SOC </w:t>
      </w:r>
      <w:proofErr w:type="spellStart"/>
      <w:r w:rsidRPr="00E82B86">
        <w:rPr>
          <w:rFonts w:eastAsia="Times New Roman"/>
          <w:b/>
          <w:bCs/>
          <w:lang w:eastAsia="es-DO"/>
        </w:rPr>
        <w:t>Cyrebro</w:t>
      </w:r>
      <w:proofErr w:type="spellEnd"/>
      <w:r w:rsidRPr="00E82B86">
        <w:rPr>
          <w:rFonts w:eastAsia="Times New Roman"/>
          <w:lang w:eastAsia="es-DO"/>
        </w:rPr>
        <w:t>​</w:t>
      </w:r>
    </w:p>
    <w:p w14:paraId="2FB97581" w14:textId="77777777" w:rsidR="00E82B86" w:rsidRPr="00E82B86" w:rsidRDefault="00E82B86" w:rsidP="00371782">
      <w:pPr>
        <w:numPr>
          <w:ilvl w:val="1"/>
          <w:numId w:val="10"/>
        </w:numPr>
        <w:spacing w:before="100" w:beforeAutospacing="1" w:after="100" w:afterAutospacing="1" w:line="360" w:lineRule="auto"/>
        <w:jc w:val="both"/>
        <w:rPr>
          <w:rFonts w:eastAsia="Times New Roman"/>
          <w:lang w:val="es-ES" w:eastAsia="es-DO"/>
        </w:rPr>
      </w:pPr>
      <w:r w:rsidRPr="00E82B86">
        <w:rPr>
          <w:rFonts w:eastAsia="Times New Roman"/>
          <w:lang w:val="es-ES" w:eastAsia="es-DO"/>
        </w:rPr>
        <w:t>Asistencia y configuración en la implementación del sistema de monitoreo de ciberseguridad. Despliegue de agentes en las controladoras de dominio y en los servidores de Producción (SUIR) y configuración de políticas para monitoreo y estándares de seguridad.</w:t>
      </w:r>
    </w:p>
    <w:p w14:paraId="78DD9327" w14:textId="77777777" w:rsidR="00E82B86" w:rsidRPr="00E82B86" w:rsidRDefault="00E82B86" w:rsidP="00371782">
      <w:pPr>
        <w:numPr>
          <w:ilvl w:val="1"/>
          <w:numId w:val="10"/>
        </w:numPr>
        <w:spacing w:before="100" w:beforeAutospacing="1" w:after="100" w:afterAutospacing="1" w:line="360" w:lineRule="auto"/>
        <w:jc w:val="both"/>
        <w:rPr>
          <w:rFonts w:eastAsia="Times New Roman"/>
          <w:lang w:val="es-ES" w:eastAsia="es-DO"/>
        </w:rPr>
      </w:pPr>
      <w:r w:rsidRPr="00E82B86">
        <w:rPr>
          <w:rFonts w:eastAsia="Times New Roman"/>
          <w:lang w:val="es-ES" w:eastAsia="es-DO"/>
        </w:rPr>
        <w:t xml:space="preserve">Integración de activos y gestión de </w:t>
      </w:r>
      <w:proofErr w:type="spellStart"/>
      <w:r w:rsidRPr="00E82B86">
        <w:rPr>
          <w:rFonts w:eastAsia="Times New Roman"/>
          <w:lang w:val="es-ES" w:eastAsia="es-DO"/>
        </w:rPr>
        <w:t>APIs</w:t>
      </w:r>
      <w:proofErr w:type="spellEnd"/>
      <w:r w:rsidRPr="00E82B86">
        <w:rPr>
          <w:rFonts w:eastAsia="Times New Roman"/>
          <w:lang w:val="es-ES" w:eastAsia="es-DO"/>
        </w:rPr>
        <w:t xml:space="preserve"> para un monitoreo centralizado.</w:t>
      </w:r>
    </w:p>
    <w:p w14:paraId="631BCCEF" w14:textId="77777777" w:rsidR="00E82B86" w:rsidRPr="00E82B86" w:rsidRDefault="00E82B86" w:rsidP="00371782">
      <w:pPr>
        <w:numPr>
          <w:ilvl w:val="0"/>
          <w:numId w:val="10"/>
        </w:numPr>
        <w:spacing w:before="100" w:beforeAutospacing="1" w:after="100" w:afterAutospacing="1" w:line="360" w:lineRule="auto"/>
        <w:jc w:val="both"/>
        <w:rPr>
          <w:rFonts w:eastAsia="Times New Roman"/>
          <w:b/>
          <w:bCs/>
          <w:lang w:val="es-ES" w:eastAsia="es-DO"/>
        </w:rPr>
      </w:pPr>
      <w:r w:rsidRPr="00E82B86">
        <w:rPr>
          <w:rFonts w:eastAsia="Times New Roman"/>
          <w:b/>
          <w:bCs/>
          <w:lang w:val="es-ES" w:eastAsia="es-DO"/>
        </w:rPr>
        <w:t>Gestión de la ampliación del almacenamiento de Cintas de Respaldo en Banreservas.</w:t>
      </w:r>
    </w:p>
    <w:p w14:paraId="3EF6532F" w14:textId="77777777" w:rsidR="00D166E6" w:rsidRDefault="00E82B86" w:rsidP="00371782">
      <w:pPr>
        <w:numPr>
          <w:ilvl w:val="1"/>
          <w:numId w:val="10"/>
        </w:numPr>
        <w:spacing w:before="100" w:beforeAutospacing="1" w:after="100" w:afterAutospacing="1" w:line="360" w:lineRule="auto"/>
        <w:jc w:val="both"/>
        <w:rPr>
          <w:rFonts w:eastAsia="Times New Roman"/>
          <w:lang w:val="es-ES" w:eastAsia="es-DO"/>
        </w:rPr>
      </w:pPr>
      <w:r w:rsidRPr="00E82B86">
        <w:rPr>
          <w:rFonts w:eastAsia="Times New Roman"/>
          <w:lang w:val="es-ES" w:eastAsia="es-DO"/>
        </w:rPr>
        <w:lastRenderedPageBreak/>
        <w:t xml:space="preserve">En respuesta al crecimiento sostenido de la Tesorería de la Seguridad Social, durante los últimos años, se gestionó la ampliación del almacenamiento de cintas de respaldo en las instalaciones de </w:t>
      </w:r>
      <w:r w:rsidR="00D166E6" w:rsidRPr="00E82B86">
        <w:rPr>
          <w:rFonts w:eastAsia="Times New Roman"/>
          <w:lang w:val="es-ES" w:eastAsia="es-DO"/>
        </w:rPr>
        <w:t>Banreservas</w:t>
      </w:r>
      <w:r w:rsidRPr="00E82B86">
        <w:rPr>
          <w:rFonts w:eastAsia="Times New Roman"/>
          <w:lang w:val="es-ES" w:eastAsia="es-DO"/>
        </w:rPr>
        <w:t xml:space="preserve">. </w:t>
      </w:r>
    </w:p>
    <w:p w14:paraId="3C91CCBC" w14:textId="71AE18B2" w:rsidR="00E82B86" w:rsidRPr="00E82B86" w:rsidRDefault="00E82B86" w:rsidP="00371782">
      <w:pPr>
        <w:numPr>
          <w:ilvl w:val="1"/>
          <w:numId w:val="10"/>
        </w:numPr>
        <w:spacing w:before="100" w:beforeAutospacing="1" w:after="100" w:afterAutospacing="1" w:line="360" w:lineRule="auto"/>
        <w:jc w:val="both"/>
        <w:rPr>
          <w:rFonts w:eastAsia="Times New Roman"/>
          <w:lang w:val="es-ES" w:eastAsia="es-DO"/>
        </w:rPr>
      </w:pPr>
      <w:r w:rsidRPr="00E82B86">
        <w:rPr>
          <w:rFonts w:eastAsia="Times New Roman"/>
          <w:lang w:val="es-ES" w:eastAsia="es-DO"/>
        </w:rPr>
        <w:t xml:space="preserve">Para asegurar la capacidad de resguardar </w:t>
      </w:r>
      <w:r w:rsidR="00D166E6" w:rsidRPr="00E82B86">
        <w:rPr>
          <w:rFonts w:eastAsia="Times New Roman"/>
          <w:lang w:val="es-ES" w:eastAsia="es-DO"/>
        </w:rPr>
        <w:t>información</w:t>
      </w:r>
      <w:r w:rsidRPr="00E82B86">
        <w:rPr>
          <w:rFonts w:eastAsia="Times New Roman"/>
          <w:lang w:val="es-ES" w:eastAsia="es-DO"/>
        </w:rPr>
        <w:t xml:space="preserve"> vital de manera eficiente y confiable, fortaleciendo las políticas de continuidad operativa y protección de datos críticos de la institución.</w:t>
      </w:r>
    </w:p>
    <w:p w14:paraId="40680EF4" w14:textId="77777777" w:rsidR="00E82B86" w:rsidRPr="00E82B86" w:rsidRDefault="00E82B86" w:rsidP="00371782">
      <w:pPr>
        <w:numPr>
          <w:ilvl w:val="0"/>
          <w:numId w:val="11"/>
        </w:numPr>
        <w:spacing w:before="100" w:beforeAutospacing="1" w:after="100" w:afterAutospacing="1" w:line="360" w:lineRule="auto"/>
        <w:jc w:val="both"/>
        <w:rPr>
          <w:rFonts w:eastAsia="Times New Roman"/>
          <w:lang w:eastAsia="es-DO"/>
        </w:rPr>
      </w:pPr>
      <w:r w:rsidRPr="00E82B86">
        <w:rPr>
          <w:rFonts w:eastAsia="Times New Roman"/>
          <w:b/>
          <w:bCs/>
          <w:lang w:eastAsia="es-DO"/>
        </w:rPr>
        <w:t xml:space="preserve">Implementación de </w:t>
      </w:r>
      <w:proofErr w:type="spellStart"/>
      <w:r w:rsidRPr="00E82B86">
        <w:rPr>
          <w:rFonts w:eastAsia="Times New Roman"/>
          <w:b/>
          <w:bCs/>
          <w:lang w:eastAsia="es-DO"/>
        </w:rPr>
        <w:t>TeamMate</w:t>
      </w:r>
      <w:proofErr w:type="spellEnd"/>
      <w:r w:rsidRPr="00E82B86">
        <w:rPr>
          <w:rFonts w:eastAsia="Times New Roman"/>
          <w:b/>
          <w:bCs/>
          <w:lang w:eastAsia="es-DO"/>
        </w:rPr>
        <w:t>+</w:t>
      </w:r>
      <w:r w:rsidRPr="00E82B86">
        <w:rPr>
          <w:rFonts w:eastAsia="Times New Roman"/>
          <w:lang w:eastAsia="es-DO"/>
        </w:rPr>
        <w:t>​</w:t>
      </w:r>
    </w:p>
    <w:p w14:paraId="73128B7E" w14:textId="77777777" w:rsidR="00E82B86" w:rsidRPr="00E82B86" w:rsidRDefault="00E82B86" w:rsidP="00371782">
      <w:pPr>
        <w:numPr>
          <w:ilvl w:val="1"/>
          <w:numId w:val="11"/>
        </w:numPr>
        <w:spacing w:before="100" w:beforeAutospacing="1" w:after="100" w:afterAutospacing="1" w:line="360" w:lineRule="auto"/>
        <w:jc w:val="both"/>
        <w:rPr>
          <w:rFonts w:eastAsia="Times New Roman"/>
          <w:lang w:val="es-ES" w:eastAsia="es-DO"/>
        </w:rPr>
      </w:pPr>
      <w:r w:rsidRPr="00E82B86">
        <w:rPr>
          <w:rFonts w:eastAsia="Times New Roman"/>
          <w:lang w:val="es-ES" w:eastAsia="es-DO"/>
        </w:rPr>
        <w:t>Apoyando a la DFE con la digitalización del ciclo completo de auditorías para mayor eficiencia y trazabilidad.</w:t>
      </w:r>
    </w:p>
    <w:p w14:paraId="297E4D59" w14:textId="77777777" w:rsidR="00E82B86" w:rsidRPr="00E82B86" w:rsidRDefault="00E82B86" w:rsidP="00371782">
      <w:pPr>
        <w:numPr>
          <w:ilvl w:val="0"/>
          <w:numId w:val="11"/>
        </w:numPr>
        <w:spacing w:before="100" w:beforeAutospacing="1" w:after="100" w:afterAutospacing="1" w:line="360" w:lineRule="auto"/>
        <w:jc w:val="both"/>
        <w:rPr>
          <w:rFonts w:eastAsia="Times New Roman"/>
          <w:lang w:val="es-ES" w:eastAsia="es-DO"/>
        </w:rPr>
      </w:pPr>
      <w:r w:rsidRPr="00E82B86">
        <w:rPr>
          <w:rFonts w:eastAsia="Times New Roman"/>
          <w:b/>
          <w:bCs/>
          <w:lang w:val="es-ES" w:eastAsia="es-DO"/>
        </w:rPr>
        <w:t>Migración a nuevo software de gestión documental</w:t>
      </w:r>
      <w:r w:rsidRPr="00E82B86">
        <w:rPr>
          <w:rFonts w:eastAsia="Times New Roman"/>
          <w:lang w:val="es-ES" w:eastAsia="es-DO"/>
        </w:rPr>
        <w:t>​</w:t>
      </w:r>
    </w:p>
    <w:p w14:paraId="6D6A0A73" w14:textId="77777777" w:rsidR="00E82B86" w:rsidRPr="00915C6B" w:rsidRDefault="00E82B86" w:rsidP="00371782">
      <w:pPr>
        <w:numPr>
          <w:ilvl w:val="1"/>
          <w:numId w:val="11"/>
        </w:numPr>
        <w:spacing w:before="100" w:beforeAutospacing="1" w:after="100" w:afterAutospacing="1" w:line="360" w:lineRule="auto"/>
        <w:jc w:val="both"/>
        <w:rPr>
          <w:rFonts w:eastAsia="Times New Roman"/>
          <w:lang w:val="es-DO" w:eastAsia="es-DO"/>
        </w:rPr>
      </w:pPr>
      <w:r w:rsidRPr="00915C6B">
        <w:rPr>
          <w:rFonts w:eastAsia="Times New Roman"/>
          <w:lang w:val="es-DO" w:eastAsia="es-DO"/>
        </w:rPr>
        <w:t>Gestionar, configurar y brindar asistencia en la implementación del nuevo software de gestión documental que estará sustituyendo actual Transdoc. Garantizando la correcta migración de los datos y funcionalidades esenciales hacia el nuevo sistema.</w:t>
      </w:r>
    </w:p>
    <w:p w14:paraId="181FC3AF" w14:textId="77777777" w:rsidR="00E82B86" w:rsidRPr="00E82B86" w:rsidRDefault="00E82B86" w:rsidP="00371782">
      <w:pPr>
        <w:numPr>
          <w:ilvl w:val="0"/>
          <w:numId w:val="11"/>
        </w:numPr>
        <w:spacing w:before="100" w:beforeAutospacing="1" w:after="100" w:afterAutospacing="1" w:line="360" w:lineRule="auto"/>
        <w:jc w:val="both"/>
        <w:rPr>
          <w:rFonts w:eastAsia="Times New Roman"/>
          <w:lang w:val="es-ES" w:eastAsia="es-DO"/>
        </w:rPr>
      </w:pPr>
      <w:r w:rsidRPr="00E82B86">
        <w:rPr>
          <w:rFonts w:eastAsia="Times New Roman"/>
          <w:b/>
          <w:bCs/>
          <w:lang w:val="es-ES" w:eastAsia="es-DO"/>
        </w:rPr>
        <w:t>Configuración del sistema LA Sistemas</w:t>
      </w:r>
      <w:r w:rsidRPr="00E82B86">
        <w:rPr>
          <w:rFonts w:eastAsia="Times New Roman"/>
          <w:lang w:val="es-ES" w:eastAsia="es-DO"/>
        </w:rPr>
        <w:t>​</w:t>
      </w:r>
    </w:p>
    <w:p w14:paraId="15A2C540" w14:textId="77777777" w:rsidR="00E82B86" w:rsidRPr="00E82B86" w:rsidRDefault="00E82B86" w:rsidP="00E82B86">
      <w:pPr>
        <w:numPr>
          <w:ilvl w:val="1"/>
          <w:numId w:val="11"/>
        </w:numPr>
        <w:spacing w:before="100" w:beforeAutospacing="1" w:after="100" w:afterAutospacing="1" w:line="360" w:lineRule="auto"/>
        <w:jc w:val="both"/>
        <w:rPr>
          <w:rFonts w:eastAsia="Times New Roman"/>
          <w:lang w:val="es-ES" w:eastAsia="es-DO"/>
        </w:rPr>
      </w:pPr>
      <w:r w:rsidRPr="00E82B86">
        <w:rPr>
          <w:rFonts w:eastAsia="Times New Roman"/>
          <w:lang w:val="es-ES" w:eastAsia="es-DO"/>
        </w:rPr>
        <w:t>Optimización en la administración de inversiones, integrando herramientas avanzadas.</w:t>
      </w:r>
    </w:p>
    <w:p w14:paraId="2075F654" w14:textId="77777777" w:rsidR="00E82B86" w:rsidRPr="00E82B86" w:rsidRDefault="00E82B86" w:rsidP="00E82B86">
      <w:pPr>
        <w:pStyle w:val="NormalWeb"/>
        <w:numPr>
          <w:ilvl w:val="0"/>
          <w:numId w:val="11"/>
        </w:numPr>
        <w:spacing w:line="360" w:lineRule="auto"/>
        <w:jc w:val="both"/>
        <w:rPr>
          <w:b/>
          <w:bCs/>
          <w:color w:val="767171"/>
          <w:spacing w:val="20"/>
          <w:lang w:eastAsia="es-DO"/>
        </w:rPr>
      </w:pPr>
      <w:r w:rsidRPr="00E82B86">
        <w:rPr>
          <w:b/>
          <w:bCs/>
          <w:color w:val="767171"/>
          <w:spacing w:val="20"/>
          <w:lang w:eastAsia="es-DO"/>
        </w:rPr>
        <w:t>Implementación y Gestión de Harmony Emails</w:t>
      </w:r>
    </w:p>
    <w:p w14:paraId="6877B254" w14:textId="77777777" w:rsidR="00E82B86" w:rsidRPr="00E82B86" w:rsidRDefault="00E82B86" w:rsidP="00E82B86">
      <w:pPr>
        <w:pStyle w:val="NormalWeb"/>
        <w:numPr>
          <w:ilvl w:val="1"/>
          <w:numId w:val="11"/>
        </w:numPr>
        <w:spacing w:line="360" w:lineRule="auto"/>
        <w:jc w:val="both"/>
        <w:rPr>
          <w:color w:val="767171"/>
          <w:spacing w:val="20"/>
          <w:lang w:eastAsia="es-DO"/>
        </w:rPr>
      </w:pPr>
      <w:r w:rsidRPr="00E82B86">
        <w:rPr>
          <w:color w:val="767171"/>
          <w:spacing w:val="20"/>
          <w:lang w:eastAsia="es-DO"/>
        </w:rPr>
        <w:t>En colaboración con Ciberseguridad, se ejecutó la configuración administrativa y de reglas en el sistema de correo electrónico Harmony, con el objetivo de optimizar su seguridad y funcionalidad, asegurando una gestión eficiente y protegiendo la comunicación institucional.</w:t>
      </w:r>
    </w:p>
    <w:p w14:paraId="53013B19" w14:textId="77777777" w:rsidR="00E82B86" w:rsidRPr="00E82B86" w:rsidRDefault="00E82B86" w:rsidP="00E82B86">
      <w:pPr>
        <w:pStyle w:val="NormalWeb"/>
        <w:numPr>
          <w:ilvl w:val="0"/>
          <w:numId w:val="11"/>
        </w:numPr>
        <w:spacing w:line="360" w:lineRule="auto"/>
        <w:jc w:val="both"/>
        <w:rPr>
          <w:b/>
          <w:bCs/>
          <w:color w:val="767171"/>
          <w:spacing w:val="20"/>
          <w:lang w:eastAsia="es-DO"/>
        </w:rPr>
      </w:pPr>
      <w:r w:rsidRPr="00E82B86">
        <w:rPr>
          <w:b/>
          <w:bCs/>
          <w:color w:val="767171"/>
          <w:spacing w:val="20"/>
          <w:lang w:eastAsia="es-DO"/>
        </w:rPr>
        <w:t>Proyecto Servidor 3CX (Central Telefónica de la TSS)</w:t>
      </w:r>
    </w:p>
    <w:p w14:paraId="71450E36" w14:textId="77777777" w:rsidR="00E82B86" w:rsidRPr="00E82B86" w:rsidRDefault="00E82B86" w:rsidP="00E82B86">
      <w:pPr>
        <w:pStyle w:val="NormalWeb"/>
        <w:numPr>
          <w:ilvl w:val="1"/>
          <w:numId w:val="11"/>
        </w:numPr>
        <w:spacing w:line="360" w:lineRule="auto"/>
        <w:jc w:val="both"/>
        <w:rPr>
          <w:color w:val="767171"/>
          <w:spacing w:val="20"/>
          <w:lang w:eastAsia="es-DO"/>
        </w:rPr>
      </w:pPr>
      <w:r w:rsidRPr="00E82B86">
        <w:rPr>
          <w:color w:val="767171"/>
          <w:spacing w:val="20"/>
          <w:lang w:eastAsia="es-DO"/>
        </w:rPr>
        <w:t xml:space="preserve">Configuración del registro DNS y creación de correos electrónicos, en colaboración con el equipo de </w:t>
      </w:r>
      <w:r w:rsidRPr="00E82B86">
        <w:rPr>
          <w:color w:val="767171"/>
          <w:spacing w:val="20"/>
          <w:lang w:eastAsia="es-DO"/>
        </w:rPr>
        <w:lastRenderedPageBreak/>
        <w:t>telecomunicaciones, para optimizar la administración de la central telefónica, mejorando la eficiencia en las comunicaciones institucionales.</w:t>
      </w:r>
    </w:p>
    <w:p w14:paraId="013F2F8C" w14:textId="77777777" w:rsidR="00E82B86" w:rsidRPr="00E82B86" w:rsidRDefault="00E82B86" w:rsidP="00E82B86">
      <w:pPr>
        <w:numPr>
          <w:ilvl w:val="0"/>
          <w:numId w:val="12"/>
        </w:numPr>
        <w:spacing w:before="100" w:beforeAutospacing="1" w:after="100" w:afterAutospacing="1" w:line="360" w:lineRule="auto"/>
        <w:jc w:val="both"/>
        <w:rPr>
          <w:rFonts w:eastAsia="Times New Roman"/>
          <w:lang w:val="es-ES" w:eastAsia="es-DO"/>
        </w:rPr>
      </w:pPr>
      <w:r w:rsidRPr="00E82B86">
        <w:rPr>
          <w:rFonts w:eastAsia="Times New Roman"/>
          <w:b/>
          <w:bCs/>
          <w:lang w:val="es-ES" w:eastAsia="es-DO"/>
        </w:rPr>
        <w:t>Auditorías y soporte especializado con MTF</w:t>
      </w:r>
      <w:r w:rsidRPr="00E82B86">
        <w:rPr>
          <w:rFonts w:eastAsia="Times New Roman"/>
          <w:lang w:val="es-ES" w:eastAsia="es-DO"/>
        </w:rPr>
        <w:t>:</w:t>
      </w:r>
    </w:p>
    <w:p w14:paraId="1445B5C2" w14:textId="77777777" w:rsidR="00BB3412" w:rsidRDefault="00E82B86" w:rsidP="00E82B86">
      <w:pPr>
        <w:numPr>
          <w:ilvl w:val="1"/>
          <w:numId w:val="12"/>
        </w:numPr>
        <w:spacing w:before="100" w:beforeAutospacing="1" w:after="100" w:afterAutospacing="1" w:line="360" w:lineRule="auto"/>
        <w:jc w:val="both"/>
        <w:rPr>
          <w:rFonts w:eastAsia="Times New Roman"/>
          <w:lang w:val="es-ES" w:eastAsia="es-DO"/>
        </w:rPr>
      </w:pPr>
      <w:r w:rsidRPr="00E82B86">
        <w:rPr>
          <w:rFonts w:eastAsia="Times New Roman"/>
          <w:lang w:val="es-ES" w:eastAsia="es-DO"/>
        </w:rPr>
        <w:t xml:space="preserve">Los requerimientos de evidencias </w:t>
      </w:r>
      <w:proofErr w:type="spellStart"/>
      <w:r w:rsidRPr="00E82B86">
        <w:rPr>
          <w:rFonts w:eastAsia="Times New Roman"/>
          <w:lang w:val="es-ES" w:eastAsia="es-DO"/>
        </w:rPr>
        <w:t>iTICge</w:t>
      </w:r>
      <w:proofErr w:type="spellEnd"/>
      <w:r w:rsidRPr="00E82B86">
        <w:rPr>
          <w:rFonts w:eastAsia="Times New Roman"/>
          <w:lang w:val="es-ES" w:eastAsia="es-DO"/>
        </w:rPr>
        <w:t xml:space="preserve">, y las auditorías TSS-UNIPAGO, KPMG y TSS-CCNSS​2 se gestionaron de manera efectiva la activación de los usuarios en la plataforma para transferencias seguras de información. </w:t>
      </w:r>
    </w:p>
    <w:p w14:paraId="700FC022" w14:textId="62E8B3C7" w:rsidR="00E82B86" w:rsidRDefault="00E82B86" w:rsidP="00E82B86">
      <w:pPr>
        <w:numPr>
          <w:ilvl w:val="1"/>
          <w:numId w:val="12"/>
        </w:numPr>
        <w:spacing w:before="100" w:beforeAutospacing="1" w:after="100" w:afterAutospacing="1" w:line="360" w:lineRule="auto"/>
        <w:jc w:val="both"/>
        <w:rPr>
          <w:rFonts w:eastAsia="Times New Roman"/>
          <w:lang w:val="es-ES" w:eastAsia="es-DO"/>
        </w:rPr>
      </w:pPr>
      <w:r w:rsidRPr="00E82B86">
        <w:rPr>
          <w:rFonts w:eastAsia="Times New Roman"/>
          <w:lang w:val="es-ES" w:eastAsia="es-DO"/>
        </w:rPr>
        <w:t xml:space="preserve">Como resultado de la alta demanda, además de las informaciones que se manejan diariamente, se incrementó significativamente la capacidad del equipo para garantizar la disponibilidad e integridad de los datos, manteniendo optimizado los procesos internos. </w:t>
      </w:r>
    </w:p>
    <w:p w14:paraId="274AD3FC" w14:textId="77777777" w:rsidR="00E82B86" w:rsidRPr="00E82B86" w:rsidRDefault="00E82B86" w:rsidP="00E82B86">
      <w:pPr>
        <w:spacing w:before="100" w:beforeAutospacing="1" w:after="100" w:afterAutospacing="1" w:line="360" w:lineRule="auto"/>
        <w:jc w:val="both"/>
        <w:rPr>
          <w:rFonts w:eastAsia="Times New Roman"/>
          <w:lang w:eastAsia="es-DO"/>
        </w:rPr>
      </w:pPr>
      <w:r w:rsidRPr="00E82B86">
        <w:rPr>
          <w:rFonts w:eastAsia="Times New Roman"/>
          <w:b/>
          <w:bCs/>
          <w:lang w:val="es-ES" w:eastAsia="es-DO"/>
        </w:rPr>
        <w:t xml:space="preserve"> </w:t>
      </w:r>
      <w:r w:rsidRPr="00E82B86">
        <w:rPr>
          <w:rFonts w:eastAsia="Times New Roman"/>
          <w:b/>
          <w:bCs/>
          <w:lang w:eastAsia="es-DO"/>
        </w:rPr>
        <w:t>2.Continuidad Operativa y Resiliencia</w:t>
      </w:r>
    </w:p>
    <w:p w14:paraId="7CB344AF" w14:textId="77777777" w:rsidR="00E82B86" w:rsidRPr="00E82B86" w:rsidRDefault="00E82B86" w:rsidP="00E82B86">
      <w:pPr>
        <w:numPr>
          <w:ilvl w:val="0"/>
          <w:numId w:val="13"/>
        </w:numPr>
        <w:spacing w:before="100" w:beforeAutospacing="1" w:after="100" w:afterAutospacing="1" w:line="360" w:lineRule="auto"/>
        <w:jc w:val="both"/>
        <w:rPr>
          <w:rFonts w:eastAsia="Times New Roman"/>
          <w:lang w:val="es-ES" w:eastAsia="es-DO"/>
        </w:rPr>
      </w:pPr>
      <w:r w:rsidRPr="00E82B86">
        <w:rPr>
          <w:rFonts w:eastAsia="Times New Roman"/>
          <w:b/>
          <w:bCs/>
          <w:lang w:val="es-ES" w:eastAsia="es-DO"/>
        </w:rPr>
        <w:t>Simulacro de recuperación en sitio alterno (SUIR)</w:t>
      </w:r>
      <w:r w:rsidRPr="00E82B86">
        <w:rPr>
          <w:rFonts w:eastAsia="Times New Roman"/>
          <w:lang w:val="es-ES" w:eastAsia="es-DO"/>
        </w:rPr>
        <w:t>​</w:t>
      </w:r>
    </w:p>
    <w:p w14:paraId="045EDB20" w14:textId="77777777" w:rsidR="00E82B86" w:rsidRPr="00E82B86" w:rsidRDefault="00E82B86" w:rsidP="00E82B86">
      <w:pPr>
        <w:numPr>
          <w:ilvl w:val="1"/>
          <w:numId w:val="13"/>
        </w:numPr>
        <w:spacing w:before="100" w:beforeAutospacing="1" w:after="100" w:afterAutospacing="1" w:line="360" w:lineRule="auto"/>
        <w:jc w:val="both"/>
        <w:rPr>
          <w:rFonts w:eastAsia="Times New Roman"/>
          <w:lang w:val="es-ES" w:eastAsia="es-DO"/>
        </w:rPr>
      </w:pPr>
      <w:r w:rsidRPr="00E82B86">
        <w:rPr>
          <w:lang w:val="es-ES"/>
        </w:rPr>
        <w:t>El departamento participó la migración de los servicios del SUIR del Data Center NAP al Data Center NACO, se ejecutaron cambios de la IP pública y la reconfiguración de redes en Cloudflare Tunnel. Logrando con éxito la accesibilidad externa y la correcta operación del sistema en NACO.</w:t>
      </w:r>
    </w:p>
    <w:p w14:paraId="4608FD51" w14:textId="3D75AA24" w:rsidR="00E82B86" w:rsidRPr="00714570" w:rsidRDefault="00E82B86" w:rsidP="00714570">
      <w:pPr>
        <w:spacing w:line="360" w:lineRule="auto"/>
        <w:jc w:val="both"/>
        <w:rPr>
          <w:rFonts w:eastAsia="Calibri"/>
          <w:noProof/>
          <w:lang w:val="es-DO"/>
        </w:rPr>
      </w:pPr>
      <w:r w:rsidRPr="00714570">
        <w:rPr>
          <w:rFonts w:eastAsia="Calibri"/>
          <w:noProof/>
          <w:lang w:val="es-DO"/>
        </w:rPr>
        <w:t xml:space="preserve">Seguridad realiza un monitoreo y revisión constante para reforzar y mejorar la postura de la seguridad de los usuarios, redes, aplicaciones, M365, aplicación de nuevos controles (políticas de control de acceso, políticas de dispositivos, </w:t>
      </w:r>
      <w:r w:rsidR="00DE0E9F" w:rsidRPr="00714570">
        <w:rPr>
          <w:rFonts w:eastAsia="Calibri"/>
          <w:noProof/>
          <w:lang w:val="es-DO"/>
        </w:rPr>
        <w:t>etc.</w:t>
      </w:r>
      <w:r w:rsidRPr="00714570">
        <w:rPr>
          <w:rFonts w:eastAsia="Calibri"/>
          <w:noProof/>
          <w:lang w:val="es-DO"/>
        </w:rPr>
        <w:t>), gestión de dispositivos con nuevas funciones de geolocalización y borrado remoto, y próximamente encriptación.</w:t>
      </w:r>
    </w:p>
    <w:p w14:paraId="61EAEA16" w14:textId="77777777" w:rsidR="00E82B86" w:rsidRPr="00714570" w:rsidRDefault="00E82B86" w:rsidP="00714570">
      <w:pPr>
        <w:spacing w:line="360" w:lineRule="auto"/>
        <w:jc w:val="both"/>
        <w:rPr>
          <w:rFonts w:eastAsia="Calibri"/>
          <w:noProof/>
          <w:lang w:val="es-DO"/>
        </w:rPr>
      </w:pPr>
      <w:r w:rsidRPr="00714570">
        <w:rPr>
          <w:rFonts w:eastAsia="Calibri"/>
          <w:noProof/>
          <w:lang w:val="es-DO"/>
        </w:rPr>
        <w:lastRenderedPageBreak/>
        <w:t>Políticas de firewall actualizadas en un 93% eliminando las políticas obsoletas y cerrando las brechas de los permisos no necesarios para garantizar la continuidad del negocio de forma segura.</w:t>
      </w:r>
    </w:p>
    <w:tbl>
      <w:tblPr>
        <w:tblW w:w="7596" w:type="dxa"/>
        <w:jc w:val="center"/>
        <w:tblLook w:val="04A0" w:firstRow="1" w:lastRow="0" w:firstColumn="1" w:lastColumn="0" w:noHBand="0" w:noVBand="1"/>
      </w:tblPr>
      <w:tblGrid>
        <w:gridCol w:w="4942"/>
        <w:gridCol w:w="2654"/>
      </w:tblGrid>
      <w:tr w:rsidR="00980291" w:rsidRPr="00980291" w14:paraId="78AFAE81" w14:textId="77777777" w:rsidTr="00714570">
        <w:trPr>
          <w:trHeight w:val="333"/>
          <w:tblHeader/>
          <w:jc w:val="center"/>
        </w:trPr>
        <w:tc>
          <w:tcPr>
            <w:tcW w:w="494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0CF818D" w14:textId="77777777" w:rsidR="00980291" w:rsidRPr="00980291" w:rsidRDefault="00980291" w:rsidP="00980291">
            <w:pPr>
              <w:spacing w:after="0" w:line="240" w:lineRule="auto"/>
              <w:jc w:val="center"/>
              <w:rPr>
                <w:rFonts w:eastAsia="Times New Roman"/>
                <w:b/>
                <w:bCs/>
                <w:color w:val="FFFFFF"/>
                <w:spacing w:val="0"/>
              </w:rPr>
            </w:pPr>
            <w:r w:rsidRPr="00980291">
              <w:rPr>
                <w:rFonts w:eastAsia="Times New Roman"/>
                <w:b/>
                <w:bCs/>
                <w:color w:val="FFFFFF"/>
                <w:spacing w:val="0"/>
                <w:lang w:val="es-419"/>
              </w:rPr>
              <w:t>Firewall</w:t>
            </w:r>
          </w:p>
        </w:tc>
        <w:tc>
          <w:tcPr>
            <w:tcW w:w="2654" w:type="dxa"/>
            <w:tcBorders>
              <w:top w:val="single" w:sz="4" w:space="0" w:color="auto"/>
              <w:left w:val="nil"/>
              <w:bottom w:val="single" w:sz="4" w:space="0" w:color="auto"/>
              <w:right w:val="single" w:sz="4" w:space="0" w:color="auto"/>
            </w:tcBorders>
            <w:shd w:val="clear" w:color="000000" w:fill="002060"/>
            <w:vAlign w:val="center"/>
            <w:hideMark/>
          </w:tcPr>
          <w:p w14:paraId="13A9EB2C" w14:textId="77777777" w:rsidR="00980291" w:rsidRPr="00980291" w:rsidRDefault="00980291" w:rsidP="00980291">
            <w:pPr>
              <w:spacing w:after="0" w:line="240" w:lineRule="auto"/>
              <w:jc w:val="center"/>
              <w:rPr>
                <w:rFonts w:eastAsia="Times New Roman"/>
                <w:b/>
                <w:bCs/>
                <w:color w:val="FFFFFF"/>
                <w:spacing w:val="0"/>
              </w:rPr>
            </w:pPr>
            <w:r w:rsidRPr="00980291">
              <w:rPr>
                <w:rFonts w:eastAsia="Times New Roman"/>
                <w:b/>
                <w:bCs/>
                <w:color w:val="FFFFFF"/>
                <w:spacing w:val="0"/>
                <w:lang w:val="es-DO"/>
              </w:rPr>
              <w:t>Enero - Noviembre</w:t>
            </w:r>
          </w:p>
        </w:tc>
      </w:tr>
      <w:tr w:rsidR="00980291" w:rsidRPr="00980291" w14:paraId="2822AADB" w14:textId="77777777" w:rsidTr="00714570">
        <w:trPr>
          <w:trHeight w:val="349"/>
          <w:jc w:val="center"/>
        </w:trPr>
        <w:tc>
          <w:tcPr>
            <w:tcW w:w="4942" w:type="dxa"/>
            <w:tcBorders>
              <w:top w:val="nil"/>
              <w:left w:val="single" w:sz="8" w:space="0" w:color="auto"/>
              <w:bottom w:val="single" w:sz="8" w:space="0" w:color="auto"/>
              <w:right w:val="single" w:sz="8" w:space="0" w:color="auto"/>
            </w:tcBorders>
            <w:shd w:val="clear" w:color="auto" w:fill="auto"/>
            <w:vAlign w:val="center"/>
            <w:hideMark/>
          </w:tcPr>
          <w:p w14:paraId="06C67B8F" w14:textId="77777777" w:rsidR="00980291" w:rsidRPr="00980291" w:rsidRDefault="00980291" w:rsidP="00980291">
            <w:pPr>
              <w:spacing w:after="0" w:line="240" w:lineRule="auto"/>
              <w:jc w:val="center"/>
              <w:rPr>
                <w:lang w:val="es-ES"/>
              </w:rPr>
            </w:pPr>
            <w:r w:rsidRPr="00980291">
              <w:rPr>
                <w:lang w:val="es-ES"/>
              </w:rPr>
              <w:t>GMR</w:t>
            </w:r>
          </w:p>
        </w:tc>
        <w:tc>
          <w:tcPr>
            <w:tcW w:w="2654" w:type="dxa"/>
            <w:tcBorders>
              <w:top w:val="nil"/>
              <w:left w:val="nil"/>
              <w:bottom w:val="single" w:sz="8" w:space="0" w:color="auto"/>
              <w:right w:val="single" w:sz="8" w:space="0" w:color="auto"/>
            </w:tcBorders>
            <w:shd w:val="clear" w:color="auto" w:fill="auto"/>
            <w:vAlign w:val="center"/>
            <w:hideMark/>
          </w:tcPr>
          <w:p w14:paraId="077ED79F" w14:textId="77777777" w:rsidR="00980291" w:rsidRPr="00980291" w:rsidRDefault="00980291" w:rsidP="00980291">
            <w:pPr>
              <w:spacing w:after="0" w:line="240" w:lineRule="auto"/>
              <w:jc w:val="center"/>
              <w:rPr>
                <w:lang w:val="es-ES"/>
              </w:rPr>
            </w:pPr>
            <w:r w:rsidRPr="00980291">
              <w:rPr>
                <w:lang w:val="es-ES"/>
              </w:rPr>
              <w:t>92%</w:t>
            </w:r>
          </w:p>
        </w:tc>
      </w:tr>
      <w:tr w:rsidR="00980291" w:rsidRPr="00980291" w14:paraId="3D29161C" w14:textId="77777777" w:rsidTr="00714570">
        <w:trPr>
          <w:trHeight w:val="349"/>
          <w:jc w:val="center"/>
        </w:trPr>
        <w:tc>
          <w:tcPr>
            <w:tcW w:w="4942" w:type="dxa"/>
            <w:tcBorders>
              <w:top w:val="nil"/>
              <w:left w:val="single" w:sz="8" w:space="0" w:color="auto"/>
              <w:bottom w:val="single" w:sz="8" w:space="0" w:color="auto"/>
              <w:right w:val="single" w:sz="8" w:space="0" w:color="auto"/>
            </w:tcBorders>
            <w:shd w:val="clear" w:color="auto" w:fill="auto"/>
            <w:vAlign w:val="center"/>
            <w:hideMark/>
          </w:tcPr>
          <w:p w14:paraId="550160F5" w14:textId="77777777" w:rsidR="00980291" w:rsidRPr="00980291" w:rsidRDefault="00980291" w:rsidP="00980291">
            <w:pPr>
              <w:spacing w:after="0" w:line="240" w:lineRule="auto"/>
              <w:jc w:val="center"/>
              <w:rPr>
                <w:lang w:val="es-ES"/>
              </w:rPr>
            </w:pPr>
            <w:r w:rsidRPr="00980291">
              <w:rPr>
                <w:lang w:val="es-ES"/>
              </w:rPr>
              <w:t>NACO</w:t>
            </w:r>
          </w:p>
        </w:tc>
        <w:tc>
          <w:tcPr>
            <w:tcW w:w="2654" w:type="dxa"/>
            <w:tcBorders>
              <w:top w:val="nil"/>
              <w:left w:val="nil"/>
              <w:bottom w:val="single" w:sz="8" w:space="0" w:color="auto"/>
              <w:right w:val="single" w:sz="8" w:space="0" w:color="auto"/>
            </w:tcBorders>
            <w:shd w:val="clear" w:color="auto" w:fill="auto"/>
            <w:vAlign w:val="center"/>
            <w:hideMark/>
          </w:tcPr>
          <w:p w14:paraId="30F18932" w14:textId="77777777" w:rsidR="00980291" w:rsidRPr="00980291" w:rsidRDefault="00980291" w:rsidP="00980291">
            <w:pPr>
              <w:spacing w:after="0" w:line="240" w:lineRule="auto"/>
              <w:jc w:val="center"/>
              <w:rPr>
                <w:lang w:val="es-ES"/>
              </w:rPr>
            </w:pPr>
            <w:r w:rsidRPr="00980291">
              <w:rPr>
                <w:lang w:val="es-ES"/>
              </w:rPr>
              <w:t>95%</w:t>
            </w:r>
          </w:p>
        </w:tc>
      </w:tr>
      <w:tr w:rsidR="00980291" w:rsidRPr="00980291" w14:paraId="6B09C20A" w14:textId="77777777" w:rsidTr="00714570">
        <w:trPr>
          <w:trHeight w:val="349"/>
          <w:jc w:val="center"/>
        </w:trPr>
        <w:tc>
          <w:tcPr>
            <w:tcW w:w="4942" w:type="dxa"/>
            <w:tcBorders>
              <w:top w:val="nil"/>
              <w:left w:val="single" w:sz="8" w:space="0" w:color="auto"/>
              <w:bottom w:val="single" w:sz="8" w:space="0" w:color="auto"/>
              <w:right w:val="single" w:sz="8" w:space="0" w:color="auto"/>
            </w:tcBorders>
            <w:shd w:val="clear" w:color="auto" w:fill="auto"/>
            <w:vAlign w:val="center"/>
            <w:hideMark/>
          </w:tcPr>
          <w:p w14:paraId="6C420CEE" w14:textId="77777777" w:rsidR="00980291" w:rsidRPr="00980291" w:rsidRDefault="00980291" w:rsidP="00980291">
            <w:pPr>
              <w:spacing w:after="0" w:line="240" w:lineRule="auto"/>
              <w:jc w:val="center"/>
              <w:rPr>
                <w:lang w:val="es-ES"/>
              </w:rPr>
            </w:pPr>
            <w:r w:rsidRPr="00980291">
              <w:rPr>
                <w:lang w:val="es-ES"/>
              </w:rPr>
              <w:t>TORRE</w:t>
            </w:r>
          </w:p>
        </w:tc>
        <w:tc>
          <w:tcPr>
            <w:tcW w:w="2654" w:type="dxa"/>
            <w:tcBorders>
              <w:top w:val="nil"/>
              <w:left w:val="nil"/>
              <w:bottom w:val="single" w:sz="8" w:space="0" w:color="auto"/>
              <w:right w:val="single" w:sz="8" w:space="0" w:color="auto"/>
            </w:tcBorders>
            <w:shd w:val="clear" w:color="auto" w:fill="auto"/>
            <w:vAlign w:val="center"/>
            <w:hideMark/>
          </w:tcPr>
          <w:p w14:paraId="3CF701B8" w14:textId="77777777" w:rsidR="00980291" w:rsidRPr="00980291" w:rsidRDefault="00980291" w:rsidP="00980291">
            <w:pPr>
              <w:spacing w:after="0" w:line="240" w:lineRule="auto"/>
              <w:jc w:val="center"/>
              <w:rPr>
                <w:lang w:val="es-ES"/>
              </w:rPr>
            </w:pPr>
            <w:r w:rsidRPr="00980291">
              <w:rPr>
                <w:lang w:val="es-ES"/>
              </w:rPr>
              <w:t>91%</w:t>
            </w:r>
          </w:p>
        </w:tc>
      </w:tr>
      <w:tr w:rsidR="00980291" w:rsidRPr="00980291" w14:paraId="31C3EF69" w14:textId="77777777" w:rsidTr="00714570">
        <w:trPr>
          <w:trHeight w:val="349"/>
          <w:jc w:val="center"/>
        </w:trPr>
        <w:tc>
          <w:tcPr>
            <w:tcW w:w="4942" w:type="dxa"/>
            <w:tcBorders>
              <w:top w:val="nil"/>
              <w:left w:val="single" w:sz="8" w:space="0" w:color="auto"/>
              <w:bottom w:val="single" w:sz="8" w:space="0" w:color="auto"/>
              <w:right w:val="single" w:sz="8" w:space="0" w:color="auto"/>
            </w:tcBorders>
            <w:shd w:val="clear" w:color="auto" w:fill="auto"/>
            <w:vAlign w:val="center"/>
            <w:hideMark/>
          </w:tcPr>
          <w:p w14:paraId="7065DD6F" w14:textId="77777777" w:rsidR="00980291" w:rsidRPr="00980291" w:rsidRDefault="00980291" w:rsidP="00980291">
            <w:pPr>
              <w:spacing w:after="0" w:line="240" w:lineRule="auto"/>
              <w:jc w:val="center"/>
              <w:rPr>
                <w:lang w:val="es-ES"/>
              </w:rPr>
            </w:pPr>
            <w:r w:rsidRPr="00980291">
              <w:rPr>
                <w:lang w:val="es-ES"/>
              </w:rPr>
              <w:t>NAP-CORE</w:t>
            </w:r>
          </w:p>
        </w:tc>
        <w:tc>
          <w:tcPr>
            <w:tcW w:w="2654" w:type="dxa"/>
            <w:tcBorders>
              <w:top w:val="nil"/>
              <w:left w:val="nil"/>
              <w:bottom w:val="single" w:sz="8" w:space="0" w:color="auto"/>
              <w:right w:val="single" w:sz="8" w:space="0" w:color="auto"/>
            </w:tcBorders>
            <w:shd w:val="clear" w:color="auto" w:fill="auto"/>
            <w:vAlign w:val="center"/>
            <w:hideMark/>
          </w:tcPr>
          <w:p w14:paraId="0EECE96F" w14:textId="77777777" w:rsidR="00980291" w:rsidRPr="00980291" w:rsidRDefault="00980291" w:rsidP="00980291">
            <w:pPr>
              <w:spacing w:after="0" w:line="240" w:lineRule="auto"/>
              <w:jc w:val="center"/>
              <w:rPr>
                <w:lang w:val="es-ES"/>
              </w:rPr>
            </w:pPr>
            <w:r w:rsidRPr="00980291">
              <w:rPr>
                <w:lang w:val="es-ES"/>
              </w:rPr>
              <w:t>91%</w:t>
            </w:r>
          </w:p>
        </w:tc>
      </w:tr>
      <w:tr w:rsidR="00980291" w:rsidRPr="00980291" w14:paraId="4898AAC9" w14:textId="77777777" w:rsidTr="00714570">
        <w:trPr>
          <w:trHeight w:val="349"/>
          <w:jc w:val="center"/>
        </w:trPr>
        <w:tc>
          <w:tcPr>
            <w:tcW w:w="4942" w:type="dxa"/>
            <w:tcBorders>
              <w:top w:val="nil"/>
              <w:left w:val="single" w:sz="8" w:space="0" w:color="auto"/>
              <w:bottom w:val="single" w:sz="8" w:space="0" w:color="auto"/>
              <w:right w:val="single" w:sz="8" w:space="0" w:color="auto"/>
            </w:tcBorders>
            <w:shd w:val="clear" w:color="auto" w:fill="auto"/>
            <w:vAlign w:val="center"/>
            <w:hideMark/>
          </w:tcPr>
          <w:p w14:paraId="44C46FCD" w14:textId="77777777" w:rsidR="00980291" w:rsidRPr="00980291" w:rsidRDefault="00980291" w:rsidP="00980291">
            <w:pPr>
              <w:spacing w:after="0" w:line="240" w:lineRule="auto"/>
              <w:jc w:val="center"/>
              <w:rPr>
                <w:lang w:val="es-ES"/>
              </w:rPr>
            </w:pPr>
            <w:r w:rsidRPr="00980291">
              <w:rPr>
                <w:lang w:val="es-ES"/>
              </w:rPr>
              <w:t>NAP-EDGE</w:t>
            </w:r>
          </w:p>
        </w:tc>
        <w:tc>
          <w:tcPr>
            <w:tcW w:w="2654" w:type="dxa"/>
            <w:tcBorders>
              <w:top w:val="nil"/>
              <w:left w:val="nil"/>
              <w:bottom w:val="single" w:sz="8" w:space="0" w:color="auto"/>
              <w:right w:val="single" w:sz="8" w:space="0" w:color="auto"/>
            </w:tcBorders>
            <w:shd w:val="clear" w:color="auto" w:fill="auto"/>
            <w:vAlign w:val="center"/>
            <w:hideMark/>
          </w:tcPr>
          <w:p w14:paraId="3F01F173" w14:textId="77777777" w:rsidR="00980291" w:rsidRPr="00980291" w:rsidRDefault="00980291" w:rsidP="00980291">
            <w:pPr>
              <w:spacing w:after="0" w:line="240" w:lineRule="auto"/>
              <w:jc w:val="center"/>
              <w:rPr>
                <w:lang w:val="es-ES"/>
              </w:rPr>
            </w:pPr>
            <w:r w:rsidRPr="00980291">
              <w:rPr>
                <w:lang w:val="es-ES"/>
              </w:rPr>
              <w:t>91%</w:t>
            </w:r>
          </w:p>
        </w:tc>
      </w:tr>
      <w:tr w:rsidR="00980291" w:rsidRPr="00980291" w14:paraId="57EBFEC9" w14:textId="77777777" w:rsidTr="00714570">
        <w:trPr>
          <w:trHeight w:val="349"/>
          <w:jc w:val="center"/>
        </w:trPr>
        <w:tc>
          <w:tcPr>
            <w:tcW w:w="4942" w:type="dxa"/>
            <w:tcBorders>
              <w:top w:val="nil"/>
              <w:left w:val="single" w:sz="8" w:space="0" w:color="auto"/>
              <w:bottom w:val="single" w:sz="8" w:space="0" w:color="auto"/>
              <w:right w:val="single" w:sz="8" w:space="0" w:color="auto"/>
            </w:tcBorders>
            <w:shd w:val="clear" w:color="auto" w:fill="auto"/>
            <w:vAlign w:val="center"/>
            <w:hideMark/>
          </w:tcPr>
          <w:p w14:paraId="23DCAAFA" w14:textId="2B6653CF" w:rsidR="00980291" w:rsidRPr="00980291" w:rsidRDefault="00980291" w:rsidP="00980291">
            <w:pPr>
              <w:spacing w:after="0" w:line="240" w:lineRule="auto"/>
              <w:jc w:val="center"/>
              <w:rPr>
                <w:lang w:val="es-ES"/>
              </w:rPr>
            </w:pPr>
            <w:r w:rsidRPr="00980291">
              <w:rPr>
                <w:lang w:val="es-ES"/>
              </w:rPr>
              <w:t>Bávaro</w:t>
            </w:r>
          </w:p>
        </w:tc>
        <w:tc>
          <w:tcPr>
            <w:tcW w:w="2654" w:type="dxa"/>
            <w:tcBorders>
              <w:top w:val="nil"/>
              <w:left w:val="nil"/>
              <w:bottom w:val="single" w:sz="8" w:space="0" w:color="auto"/>
              <w:right w:val="single" w:sz="8" w:space="0" w:color="auto"/>
            </w:tcBorders>
            <w:shd w:val="clear" w:color="auto" w:fill="auto"/>
            <w:vAlign w:val="center"/>
            <w:hideMark/>
          </w:tcPr>
          <w:p w14:paraId="6397F702" w14:textId="77777777" w:rsidR="00980291" w:rsidRPr="00980291" w:rsidRDefault="00980291" w:rsidP="00980291">
            <w:pPr>
              <w:spacing w:after="0" w:line="240" w:lineRule="auto"/>
              <w:jc w:val="center"/>
              <w:rPr>
                <w:lang w:val="es-ES"/>
              </w:rPr>
            </w:pPr>
            <w:r w:rsidRPr="00980291">
              <w:rPr>
                <w:lang w:val="es-ES"/>
              </w:rPr>
              <w:t>98%</w:t>
            </w:r>
          </w:p>
        </w:tc>
      </w:tr>
      <w:tr w:rsidR="00980291" w:rsidRPr="00980291" w14:paraId="12C71A84" w14:textId="77777777" w:rsidTr="00714570">
        <w:trPr>
          <w:trHeight w:val="349"/>
          <w:jc w:val="center"/>
        </w:trPr>
        <w:tc>
          <w:tcPr>
            <w:tcW w:w="4942" w:type="dxa"/>
            <w:tcBorders>
              <w:top w:val="nil"/>
              <w:left w:val="single" w:sz="8" w:space="0" w:color="auto"/>
              <w:bottom w:val="single" w:sz="8" w:space="0" w:color="auto"/>
              <w:right w:val="single" w:sz="8" w:space="0" w:color="auto"/>
            </w:tcBorders>
            <w:shd w:val="clear" w:color="auto" w:fill="auto"/>
            <w:vAlign w:val="center"/>
            <w:hideMark/>
          </w:tcPr>
          <w:p w14:paraId="139A56EA" w14:textId="6FC7380C" w:rsidR="00980291" w:rsidRPr="00980291" w:rsidRDefault="00980291" w:rsidP="00980291">
            <w:pPr>
              <w:spacing w:after="0" w:line="240" w:lineRule="auto"/>
              <w:jc w:val="center"/>
              <w:rPr>
                <w:lang w:val="es-ES"/>
              </w:rPr>
            </w:pPr>
            <w:r w:rsidRPr="00980291">
              <w:rPr>
                <w:lang w:val="es-ES"/>
              </w:rPr>
              <w:t>Puerto Plata</w:t>
            </w:r>
          </w:p>
        </w:tc>
        <w:tc>
          <w:tcPr>
            <w:tcW w:w="2654" w:type="dxa"/>
            <w:tcBorders>
              <w:top w:val="nil"/>
              <w:left w:val="nil"/>
              <w:bottom w:val="single" w:sz="8" w:space="0" w:color="auto"/>
              <w:right w:val="single" w:sz="8" w:space="0" w:color="auto"/>
            </w:tcBorders>
            <w:shd w:val="clear" w:color="auto" w:fill="auto"/>
            <w:vAlign w:val="center"/>
            <w:hideMark/>
          </w:tcPr>
          <w:p w14:paraId="23050615" w14:textId="77777777" w:rsidR="00980291" w:rsidRPr="00980291" w:rsidRDefault="00980291" w:rsidP="00980291">
            <w:pPr>
              <w:spacing w:after="0" w:line="240" w:lineRule="auto"/>
              <w:jc w:val="center"/>
              <w:rPr>
                <w:lang w:val="es-ES"/>
              </w:rPr>
            </w:pPr>
            <w:r w:rsidRPr="00980291">
              <w:rPr>
                <w:lang w:val="es-ES"/>
              </w:rPr>
              <w:t>94%</w:t>
            </w:r>
          </w:p>
        </w:tc>
      </w:tr>
      <w:tr w:rsidR="00980291" w:rsidRPr="00980291" w14:paraId="27139BA5" w14:textId="77777777" w:rsidTr="00714570">
        <w:trPr>
          <w:trHeight w:val="349"/>
          <w:jc w:val="center"/>
        </w:trPr>
        <w:tc>
          <w:tcPr>
            <w:tcW w:w="4942" w:type="dxa"/>
            <w:tcBorders>
              <w:top w:val="nil"/>
              <w:left w:val="single" w:sz="8" w:space="0" w:color="auto"/>
              <w:bottom w:val="single" w:sz="8" w:space="0" w:color="auto"/>
              <w:right w:val="single" w:sz="8" w:space="0" w:color="auto"/>
            </w:tcBorders>
            <w:shd w:val="clear" w:color="auto" w:fill="auto"/>
            <w:vAlign w:val="center"/>
            <w:hideMark/>
          </w:tcPr>
          <w:p w14:paraId="7B50E6FB" w14:textId="77777777" w:rsidR="00980291" w:rsidRPr="00980291" w:rsidRDefault="00980291" w:rsidP="00980291">
            <w:pPr>
              <w:spacing w:after="0" w:line="240" w:lineRule="auto"/>
              <w:jc w:val="center"/>
              <w:rPr>
                <w:lang w:val="es-ES"/>
              </w:rPr>
            </w:pPr>
            <w:r w:rsidRPr="00980291">
              <w:rPr>
                <w:lang w:val="es-ES"/>
              </w:rPr>
              <w:t>Santiago</w:t>
            </w:r>
          </w:p>
        </w:tc>
        <w:tc>
          <w:tcPr>
            <w:tcW w:w="2654" w:type="dxa"/>
            <w:tcBorders>
              <w:top w:val="nil"/>
              <w:left w:val="nil"/>
              <w:bottom w:val="single" w:sz="8" w:space="0" w:color="auto"/>
              <w:right w:val="single" w:sz="8" w:space="0" w:color="auto"/>
            </w:tcBorders>
            <w:shd w:val="clear" w:color="auto" w:fill="auto"/>
            <w:vAlign w:val="center"/>
            <w:hideMark/>
          </w:tcPr>
          <w:p w14:paraId="69BA31C1" w14:textId="77777777" w:rsidR="00980291" w:rsidRPr="00980291" w:rsidRDefault="00980291" w:rsidP="00980291">
            <w:pPr>
              <w:spacing w:after="0" w:line="240" w:lineRule="auto"/>
              <w:jc w:val="center"/>
              <w:rPr>
                <w:lang w:val="es-ES"/>
              </w:rPr>
            </w:pPr>
            <w:r w:rsidRPr="00980291">
              <w:rPr>
                <w:lang w:val="es-ES"/>
              </w:rPr>
              <w:t>94%</w:t>
            </w:r>
          </w:p>
        </w:tc>
      </w:tr>
      <w:tr w:rsidR="00980291" w:rsidRPr="00980291" w14:paraId="720E11E2" w14:textId="77777777" w:rsidTr="00714570">
        <w:trPr>
          <w:trHeight w:val="349"/>
          <w:jc w:val="center"/>
        </w:trPr>
        <w:tc>
          <w:tcPr>
            <w:tcW w:w="4942" w:type="dxa"/>
            <w:tcBorders>
              <w:top w:val="nil"/>
              <w:left w:val="single" w:sz="8" w:space="0" w:color="auto"/>
              <w:bottom w:val="single" w:sz="8" w:space="0" w:color="auto"/>
              <w:right w:val="single" w:sz="8" w:space="0" w:color="auto"/>
            </w:tcBorders>
            <w:shd w:val="clear" w:color="auto" w:fill="auto"/>
            <w:vAlign w:val="center"/>
            <w:hideMark/>
          </w:tcPr>
          <w:p w14:paraId="3646DD50" w14:textId="22CA6BB5" w:rsidR="00980291" w:rsidRPr="00980291" w:rsidRDefault="00980291" w:rsidP="00980291">
            <w:pPr>
              <w:spacing w:after="0" w:line="240" w:lineRule="auto"/>
              <w:jc w:val="center"/>
              <w:rPr>
                <w:lang w:val="es-ES"/>
              </w:rPr>
            </w:pPr>
            <w:r w:rsidRPr="00980291">
              <w:rPr>
                <w:lang w:val="es-ES"/>
              </w:rPr>
              <w:t xml:space="preserve">Punto </w:t>
            </w:r>
            <w:proofErr w:type="spellStart"/>
            <w:r w:rsidRPr="00980291">
              <w:rPr>
                <w:lang w:val="es-ES"/>
              </w:rPr>
              <w:t>Gob</w:t>
            </w:r>
            <w:proofErr w:type="spellEnd"/>
          </w:p>
        </w:tc>
        <w:tc>
          <w:tcPr>
            <w:tcW w:w="2654" w:type="dxa"/>
            <w:tcBorders>
              <w:top w:val="nil"/>
              <w:left w:val="nil"/>
              <w:bottom w:val="single" w:sz="8" w:space="0" w:color="auto"/>
              <w:right w:val="single" w:sz="8" w:space="0" w:color="auto"/>
            </w:tcBorders>
            <w:shd w:val="clear" w:color="auto" w:fill="auto"/>
            <w:vAlign w:val="center"/>
            <w:hideMark/>
          </w:tcPr>
          <w:p w14:paraId="57A50DC5" w14:textId="77777777" w:rsidR="00980291" w:rsidRPr="00980291" w:rsidRDefault="00980291" w:rsidP="00980291">
            <w:pPr>
              <w:spacing w:after="0" w:line="240" w:lineRule="auto"/>
              <w:jc w:val="center"/>
              <w:rPr>
                <w:lang w:val="es-ES"/>
              </w:rPr>
            </w:pPr>
            <w:r w:rsidRPr="00980291">
              <w:rPr>
                <w:lang w:val="es-ES"/>
              </w:rPr>
              <w:t>92%</w:t>
            </w:r>
          </w:p>
        </w:tc>
      </w:tr>
      <w:tr w:rsidR="00980291" w:rsidRPr="00980291" w14:paraId="725093DC" w14:textId="77777777" w:rsidTr="00714570">
        <w:trPr>
          <w:trHeight w:val="394"/>
          <w:jc w:val="center"/>
        </w:trPr>
        <w:tc>
          <w:tcPr>
            <w:tcW w:w="4942" w:type="dxa"/>
            <w:tcBorders>
              <w:top w:val="nil"/>
              <w:left w:val="single" w:sz="8" w:space="0" w:color="auto"/>
              <w:bottom w:val="single" w:sz="8" w:space="0" w:color="auto"/>
              <w:right w:val="single" w:sz="8" w:space="0" w:color="auto"/>
            </w:tcBorders>
            <w:shd w:val="clear" w:color="auto" w:fill="auto"/>
            <w:vAlign w:val="center"/>
            <w:hideMark/>
          </w:tcPr>
          <w:p w14:paraId="20D10AB5" w14:textId="77777777" w:rsidR="00980291" w:rsidRPr="00980291" w:rsidRDefault="00980291" w:rsidP="00980291">
            <w:pPr>
              <w:spacing w:after="0" w:line="240" w:lineRule="auto"/>
              <w:jc w:val="center"/>
              <w:rPr>
                <w:lang w:val="es-ES"/>
              </w:rPr>
            </w:pPr>
            <w:r w:rsidRPr="00980291">
              <w:rPr>
                <w:lang w:val="es-ES"/>
              </w:rPr>
              <w:t>San Fco.</w:t>
            </w:r>
          </w:p>
        </w:tc>
        <w:tc>
          <w:tcPr>
            <w:tcW w:w="2654" w:type="dxa"/>
            <w:tcBorders>
              <w:top w:val="nil"/>
              <w:left w:val="nil"/>
              <w:bottom w:val="single" w:sz="8" w:space="0" w:color="auto"/>
              <w:right w:val="single" w:sz="8" w:space="0" w:color="auto"/>
            </w:tcBorders>
            <w:shd w:val="clear" w:color="auto" w:fill="auto"/>
            <w:vAlign w:val="center"/>
            <w:hideMark/>
          </w:tcPr>
          <w:p w14:paraId="0E94821F" w14:textId="77777777" w:rsidR="00980291" w:rsidRPr="00980291" w:rsidRDefault="00980291" w:rsidP="00980291">
            <w:pPr>
              <w:spacing w:after="0" w:line="240" w:lineRule="auto"/>
              <w:jc w:val="center"/>
              <w:rPr>
                <w:lang w:val="es-ES"/>
              </w:rPr>
            </w:pPr>
            <w:r w:rsidRPr="00980291">
              <w:rPr>
                <w:lang w:val="es-ES"/>
              </w:rPr>
              <w:t>92%</w:t>
            </w:r>
          </w:p>
        </w:tc>
      </w:tr>
    </w:tbl>
    <w:p w14:paraId="7EBE91F6" w14:textId="737200FF" w:rsidR="00D166E6" w:rsidRPr="00690EA0" w:rsidRDefault="00690EA0" w:rsidP="00D166E6">
      <w:pPr>
        <w:rPr>
          <w:sz w:val="18"/>
          <w:szCs w:val="18"/>
          <w:lang w:val="es-ES"/>
        </w:rPr>
      </w:pPr>
      <w:r w:rsidRPr="006D7301">
        <w:rPr>
          <w:b/>
          <w:bCs/>
          <w:sz w:val="18"/>
          <w:szCs w:val="18"/>
          <w:lang w:val="es-ES"/>
        </w:rPr>
        <w:t>Tabla 2</w:t>
      </w:r>
      <w:r w:rsidR="00C50277">
        <w:rPr>
          <w:b/>
          <w:bCs/>
          <w:sz w:val="18"/>
          <w:szCs w:val="18"/>
          <w:lang w:val="es-ES"/>
        </w:rPr>
        <w:t>6</w:t>
      </w:r>
      <w:r w:rsidRPr="006D7301">
        <w:rPr>
          <w:b/>
          <w:bCs/>
          <w:sz w:val="18"/>
          <w:szCs w:val="18"/>
          <w:lang w:val="es-ES"/>
        </w:rPr>
        <w:t>:</w:t>
      </w:r>
      <w:r w:rsidRPr="006D7301">
        <w:rPr>
          <w:sz w:val="18"/>
          <w:szCs w:val="18"/>
          <w:lang w:val="es-ES"/>
        </w:rPr>
        <w:t xml:space="preserve"> </w:t>
      </w:r>
      <w:r w:rsidRPr="006D7301">
        <w:rPr>
          <w:rFonts w:eastAsia="Calibri"/>
          <w:sz w:val="18"/>
          <w:szCs w:val="18"/>
          <w:lang w:val="es-ES"/>
        </w:rPr>
        <w:t>Gestión Actualizada</w:t>
      </w:r>
      <w:r w:rsidR="006D7301" w:rsidRPr="006D7301">
        <w:rPr>
          <w:rFonts w:eastAsia="Calibri"/>
          <w:sz w:val="18"/>
          <w:szCs w:val="18"/>
          <w:lang w:val="es-ES"/>
        </w:rPr>
        <w:t xml:space="preserve"> por localidad.</w:t>
      </w:r>
    </w:p>
    <w:p w14:paraId="240C3150" w14:textId="53A8E295" w:rsidR="00980291" w:rsidRPr="004B4173" w:rsidRDefault="00980291" w:rsidP="00980291">
      <w:pPr>
        <w:spacing w:after="0" w:line="360" w:lineRule="auto"/>
        <w:rPr>
          <w:sz w:val="18"/>
          <w:szCs w:val="18"/>
          <w:lang w:val="es-ES"/>
        </w:rPr>
      </w:pPr>
      <w:r w:rsidRPr="00690EA0">
        <w:rPr>
          <w:b/>
          <w:bCs/>
          <w:noProof/>
          <w:sz w:val="18"/>
          <w:szCs w:val="18"/>
        </w:rPr>
        <w:drawing>
          <wp:anchor distT="0" distB="0" distL="114300" distR="114300" simplePos="0" relativeHeight="251658264" behindDoc="0" locked="0" layoutInCell="1" allowOverlap="1" wp14:anchorId="7EE1EB53" wp14:editId="60F625F9">
            <wp:simplePos x="0" y="0"/>
            <wp:positionH relativeFrom="margin">
              <wp:align>right</wp:align>
            </wp:positionH>
            <wp:positionV relativeFrom="paragraph">
              <wp:posOffset>0</wp:posOffset>
            </wp:positionV>
            <wp:extent cx="4831080" cy="2733675"/>
            <wp:effectExtent l="0" t="0" r="7620" b="0"/>
            <wp:wrapSquare wrapText="bothSides"/>
            <wp:docPr id="154347816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anchor>
        </w:drawing>
      </w:r>
      <w:r w:rsidR="00DB305E" w:rsidRPr="006D7301">
        <w:rPr>
          <w:b/>
          <w:bCs/>
          <w:sz w:val="18"/>
          <w:szCs w:val="18"/>
          <w:lang w:val="es-ES"/>
        </w:rPr>
        <w:t xml:space="preserve">    </w:t>
      </w:r>
      <w:r w:rsidR="00690EA0" w:rsidRPr="004B4173">
        <w:rPr>
          <w:b/>
          <w:bCs/>
          <w:sz w:val="18"/>
          <w:szCs w:val="18"/>
          <w:lang w:val="es-ES"/>
        </w:rPr>
        <w:t>Gráfico 1</w:t>
      </w:r>
      <w:r w:rsidR="0024181E">
        <w:rPr>
          <w:b/>
          <w:bCs/>
          <w:sz w:val="18"/>
          <w:szCs w:val="18"/>
          <w:lang w:val="es-ES"/>
        </w:rPr>
        <w:t>9</w:t>
      </w:r>
      <w:r w:rsidR="00690EA0" w:rsidRPr="004B4173">
        <w:rPr>
          <w:b/>
          <w:bCs/>
          <w:sz w:val="18"/>
          <w:szCs w:val="18"/>
          <w:lang w:val="es-ES"/>
        </w:rPr>
        <w:t>:</w:t>
      </w:r>
      <w:r w:rsidR="00690EA0" w:rsidRPr="004B4173">
        <w:rPr>
          <w:sz w:val="18"/>
          <w:szCs w:val="18"/>
          <w:lang w:val="es-ES"/>
        </w:rPr>
        <w:t xml:space="preserve"> Políticas Revisadas</w:t>
      </w:r>
    </w:p>
    <w:p w14:paraId="65E8D544" w14:textId="3364C0D7" w:rsidR="00E82B86" w:rsidRPr="00714570" w:rsidRDefault="00E82B86" w:rsidP="00714570">
      <w:pPr>
        <w:spacing w:before="240" w:line="360" w:lineRule="auto"/>
        <w:jc w:val="both"/>
        <w:rPr>
          <w:rFonts w:eastAsia="Calibri"/>
          <w:noProof/>
          <w:lang w:val="es-DO"/>
        </w:rPr>
      </w:pPr>
      <w:r w:rsidRPr="00714570">
        <w:rPr>
          <w:rFonts w:eastAsia="Calibri"/>
          <w:noProof/>
          <w:lang w:val="es-DO"/>
        </w:rPr>
        <w:t>La gestión de roles de usuarios en todas las plataformas ha sido reforzada, para dar respuesta oportuna cuando se den cambios de posición o salida del personal, manteniendo actualizada la matriz de usuarios, y cumpliendo con los requerimientos de varias normas adoptadas por la institución y regulaciones que nos aplican.</w:t>
      </w:r>
    </w:p>
    <w:p w14:paraId="304A9009" w14:textId="77777777" w:rsidR="00E82B86" w:rsidRPr="00714570" w:rsidRDefault="00E82B86" w:rsidP="00714570">
      <w:pPr>
        <w:spacing w:before="240" w:line="360" w:lineRule="auto"/>
        <w:jc w:val="both"/>
        <w:rPr>
          <w:rFonts w:eastAsia="Calibri"/>
          <w:noProof/>
          <w:lang w:val="es-DO"/>
        </w:rPr>
      </w:pPr>
      <w:r w:rsidRPr="00714570">
        <w:rPr>
          <w:rFonts w:eastAsia="Calibri"/>
          <w:noProof/>
          <w:lang w:val="es-DO"/>
        </w:rPr>
        <w:lastRenderedPageBreak/>
        <w:t>Establecimos el uso del Sistema de gestión de archivos, MTF, que optimiza los recursos de la institución, automatizando procesos y gestionando la entrega de información crítica, eliminando los métodos tradicionales e incrementando la eficiencia operativa.</w:t>
      </w:r>
    </w:p>
    <w:p w14:paraId="37846630" w14:textId="24FFB87A" w:rsidR="00E82B86" w:rsidRPr="00714570" w:rsidRDefault="00E82B86" w:rsidP="00714570">
      <w:pPr>
        <w:spacing w:before="240" w:line="360" w:lineRule="auto"/>
        <w:jc w:val="both"/>
        <w:rPr>
          <w:rFonts w:eastAsia="Calibri"/>
          <w:noProof/>
          <w:lang w:val="es-DO"/>
        </w:rPr>
      </w:pPr>
      <w:r w:rsidRPr="00714570">
        <w:rPr>
          <w:rFonts w:eastAsia="Calibri"/>
          <w:noProof/>
          <w:lang w:val="es-DO"/>
        </w:rPr>
        <w:t>Esto nos ayuda además a mejorar la seguridad de los datos cumpliendo con las normativas de seguridad, entre ellas NORTIC A7, ISO</w:t>
      </w:r>
      <w:r w:rsidR="00B16C91" w:rsidRPr="00714570">
        <w:rPr>
          <w:rFonts w:eastAsia="Calibri"/>
          <w:noProof/>
          <w:lang w:val="es-DO"/>
        </w:rPr>
        <w:t xml:space="preserve"> </w:t>
      </w:r>
      <w:r w:rsidRPr="00714570">
        <w:rPr>
          <w:rFonts w:eastAsia="Calibri"/>
          <w:noProof/>
          <w:lang w:val="es-DO"/>
        </w:rPr>
        <w:t xml:space="preserve">27001, Ley de protección de datos personales (172-13), y El Reglamento de Seguridad Cibernética y de la </w:t>
      </w:r>
      <w:r w:rsidR="00B16C91" w:rsidRPr="00714570">
        <w:rPr>
          <w:rFonts w:eastAsia="Calibri"/>
          <w:noProof/>
          <w:lang w:val="es-DO"/>
        </w:rPr>
        <w:t>información</w:t>
      </w:r>
      <w:r w:rsidRPr="00714570">
        <w:rPr>
          <w:rFonts w:eastAsia="Calibri"/>
          <w:noProof/>
          <w:lang w:val="es-DO"/>
        </w:rPr>
        <w:t xml:space="preserve">. Se logra de manera oportuna la reducción de las amenazas que previenen de almacenamiento físico, y/o enlaces de páginas gratuitas no seguras, así como los costos en dispositivos de almacenamiento o consumo de papel para la entrega de informaciones. </w:t>
      </w:r>
    </w:p>
    <w:p w14:paraId="6D510CC3" w14:textId="77777777" w:rsidR="00E82B86" w:rsidRPr="00714570" w:rsidRDefault="00E82B86" w:rsidP="00714570">
      <w:pPr>
        <w:spacing w:before="240" w:line="360" w:lineRule="auto"/>
        <w:jc w:val="both"/>
        <w:rPr>
          <w:rFonts w:eastAsia="Calibri"/>
          <w:noProof/>
          <w:lang w:val="es-DO"/>
        </w:rPr>
      </w:pPr>
      <w:r w:rsidRPr="00714570">
        <w:rPr>
          <w:rFonts w:eastAsia="Calibri"/>
          <w:noProof/>
          <w:lang w:val="es-DO"/>
        </w:rPr>
        <w:t>Actualmente incluimos al departamento de Trámites y Servicios para gestionar todas las solicitudes hechas por el Ministerio Público y demás instituciones de interés, lo cual resultará en beneficio y garantizará una mayor gestión con los procesos.</w:t>
      </w:r>
    </w:p>
    <w:p w14:paraId="59638010" w14:textId="77777777" w:rsidR="00E82B86" w:rsidRPr="00A31666" w:rsidRDefault="00E82B86" w:rsidP="00E82B86">
      <w:pPr>
        <w:pStyle w:val="Heading1"/>
        <w:spacing w:before="100"/>
        <w:jc w:val="both"/>
        <w:rPr>
          <w:rFonts w:eastAsia="Calibri" w:cs="Times New Roman"/>
          <w:bCs/>
          <w:color w:val="767171"/>
          <w:sz w:val="24"/>
          <w:szCs w:val="24"/>
          <w:lang w:val="es-ES"/>
        </w:rPr>
      </w:pPr>
      <w:bookmarkStart w:id="212" w:name="_Toc171677868"/>
      <w:bookmarkStart w:id="213" w:name="_Toc172119875"/>
      <w:bookmarkStart w:id="214" w:name="_Toc172120208"/>
      <w:bookmarkStart w:id="215" w:name="_Toc172121426"/>
      <w:bookmarkStart w:id="216" w:name="_Toc184981203"/>
      <w:bookmarkStart w:id="217" w:name="_Toc185245108"/>
      <w:r w:rsidRPr="00A31666">
        <w:rPr>
          <w:rFonts w:eastAsia="Calibri" w:cs="Times New Roman"/>
          <w:bCs/>
          <w:color w:val="767171"/>
          <w:sz w:val="24"/>
          <w:szCs w:val="24"/>
          <w:lang w:val="es-ES"/>
        </w:rPr>
        <w:t>Departamento de Ciberseguridad</w:t>
      </w:r>
      <w:bookmarkEnd w:id="212"/>
      <w:bookmarkEnd w:id="213"/>
      <w:bookmarkEnd w:id="214"/>
      <w:bookmarkEnd w:id="215"/>
      <w:bookmarkEnd w:id="216"/>
      <w:bookmarkEnd w:id="217"/>
    </w:p>
    <w:p w14:paraId="5934BCF4" w14:textId="5541FA4A" w:rsidR="00E82B86" w:rsidRPr="00714570" w:rsidRDefault="00E82B86" w:rsidP="00714570">
      <w:pPr>
        <w:spacing w:line="360" w:lineRule="auto"/>
        <w:jc w:val="both"/>
        <w:rPr>
          <w:rFonts w:eastAsia="Calibri"/>
          <w:noProof/>
          <w:lang w:val="es-DO"/>
        </w:rPr>
      </w:pPr>
      <w:r w:rsidRPr="00714570">
        <w:rPr>
          <w:rFonts w:eastAsia="Calibri"/>
          <w:noProof/>
          <w:lang w:val="es-DO"/>
        </w:rPr>
        <w:t xml:space="preserve">La TSS siempre ha priorizado la seguridad de la </w:t>
      </w:r>
      <w:r w:rsidR="00A31666" w:rsidRPr="00714570">
        <w:rPr>
          <w:rFonts w:eastAsia="Calibri"/>
          <w:noProof/>
          <w:lang w:val="es-DO"/>
        </w:rPr>
        <w:t>información</w:t>
      </w:r>
      <w:r w:rsidRPr="00714570">
        <w:rPr>
          <w:rFonts w:eastAsia="Calibri"/>
          <w:noProof/>
          <w:lang w:val="es-DO"/>
        </w:rPr>
        <w:t xml:space="preserve"> y los datos de los ciudadanos y empleadores como parte de su estrategia institucional, por lo que la implementación de medidas que permita garantizar la integridad, confidencialidad y disponibilidad de estos es de primer orden para la institución. </w:t>
      </w:r>
    </w:p>
    <w:p w14:paraId="5741BFFF" w14:textId="77777777" w:rsidR="00E82B86" w:rsidRPr="00714570" w:rsidRDefault="00E82B86" w:rsidP="00714570">
      <w:pPr>
        <w:spacing w:line="360" w:lineRule="auto"/>
        <w:jc w:val="both"/>
        <w:rPr>
          <w:rFonts w:eastAsia="Calibri"/>
          <w:noProof/>
          <w:lang w:val="es-DO"/>
        </w:rPr>
      </w:pPr>
      <w:r w:rsidRPr="00714570">
        <w:rPr>
          <w:rFonts w:eastAsia="Calibri"/>
          <w:noProof/>
          <w:lang w:val="es-DO"/>
        </w:rPr>
        <w:t>Los grandes avances de la tecnología de la comunicación han impulsado la integración de estas como parte del día a día de las personas y empresas.</w:t>
      </w:r>
    </w:p>
    <w:p w14:paraId="106F6DEF" w14:textId="1B633245" w:rsidR="00E82B86" w:rsidRPr="00714570" w:rsidRDefault="00E82B86" w:rsidP="00714570">
      <w:pPr>
        <w:spacing w:line="360" w:lineRule="auto"/>
        <w:jc w:val="both"/>
        <w:rPr>
          <w:rFonts w:eastAsia="Calibri"/>
          <w:noProof/>
          <w:lang w:val="es-DO"/>
        </w:rPr>
      </w:pPr>
      <w:r w:rsidRPr="00714570">
        <w:rPr>
          <w:rFonts w:eastAsia="Calibri"/>
          <w:noProof/>
          <w:lang w:val="es-DO"/>
        </w:rPr>
        <w:t>La pandemia del COVID-19 incrementó considerablemente</w:t>
      </w:r>
      <w:r w:rsidR="00661830" w:rsidRPr="00714570">
        <w:rPr>
          <w:rFonts w:eastAsia="Calibri"/>
          <w:noProof/>
          <w:lang w:val="es-DO"/>
        </w:rPr>
        <w:t xml:space="preserve"> la digitalización y por consiguiente</w:t>
      </w:r>
      <w:r w:rsidRPr="00714570">
        <w:rPr>
          <w:rFonts w:eastAsia="Calibri"/>
          <w:noProof/>
          <w:lang w:val="es-DO"/>
        </w:rPr>
        <w:t xml:space="preserve"> los ciberataques, ante este escenario, nuestra institución ha reconocido la imperiosa necesidad de establecer un departamento especializado en </w:t>
      </w:r>
      <w:r w:rsidRPr="00714570">
        <w:rPr>
          <w:rFonts w:eastAsia="Calibri"/>
          <w:noProof/>
          <w:lang w:val="es-DO"/>
        </w:rPr>
        <w:lastRenderedPageBreak/>
        <w:t>seguridad cibernética. Este paso es crucial para enfrentar las amenazas emergentes que constantemente comprometen la integridad de la información confiada a nuestro cuidado.</w:t>
      </w:r>
    </w:p>
    <w:p w14:paraId="1DD92A91" w14:textId="77777777" w:rsidR="00E82B86" w:rsidRPr="00714570" w:rsidRDefault="00E82B86" w:rsidP="00714570">
      <w:pPr>
        <w:spacing w:line="360" w:lineRule="auto"/>
        <w:jc w:val="both"/>
        <w:rPr>
          <w:rFonts w:eastAsia="Calibri"/>
          <w:noProof/>
          <w:lang w:val="es-DO"/>
        </w:rPr>
      </w:pPr>
      <w:r w:rsidRPr="00714570">
        <w:rPr>
          <w:rFonts w:eastAsia="Calibri"/>
          <w:noProof/>
          <w:lang w:val="es-DO"/>
        </w:rPr>
        <w:t>En este periodo de enero - noviembre se han realizado importantes avances en este sentido, entre los cuales se encuentran:</w:t>
      </w:r>
    </w:p>
    <w:p w14:paraId="2F42ADC1" w14:textId="77777777" w:rsidR="00E82B86" w:rsidRPr="00E82B86" w:rsidRDefault="00E82B86" w:rsidP="00E82B86">
      <w:pPr>
        <w:numPr>
          <w:ilvl w:val="0"/>
          <w:numId w:val="1"/>
        </w:numPr>
        <w:spacing w:before="100" w:after="240" w:line="360" w:lineRule="auto"/>
        <w:contextualSpacing/>
        <w:jc w:val="both"/>
        <w:rPr>
          <w:rFonts w:eastAsia="Calibri"/>
          <w:lang w:val="es-ES"/>
        </w:rPr>
      </w:pPr>
      <w:r w:rsidRPr="00E82B86">
        <w:rPr>
          <w:rFonts w:eastAsia="Calibri"/>
          <w:lang w:val="es-ES"/>
        </w:rPr>
        <w:t>Firma de Acuerdo de Cooperación Interinstitucional CNCS-TSS.</w:t>
      </w:r>
    </w:p>
    <w:p w14:paraId="2C109DFB" w14:textId="77777777" w:rsidR="00E82B86" w:rsidRPr="00E82B86" w:rsidRDefault="00E82B86" w:rsidP="00E82B86">
      <w:pPr>
        <w:numPr>
          <w:ilvl w:val="0"/>
          <w:numId w:val="1"/>
        </w:numPr>
        <w:spacing w:before="100" w:after="240" w:line="360" w:lineRule="auto"/>
        <w:contextualSpacing/>
        <w:jc w:val="both"/>
        <w:rPr>
          <w:rFonts w:eastAsia="Calibri"/>
          <w:lang w:val="es-ES"/>
        </w:rPr>
      </w:pPr>
      <w:r w:rsidRPr="00E82B86">
        <w:rPr>
          <w:rFonts w:eastAsia="Calibri"/>
          <w:lang w:val="es-ES"/>
        </w:rPr>
        <w:t>Integración nuevos servicios del Centro Nacional de Ciberseguridad.</w:t>
      </w:r>
    </w:p>
    <w:p w14:paraId="148969FF" w14:textId="77777777" w:rsidR="00E82B86" w:rsidRPr="00E82B86" w:rsidRDefault="00E82B86" w:rsidP="00E82B86">
      <w:pPr>
        <w:numPr>
          <w:ilvl w:val="0"/>
          <w:numId w:val="1"/>
        </w:numPr>
        <w:spacing w:before="100" w:after="240" w:line="360" w:lineRule="auto"/>
        <w:contextualSpacing/>
        <w:jc w:val="both"/>
        <w:rPr>
          <w:rFonts w:eastAsia="Calibri"/>
          <w:lang w:val="es-ES"/>
        </w:rPr>
      </w:pPr>
      <w:r w:rsidRPr="00E82B86">
        <w:rPr>
          <w:rFonts w:eastAsia="Calibri"/>
          <w:lang w:val="es-ES"/>
        </w:rPr>
        <w:t>Adquisición e implementación de herramienta Security Awareness y puesta en marcha del Programa de Concientización de Ciberseguridad 2024.</w:t>
      </w:r>
    </w:p>
    <w:p w14:paraId="76B41DDF" w14:textId="77777777" w:rsidR="00E82B86" w:rsidRDefault="00E82B86" w:rsidP="00603D63">
      <w:pPr>
        <w:numPr>
          <w:ilvl w:val="0"/>
          <w:numId w:val="1"/>
        </w:numPr>
        <w:spacing w:before="100" w:line="360" w:lineRule="auto"/>
        <w:contextualSpacing/>
        <w:jc w:val="both"/>
        <w:rPr>
          <w:rFonts w:eastAsia="Calibri"/>
          <w:lang w:val="es-ES"/>
        </w:rPr>
      </w:pPr>
      <w:r w:rsidRPr="00E82B86">
        <w:rPr>
          <w:rFonts w:eastAsia="Calibri"/>
          <w:lang w:val="es-ES"/>
        </w:rPr>
        <w:t>Adquisición e implementación de herramienta Harmony-Email Security para protección de correos electrónicos, MS Teams.</w:t>
      </w:r>
    </w:p>
    <w:p w14:paraId="76EAE3BA" w14:textId="311E53BC" w:rsidR="00E82B86" w:rsidRPr="00A31666" w:rsidRDefault="00E82B86" w:rsidP="00603D63">
      <w:pPr>
        <w:numPr>
          <w:ilvl w:val="0"/>
          <w:numId w:val="1"/>
        </w:numPr>
        <w:spacing w:before="100" w:line="360" w:lineRule="auto"/>
        <w:contextualSpacing/>
        <w:jc w:val="both"/>
        <w:rPr>
          <w:rFonts w:eastAsia="Calibri"/>
          <w:lang w:val="es-ES"/>
        </w:rPr>
      </w:pPr>
      <w:r w:rsidRPr="00E82B86">
        <w:rPr>
          <w:rFonts w:eastAsia="Calibri"/>
          <w:lang w:val="es-ES"/>
        </w:rPr>
        <w:t xml:space="preserve">Adquisición de herramienta SIEM-SOC para fortalecer el proceso de monitoreo de Ciberseguridad, así como también el seguimiento y centralización de eventos generados por nuestras plataformas de Seguridad. </w:t>
      </w:r>
      <w:r w:rsidRPr="00A31666">
        <w:rPr>
          <w:rFonts w:eastAsia="Calibri"/>
          <w:lang w:val="es-ES"/>
        </w:rPr>
        <w:t xml:space="preserve">(En proceso de </w:t>
      </w:r>
      <w:r w:rsidR="00A31666" w:rsidRPr="00A31666">
        <w:rPr>
          <w:rFonts w:eastAsia="Calibri"/>
          <w:lang w:val="es-ES"/>
        </w:rPr>
        <w:t>Implementación</w:t>
      </w:r>
      <w:r w:rsidRPr="00A31666">
        <w:rPr>
          <w:rFonts w:eastAsia="Calibri"/>
          <w:lang w:val="es-ES"/>
        </w:rPr>
        <w:t>).</w:t>
      </w:r>
    </w:p>
    <w:p w14:paraId="2C2F502E" w14:textId="77777777" w:rsidR="00E82B86" w:rsidRPr="00E82B86" w:rsidRDefault="00E82B86" w:rsidP="00603D63">
      <w:pPr>
        <w:numPr>
          <w:ilvl w:val="0"/>
          <w:numId w:val="1"/>
        </w:numPr>
        <w:spacing w:before="100" w:line="360" w:lineRule="auto"/>
        <w:contextualSpacing/>
        <w:jc w:val="both"/>
        <w:rPr>
          <w:rFonts w:eastAsia="Calibri"/>
          <w:lang w:val="es-ES"/>
        </w:rPr>
      </w:pPr>
      <w:r w:rsidRPr="00E82B86">
        <w:rPr>
          <w:rFonts w:eastAsia="Calibri"/>
          <w:lang w:val="es-ES"/>
        </w:rPr>
        <w:t xml:space="preserve">Se han realizado un total de </w:t>
      </w:r>
      <w:r w:rsidRPr="00A31666">
        <w:rPr>
          <w:rFonts w:eastAsia="Calibri"/>
          <w:lang w:val="es-ES"/>
        </w:rPr>
        <w:t>15</w:t>
      </w:r>
      <w:r w:rsidRPr="00E82B86">
        <w:rPr>
          <w:rFonts w:eastAsia="Calibri"/>
          <w:lang w:val="es-ES"/>
        </w:rPr>
        <w:t xml:space="preserve"> reportes de vulnerabilidades críticas detectadas por el área,</w:t>
      </w:r>
    </w:p>
    <w:p w14:paraId="2E23C70F" w14:textId="77777777" w:rsidR="00E82B86" w:rsidRPr="00E82B86" w:rsidRDefault="00E82B86" w:rsidP="00603D63">
      <w:pPr>
        <w:numPr>
          <w:ilvl w:val="0"/>
          <w:numId w:val="1"/>
        </w:numPr>
        <w:spacing w:before="100" w:line="360" w:lineRule="auto"/>
        <w:contextualSpacing/>
        <w:jc w:val="both"/>
        <w:rPr>
          <w:rFonts w:eastAsia="Calibri"/>
          <w:lang w:val="es-ES"/>
        </w:rPr>
      </w:pPr>
      <w:r w:rsidRPr="00E82B86">
        <w:rPr>
          <w:rFonts w:eastAsia="Calibri"/>
          <w:lang w:val="es-ES"/>
        </w:rPr>
        <w:t xml:space="preserve">Se han gestionado un total de </w:t>
      </w:r>
      <w:r w:rsidRPr="00A31666">
        <w:rPr>
          <w:rFonts w:eastAsia="Calibri"/>
          <w:lang w:val="es-ES"/>
        </w:rPr>
        <w:t>687 i</w:t>
      </w:r>
      <w:r w:rsidRPr="00E82B86">
        <w:rPr>
          <w:rFonts w:eastAsia="Calibri"/>
          <w:lang w:val="es-ES"/>
        </w:rPr>
        <w:t>ncidentes de ciberseguridad generados por el Security Operations Center de DNI.</w:t>
      </w:r>
    </w:p>
    <w:p w14:paraId="2D9855D4" w14:textId="77777777" w:rsidR="00E82B86" w:rsidRPr="00E82B86" w:rsidRDefault="00E82B86" w:rsidP="00603D63">
      <w:pPr>
        <w:numPr>
          <w:ilvl w:val="0"/>
          <w:numId w:val="1"/>
        </w:numPr>
        <w:spacing w:before="100" w:line="360" w:lineRule="auto"/>
        <w:contextualSpacing/>
        <w:jc w:val="both"/>
        <w:rPr>
          <w:rFonts w:eastAsia="Calibri"/>
          <w:lang w:val="es-ES"/>
        </w:rPr>
      </w:pPr>
      <w:r w:rsidRPr="00E82B86">
        <w:rPr>
          <w:rFonts w:eastAsia="Calibri"/>
          <w:lang w:val="es-ES"/>
        </w:rPr>
        <w:t xml:space="preserve">Se han gestionado un total de </w:t>
      </w:r>
      <w:r w:rsidRPr="00A31666">
        <w:rPr>
          <w:rFonts w:eastAsia="Calibri"/>
          <w:lang w:val="es-ES"/>
        </w:rPr>
        <w:t>10</w:t>
      </w:r>
      <w:r w:rsidRPr="00E82B86">
        <w:rPr>
          <w:rFonts w:eastAsia="Calibri"/>
          <w:lang w:val="es-ES"/>
        </w:rPr>
        <w:t xml:space="preserve"> incidentes de ciberseguridad generados por el Sprics - Banco Central.</w:t>
      </w:r>
    </w:p>
    <w:p w14:paraId="48217584" w14:textId="77777777" w:rsidR="00E82B86" w:rsidRPr="00E82B86" w:rsidRDefault="00E82B86" w:rsidP="00603D63">
      <w:pPr>
        <w:numPr>
          <w:ilvl w:val="0"/>
          <w:numId w:val="1"/>
        </w:numPr>
        <w:spacing w:before="100" w:line="360" w:lineRule="auto"/>
        <w:contextualSpacing/>
        <w:jc w:val="both"/>
        <w:rPr>
          <w:rFonts w:eastAsia="Calibri"/>
          <w:lang w:val="es-ES"/>
        </w:rPr>
      </w:pPr>
      <w:r w:rsidRPr="00E82B86">
        <w:rPr>
          <w:rFonts w:eastAsia="Calibri"/>
          <w:lang w:val="es-ES"/>
        </w:rPr>
        <w:t xml:space="preserve">Se han gestionado un total de </w:t>
      </w:r>
      <w:r w:rsidRPr="00A31666">
        <w:rPr>
          <w:rFonts w:eastAsia="Calibri"/>
          <w:lang w:val="es-ES"/>
        </w:rPr>
        <w:t>3</w:t>
      </w:r>
      <w:r w:rsidRPr="00E82B86">
        <w:rPr>
          <w:rFonts w:eastAsia="Calibri"/>
          <w:lang w:val="es-ES"/>
        </w:rPr>
        <w:t xml:space="preserve"> incidentes de ciberseguridad generados por el Centro Nacional de Ciberseguridad.</w:t>
      </w:r>
    </w:p>
    <w:p w14:paraId="6AB083E8" w14:textId="4ED86C88" w:rsidR="006121D1" w:rsidRPr="006121D1" w:rsidRDefault="006121D1" w:rsidP="006121D1">
      <w:pPr>
        <w:pStyle w:val="Heading1"/>
        <w:jc w:val="both"/>
        <w:rPr>
          <w:spacing w:val="0"/>
          <w:sz w:val="24"/>
          <w:szCs w:val="24"/>
          <w:lang w:val="es-DO"/>
        </w:rPr>
      </w:pPr>
      <w:bookmarkStart w:id="218" w:name="_Toc184981204"/>
      <w:bookmarkStart w:id="219" w:name="_Toc185245109"/>
      <w:r w:rsidRPr="006121D1">
        <w:rPr>
          <w:spacing w:val="0"/>
          <w:sz w:val="24"/>
          <w:szCs w:val="24"/>
          <w:lang w:val="es-DO"/>
        </w:rPr>
        <w:lastRenderedPageBreak/>
        <w:t>Departamento de Gestión Integral de Riesgos</w:t>
      </w:r>
      <w:bookmarkEnd w:id="114"/>
      <w:bookmarkEnd w:id="115"/>
      <w:bookmarkEnd w:id="116"/>
      <w:bookmarkEnd w:id="117"/>
      <w:bookmarkEnd w:id="218"/>
      <w:bookmarkEnd w:id="219"/>
    </w:p>
    <w:p w14:paraId="10C14874" w14:textId="77777777" w:rsidR="006121D1" w:rsidRPr="00714570" w:rsidRDefault="006121D1" w:rsidP="006121D1">
      <w:pPr>
        <w:spacing w:line="360" w:lineRule="auto"/>
        <w:jc w:val="both"/>
        <w:rPr>
          <w:rFonts w:eastAsia="Calibri"/>
          <w:noProof/>
          <w:lang w:val="es-DO"/>
        </w:rPr>
      </w:pPr>
      <w:r w:rsidRPr="00714570">
        <w:rPr>
          <w:rFonts w:eastAsia="Calibri"/>
          <w:noProof/>
          <w:lang w:val="es-DO"/>
        </w:rPr>
        <w:t xml:space="preserve">En el entorno empresarial actual, caracterizado por su dinamismo y complejidad, la gestión integral de riesgos y la continuidad de negocios se han convertido en pilares fundamentales para garantizar la resiliencia y sostenibilidad de las organizaciones. El departamento de Gestión Integral de Riesgos tiene como misión identificar, evaluar y mitigar los riesgos que puedan afectar la operatividad y los objetivos estratégicos de la empresa, así como asegurar la capacidad de respuesta y recuperación ante eventos disruptivos. </w:t>
      </w:r>
    </w:p>
    <w:p w14:paraId="62055691" w14:textId="77777777" w:rsidR="006121D1" w:rsidRPr="00714570" w:rsidRDefault="006121D1" w:rsidP="00714570">
      <w:pPr>
        <w:spacing w:line="360" w:lineRule="auto"/>
        <w:jc w:val="both"/>
        <w:rPr>
          <w:rFonts w:eastAsia="Calibri"/>
          <w:noProof/>
          <w:lang w:val="es-DO"/>
        </w:rPr>
      </w:pPr>
      <w:r w:rsidRPr="00714570">
        <w:rPr>
          <w:rFonts w:eastAsia="Calibri"/>
          <w:noProof/>
          <w:lang w:val="es-DO"/>
        </w:rPr>
        <w:t>Dentro de los logros para el 2024 están:</w:t>
      </w:r>
    </w:p>
    <w:p w14:paraId="2AE95185" w14:textId="3DB80D7F" w:rsidR="006121D1" w:rsidRPr="006121D1" w:rsidRDefault="006121D1" w:rsidP="006121D1">
      <w:pPr>
        <w:pStyle w:val="ListParagraph"/>
        <w:numPr>
          <w:ilvl w:val="0"/>
          <w:numId w:val="6"/>
        </w:numPr>
        <w:rPr>
          <w:rFonts w:ascii="Times New Roman" w:hAnsi="Times New Roman"/>
          <w:noProof/>
          <w:color w:val="808080" w:themeColor="background1" w:themeShade="80"/>
          <w:spacing w:val="20"/>
          <w:sz w:val="24"/>
          <w:szCs w:val="24"/>
        </w:rPr>
      </w:pPr>
      <w:r w:rsidRPr="006121D1">
        <w:rPr>
          <w:rFonts w:ascii="Times New Roman" w:hAnsi="Times New Roman"/>
          <w:noProof/>
          <w:color w:val="808080" w:themeColor="background1" w:themeShade="80"/>
          <w:spacing w:val="20"/>
          <w:sz w:val="24"/>
          <w:szCs w:val="24"/>
        </w:rPr>
        <w:t>Actualizac</w:t>
      </w:r>
      <w:r>
        <w:rPr>
          <w:rFonts w:ascii="Times New Roman" w:hAnsi="Times New Roman"/>
          <w:noProof/>
          <w:color w:val="808080" w:themeColor="background1" w:themeShade="80"/>
          <w:spacing w:val="20"/>
          <w:sz w:val="24"/>
          <w:szCs w:val="24"/>
        </w:rPr>
        <w:t>ió</w:t>
      </w:r>
      <w:r w:rsidRPr="006121D1">
        <w:rPr>
          <w:rFonts w:ascii="Times New Roman" w:hAnsi="Times New Roman"/>
          <w:noProof/>
          <w:color w:val="808080" w:themeColor="background1" w:themeShade="80"/>
          <w:spacing w:val="20"/>
          <w:sz w:val="24"/>
          <w:szCs w:val="24"/>
        </w:rPr>
        <w:t>n de la matriz de riesgo institucional.</w:t>
      </w:r>
    </w:p>
    <w:p w14:paraId="53E93335" w14:textId="77777777" w:rsidR="006121D1" w:rsidRPr="006121D1" w:rsidRDefault="006121D1" w:rsidP="006121D1">
      <w:pPr>
        <w:pStyle w:val="ListParagraph"/>
        <w:numPr>
          <w:ilvl w:val="0"/>
          <w:numId w:val="6"/>
        </w:numPr>
        <w:rPr>
          <w:rFonts w:ascii="Times New Roman" w:hAnsi="Times New Roman"/>
          <w:noProof/>
          <w:color w:val="808080" w:themeColor="background1" w:themeShade="80"/>
          <w:spacing w:val="20"/>
          <w:sz w:val="24"/>
          <w:szCs w:val="24"/>
        </w:rPr>
      </w:pPr>
      <w:r w:rsidRPr="006121D1">
        <w:rPr>
          <w:rFonts w:ascii="Times New Roman" w:hAnsi="Times New Roman"/>
          <w:noProof/>
          <w:color w:val="808080" w:themeColor="background1" w:themeShade="80"/>
          <w:spacing w:val="20"/>
          <w:sz w:val="24"/>
          <w:szCs w:val="24"/>
        </w:rPr>
        <w:t>Puesta en marcha de la matriz de riesgos especializada para los procesos de compra, acorde a los lineamientos de la dirección de compras y contrataciones.</w:t>
      </w:r>
    </w:p>
    <w:p w14:paraId="345E6B92" w14:textId="77777777" w:rsidR="006121D1" w:rsidRPr="006121D1" w:rsidRDefault="006121D1" w:rsidP="006121D1">
      <w:pPr>
        <w:pStyle w:val="ListParagraph"/>
        <w:numPr>
          <w:ilvl w:val="0"/>
          <w:numId w:val="6"/>
        </w:numPr>
        <w:rPr>
          <w:rFonts w:ascii="Times New Roman" w:hAnsi="Times New Roman"/>
          <w:noProof/>
          <w:color w:val="808080" w:themeColor="background1" w:themeShade="80"/>
          <w:spacing w:val="20"/>
          <w:sz w:val="24"/>
          <w:szCs w:val="24"/>
        </w:rPr>
      </w:pPr>
      <w:r w:rsidRPr="006121D1">
        <w:rPr>
          <w:rFonts w:ascii="Times New Roman" w:hAnsi="Times New Roman"/>
          <w:noProof/>
          <w:color w:val="808080" w:themeColor="background1" w:themeShade="80"/>
          <w:spacing w:val="20"/>
          <w:sz w:val="24"/>
          <w:szCs w:val="24"/>
        </w:rPr>
        <w:t>Levantamiento de los riesgos conductuales acorde a las directrices de la dirección general de ética e integridad gubernamental.</w:t>
      </w:r>
    </w:p>
    <w:p w14:paraId="2551886C" w14:textId="77777777" w:rsidR="006121D1" w:rsidRPr="006121D1" w:rsidRDefault="006121D1" w:rsidP="006121D1">
      <w:pPr>
        <w:pStyle w:val="ListParagraph"/>
        <w:numPr>
          <w:ilvl w:val="0"/>
          <w:numId w:val="6"/>
        </w:numPr>
        <w:rPr>
          <w:rFonts w:ascii="Times New Roman" w:hAnsi="Times New Roman"/>
          <w:noProof/>
          <w:color w:val="808080" w:themeColor="background1" w:themeShade="80"/>
          <w:spacing w:val="20"/>
          <w:sz w:val="24"/>
          <w:szCs w:val="24"/>
        </w:rPr>
      </w:pPr>
      <w:r w:rsidRPr="006121D1">
        <w:rPr>
          <w:rFonts w:ascii="Times New Roman" w:hAnsi="Times New Roman"/>
          <w:noProof/>
          <w:color w:val="808080" w:themeColor="background1" w:themeShade="80"/>
          <w:spacing w:val="20"/>
          <w:sz w:val="24"/>
          <w:szCs w:val="24"/>
        </w:rPr>
        <w:t>Realización de ejercicios de continuidad de negocio en los procesos críticos de la institución y participación de los ejercicios de gestión de crisis organizados por el consejo nacional de ciberseguridad, AWS y OEA.</w:t>
      </w:r>
    </w:p>
    <w:p w14:paraId="43EB5C8B" w14:textId="77777777" w:rsidR="006121D1" w:rsidRPr="006121D1" w:rsidRDefault="006121D1" w:rsidP="006121D1">
      <w:pPr>
        <w:pStyle w:val="ListParagraph"/>
        <w:numPr>
          <w:ilvl w:val="0"/>
          <w:numId w:val="6"/>
        </w:numPr>
        <w:rPr>
          <w:rFonts w:ascii="Times New Roman" w:hAnsi="Times New Roman"/>
          <w:noProof/>
          <w:color w:val="808080" w:themeColor="background1" w:themeShade="80"/>
          <w:spacing w:val="20"/>
          <w:sz w:val="24"/>
          <w:szCs w:val="24"/>
        </w:rPr>
      </w:pPr>
      <w:r w:rsidRPr="006121D1">
        <w:rPr>
          <w:rFonts w:ascii="Times New Roman" w:hAnsi="Times New Roman"/>
          <w:noProof/>
          <w:color w:val="808080" w:themeColor="background1" w:themeShade="80"/>
          <w:spacing w:val="20"/>
          <w:sz w:val="24"/>
          <w:szCs w:val="24"/>
        </w:rPr>
        <w:t>Realización de jornada interna de identificación de riesgos.</w:t>
      </w:r>
    </w:p>
    <w:p w14:paraId="374A1B03" w14:textId="77777777" w:rsidR="006121D1" w:rsidRPr="006121D1" w:rsidRDefault="006121D1" w:rsidP="006121D1">
      <w:pPr>
        <w:pStyle w:val="ListParagraph"/>
        <w:numPr>
          <w:ilvl w:val="0"/>
          <w:numId w:val="6"/>
        </w:numPr>
        <w:rPr>
          <w:rFonts w:ascii="Times New Roman" w:hAnsi="Times New Roman"/>
          <w:noProof/>
          <w:color w:val="808080" w:themeColor="background1" w:themeShade="80"/>
          <w:spacing w:val="20"/>
          <w:sz w:val="24"/>
          <w:szCs w:val="24"/>
        </w:rPr>
      </w:pPr>
      <w:r w:rsidRPr="006121D1">
        <w:rPr>
          <w:rFonts w:ascii="Times New Roman" w:hAnsi="Times New Roman"/>
          <w:noProof/>
          <w:color w:val="808080" w:themeColor="background1" w:themeShade="80"/>
          <w:spacing w:val="20"/>
          <w:sz w:val="24"/>
          <w:szCs w:val="24"/>
        </w:rPr>
        <w:t>Acercamientos con distintos organismos internacionales de Seguridad Social con el fin de reforzar nuestra Gestión Integral de Riesgos (Brasil, Argentina y Guatemala).</w:t>
      </w:r>
    </w:p>
    <w:p w14:paraId="30FB05C0" w14:textId="77777777" w:rsidR="006121D1" w:rsidRPr="006121D1" w:rsidRDefault="006121D1" w:rsidP="006121D1">
      <w:pPr>
        <w:pStyle w:val="ListParagraph"/>
        <w:numPr>
          <w:ilvl w:val="0"/>
          <w:numId w:val="6"/>
        </w:numPr>
        <w:rPr>
          <w:rFonts w:ascii="Times New Roman" w:hAnsi="Times New Roman"/>
          <w:noProof/>
          <w:color w:val="808080" w:themeColor="background1" w:themeShade="80"/>
          <w:spacing w:val="20"/>
          <w:sz w:val="24"/>
          <w:szCs w:val="24"/>
        </w:rPr>
      </w:pPr>
      <w:r w:rsidRPr="006121D1">
        <w:rPr>
          <w:rFonts w:ascii="Times New Roman" w:hAnsi="Times New Roman"/>
          <w:noProof/>
          <w:color w:val="808080" w:themeColor="background1" w:themeShade="80"/>
          <w:spacing w:val="20"/>
          <w:sz w:val="24"/>
          <w:szCs w:val="24"/>
        </w:rPr>
        <w:lastRenderedPageBreak/>
        <w:t xml:space="preserve">Uso de inteligencia artificial (AI) y Business Intelligence (BI)a travesde micrososft power BI para el levantamiento y gestión de las matrices de riesgos. </w:t>
      </w:r>
    </w:p>
    <w:p w14:paraId="2918716A" w14:textId="77777777" w:rsidR="006121D1" w:rsidRPr="006121D1" w:rsidRDefault="006121D1" w:rsidP="006121D1">
      <w:pPr>
        <w:pStyle w:val="Heading1"/>
        <w:jc w:val="both"/>
        <w:rPr>
          <w:sz w:val="24"/>
          <w:szCs w:val="24"/>
          <w:lang w:val="es-ES"/>
        </w:rPr>
      </w:pPr>
      <w:bookmarkStart w:id="220" w:name="_Toc171677878"/>
      <w:bookmarkStart w:id="221" w:name="_Toc172119882"/>
      <w:bookmarkStart w:id="222" w:name="_Toc172120215"/>
      <w:bookmarkStart w:id="223" w:name="_Toc172121433"/>
      <w:bookmarkStart w:id="224" w:name="_Toc184981205"/>
      <w:bookmarkStart w:id="225" w:name="_Toc185245110"/>
      <w:r w:rsidRPr="006121D1">
        <w:rPr>
          <w:sz w:val="24"/>
          <w:szCs w:val="24"/>
          <w:lang w:val="es-ES"/>
        </w:rPr>
        <w:t>Gestión</w:t>
      </w:r>
      <w:bookmarkEnd w:id="220"/>
      <w:r w:rsidRPr="006121D1">
        <w:rPr>
          <w:sz w:val="24"/>
          <w:szCs w:val="24"/>
          <w:lang w:val="es-ES"/>
        </w:rPr>
        <w:t xml:space="preserve"> de Riesgos</w:t>
      </w:r>
      <w:bookmarkEnd w:id="221"/>
      <w:bookmarkEnd w:id="222"/>
      <w:bookmarkEnd w:id="223"/>
      <w:bookmarkEnd w:id="224"/>
      <w:bookmarkEnd w:id="225"/>
    </w:p>
    <w:p w14:paraId="29C3C11B" w14:textId="77777777" w:rsidR="006121D1" w:rsidRPr="006121D1" w:rsidRDefault="006121D1" w:rsidP="009F54E3">
      <w:pPr>
        <w:spacing w:line="360" w:lineRule="auto"/>
        <w:jc w:val="both"/>
        <w:rPr>
          <w:rFonts w:eastAsia="Calibri"/>
          <w:noProof/>
          <w:lang w:val="es-DO"/>
        </w:rPr>
      </w:pPr>
      <w:r w:rsidRPr="006121D1">
        <w:rPr>
          <w:rFonts w:eastAsia="Calibri"/>
          <w:noProof/>
          <w:lang w:val="es-DO"/>
        </w:rPr>
        <w:t>En la siguiente tabla se muestran los resultados de los indicadores de la gestión de riesgos 2024, evaluados en el periodo enero – noviembre del mismo año.</w:t>
      </w: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5"/>
        <w:gridCol w:w="980"/>
        <w:gridCol w:w="1247"/>
        <w:gridCol w:w="1283"/>
      </w:tblGrid>
      <w:tr w:rsidR="006121D1" w:rsidRPr="006121D1" w14:paraId="2707F8B1" w14:textId="77777777" w:rsidTr="009F54E3">
        <w:trPr>
          <w:trHeight w:val="688"/>
          <w:tblHeader/>
          <w:jc w:val="center"/>
        </w:trPr>
        <w:tc>
          <w:tcPr>
            <w:tcW w:w="4145" w:type="dxa"/>
            <w:shd w:val="clear" w:color="000000" w:fill="1F3864"/>
            <w:vAlign w:val="center"/>
            <w:hideMark/>
          </w:tcPr>
          <w:p w14:paraId="55D3FB3B" w14:textId="77777777" w:rsidR="006121D1" w:rsidRPr="006121D1" w:rsidRDefault="006121D1">
            <w:pPr>
              <w:spacing w:after="0" w:line="240" w:lineRule="auto"/>
              <w:jc w:val="center"/>
              <w:rPr>
                <w:rFonts w:eastAsia="Times New Roman"/>
                <w:b/>
                <w:bCs/>
                <w:color w:val="FFFFFF"/>
                <w:spacing w:val="0"/>
              </w:rPr>
            </w:pPr>
            <w:r w:rsidRPr="006121D1">
              <w:rPr>
                <w:rFonts w:eastAsia="Times New Roman"/>
                <w:b/>
                <w:bCs/>
                <w:color w:val="FFFFFF"/>
                <w:spacing w:val="0"/>
              </w:rPr>
              <w:t>Indicador</w:t>
            </w:r>
          </w:p>
        </w:tc>
        <w:tc>
          <w:tcPr>
            <w:tcW w:w="980" w:type="dxa"/>
            <w:shd w:val="clear" w:color="000000" w:fill="1F3864"/>
            <w:vAlign w:val="center"/>
            <w:hideMark/>
          </w:tcPr>
          <w:p w14:paraId="4059D8C8" w14:textId="77777777" w:rsidR="006121D1" w:rsidRPr="006121D1" w:rsidRDefault="006121D1">
            <w:pPr>
              <w:spacing w:after="0" w:line="240" w:lineRule="auto"/>
              <w:jc w:val="center"/>
              <w:rPr>
                <w:rFonts w:eastAsia="Times New Roman"/>
                <w:b/>
                <w:bCs/>
                <w:color w:val="FFFFFF"/>
                <w:spacing w:val="0"/>
              </w:rPr>
            </w:pPr>
            <w:r w:rsidRPr="006121D1">
              <w:rPr>
                <w:rFonts w:eastAsia="Times New Roman"/>
                <w:b/>
                <w:bCs/>
                <w:color w:val="FFFFFF"/>
                <w:spacing w:val="0"/>
              </w:rPr>
              <w:t>Meta</w:t>
            </w:r>
          </w:p>
        </w:tc>
        <w:tc>
          <w:tcPr>
            <w:tcW w:w="1247" w:type="dxa"/>
            <w:shd w:val="clear" w:color="000000" w:fill="1F3864"/>
            <w:vAlign w:val="center"/>
          </w:tcPr>
          <w:p w14:paraId="51DE3C09" w14:textId="77777777" w:rsidR="006121D1" w:rsidRPr="006121D1" w:rsidRDefault="006121D1">
            <w:pPr>
              <w:spacing w:after="0" w:line="240" w:lineRule="auto"/>
              <w:jc w:val="center"/>
              <w:rPr>
                <w:rFonts w:eastAsia="Times New Roman"/>
                <w:b/>
                <w:bCs/>
                <w:color w:val="FFFFFF"/>
                <w:spacing w:val="0"/>
              </w:rPr>
            </w:pPr>
            <w:r w:rsidRPr="006121D1">
              <w:rPr>
                <w:rFonts w:eastAsia="Times New Roman"/>
                <w:b/>
                <w:bCs/>
                <w:color w:val="FFFFFF"/>
                <w:spacing w:val="0"/>
              </w:rPr>
              <w:t>Resultado 1er. Semestre</w:t>
            </w:r>
          </w:p>
        </w:tc>
        <w:tc>
          <w:tcPr>
            <w:tcW w:w="1283" w:type="dxa"/>
            <w:shd w:val="clear" w:color="000000" w:fill="1F3864"/>
            <w:vAlign w:val="center"/>
            <w:hideMark/>
          </w:tcPr>
          <w:p w14:paraId="55B1F4C4" w14:textId="77777777" w:rsidR="006121D1" w:rsidRPr="006121D1" w:rsidRDefault="006121D1">
            <w:pPr>
              <w:spacing w:after="0" w:line="240" w:lineRule="auto"/>
              <w:jc w:val="center"/>
              <w:rPr>
                <w:rFonts w:eastAsia="Times New Roman"/>
                <w:b/>
                <w:bCs/>
                <w:color w:val="FFFFFF"/>
                <w:spacing w:val="0"/>
              </w:rPr>
            </w:pPr>
            <w:r w:rsidRPr="006121D1">
              <w:rPr>
                <w:rFonts w:eastAsia="Times New Roman"/>
                <w:b/>
                <w:bCs/>
                <w:color w:val="FFFFFF"/>
                <w:spacing w:val="0"/>
              </w:rPr>
              <w:t>Resultado 2do. Semestre</w:t>
            </w:r>
          </w:p>
        </w:tc>
      </w:tr>
      <w:tr w:rsidR="006121D1" w:rsidRPr="006121D1" w14:paraId="0664F073" w14:textId="77777777" w:rsidTr="009F54E3">
        <w:trPr>
          <w:trHeight w:val="784"/>
          <w:jc w:val="center"/>
        </w:trPr>
        <w:tc>
          <w:tcPr>
            <w:tcW w:w="4145" w:type="dxa"/>
            <w:shd w:val="clear" w:color="000000" w:fill="FFFFFF"/>
            <w:vAlign w:val="center"/>
            <w:hideMark/>
          </w:tcPr>
          <w:p w14:paraId="77DC70F2" w14:textId="77777777" w:rsidR="006121D1" w:rsidRPr="006121D1" w:rsidRDefault="006121D1" w:rsidP="009F54E3">
            <w:pPr>
              <w:spacing w:line="360" w:lineRule="auto"/>
              <w:jc w:val="both"/>
              <w:rPr>
                <w:rFonts w:eastAsia="Times New Roman"/>
                <w:spacing w:val="0"/>
                <w:lang w:val="es-ES"/>
              </w:rPr>
            </w:pPr>
            <w:r w:rsidRPr="006121D1">
              <w:rPr>
                <w:rFonts w:eastAsia="Times New Roman"/>
                <w:spacing w:val="0"/>
                <w:lang w:val="es-ES" w:eastAsia="es-DO"/>
              </w:rPr>
              <w:t>Reducir el 100% de los riesgos altos y muy altos, Tolerancia: 3 riesgos alto o muy alto.</w:t>
            </w:r>
          </w:p>
        </w:tc>
        <w:tc>
          <w:tcPr>
            <w:tcW w:w="980" w:type="dxa"/>
            <w:shd w:val="clear" w:color="000000" w:fill="FFFFFF"/>
            <w:vAlign w:val="center"/>
            <w:hideMark/>
          </w:tcPr>
          <w:p w14:paraId="5EE5DB2A" w14:textId="77777777" w:rsidR="006121D1" w:rsidRPr="006121D1" w:rsidRDefault="006121D1">
            <w:pPr>
              <w:spacing w:after="0" w:line="240" w:lineRule="auto"/>
              <w:jc w:val="center"/>
              <w:rPr>
                <w:rFonts w:eastAsia="Times New Roman"/>
                <w:spacing w:val="0"/>
              </w:rPr>
            </w:pPr>
            <w:r w:rsidRPr="006121D1">
              <w:rPr>
                <w:rFonts w:eastAsia="Times New Roman"/>
                <w:spacing w:val="0"/>
                <w:lang w:eastAsia="es-DO"/>
              </w:rPr>
              <w:t>100%</w:t>
            </w:r>
          </w:p>
        </w:tc>
        <w:tc>
          <w:tcPr>
            <w:tcW w:w="1247" w:type="dxa"/>
            <w:shd w:val="clear" w:color="000000" w:fill="FFFFFF"/>
            <w:vAlign w:val="center"/>
          </w:tcPr>
          <w:p w14:paraId="3315BFC9" w14:textId="77777777" w:rsidR="006121D1" w:rsidRPr="006121D1" w:rsidRDefault="006121D1">
            <w:pPr>
              <w:spacing w:after="0" w:line="240" w:lineRule="auto"/>
              <w:jc w:val="center"/>
              <w:rPr>
                <w:rFonts w:eastAsia="Times New Roman"/>
                <w:spacing w:val="0"/>
                <w:lang w:eastAsia="es-DO"/>
              </w:rPr>
            </w:pPr>
            <w:r w:rsidRPr="006121D1">
              <w:rPr>
                <w:rFonts w:eastAsia="Times New Roman"/>
                <w:spacing w:val="0"/>
                <w:lang w:eastAsia="es-DO"/>
              </w:rPr>
              <w:t>100%</w:t>
            </w:r>
          </w:p>
        </w:tc>
        <w:tc>
          <w:tcPr>
            <w:tcW w:w="1283" w:type="dxa"/>
            <w:shd w:val="clear" w:color="000000" w:fill="FFFFFF"/>
            <w:vAlign w:val="center"/>
            <w:hideMark/>
          </w:tcPr>
          <w:p w14:paraId="646B6094" w14:textId="77777777" w:rsidR="006121D1" w:rsidRPr="006121D1" w:rsidRDefault="006121D1">
            <w:pPr>
              <w:spacing w:after="0" w:line="240" w:lineRule="auto"/>
              <w:jc w:val="center"/>
              <w:rPr>
                <w:rFonts w:eastAsia="Times New Roman"/>
                <w:spacing w:val="0"/>
              </w:rPr>
            </w:pPr>
            <w:r w:rsidRPr="006121D1">
              <w:rPr>
                <w:rFonts w:eastAsia="Times New Roman"/>
                <w:spacing w:val="0"/>
              </w:rPr>
              <w:t>100%</w:t>
            </w:r>
          </w:p>
        </w:tc>
      </w:tr>
      <w:tr w:rsidR="006121D1" w:rsidRPr="006121D1" w14:paraId="08592178" w14:textId="77777777" w:rsidTr="009F54E3">
        <w:trPr>
          <w:trHeight w:val="953"/>
          <w:jc w:val="center"/>
        </w:trPr>
        <w:tc>
          <w:tcPr>
            <w:tcW w:w="4145" w:type="dxa"/>
            <w:shd w:val="clear" w:color="000000" w:fill="FFFFFF"/>
            <w:vAlign w:val="center"/>
            <w:hideMark/>
          </w:tcPr>
          <w:p w14:paraId="696927B8" w14:textId="77777777" w:rsidR="006121D1" w:rsidRPr="006121D1" w:rsidRDefault="006121D1" w:rsidP="009F54E3">
            <w:pPr>
              <w:spacing w:line="360" w:lineRule="auto"/>
              <w:jc w:val="both"/>
              <w:rPr>
                <w:rFonts w:eastAsia="Times New Roman"/>
                <w:spacing w:val="0"/>
                <w:lang w:val="es-ES" w:eastAsia="es-DO"/>
              </w:rPr>
            </w:pPr>
            <w:r w:rsidRPr="006121D1">
              <w:rPr>
                <w:rFonts w:eastAsia="Times New Roman"/>
                <w:spacing w:val="0"/>
                <w:lang w:val="es-ES" w:eastAsia="es-DO"/>
              </w:rPr>
              <w:t>Revisar la Matriz de Riesgos como mínimo dos veces al año en el 2024.</w:t>
            </w:r>
            <w:r w:rsidRPr="006121D1">
              <w:rPr>
                <w:rFonts w:eastAsia="Times New Roman"/>
                <w:spacing w:val="0"/>
                <w:lang w:val="es-ES" w:eastAsia="es-DO"/>
              </w:rPr>
              <w:br/>
            </w:r>
            <w:r w:rsidRPr="006121D1">
              <w:rPr>
                <w:rFonts w:eastAsia="Times New Roman"/>
                <w:spacing w:val="0"/>
                <w:lang w:val="es-ES" w:eastAsia="es-DO"/>
              </w:rPr>
              <w:br/>
              <w:t>Tolerancia: una revisión al año con autorización del comité de Sistema integrado de gestión.</w:t>
            </w:r>
          </w:p>
        </w:tc>
        <w:tc>
          <w:tcPr>
            <w:tcW w:w="980" w:type="dxa"/>
            <w:shd w:val="clear" w:color="000000" w:fill="FFFFFF"/>
            <w:vAlign w:val="center"/>
            <w:hideMark/>
          </w:tcPr>
          <w:p w14:paraId="0225A3AD" w14:textId="77777777" w:rsidR="006121D1" w:rsidRPr="006121D1" w:rsidRDefault="006121D1">
            <w:pPr>
              <w:spacing w:after="0" w:line="240" w:lineRule="auto"/>
              <w:jc w:val="center"/>
              <w:rPr>
                <w:rFonts w:eastAsia="Times New Roman"/>
                <w:spacing w:val="0"/>
              </w:rPr>
            </w:pPr>
            <w:r w:rsidRPr="006121D1">
              <w:rPr>
                <w:rFonts w:eastAsia="Times New Roman"/>
                <w:spacing w:val="0"/>
                <w:lang w:eastAsia="es-DO"/>
              </w:rPr>
              <w:t>100%</w:t>
            </w:r>
          </w:p>
        </w:tc>
        <w:tc>
          <w:tcPr>
            <w:tcW w:w="1247" w:type="dxa"/>
            <w:shd w:val="clear" w:color="000000" w:fill="FFFFFF"/>
            <w:vAlign w:val="center"/>
          </w:tcPr>
          <w:p w14:paraId="7904D18D" w14:textId="77777777" w:rsidR="006121D1" w:rsidRPr="006121D1" w:rsidRDefault="006121D1">
            <w:pPr>
              <w:spacing w:after="0" w:line="240" w:lineRule="auto"/>
              <w:jc w:val="center"/>
              <w:rPr>
                <w:rFonts w:eastAsia="Times New Roman"/>
                <w:spacing w:val="0"/>
                <w:lang w:eastAsia="es-DO"/>
              </w:rPr>
            </w:pPr>
            <w:r w:rsidRPr="006121D1">
              <w:rPr>
                <w:rFonts w:eastAsia="Times New Roman"/>
                <w:spacing w:val="0"/>
                <w:lang w:eastAsia="es-DO"/>
              </w:rPr>
              <w:t>38%</w:t>
            </w:r>
          </w:p>
        </w:tc>
        <w:tc>
          <w:tcPr>
            <w:tcW w:w="1283" w:type="dxa"/>
            <w:shd w:val="clear" w:color="000000" w:fill="FFFFFF"/>
            <w:vAlign w:val="center"/>
            <w:hideMark/>
          </w:tcPr>
          <w:p w14:paraId="48E806C9" w14:textId="77777777" w:rsidR="006121D1" w:rsidRPr="006121D1" w:rsidRDefault="006121D1">
            <w:pPr>
              <w:spacing w:after="0" w:line="240" w:lineRule="auto"/>
              <w:jc w:val="center"/>
              <w:rPr>
                <w:rFonts w:eastAsia="Times New Roman"/>
                <w:spacing w:val="0"/>
              </w:rPr>
            </w:pPr>
            <w:r w:rsidRPr="006121D1">
              <w:rPr>
                <w:rFonts w:eastAsia="Times New Roman"/>
                <w:spacing w:val="0"/>
              </w:rPr>
              <w:t>100%</w:t>
            </w:r>
          </w:p>
        </w:tc>
      </w:tr>
      <w:tr w:rsidR="006121D1" w:rsidRPr="006121D1" w14:paraId="7933AD69" w14:textId="77777777" w:rsidTr="009F54E3">
        <w:trPr>
          <w:trHeight w:val="1379"/>
          <w:jc w:val="center"/>
        </w:trPr>
        <w:tc>
          <w:tcPr>
            <w:tcW w:w="4145" w:type="dxa"/>
            <w:shd w:val="clear" w:color="000000" w:fill="FFFFFF"/>
            <w:vAlign w:val="center"/>
            <w:hideMark/>
          </w:tcPr>
          <w:p w14:paraId="5E65A0E7" w14:textId="77777777" w:rsidR="006121D1" w:rsidRPr="006121D1" w:rsidRDefault="006121D1" w:rsidP="009F54E3">
            <w:pPr>
              <w:spacing w:line="360" w:lineRule="auto"/>
              <w:jc w:val="both"/>
              <w:rPr>
                <w:rFonts w:eastAsia="Times New Roman"/>
                <w:spacing w:val="0"/>
                <w:lang w:val="es-ES" w:eastAsia="es-DO"/>
              </w:rPr>
            </w:pPr>
            <w:r w:rsidRPr="006121D1">
              <w:rPr>
                <w:rFonts w:eastAsia="Times New Roman"/>
                <w:spacing w:val="0"/>
                <w:lang w:val="es-ES" w:eastAsia="es-DO"/>
              </w:rPr>
              <w:t>Cumplir con el 90% de las fechas de compromisos establecidas para la implementación de los controles de riesgos altos y muy altos.</w:t>
            </w:r>
            <w:r w:rsidRPr="006121D1">
              <w:rPr>
                <w:rFonts w:eastAsia="Times New Roman"/>
                <w:spacing w:val="0"/>
                <w:lang w:val="es-ES" w:eastAsia="es-DO"/>
              </w:rPr>
              <w:br/>
            </w:r>
            <w:r w:rsidRPr="006121D1">
              <w:rPr>
                <w:rFonts w:eastAsia="Times New Roman"/>
                <w:spacing w:val="0"/>
                <w:lang w:val="es-ES" w:eastAsia="es-DO"/>
              </w:rPr>
              <w:br/>
              <w:t>Tolerancia 10% de riesgos sin controles.</w:t>
            </w:r>
          </w:p>
        </w:tc>
        <w:tc>
          <w:tcPr>
            <w:tcW w:w="980" w:type="dxa"/>
            <w:shd w:val="clear" w:color="000000" w:fill="FFFFFF"/>
            <w:vAlign w:val="center"/>
            <w:hideMark/>
          </w:tcPr>
          <w:p w14:paraId="7BDAB37A" w14:textId="77777777" w:rsidR="006121D1" w:rsidRPr="006121D1" w:rsidRDefault="006121D1">
            <w:pPr>
              <w:spacing w:after="0" w:line="240" w:lineRule="auto"/>
              <w:jc w:val="center"/>
              <w:rPr>
                <w:rFonts w:eastAsia="Times New Roman"/>
                <w:spacing w:val="0"/>
              </w:rPr>
            </w:pPr>
            <w:r w:rsidRPr="006121D1">
              <w:rPr>
                <w:rFonts w:eastAsia="Times New Roman"/>
                <w:spacing w:val="0"/>
                <w:lang w:eastAsia="es-DO"/>
              </w:rPr>
              <w:t>90%</w:t>
            </w:r>
          </w:p>
        </w:tc>
        <w:tc>
          <w:tcPr>
            <w:tcW w:w="1247" w:type="dxa"/>
            <w:shd w:val="clear" w:color="000000" w:fill="FFFFFF"/>
            <w:vAlign w:val="center"/>
          </w:tcPr>
          <w:p w14:paraId="10244F4D" w14:textId="77777777" w:rsidR="006121D1" w:rsidRPr="006121D1" w:rsidRDefault="006121D1">
            <w:pPr>
              <w:spacing w:after="0" w:line="240" w:lineRule="auto"/>
              <w:jc w:val="center"/>
              <w:rPr>
                <w:rFonts w:eastAsia="Times New Roman"/>
                <w:spacing w:val="0"/>
                <w:lang w:eastAsia="es-DO"/>
              </w:rPr>
            </w:pPr>
            <w:r w:rsidRPr="006121D1">
              <w:rPr>
                <w:rFonts w:eastAsia="Times New Roman"/>
                <w:spacing w:val="0"/>
                <w:lang w:eastAsia="es-DO"/>
              </w:rPr>
              <w:t>100%</w:t>
            </w:r>
          </w:p>
        </w:tc>
        <w:tc>
          <w:tcPr>
            <w:tcW w:w="1283" w:type="dxa"/>
            <w:shd w:val="clear" w:color="000000" w:fill="FFFFFF"/>
            <w:vAlign w:val="center"/>
            <w:hideMark/>
          </w:tcPr>
          <w:p w14:paraId="5C02F9BD" w14:textId="77777777" w:rsidR="006121D1" w:rsidRPr="006121D1" w:rsidRDefault="006121D1">
            <w:pPr>
              <w:spacing w:after="0" w:line="240" w:lineRule="auto"/>
              <w:jc w:val="center"/>
              <w:rPr>
                <w:rFonts w:eastAsia="Times New Roman"/>
                <w:spacing w:val="0"/>
              </w:rPr>
            </w:pPr>
            <w:r w:rsidRPr="006121D1">
              <w:rPr>
                <w:rFonts w:eastAsia="Times New Roman"/>
                <w:spacing w:val="0"/>
              </w:rPr>
              <w:t>100%</w:t>
            </w:r>
          </w:p>
        </w:tc>
      </w:tr>
      <w:tr w:rsidR="006121D1" w:rsidRPr="006121D1" w14:paraId="3C9256D5" w14:textId="77777777" w:rsidTr="009F54E3">
        <w:trPr>
          <w:trHeight w:val="1556"/>
          <w:jc w:val="center"/>
        </w:trPr>
        <w:tc>
          <w:tcPr>
            <w:tcW w:w="4145" w:type="dxa"/>
            <w:shd w:val="clear" w:color="000000" w:fill="FFFFFF"/>
            <w:vAlign w:val="center"/>
            <w:hideMark/>
          </w:tcPr>
          <w:p w14:paraId="4E90889C" w14:textId="77777777" w:rsidR="006121D1" w:rsidRPr="009F54E3" w:rsidRDefault="006121D1" w:rsidP="009F54E3">
            <w:pPr>
              <w:spacing w:line="360" w:lineRule="auto"/>
              <w:jc w:val="both"/>
              <w:rPr>
                <w:rFonts w:eastAsia="Times New Roman"/>
                <w:spacing w:val="0"/>
                <w:lang w:val="es-ES" w:eastAsia="es-DO"/>
              </w:rPr>
            </w:pPr>
            <w:r w:rsidRPr="006121D1">
              <w:rPr>
                <w:rFonts w:eastAsia="Times New Roman"/>
                <w:spacing w:val="0"/>
                <w:lang w:val="es-ES" w:eastAsia="es-DO"/>
              </w:rPr>
              <w:t>Actualizar en un 100% los documentos del sistema de gestión de continuidad negocio en fecha aniversario del documento.</w:t>
            </w:r>
            <w:r w:rsidRPr="006121D1">
              <w:rPr>
                <w:rFonts w:eastAsia="Times New Roman"/>
                <w:spacing w:val="0"/>
                <w:lang w:val="es-ES" w:eastAsia="es-DO"/>
              </w:rPr>
              <w:br/>
            </w:r>
            <w:r w:rsidRPr="006121D1">
              <w:rPr>
                <w:rFonts w:eastAsia="Times New Roman"/>
                <w:spacing w:val="0"/>
                <w:lang w:val="es-ES" w:eastAsia="es-DO"/>
              </w:rPr>
              <w:br/>
            </w:r>
            <w:r w:rsidRPr="006121D1">
              <w:rPr>
                <w:rFonts w:eastAsia="Times New Roman"/>
                <w:spacing w:val="0"/>
                <w:lang w:val="es-ES" w:eastAsia="es-DO"/>
              </w:rPr>
              <w:lastRenderedPageBreak/>
              <w:t>Tolerancia: 30% de documentos no actualizados.</w:t>
            </w:r>
          </w:p>
        </w:tc>
        <w:tc>
          <w:tcPr>
            <w:tcW w:w="980" w:type="dxa"/>
            <w:shd w:val="clear" w:color="000000" w:fill="FFFFFF"/>
            <w:vAlign w:val="center"/>
            <w:hideMark/>
          </w:tcPr>
          <w:p w14:paraId="19D59F11" w14:textId="77777777" w:rsidR="006121D1" w:rsidRPr="006121D1" w:rsidRDefault="006121D1">
            <w:pPr>
              <w:spacing w:after="0" w:line="240" w:lineRule="auto"/>
              <w:jc w:val="center"/>
              <w:rPr>
                <w:rFonts w:eastAsia="Times New Roman"/>
                <w:spacing w:val="0"/>
              </w:rPr>
            </w:pPr>
            <w:r w:rsidRPr="006121D1">
              <w:rPr>
                <w:rFonts w:eastAsia="Times New Roman"/>
                <w:spacing w:val="0"/>
                <w:lang w:eastAsia="es-DO"/>
              </w:rPr>
              <w:lastRenderedPageBreak/>
              <w:t>100%</w:t>
            </w:r>
          </w:p>
        </w:tc>
        <w:tc>
          <w:tcPr>
            <w:tcW w:w="1247" w:type="dxa"/>
            <w:shd w:val="clear" w:color="000000" w:fill="FFFFFF"/>
            <w:vAlign w:val="center"/>
          </w:tcPr>
          <w:p w14:paraId="33441336" w14:textId="77777777" w:rsidR="006121D1" w:rsidRPr="006121D1" w:rsidRDefault="006121D1">
            <w:pPr>
              <w:spacing w:after="0" w:line="240" w:lineRule="auto"/>
              <w:jc w:val="center"/>
              <w:rPr>
                <w:rFonts w:eastAsia="Times New Roman"/>
                <w:spacing w:val="0"/>
                <w:lang w:eastAsia="es-DO"/>
              </w:rPr>
            </w:pPr>
            <w:r w:rsidRPr="006121D1">
              <w:rPr>
                <w:rFonts w:eastAsia="Times New Roman"/>
                <w:spacing w:val="0"/>
                <w:lang w:eastAsia="es-DO"/>
              </w:rPr>
              <w:t>20%</w:t>
            </w:r>
          </w:p>
        </w:tc>
        <w:tc>
          <w:tcPr>
            <w:tcW w:w="1283" w:type="dxa"/>
            <w:shd w:val="clear" w:color="000000" w:fill="FFFFFF"/>
            <w:vAlign w:val="center"/>
            <w:hideMark/>
          </w:tcPr>
          <w:p w14:paraId="55A1D5C2" w14:textId="77777777" w:rsidR="006121D1" w:rsidRPr="006121D1" w:rsidRDefault="006121D1">
            <w:pPr>
              <w:spacing w:after="0" w:line="240" w:lineRule="auto"/>
              <w:jc w:val="center"/>
              <w:rPr>
                <w:rFonts w:eastAsia="Times New Roman"/>
                <w:spacing w:val="0"/>
              </w:rPr>
            </w:pPr>
            <w:r w:rsidRPr="006121D1">
              <w:rPr>
                <w:rFonts w:eastAsia="Times New Roman"/>
                <w:spacing w:val="0"/>
              </w:rPr>
              <w:t>100%</w:t>
            </w:r>
          </w:p>
        </w:tc>
      </w:tr>
      <w:tr w:rsidR="006121D1" w:rsidRPr="006121D1" w14:paraId="6A5E3642" w14:textId="77777777" w:rsidTr="009F54E3">
        <w:trPr>
          <w:trHeight w:val="1205"/>
          <w:jc w:val="center"/>
        </w:trPr>
        <w:tc>
          <w:tcPr>
            <w:tcW w:w="4145" w:type="dxa"/>
            <w:shd w:val="clear" w:color="000000" w:fill="FFFFFF"/>
            <w:vAlign w:val="center"/>
            <w:hideMark/>
          </w:tcPr>
          <w:p w14:paraId="5519FDAC" w14:textId="77777777" w:rsidR="006121D1" w:rsidRPr="006121D1" w:rsidRDefault="006121D1" w:rsidP="009F54E3">
            <w:pPr>
              <w:spacing w:line="360" w:lineRule="auto"/>
              <w:jc w:val="both"/>
              <w:rPr>
                <w:rFonts w:eastAsia="Times New Roman"/>
                <w:spacing w:val="0"/>
                <w:lang w:val="es-ES" w:eastAsia="es-DO"/>
              </w:rPr>
            </w:pPr>
            <w:r w:rsidRPr="006121D1">
              <w:rPr>
                <w:rFonts w:eastAsia="Times New Roman"/>
                <w:spacing w:val="0"/>
                <w:lang w:val="es-ES" w:eastAsia="es-DO"/>
              </w:rPr>
              <w:t>Cumplir con el 100% de los ejercicios planificados de continuidad de negocio para el 2024.</w:t>
            </w:r>
            <w:r w:rsidRPr="006121D1">
              <w:rPr>
                <w:rFonts w:eastAsia="Times New Roman"/>
                <w:spacing w:val="0"/>
                <w:lang w:val="es-ES" w:eastAsia="es-DO"/>
              </w:rPr>
              <w:br/>
            </w:r>
            <w:r w:rsidRPr="006121D1">
              <w:rPr>
                <w:rFonts w:eastAsia="Times New Roman"/>
                <w:spacing w:val="0"/>
                <w:lang w:val="es-ES" w:eastAsia="es-DO"/>
              </w:rPr>
              <w:br/>
              <w:t>Tolerancia: 20% de ejercicios no realizados.</w:t>
            </w:r>
          </w:p>
        </w:tc>
        <w:tc>
          <w:tcPr>
            <w:tcW w:w="980" w:type="dxa"/>
            <w:shd w:val="clear" w:color="000000" w:fill="FFFFFF"/>
            <w:vAlign w:val="center"/>
            <w:hideMark/>
          </w:tcPr>
          <w:p w14:paraId="61259696" w14:textId="77777777" w:rsidR="006121D1" w:rsidRPr="006121D1" w:rsidRDefault="006121D1">
            <w:pPr>
              <w:spacing w:after="0" w:line="240" w:lineRule="auto"/>
              <w:jc w:val="center"/>
              <w:rPr>
                <w:rFonts w:eastAsia="Times New Roman"/>
                <w:spacing w:val="0"/>
              </w:rPr>
            </w:pPr>
            <w:r w:rsidRPr="006121D1">
              <w:rPr>
                <w:rFonts w:eastAsia="Times New Roman"/>
                <w:spacing w:val="0"/>
                <w:lang w:eastAsia="es-DO"/>
              </w:rPr>
              <w:t>100%</w:t>
            </w:r>
          </w:p>
        </w:tc>
        <w:tc>
          <w:tcPr>
            <w:tcW w:w="1247" w:type="dxa"/>
            <w:shd w:val="clear" w:color="000000" w:fill="FFFFFF"/>
            <w:vAlign w:val="center"/>
          </w:tcPr>
          <w:p w14:paraId="7A0ECFEE" w14:textId="77777777" w:rsidR="006121D1" w:rsidRPr="006121D1" w:rsidRDefault="006121D1">
            <w:pPr>
              <w:spacing w:after="0" w:line="240" w:lineRule="auto"/>
              <w:jc w:val="center"/>
              <w:rPr>
                <w:rFonts w:eastAsia="Times New Roman"/>
                <w:spacing w:val="0"/>
                <w:lang w:eastAsia="es-DO"/>
              </w:rPr>
            </w:pPr>
            <w:r w:rsidRPr="006121D1">
              <w:rPr>
                <w:rFonts w:eastAsia="Times New Roman"/>
                <w:spacing w:val="0"/>
                <w:lang w:eastAsia="es-DO"/>
              </w:rPr>
              <w:t>100%</w:t>
            </w:r>
          </w:p>
        </w:tc>
        <w:tc>
          <w:tcPr>
            <w:tcW w:w="1283" w:type="dxa"/>
            <w:shd w:val="clear" w:color="000000" w:fill="FFFFFF"/>
            <w:vAlign w:val="center"/>
            <w:hideMark/>
          </w:tcPr>
          <w:p w14:paraId="254BDCB1" w14:textId="77777777" w:rsidR="006121D1" w:rsidRPr="006121D1" w:rsidRDefault="006121D1">
            <w:pPr>
              <w:spacing w:after="0" w:line="240" w:lineRule="auto"/>
              <w:jc w:val="center"/>
              <w:rPr>
                <w:rFonts w:eastAsia="Times New Roman"/>
                <w:spacing w:val="0"/>
              </w:rPr>
            </w:pPr>
            <w:r w:rsidRPr="006121D1">
              <w:rPr>
                <w:rFonts w:eastAsia="Times New Roman"/>
                <w:spacing w:val="0"/>
              </w:rPr>
              <w:t>100%</w:t>
            </w:r>
          </w:p>
        </w:tc>
      </w:tr>
      <w:tr w:rsidR="006121D1" w:rsidRPr="006121D1" w14:paraId="666691A6" w14:textId="77777777" w:rsidTr="009F54E3">
        <w:trPr>
          <w:trHeight w:val="1198"/>
          <w:jc w:val="center"/>
        </w:trPr>
        <w:tc>
          <w:tcPr>
            <w:tcW w:w="4145" w:type="dxa"/>
            <w:shd w:val="clear" w:color="000000" w:fill="FFFFFF"/>
            <w:vAlign w:val="center"/>
            <w:hideMark/>
          </w:tcPr>
          <w:p w14:paraId="3B547884" w14:textId="77777777" w:rsidR="006121D1" w:rsidRPr="006121D1" w:rsidRDefault="006121D1" w:rsidP="009F54E3">
            <w:pPr>
              <w:spacing w:line="360" w:lineRule="auto"/>
              <w:jc w:val="both"/>
              <w:rPr>
                <w:rFonts w:eastAsia="Times New Roman"/>
                <w:spacing w:val="0"/>
                <w:lang w:val="es-ES" w:eastAsia="es-DO"/>
              </w:rPr>
            </w:pPr>
            <w:r w:rsidRPr="006121D1">
              <w:rPr>
                <w:rFonts w:eastAsia="Times New Roman"/>
                <w:spacing w:val="0"/>
                <w:lang w:val="es-ES" w:eastAsia="es-DO"/>
              </w:rPr>
              <w:t>Obtener un nivel de eficiencia del 85% en la gestión de riesgos altos y muy altos a diciembre 2024 (cuando baje un punto en la probabilidad o en la severidad)</w:t>
            </w:r>
          </w:p>
        </w:tc>
        <w:tc>
          <w:tcPr>
            <w:tcW w:w="980" w:type="dxa"/>
            <w:shd w:val="clear" w:color="000000" w:fill="FFFFFF"/>
            <w:vAlign w:val="center"/>
            <w:hideMark/>
          </w:tcPr>
          <w:p w14:paraId="32A02111" w14:textId="77777777" w:rsidR="006121D1" w:rsidRPr="006121D1" w:rsidRDefault="006121D1">
            <w:pPr>
              <w:spacing w:after="0" w:line="240" w:lineRule="auto"/>
              <w:jc w:val="center"/>
              <w:rPr>
                <w:rFonts w:eastAsia="Times New Roman"/>
                <w:spacing w:val="0"/>
              </w:rPr>
            </w:pPr>
            <w:r w:rsidRPr="006121D1">
              <w:rPr>
                <w:rFonts w:eastAsia="Times New Roman"/>
                <w:spacing w:val="0"/>
                <w:lang w:eastAsia="es-DO"/>
              </w:rPr>
              <w:t>85%</w:t>
            </w:r>
          </w:p>
        </w:tc>
        <w:tc>
          <w:tcPr>
            <w:tcW w:w="1247" w:type="dxa"/>
            <w:shd w:val="clear" w:color="000000" w:fill="FFFFFF"/>
            <w:vAlign w:val="center"/>
          </w:tcPr>
          <w:p w14:paraId="44215D18" w14:textId="77777777" w:rsidR="006121D1" w:rsidRPr="006121D1" w:rsidRDefault="006121D1">
            <w:pPr>
              <w:spacing w:after="0" w:line="240" w:lineRule="auto"/>
              <w:jc w:val="center"/>
              <w:rPr>
                <w:rFonts w:eastAsia="Times New Roman"/>
                <w:spacing w:val="0"/>
                <w:lang w:eastAsia="es-DO"/>
              </w:rPr>
            </w:pPr>
            <w:r w:rsidRPr="006121D1">
              <w:rPr>
                <w:rFonts w:eastAsia="Times New Roman"/>
                <w:spacing w:val="0"/>
                <w:lang w:eastAsia="es-DO"/>
              </w:rPr>
              <w:t>100%</w:t>
            </w:r>
          </w:p>
        </w:tc>
        <w:tc>
          <w:tcPr>
            <w:tcW w:w="1283" w:type="dxa"/>
            <w:shd w:val="clear" w:color="000000" w:fill="FFFFFF"/>
            <w:vAlign w:val="center"/>
            <w:hideMark/>
          </w:tcPr>
          <w:p w14:paraId="4EFD4C57" w14:textId="77777777" w:rsidR="006121D1" w:rsidRPr="006121D1" w:rsidRDefault="006121D1">
            <w:pPr>
              <w:spacing w:after="0" w:line="240" w:lineRule="auto"/>
              <w:jc w:val="center"/>
              <w:rPr>
                <w:rFonts w:eastAsia="Times New Roman"/>
                <w:spacing w:val="0"/>
              </w:rPr>
            </w:pPr>
            <w:r w:rsidRPr="006121D1">
              <w:rPr>
                <w:rFonts w:eastAsia="Times New Roman"/>
                <w:spacing w:val="0"/>
              </w:rPr>
              <w:t>100%</w:t>
            </w:r>
          </w:p>
        </w:tc>
      </w:tr>
      <w:tr w:rsidR="006121D1" w:rsidRPr="006121D1" w14:paraId="3A652BF6" w14:textId="77777777" w:rsidTr="009F54E3">
        <w:trPr>
          <w:trHeight w:val="922"/>
          <w:jc w:val="center"/>
        </w:trPr>
        <w:tc>
          <w:tcPr>
            <w:tcW w:w="4145" w:type="dxa"/>
            <w:shd w:val="clear" w:color="000000" w:fill="FFFFFF"/>
            <w:vAlign w:val="center"/>
            <w:hideMark/>
          </w:tcPr>
          <w:p w14:paraId="07EE8AAA" w14:textId="64ACE6D9" w:rsidR="006121D1" w:rsidRPr="006121D1" w:rsidRDefault="006121D1" w:rsidP="009F54E3">
            <w:pPr>
              <w:spacing w:line="360" w:lineRule="auto"/>
              <w:jc w:val="both"/>
              <w:rPr>
                <w:rFonts w:eastAsia="Times New Roman"/>
                <w:spacing w:val="0"/>
                <w:lang w:val="es-ES" w:eastAsia="es-DO"/>
              </w:rPr>
            </w:pPr>
            <w:r w:rsidRPr="006121D1">
              <w:rPr>
                <w:rFonts w:eastAsia="Times New Roman"/>
                <w:spacing w:val="0"/>
                <w:lang w:val="es-ES" w:eastAsia="es-DO"/>
              </w:rPr>
              <w:t xml:space="preserve">Reducir al menos un 2% del RTO de los procesos </w:t>
            </w:r>
            <w:r w:rsidR="005C4045">
              <w:rPr>
                <w:rFonts w:eastAsia="Times New Roman"/>
                <w:spacing w:val="0"/>
                <w:lang w:val="es-ES" w:eastAsia="es-DO"/>
              </w:rPr>
              <w:t>C</w:t>
            </w:r>
            <w:r w:rsidRPr="006121D1">
              <w:rPr>
                <w:rFonts w:eastAsia="Times New Roman"/>
                <w:spacing w:val="0"/>
                <w:lang w:val="es-ES" w:eastAsia="es-DO"/>
              </w:rPr>
              <w:t>ore de negocio a diciembre 2024.</w:t>
            </w:r>
          </w:p>
        </w:tc>
        <w:tc>
          <w:tcPr>
            <w:tcW w:w="980" w:type="dxa"/>
            <w:shd w:val="clear" w:color="000000" w:fill="FFFFFF"/>
            <w:vAlign w:val="center"/>
            <w:hideMark/>
          </w:tcPr>
          <w:p w14:paraId="654A4AD0" w14:textId="77777777" w:rsidR="006121D1" w:rsidRPr="006121D1" w:rsidRDefault="006121D1">
            <w:pPr>
              <w:spacing w:after="0" w:line="240" w:lineRule="auto"/>
              <w:jc w:val="center"/>
              <w:rPr>
                <w:rFonts w:eastAsia="Times New Roman"/>
                <w:spacing w:val="0"/>
              </w:rPr>
            </w:pPr>
            <w:r w:rsidRPr="006121D1">
              <w:rPr>
                <w:rFonts w:eastAsia="Times New Roman"/>
                <w:spacing w:val="0"/>
                <w:lang w:eastAsia="es-DO"/>
              </w:rPr>
              <w:t>2%</w:t>
            </w:r>
          </w:p>
        </w:tc>
        <w:tc>
          <w:tcPr>
            <w:tcW w:w="1247" w:type="dxa"/>
            <w:shd w:val="clear" w:color="000000" w:fill="FFFFFF"/>
            <w:vAlign w:val="center"/>
          </w:tcPr>
          <w:p w14:paraId="6E24EA19" w14:textId="77777777" w:rsidR="006121D1" w:rsidRPr="006121D1" w:rsidRDefault="006121D1">
            <w:pPr>
              <w:spacing w:after="0" w:line="240" w:lineRule="auto"/>
              <w:jc w:val="center"/>
              <w:rPr>
                <w:rFonts w:eastAsia="Times New Roman"/>
                <w:spacing w:val="0"/>
                <w:lang w:val="es-ES" w:eastAsia="es-DO"/>
              </w:rPr>
            </w:pPr>
            <w:r w:rsidRPr="006121D1">
              <w:rPr>
                <w:rFonts w:eastAsia="Times New Roman"/>
                <w:spacing w:val="0"/>
                <w:lang w:val="es-ES" w:eastAsia="es-DO"/>
              </w:rPr>
              <w:t>-</w:t>
            </w:r>
          </w:p>
        </w:tc>
        <w:tc>
          <w:tcPr>
            <w:tcW w:w="1283" w:type="dxa"/>
            <w:shd w:val="clear" w:color="000000" w:fill="FFFFFF"/>
            <w:vAlign w:val="center"/>
            <w:hideMark/>
          </w:tcPr>
          <w:p w14:paraId="1935A770" w14:textId="77777777" w:rsidR="006121D1" w:rsidRPr="006121D1" w:rsidRDefault="006121D1">
            <w:pPr>
              <w:spacing w:after="0" w:line="240" w:lineRule="auto"/>
              <w:jc w:val="both"/>
              <w:rPr>
                <w:rFonts w:eastAsia="Times New Roman"/>
                <w:spacing w:val="0"/>
                <w:lang w:val="es-ES"/>
              </w:rPr>
            </w:pPr>
            <w:r w:rsidRPr="006121D1">
              <w:rPr>
                <w:rFonts w:eastAsia="Times New Roman"/>
                <w:spacing w:val="0"/>
                <w:lang w:val="es-ES"/>
              </w:rPr>
              <w:t>Se completará en diciembre 2024</w:t>
            </w:r>
          </w:p>
        </w:tc>
      </w:tr>
    </w:tbl>
    <w:p w14:paraId="791AC7DA" w14:textId="634B1EED" w:rsidR="006121D1" w:rsidRPr="009F54E3" w:rsidRDefault="006121D1" w:rsidP="009F54E3">
      <w:pPr>
        <w:spacing w:after="0" w:line="360" w:lineRule="auto"/>
        <w:rPr>
          <w:b/>
          <w:bCs/>
          <w:noProof/>
          <w:sz w:val="18"/>
          <w:szCs w:val="18"/>
          <w:lang w:val="es-ES"/>
        </w:rPr>
      </w:pPr>
      <w:r w:rsidRPr="009F54E3">
        <w:rPr>
          <w:b/>
          <w:bCs/>
          <w:noProof/>
          <w:sz w:val="18"/>
          <w:szCs w:val="18"/>
          <w:lang w:val="es-ES"/>
        </w:rPr>
        <w:t>Tabla 2</w:t>
      </w:r>
      <w:r w:rsidR="00C50277">
        <w:rPr>
          <w:b/>
          <w:bCs/>
          <w:noProof/>
          <w:sz w:val="18"/>
          <w:szCs w:val="18"/>
          <w:lang w:val="es-ES"/>
        </w:rPr>
        <w:t>7</w:t>
      </w:r>
      <w:r w:rsidRPr="009F54E3">
        <w:rPr>
          <w:b/>
          <w:bCs/>
          <w:noProof/>
          <w:sz w:val="18"/>
          <w:szCs w:val="18"/>
          <w:lang w:val="es-ES"/>
        </w:rPr>
        <w:t xml:space="preserve">: </w:t>
      </w:r>
      <w:r w:rsidRPr="009F54E3">
        <w:rPr>
          <w:noProof/>
          <w:sz w:val="18"/>
          <w:szCs w:val="18"/>
          <w:lang w:val="es-ES"/>
        </w:rPr>
        <w:t>Indicadores de la gestión de riesgos 2024.</w:t>
      </w:r>
    </w:p>
    <w:p w14:paraId="1371DC67" w14:textId="77777777" w:rsidR="006121D1" w:rsidRPr="009F54E3" w:rsidRDefault="006121D1" w:rsidP="009F54E3">
      <w:pPr>
        <w:spacing w:line="360" w:lineRule="auto"/>
        <w:jc w:val="both"/>
        <w:rPr>
          <w:rFonts w:eastAsia="Calibri"/>
          <w:noProof/>
          <w:lang w:val="es-DO"/>
        </w:rPr>
      </w:pPr>
      <w:r w:rsidRPr="009F54E3">
        <w:rPr>
          <w:rFonts w:eastAsia="Calibri"/>
          <w:noProof/>
          <w:lang w:val="es-DO"/>
        </w:rPr>
        <w:t xml:space="preserve">Tal como se puede observar en la tabla anterior los resultados obtenidos en el periodo enero – noviembre, la institución ha mantenido y fortalecido la gestión de riesgos y la Alta Gerencia ha asumido el compromiso y la gestión eficiente de los mismos. </w:t>
      </w:r>
    </w:p>
    <w:p w14:paraId="6158116D" w14:textId="77777777" w:rsidR="00053E08" w:rsidRPr="00CF4D46" w:rsidRDefault="00053E08" w:rsidP="00053E08">
      <w:pPr>
        <w:spacing w:before="240" w:line="360" w:lineRule="auto"/>
        <w:jc w:val="both"/>
        <w:rPr>
          <w:rFonts w:eastAsia="Calibri"/>
          <w:b/>
          <w:bCs/>
          <w:noProof/>
          <w:lang w:val="es-ES"/>
        </w:rPr>
      </w:pPr>
      <w:r w:rsidRPr="00CF4D46">
        <w:rPr>
          <w:rFonts w:eastAsia="Calibri"/>
          <w:b/>
          <w:bCs/>
          <w:noProof/>
          <w:lang w:val="es-ES"/>
        </w:rPr>
        <w:t xml:space="preserve">Departamento de Cumplimiento Normativo </w:t>
      </w:r>
    </w:p>
    <w:p w14:paraId="0AA16BF3" w14:textId="77777777" w:rsidR="00053E08" w:rsidRPr="00A07932" w:rsidRDefault="00053E08" w:rsidP="00053E08">
      <w:pPr>
        <w:keepNext/>
        <w:keepLines/>
        <w:spacing w:before="240" w:line="360" w:lineRule="auto"/>
        <w:jc w:val="both"/>
        <w:outlineLvl w:val="0"/>
        <w:rPr>
          <w:rFonts w:eastAsiaTheme="majorEastAsia" w:cstheme="majorBidi"/>
          <w:b/>
          <w:color w:val="767171" w:themeColor="background2" w:themeShade="80"/>
          <w:spacing w:val="0"/>
          <w:lang w:val="es-DO"/>
        </w:rPr>
      </w:pPr>
      <w:bookmarkStart w:id="226" w:name="_Toc184981206"/>
      <w:bookmarkStart w:id="227" w:name="_Toc185245111"/>
      <w:r w:rsidRPr="00A07932">
        <w:rPr>
          <w:rFonts w:eastAsiaTheme="majorEastAsia" w:cstheme="majorBidi"/>
          <w:b/>
          <w:color w:val="767171" w:themeColor="background2" w:themeShade="80"/>
          <w:spacing w:val="0"/>
          <w:lang w:val="es-DO"/>
        </w:rPr>
        <w:lastRenderedPageBreak/>
        <w:t>Resultados de las Normas Básicas de Control Interno (NOBACI)</w:t>
      </w:r>
      <w:r>
        <w:rPr>
          <w:rFonts w:eastAsiaTheme="majorEastAsia" w:cstheme="majorBidi"/>
          <w:b/>
          <w:color w:val="767171" w:themeColor="background2" w:themeShade="80"/>
          <w:spacing w:val="0"/>
          <w:lang w:val="es-DO"/>
        </w:rPr>
        <w:t xml:space="preserve"> T3.</w:t>
      </w:r>
      <w:bookmarkEnd w:id="226"/>
      <w:bookmarkEnd w:id="227"/>
    </w:p>
    <w:tbl>
      <w:tblPr>
        <w:tblW w:w="7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1956"/>
        <w:gridCol w:w="1764"/>
      </w:tblGrid>
      <w:tr w:rsidR="003B5614" w:rsidRPr="004B1D7E" w14:paraId="034F325A" w14:textId="77777777" w:rsidTr="009F54E3">
        <w:trPr>
          <w:trHeight w:val="486"/>
          <w:tblHeader/>
        </w:trPr>
        <w:tc>
          <w:tcPr>
            <w:tcW w:w="7555" w:type="dxa"/>
            <w:gridSpan w:val="3"/>
            <w:shd w:val="clear" w:color="auto" w:fill="002060"/>
            <w:vAlign w:val="center"/>
            <w:hideMark/>
          </w:tcPr>
          <w:p w14:paraId="12F2AFCE" w14:textId="46FAEAF6" w:rsidR="003B5614" w:rsidRPr="009F54E3" w:rsidRDefault="00457D41" w:rsidP="009F54E3">
            <w:pPr>
              <w:spacing w:line="360" w:lineRule="auto"/>
              <w:jc w:val="center"/>
              <w:rPr>
                <w:rFonts w:eastAsia="Calibri"/>
                <w:b/>
                <w:bCs/>
                <w:noProof/>
                <w:color w:val="FFFFFF" w:themeColor="background1"/>
                <w:sz w:val="22"/>
                <w:szCs w:val="22"/>
                <w:lang w:val="es-DO"/>
              </w:rPr>
            </w:pPr>
            <w:r w:rsidRPr="009F54E3">
              <w:rPr>
                <w:rFonts w:eastAsia="Calibri"/>
                <w:b/>
                <w:bCs/>
                <w:noProof/>
                <w:color w:val="FFFFFF" w:themeColor="background1"/>
                <w:sz w:val="22"/>
                <w:szCs w:val="22"/>
                <w:lang w:val="es-DO"/>
              </w:rPr>
              <w:t>Contraloría</w:t>
            </w:r>
            <w:r w:rsidR="003B5614" w:rsidRPr="009F54E3">
              <w:rPr>
                <w:rFonts w:eastAsia="Calibri"/>
                <w:b/>
                <w:bCs/>
                <w:noProof/>
                <w:color w:val="FFFFFF" w:themeColor="background1"/>
                <w:sz w:val="22"/>
                <w:szCs w:val="22"/>
                <w:lang w:val="es-DO"/>
              </w:rPr>
              <w:t xml:space="preserve"> General de la República</w:t>
            </w:r>
          </w:p>
        </w:tc>
      </w:tr>
      <w:tr w:rsidR="003B5614" w:rsidRPr="009F54E3" w14:paraId="02B9CF84" w14:textId="77777777" w:rsidTr="009F54E3">
        <w:trPr>
          <w:trHeight w:val="1024"/>
          <w:tblHeader/>
        </w:trPr>
        <w:tc>
          <w:tcPr>
            <w:tcW w:w="4045" w:type="dxa"/>
            <w:shd w:val="clear" w:color="auto" w:fill="002060"/>
            <w:vAlign w:val="center"/>
            <w:hideMark/>
          </w:tcPr>
          <w:p w14:paraId="104B693C" w14:textId="77777777" w:rsidR="003B5614" w:rsidRPr="009F54E3" w:rsidRDefault="003B5614" w:rsidP="009F54E3">
            <w:pPr>
              <w:spacing w:line="360" w:lineRule="auto"/>
              <w:jc w:val="center"/>
              <w:rPr>
                <w:rFonts w:eastAsia="Calibri"/>
                <w:b/>
                <w:bCs/>
                <w:noProof/>
                <w:color w:val="FFFFFF" w:themeColor="background1"/>
                <w:sz w:val="22"/>
                <w:szCs w:val="22"/>
                <w:lang w:val="es-DO"/>
              </w:rPr>
            </w:pPr>
            <w:r w:rsidRPr="009F54E3">
              <w:rPr>
                <w:rFonts w:eastAsia="Calibri"/>
                <w:b/>
                <w:bCs/>
                <w:noProof/>
                <w:color w:val="FFFFFF" w:themeColor="background1"/>
                <w:sz w:val="22"/>
                <w:szCs w:val="22"/>
                <w:lang w:val="es-DO"/>
              </w:rPr>
              <w:t>Componentes del Control Interno</w:t>
            </w:r>
          </w:p>
        </w:tc>
        <w:tc>
          <w:tcPr>
            <w:tcW w:w="2047" w:type="dxa"/>
            <w:shd w:val="clear" w:color="auto" w:fill="002060"/>
            <w:vAlign w:val="center"/>
            <w:hideMark/>
          </w:tcPr>
          <w:p w14:paraId="3810E1AA" w14:textId="77777777" w:rsidR="003B5614" w:rsidRPr="009F54E3" w:rsidRDefault="003B5614" w:rsidP="009F54E3">
            <w:pPr>
              <w:spacing w:line="360" w:lineRule="auto"/>
              <w:jc w:val="center"/>
              <w:rPr>
                <w:rFonts w:eastAsia="Calibri"/>
                <w:b/>
                <w:bCs/>
                <w:noProof/>
                <w:color w:val="FFFFFF" w:themeColor="background1"/>
                <w:sz w:val="22"/>
                <w:szCs w:val="22"/>
                <w:lang w:val="es-DO"/>
              </w:rPr>
            </w:pPr>
            <w:r w:rsidRPr="009F54E3">
              <w:rPr>
                <w:rFonts w:eastAsia="Calibri"/>
                <w:b/>
                <w:bCs/>
                <w:noProof/>
                <w:color w:val="FFFFFF" w:themeColor="background1"/>
                <w:sz w:val="22"/>
                <w:szCs w:val="22"/>
                <w:lang w:val="es-DO"/>
              </w:rPr>
              <w:t>Evaluación del diagnóstico CGR</w:t>
            </w:r>
          </w:p>
        </w:tc>
        <w:tc>
          <w:tcPr>
            <w:tcW w:w="1463" w:type="dxa"/>
            <w:shd w:val="clear" w:color="auto" w:fill="002060"/>
            <w:vAlign w:val="center"/>
            <w:hideMark/>
          </w:tcPr>
          <w:p w14:paraId="7AAE1072" w14:textId="77777777" w:rsidR="003B5614" w:rsidRPr="009F54E3" w:rsidRDefault="003B5614" w:rsidP="009F54E3">
            <w:pPr>
              <w:spacing w:line="360" w:lineRule="auto"/>
              <w:jc w:val="center"/>
              <w:rPr>
                <w:rFonts w:eastAsia="Calibri"/>
                <w:b/>
                <w:bCs/>
                <w:noProof/>
                <w:color w:val="FFFFFF" w:themeColor="background1"/>
                <w:sz w:val="22"/>
                <w:szCs w:val="22"/>
                <w:lang w:val="es-DO"/>
              </w:rPr>
            </w:pPr>
            <w:r w:rsidRPr="009F54E3">
              <w:rPr>
                <w:rFonts w:eastAsia="Calibri"/>
                <w:b/>
                <w:bCs/>
                <w:noProof/>
                <w:color w:val="FFFFFF" w:themeColor="background1"/>
                <w:sz w:val="22"/>
                <w:szCs w:val="22"/>
                <w:lang w:val="es-DO"/>
              </w:rPr>
              <w:t>Observaciones CGR</w:t>
            </w:r>
          </w:p>
        </w:tc>
      </w:tr>
      <w:tr w:rsidR="003B5614" w:rsidRPr="009F54E3" w14:paraId="5855A122" w14:textId="77777777" w:rsidTr="009F54E3">
        <w:trPr>
          <w:trHeight w:val="88"/>
        </w:trPr>
        <w:tc>
          <w:tcPr>
            <w:tcW w:w="4045" w:type="dxa"/>
            <w:shd w:val="clear" w:color="auto" w:fill="auto"/>
            <w:noWrap/>
            <w:vAlign w:val="center"/>
            <w:hideMark/>
          </w:tcPr>
          <w:p w14:paraId="2D5AB639" w14:textId="77777777" w:rsidR="003B5614" w:rsidRPr="009F54E3" w:rsidRDefault="003B5614" w:rsidP="009F54E3">
            <w:pPr>
              <w:spacing w:line="360" w:lineRule="auto"/>
              <w:rPr>
                <w:rFonts w:eastAsia="Calibri"/>
                <w:noProof/>
                <w:sz w:val="22"/>
                <w:szCs w:val="22"/>
                <w:lang w:val="es-DO"/>
              </w:rPr>
            </w:pPr>
            <w:r w:rsidRPr="009F54E3">
              <w:rPr>
                <w:rFonts w:eastAsia="Calibri"/>
                <w:noProof/>
                <w:sz w:val="22"/>
                <w:szCs w:val="22"/>
                <w:lang w:val="es-DO"/>
              </w:rPr>
              <w:t>Ambiente de Control</w:t>
            </w:r>
          </w:p>
        </w:tc>
        <w:tc>
          <w:tcPr>
            <w:tcW w:w="2047" w:type="dxa"/>
            <w:shd w:val="clear" w:color="auto" w:fill="auto"/>
            <w:noWrap/>
            <w:vAlign w:val="bottom"/>
            <w:hideMark/>
          </w:tcPr>
          <w:p w14:paraId="0C0D7630" w14:textId="77777777" w:rsidR="003B5614" w:rsidRPr="009F54E3" w:rsidRDefault="003B5614" w:rsidP="009F54E3">
            <w:pPr>
              <w:spacing w:line="360" w:lineRule="auto"/>
              <w:rPr>
                <w:rFonts w:eastAsia="Calibri"/>
                <w:noProof/>
                <w:sz w:val="22"/>
                <w:szCs w:val="22"/>
                <w:lang w:val="es-DO"/>
              </w:rPr>
            </w:pPr>
            <w:r w:rsidRPr="009F54E3">
              <w:rPr>
                <w:rFonts w:eastAsia="Calibri"/>
                <w:noProof/>
                <w:sz w:val="22"/>
                <w:szCs w:val="22"/>
                <w:lang w:val="es-DO"/>
              </w:rPr>
              <w:t>100%</w:t>
            </w:r>
          </w:p>
        </w:tc>
        <w:tc>
          <w:tcPr>
            <w:tcW w:w="1463" w:type="dxa"/>
            <w:shd w:val="clear" w:color="auto" w:fill="auto"/>
            <w:noWrap/>
            <w:vAlign w:val="center"/>
            <w:hideMark/>
          </w:tcPr>
          <w:p w14:paraId="7B7BD2DF" w14:textId="77777777" w:rsidR="003B5614" w:rsidRPr="009F54E3" w:rsidRDefault="003B5614" w:rsidP="009F54E3">
            <w:pPr>
              <w:spacing w:line="360" w:lineRule="auto"/>
              <w:rPr>
                <w:rFonts w:eastAsia="Calibri"/>
                <w:noProof/>
                <w:sz w:val="22"/>
                <w:szCs w:val="22"/>
                <w:lang w:val="es-DO"/>
              </w:rPr>
            </w:pPr>
            <w:r w:rsidRPr="009F54E3">
              <w:rPr>
                <w:rFonts w:eastAsia="Calibri"/>
                <w:noProof/>
                <w:sz w:val="22"/>
                <w:szCs w:val="22"/>
                <w:lang w:val="es-DO"/>
              </w:rPr>
              <w:t>0</w:t>
            </w:r>
          </w:p>
        </w:tc>
      </w:tr>
      <w:tr w:rsidR="003B5614" w:rsidRPr="009F54E3" w14:paraId="37813AEA" w14:textId="77777777" w:rsidTr="009F54E3">
        <w:trPr>
          <w:trHeight w:val="476"/>
        </w:trPr>
        <w:tc>
          <w:tcPr>
            <w:tcW w:w="4045" w:type="dxa"/>
            <w:shd w:val="clear" w:color="auto" w:fill="auto"/>
            <w:noWrap/>
            <w:vAlign w:val="center"/>
            <w:hideMark/>
          </w:tcPr>
          <w:p w14:paraId="68137362" w14:textId="77777777" w:rsidR="003B5614" w:rsidRPr="009F54E3" w:rsidRDefault="003B5614" w:rsidP="009F54E3">
            <w:pPr>
              <w:spacing w:line="360" w:lineRule="auto"/>
              <w:rPr>
                <w:rFonts w:eastAsia="Calibri"/>
                <w:noProof/>
                <w:sz w:val="22"/>
                <w:szCs w:val="22"/>
                <w:lang w:val="es-DO"/>
              </w:rPr>
            </w:pPr>
            <w:r w:rsidRPr="009F54E3">
              <w:rPr>
                <w:rFonts w:eastAsia="Calibri"/>
                <w:noProof/>
                <w:sz w:val="22"/>
                <w:szCs w:val="22"/>
                <w:lang w:val="es-DO"/>
              </w:rPr>
              <w:t>Valoración y Administración de Riesgos</w:t>
            </w:r>
          </w:p>
        </w:tc>
        <w:tc>
          <w:tcPr>
            <w:tcW w:w="2047" w:type="dxa"/>
            <w:shd w:val="clear" w:color="auto" w:fill="auto"/>
            <w:noWrap/>
            <w:vAlign w:val="bottom"/>
            <w:hideMark/>
          </w:tcPr>
          <w:p w14:paraId="4D3E753B" w14:textId="77777777" w:rsidR="003B5614" w:rsidRPr="009F54E3" w:rsidRDefault="003B5614" w:rsidP="009F54E3">
            <w:pPr>
              <w:spacing w:line="360" w:lineRule="auto"/>
              <w:rPr>
                <w:rFonts w:eastAsia="Calibri"/>
                <w:noProof/>
                <w:sz w:val="22"/>
                <w:szCs w:val="22"/>
                <w:lang w:val="es-DO"/>
              </w:rPr>
            </w:pPr>
            <w:r w:rsidRPr="009F54E3">
              <w:rPr>
                <w:rFonts w:eastAsia="Calibri"/>
                <w:noProof/>
                <w:sz w:val="22"/>
                <w:szCs w:val="22"/>
                <w:lang w:val="es-DO"/>
              </w:rPr>
              <w:t>100%</w:t>
            </w:r>
          </w:p>
        </w:tc>
        <w:tc>
          <w:tcPr>
            <w:tcW w:w="1463" w:type="dxa"/>
            <w:shd w:val="clear" w:color="auto" w:fill="auto"/>
            <w:noWrap/>
            <w:vAlign w:val="center"/>
            <w:hideMark/>
          </w:tcPr>
          <w:p w14:paraId="70243139" w14:textId="77777777" w:rsidR="003B5614" w:rsidRPr="009F54E3" w:rsidRDefault="003B5614" w:rsidP="009F54E3">
            <w:pPr>
              <w:spacing w:line="360" w:lineRule="auto"/>
              <w:rPr>
                <w:rFonts w:eastAsia="Calibri"/>
                <w:noProof/>
                <w:sz w:val="22"/>
                <w:szCs w:val="22"/>
                <w:lang w:val="es-DO"/>
              </w:rPr>
            </w:pPr>
            <w:r w:rsidRPr="009F54E3">
              <w:rPr>
                <w:rFonts w:eastAsia="Calibri"/>
                <w:noProof/>
                <w:sz w:val="22"/>
                <w:szCs w:val="22"/>
                <w:lang w:val="es-DO"/>
              </w:rPr>
              <w:t>0</w:t>
            </w:r>
          </w:p>
        </w:tc>
      </w:tr>
      <w:tr w:rsidR="003B5614" w:rsidRPr="009F54E3" w14:paraId="3FCBFEDC" w14:textId="77777777" w:rsidTr="009F54E3">
        <w:trPr>
          <w:trHeight w:val="449"/>
        </w:trPr>
        <w:tc>
          <w:tcPr>
            <w:tcW w:w="4045" w:type="dxa"/>
            <w:shd w:val="clear" w:color="auto" w:fill="auto"/>
            <w:noWrap/>
            <w:vAlign w:val="center"/>
            <w:hideMark/>
          </w:tcPr>
          <w:p w14:paraId="73BDE95D" w14:textId="77777777" w:rsidR="003B5614" w:rsidRPr="009F54E3" w:rsidRDefault="003B5614" w:rsidP="009F54E3">
            <w:pPr>
              <w:spacing w:line="360" w:lineRule="auto"/>
              <w:rPr>
                <w:rFonts w:eastAsia="Calibri"/>
                <w:noProof/>
                <w:sz w:val="22"/>
                <w:szCs w:val="22"/>
                <w:lang w:val="es-DO"/>
              </w:rPr>
            </w:pPr>
            <w:r w:rsidRPr="009F54E3">
              <w:rPr>
                <w:rFonts w:eastAsia="Calibri"/>
                <w:noProof/>
                <w:sz w:val="22"/>
                <w:szCs w:val="22"/>
                <w:lang w:val="es-DO"/>
              </w:rPr>
              <w:t>Actividades de Control</w:t>
            </w:r>
          </w:p>
        </w:tc>
        <w:tc>
          <w:tcPr>
            <w:tcW w:w="2047" w:type="dxa"/>
            <w:shd w:val="clear" w:color="auto" w:fill="auto"/>
            <w:noWrap/>
            <w:vAlign w:val="bottom"/>
            <w:hideMark/>
          </w:tcPr>
          <w:p w14:paraId="57AE8421" w14:textId="77777777" w:rsidR="003B5614" w:rsidRPr="009F54E3" w:rsidRDefault="003B5614" w:rsidP="009F54E3">
            <w:pPr>
              <w:spacing w:line="360" w:lineRule="auto"/>
              <w:rPr>
                <w:rFonts w:eastAsia="Calibri"/>
                <w:noProof/>
                <w:sz w:val="22"/>
                <w:szCs w:val="22"/>
                <w:lang w:val="es-DO"/>
              </w:rPr>
            </w:pPr>
            <w:r w:rsidRPr="009F54E3">
              <w:rPr>
                <w:rFonts w:eastAsia="Calibri"/>
                <w:noProof/>
                <w:sz w:val="22"/>
                <w:szCs w:val="22"/>
                <w:lang w:val="es-DO"/>
              </w:rPr>
              <w:t>100%</w:t>
            </w:r>
          </w:p>
        </w:tc>
        <w:tc>
          <w:tcPr>
            <w:tcW w:w="1463" w:type="dxa"/>
            <w:shd w:val="clear" w:color="auto" w:fill="auto"/>
            <w:noWrap/>
            <w:vAlign w:val="center"/>
            <w:hideMark/>
          </w:tcPr>
          <w:p w14:paraId="5D0FBCD4" w14:textId="77777777" w:rsidR="003B5614" w:rsidRPr="009F54E3" w:rsidRDefault="003B5614" w:rsidP="009F54E3">
            <w:pPr>
              <w:spacing w:line="360" w:lineRule="auto"/>
              <w:rPr>
                <w:rFonts w:eastAsia="Calibri"/>
                <w:noProof/>
                <w:sz w:val="22"/>
                <w:szCs w:val="22"/>
                <w:lang w:val="es-DO"/>
              </w:rPr>
            </w:pPr>
            <w:r w:rsidRPr="009F54E3">
              <w:rPr>
                <w:rFonts w:eastAsia="Calibri"/>
                <w:noProof/>
                <w:sz w:val="22"/>
                <w:szCs w:val="22"/>
                <w:lang w:val="es-DO"/>
              </w:rPr>
              <w:t>0</w:t>
            </w:r>
          </w:p>
        </w:tc>
      </w:tr>
      <w:tr w:rsidR="003B5614" w:rsidRPr="009F54E3" w14:paraId="7BEDC816" w14:textId="77777777" w:rsidTr="009F54E3">
        <w:trPr>
          <w:trHeight w:val="431"/>
        </w:trPr>
        <w:tc>
          <w:tcPr>
            <w:tcW w:w="4045" w:type="dxa"/>
            <w:shd w:val="clear" w:color="auto" w:fill="auto"/>
            <w:noWrap/>
            <w:vAlign w:val="center"/>
            <w:hideMark/>
          </w:tcPr>
          <w:p w14:paraId="0FFD22B4" w14:textId="77777777" w:rsidR="003B5614" w:rsidRPr="009F54E3" w:rsidRDefault="003B5614" w:rsidP="009F54E3">
            <w:pPr>
              <w:spacing w:line="360" w:lineRule="auto"/>
              <w:rPr>
                <w:rFonts w:eastAsia="Calibri"/>
                <w:noProof/>
                <w:sz w:val="22"/>
                <w:szCs w:val="22"/>
                <w:lang w:val="es-DO"/>
              </w:rPr>
            </w:pPr>
            <w:r w:rsidRPr="009F54E3">
              <w:rPr>
                <w:rFonts w:eastAsia="Calibri"/>
                <w:noProof/>
                <w:sz w:val="22"/>
                <w:szCs w:val="22"/>
                <w:lang w:val="es-DO"/>
              </w:rPr>
              <w:t>Información y Comunicación</w:t>
            </w:r>
          </w:p>
        </w:tc>
        <w:tc>
          <w:tcPr>
            <w:tcW w:w="2047" w:type="dxa"/>
            <w:shd w:val="clear" w:color="auto" w:fill="auto"/>
            <w:noWrap/>
            <w:vAlign w:val="bottom"/>
            <w:hideMark/>
          </w:tcPr>
          <w:p w14:paraId="7D2912A0" w14:textId="77777777" w:rsidR="003B5614" w:rsidRPr="009F54E3" w:rsidRDefault="003B5614" w:rsidP="009F54E3">
            <w:pPr>
              <w:spacing w:line="360" w:lineRule="auto"/>
              <w:rPr>
                <w:rFonts w:eastAsia="Calibri"/>
                <w:noProof/>
                <w:sz w:val="22"/>
                <w:szCs w:val="22"/>
                <w:lang w:val="es-DO"/>
              </w:rPr>
            </w:pPr>
            <w:r w:rsidRPr="009F54E3">
              <w:rPr>
                <w:rFonts w:eastAsia="Calibri"/>
                <w:noProof/>
                <w:sz w:val="22"/>
                <w:szCs w:val="22"/>
                <w:lang w:val="es-DO"/>
              </w:rPr>
              <w:t>100%</w:t>
            </w:r>
          </w:p>
        </w:tc>
        <w:tc>
          <w:tcPr>
            <w:tcW w:w="1463" w:type="dxa"/>
            <w:shd w:val="clear" w:color="auto" w:fill="auto"/>
            <w:noWrap/>
            <w:vAlign w:val="center"/>
            <w:hideMark/>
          </w:tcPr>
          <w:p w14:paraId="2BBC9005" w14:textId="77777777" w:rsidR="003B5614" w:rsidRPr="009F54E3" w:rsidRDefault="003B5614" w:rsidP="009F54E3">
            <w:pPr>
              <w:spacing w:line="360" w:lineRule="auto"/>
              <w:rPr>
                <w:rFonts w:eastAsia="Calibri"/>
                <w:noProof/>
                <w:sz w:val="22"/>
                <w:szCs w:val="22"/>
                <w:lang w:val="es-DO"/>
              </w:rPr>
            </w:pPr>
            <w:r w:rsidRPr="009F54E3">
              <w:rPr>
                <w:rFonts w:eastAsia="Calibri"/>
                <w:noProof/>
                <w:sz w:val="22"/>
                <w:szCs w:val="22"/>
                <w:lang w:val="es-DO"/>
              </w:rPr>
              <w:t>0</w:t>
            </w:r>
          </w:p>
        </w:tc>
      </w:tr>
      <w:tr w:rsidR="003B5614" w:rsidRPr="009F54E3" w14:paraId="12A97733" w14:textId="77777777" w:rsidTr="009F54E3">
        <w:trPr>
          <w:trHeight w:val="88"/>
        </w:trPr>
        <w:tc>
          <w:tcPr>
            <w:tcW w:w="4045" w:type="dxa"/>
            <w:shd w:val="clear" w:color="auto" w:fill="auto"/>
            <w:noWrap/>
            <w:vAlign w:val="center"/>
            <w:hideMark/>
          </w:tcPr>
          <w:p w14:paraId="6C21DDA4" w14:textId="77777777" w:rsidR="003B5614" w:rsidRPr="009F54E3" w:rsidRDefault="003B5614" w:rsidP="009F54E3">
            <w:pPr>
              <w:spacing w:line="360" w:lineRule="auto"/>
              <w:rPr>
                <w:rFonts w:eastAsia="Calibri"/>
                <w:noProof/>
                <w:sz w:val="22"/>
                <w:szCs w:val="22"/>
                <w:lang w:val="es-DO"/>
              </w:rPr>
            </w:pPr>
            <w:r w:rsidRPr="009F54E3">
              <w:rPr>
                <w:rFonts w:eastAsia="Calibri"/>
                <w:noProof/>
                <w:sz w:val="22"/>
                <w:szCs w:val="22"/>
                <w:lang w:val="es-DO"/>
              </w:rPr>
              <w:t>Monitoreo y Evaluación</w:t>
            </w:r>
          </w:p>
        </w:tc>
        <w:tc>
          <w:tcPr>
            <w:tcW w:w="2047" w:type="dxa"/>
            <w:shd w:val="clear" w:color="auto" w:fill="auto"/>
            <w:noWrap/>
            <w:vAlign w:val="bottom"/>
            <w:hideMark/>
          </w:tcPr>
          <w:p w14:paraId="6A40BAE9" w14:textId="77777777" w:rsidR="003B5614" w:rsidRPr="009F54E3" w:rsidRDefault="003B5614" w:rsidP="009F54E3">
            <w:pPr>
              <w:spacing w:line="360" w:lineRule="auto"/>
              <w:rPr>
                <w:rFonts w:eastAsia="Calibri"/>
                <w:noProof/>
                <w:sz w:val="22"/>
                <w:szCs w:val="22"/>
                <w:lang w:val="es-DO"/>
              </w:rPr>
            </w:pPr>
            <w:r w:rsidRPr="009F54E3">
              <w:rPr>
                <w:rFonts w:eastAsia="Calibri"/>
                <w:noProof/>
                <w:sz w:val="22"/>
                <w:szCs w:val="22"/>
                <w:lang w:val="es-DO"/>
              </w:rPr>
              <w:t>100%</w:t>
            </w:r>
          </w:p>
        </w:tc>
        <w:tc>
          <w:tcPr>
            <w:tcW w:w="1463" w:type="dxa"/>
            <w:shd w:val="clear" w:color="auto" w:fill="auto"/>
            <w:noWrap/>
            <w:vAlign w:val="center"/>
            <w:hideMark/>
          </w:tcPr>
          <w:p w14:paraId="504F70DC" w14:textId="77777777" w:rsidR="003B5614" w:rsidRPr="009F54E3" w:rsidRDefault="003B5614" w:rsidP="009F54E3">
            <w:pPr>
              <w:spacing w:line="360" w:lineRule="auto"/>
              <w:rPr>
                <w:rFonts w:eastAsia="Calibri"/>
                <w:noProof/>
                <w:sz w:val="22"/>
                <w:szCs w:val="22"/>
                <w:lang w:val="es-DO"/>
              </w:rPr>
            </w:pPr>
            <w:r w:rsidRPr="009F54E3">
              <w:rPr>
                <w:rFonts w:eastAsia="Calibri"/>
                <w:noProof/>
                <w:sz w:val="22"/>
                <w:szCs w:val="22"/>
                <w:lang w:val="es-DO"/>
              </w:rPr>
              <w:t>0</w:t>
            </w:r>
          </w:p>
        </w:tc>
      </w:tr>
      <w:tr w:rsidR="003B5614" w:rsidRPr="009F54E3" w14:paraId="4B3614DE" w14:textId="77777777" w:rsidTr="009F54E3">
        <w:trPr>
          <w:trHeight w:val="88"/>
        </w:trPr>
        <w:tc>
          <w:tcPr>
            <w:tcW w:w="4045" w:type="dxa"/>
            <w:shd w:val="clear" w:color="auto" w:fill="auto"/>
            <w:noWrap/>
            <w:vAlign w:val="center"/>
            <w:hideMark/>
          </w:tcPr>
          <w:p w14:paraId="0A4E99C0" w14:textId="56117C1C" w:rsidR="003B5614" w:rsidRPr="009F54E3" w:rsidRDefault="009F54E3" w:rsidP="009F54E3">
            <w:pPr>
              <w:spacing w:line="360" w:lineRule="auto"/>
              <w:rPr>
                <w:rFonts w:eastAsia="Calibri"/>
                <w:b/>
                <w:bCs/>
                <w:noProof/>
                <w:sz w:val="22"/>
                <w:szCs w:val="22"/>
                <w:lang w:val="es-DO"/>
              </w:rPr>
            </w:pPr>
            <w:r w:rsidRPr="009F54E3">
              <w:rPr>
                <w:rFonts w:eastAsia="Calibri"/>
                <w:b/>
                <w:bCs/>
                <w:noProof/>
                <w:sz w:val="22"/>
                <w:szCs w:val="22"/>
                <w:lang w:val="es-DO"/>
              </w:rPr>
              <w:t>% TOTALES</w:t>
            </w:r>
          </w:p>
        </w:tc>
        <w:tc>
          <w:tcPr>
            <w:tcW w:w="2047" w:type="dxa"/>
            <w:shd w:val="clear" w:color="auto" w:fill="auto"/>
            <w:noWrap/>
            <w:vAlign w:val="bottom"/>
            <w:hideMark/>
          </w:tcPr>
          <w:p w14:paraId="046D1366" w14:textId="7C3DEF5D" w:rsidR="003B5614" w:rsidRPr="009F54E3" w:rsidRDefault="009F54E3" w:rsidP="009F54E3">
            <w:pPr>
              <w:spacing w:line="360" w:lineRule="auto"/>
              <w:rPr>
                <w:rFonts w:eastAsia="Calibri"/>
                <w:b/>
                <w:bCs/>
                <w:noProof/>
                <w:sz w:val="22"/>
                <w:szCs w:val="22"/>
                <w:lang w:val="es-DO"/>
              </w:rPr>
            </w:pPr>
            <w:r w:rsidRPr="009F54E3">
              <w:rPr>
                <w:rFonts w:eastAsia="Calibri"/>
                <w:b/>
                <w:bCs/>
                <w:noProof/>
                <w:sz w:val="22"/>
                <w:szCs w:val="22"/>
                <w:lang w:val="es-DO"/>
              </w:rPr>
              <w:t>100%</w:t>
            </w:r>
          </w:p>
        </w:tc>
        <w:tc>
          <w:tcPr>
            <w:tcW w:w="1463" w:type="dxa"/>
            <w:shd w:val="clear" w:color="auto" w:fill="auto"/>
            <w:noWrap/>
            <w:vAlign w:val="center"/>
            <w:hideMark/>
          </w:tcPr>
          <w:p w14:paraId="678DEFD1" w14:textId="0C2CE2C7" w:rsidR="003B5614" w:rsidRPr="009F54E3" w:rsidRDefault="009F54E3" w:rsidP="009F54E3">
            <w:pPr>
              <w:spacing w:line="360" w:lineRule="auto"/>
              <w:rPr>
                <w:rFonts w:eastAsia="Calibri"/>
                <w:b/>
                <w:bCs/>
                <w:noProof/>
                <w:sz w:val="22"/>
                <w:szCs w:val="22"/>
                <w:lang w:val="es-DO"/>
              </w:rPr>
            </w:pPr>
            <w:r w:rsidRPr="009F54E3">
              <w:rPr>
                <w:rFonts w:eastAsia="Calibri"/>
                <w:b/>
                <w:bCs/>
                <w:noProof/>
                <w:sz w:val="22"/>
                <w:szCs w:val="22"/>
                <w:lang w:val="es-DO"/>
              </w:rPr>
              <w:t>0</w:t>
            </w:r>
          </w:p>
        </w:tc>
      </w:tr>
    </w:tbl>
    <w:p w14:paraId="428AD94F" w14:textId="77F3115F" w:rsidR="006852A9" w:rsidRPr="009F54E3" w:rsidRDefault="006852A9" w:rsidP="00307AEF">
      <w:pPr>
        <w:spacing w:before="240" w:line="360" w:lineRule="auto"/>
        <w:rPr>
          <w:noProof/>
          <w:sz w:val="18"/>
          <w:szCs w:val="18"/>
          <w:lang w:val="es-ES"/>
        </w:rPr>
      </w:pPr>
      <w:r w:rsidRPr="009F54E3">
        <w:rPr>
          <w:b/>
          <w:bCs/>
          <w:noProof/>
          <w:sz w:val="18"/>
          <w:szCs w:val="18"/>
          <w:lang w:val="es-ES"/>
        </w:rPr>
        <w:t>Tabla</w:t>
      </w:r>
      <w:r w:rsidR="00690EA0" w:rsidRPr="009F54E3">
        <w:rPr>
          <w:b/>
          <w:bCs/>
          <w:noProof/>
          <w:sz w:val="18"/>
          <w:szCs w:val="18"/>
          <w:lang w:val="es-ES"/>
        </w:rPr>
        <w:t xml:space="preserve"> 2</w:t>
      </w:r>
      <w:r w:rsidR="00C50277">
        <w:rPr>
          <w:b/>
          <w:bCs/>
          <w:noProof/>
          <w:sz w:val="18"/>
          <w:szCs w:val="18"/>
          <w:lang w:val="es-ES"/>
        </w:rPr>
        <w:t>8</w:t>
      </w:r>
      <w:r w:rsidRPr="009F54E3">
        <w:rPr>
          <w:b/>
          <w:bCs/>
          <w:noProof/>
          <w:sz w:val="18"/>
          <w:szCs w:val="18"/>
          <w:lang w:val="es-ES"/>
        </w:rPr>
        <w:t xml:space="preserve">: </w:t>
      </w:r>
      <w:r w:rsidRPr="009F54E3">
        <w:rPr>
          <w:noProof/>
          <w:sz w:val="18"/>
          <w:szCs w:val="18"/>
          <w:lang w:val="es-ES"/>
        </w:rPr>
        <w:t>Resultado NOBACI Portal CGR para T3</w:t>
      </w:r>
    </w:p>
    <w:p w14:paraId="4724DD47" w14:textId="560B969D" w:rsidR="006852A9" w:rsidRPr="009F54E3" w:rsidRDefault="019A6284" w:rsidP="00307AEF">
      <w:pPr>
        <w:spacing w:line="360" w:lineRule="auto"/>
        <w:jc w:val="both"/>
        <w:rPr>
          <w:rFonts w:eastAsia="Calibri"/>
          <w:noProof/>
          <w:lang w:val="es-DO"/>
        </w:rPr>
      </w:pPr>
      <w:bookmarkStart w:id="228" w:name="_Hlk183681806"/>
      <w:r w:rsidRPr="009F54E3">
        <w:rPr>
          <w:rFonts w:eastAsia="Calibri"/>
          <w:noProof/>
          <w:lang w:val="es-DO"/>
        </w:rPr>
        <w:t>Para la actualización de los requerimientos de cada componente que integran Las Normas Básicas de Control Interno NOBACI, según la Ley 10-07, reglamentos y resoluciones emitidas por la Contraloría General de la Rep</w:t>
      </w:r>
      <w:r w:rsidR="005C4045" w:rsidRPr="009F54E3">
        <w:rPr>
          <w:rFonts w:eastAsia="Calibri"/>
          <w:noProof/>
          <w:lang w:val="es-DO"/>
        </w:rPr>
        <w:t>ú</w:t>
      </w:r>
      <w:r w:rsidRPr="009F54E3">
        <w:rPr>
          <w:rFonts w:eastAsia="Calibri"/>
          <w:noProof/>
          <w:lang w:val="es-DO"/>
        </w:rPr>
        <w:t xml:space="preserve">blica.  Se han enviado los informes de gestión correspondientes a los trimestres </w:t>
      </w:r>
      <w:r w:rsidR="1432B19C" w:rsidRPr="009F54E3">
        <w:rPr>
          <w:rFonts w:eastAsia="Calibri"/>
          <w:noProof/>
          <w:lang w:val="es-DO"/>
        </w:rPr>
        <w:t>e</w:t>
      </w:r>
      <w:r w:rsidRPr="009F54E3">
        <w:rPr>
          <w:rFonts w:eastAsia="Calibri"/>
          <w:noProof/>
          <w:lang w:val="es-DO"/>
        </w:rPr>
        <w:t xml:space="preserve">nero- </w:t>
      </w:r>
      <w:r w:rsidR="1432B19C" w:rsidRPr="009F54E3">
        <w:rPr>
          <w:rFonts w:eastAsia="Calibri"/>
          <w:noProof/>
          <w:lang w:val="es-DO"/>
        </w:rPr>
        <w:t>marzo</w:t>
      </w:r>
      <w:r w:rsidRPr="009F54E3">
        <w:rPr>
          <w:rFonts w:eastAsia="Calibri"/>
          <w:noProof/>
          <w:lang w:val="es-DO"/>
        </w:rPr>
        <w:t xml:space="preserve">, </w:t>
      </w:r>
      <w:r w:rsidR="1432B19C" w:rsidRPr="009F54E3">
        <w:rPr>
          <w:rFonts w:eastAsia="Calibri"/>
          <w:noProof/>
          <w:lang w:val="es-DO"/>
        </w:rPr>
        <w:t>a</w:t>
      </w:r>
      <w:r w:rsidRPr="009F54E3">
        <w:rPr>
          <w:rFonts w:eastAsia="Calibri"/>
          <w:noProof/>
          <w:lang w:val="es-DO"/>
        </w:rPr>
        <w:t xml:space="preserve">bril - </w:t>
      </w:r>
      <w:r w:rsidR="1432B19C" w:rsidRPr="009F54E3">
        <w:rPr>
          <w:rFonts w:eastAsia="Calibri"/>
          <w:noProof/>
          <w:lang w:val="es-DO"/>
        </w:rPr>
        <w:t>j</w:t>
      </w:r>
      <w:r w:rsidRPr="009F54E3">
        <w:rPr>
          <w:rFonts w:eastAsia="Calibri"/>
          <w:noProof/>
          <w:lang w:val="es-DO"/>
        </w:rPr>
        <w:t xml:space="preserve">unio y </w:t>
      </w:r>
      <w:r w:rsidR="1432B19C" w:rsidRPr="009F54E3">
        <w:rPr>
          <w:rFonts w:eastAsia="Calibri"/>
          <w:noProof/>
          <w:lang w:val="es-DO"/>
        </w:rPr>
        <w:t>j</w:t>
      </w:r>
      <w:r w:rsidRPr="009F54E3">
        <w:rPr>
          <w:rFonts w:eastAsia="Calibri"/>
          <w:noProof/>
          <w:lang w:val="es-DO"/>
        </w:rPr>
        <w:t xml:space="preserve">ulio </w:t>
      </w:r>
      <w:r w:rsidR="1432B19C" w:rsidRPr="009F54E3">
        <w:rPr>
          <w:rFonts w:eastAsia="Calibri"/>
          <w:noProof/>
          <w:lang w:val="es-DO"/>
        </w:rPr>
        <w:t>–</w:t>
      </w:r>
      <w:r w:rsidRPr="009F54E3">
        <w:rPr>
          <w:rFonts w:eastAsia="Calibri"/>
          <w:noProof/>
          <w:lang w:val="es-DO"/>
        </w:rPr>
        <w:t xml:space="preserve"> </w:t>
      </w:r>
      <w:r w:rsidR="1432B19C" w:rsidRPr="009F54E3">
        <w:rPr>
          <w:rFonts w:eastAsia="Calibri"/>
          <w:noProof/>
          <w:lang w:val="es-DO"/>
        </w:rPr>
        <w:t>s</w:t>
      </w:r>
      <w:r w:rsidRPr="009F54E3">
        <w:rPr>
          <w:rFonts w:eastAsia="Calibri"/>
          <w:noProof/>
          <w:lang w:val="es-DO"/>
        </w:rPr>
        <w:t>eptiembre</w:t>
      </w:r>
      <w:r w:rsidR="1432B19C" w:rsidRPr="009F54E3">
        <w:rPr>
          <w:rFonts w:eastAsia="Calibri"/>
          <w:noProof/>
          <w:lang w:val="es-DO"/>
        </w:rPr>
        <w:t>,</w:t>
      </w:r>
      <w:r w:rsidRPr="009F54E3">
        <w:rPr>
          <w:rFonts w:eastAsia="Calibri"/>
          <w:noProof/>
          <w:lang w:val="es-DO"/>
        </w:rPr>
        <w:t xml:space="preserve"> fueron enviados a contraloría y actualizados en el portal de la Contraloría General de la República, referente al Sistema de diagnóstico de las NOBACI, este refleja el resultado de la verificación de cumplimiento dentro de los procesos Institucionales </w:t>
      </w:r>
      <w:r w:rsidR="260BCA8E" w:rsidRPr="009F54E3">
        <w:rPr>
          <w:rFonts w:eastAsia="Calibri"/>
          <w:noProof/>
          <w:lang w:val="es-DO"/>
        </w:rPr>
        <w:t>de acuerdo con</w:t>
      </w:r>
      <w:r w:rsidRPr="009F54E3">
        <w:rPr>
          <w:rFonts w:eastAsia="Calibri"/>
          <w:noProof/>
          <w:lang w:val="es-DO"/>
        </w:rPr>
        <w:t xml:space="preserve"> la documentación presentada como evidencia y validadas por el ente regulador.</w:t>
      </w:r>
    </w:p>
    <w:bookmarkEnd w:id="228"/>
    <w:p w14:paraId="63FFF5E9" w14:textId="110951A3" w:rsidR="006852A9" w:rsidRPr="009F54E3" w:rsidRDefault="006852A9" w:rsidP="009F54E3">
      <w:pPr>
        <w:spacing w:line="360" w:lineRule="auto"/>
        <w:ind w:left="-90"/>
        <w:jc w:val="both"/>
        <w:rPr>
          <w:rFonts w:eastAsia="Calibri"/>
          <w:b/>
          <w:bCs/>
          <w:noProof/>
          <w:lang w:val="es-DO"/>
        </w:rPr>
      </w:pPr>
    </w:p>
    <w:tbl>
      <w:tblPr>
        <w:tblW w:w="7730" w:type="dxa"/>
        <w:jc w:val="center"/>
        <w:tblLook w:val="04A0" w:firstRow="1" w:lastRow="0" w:firstColumn="1" w:lastColumn="0" w:noHBand="0" w:noVBand="1"/>
      </w:tblPr>
      <w:tblGrid>
        <w:gridCol w:w="4490"/>
        <w:gridCol w:w="1540"/>
        <w:gridCol w:w="1700"/>
      </w:tblGrid>
      <w:tr w:rsidR="006852A9" w:rsidRPr="009F54E3" w14:paraId="271D66D6" w14:textId="77777777" w:rsidTr="009F54E3">
        <w:trPr>
          <w:trHeight w:val="628"/>
          <w:tblHeader/>
          <w:jc w:val="center"/>
        </w:trPr>
        <w:tc>
          <w:tcPr>
            <w:tcW w:w="4490"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5DDC4481" w14:textId="77777777" w:rsidR="006852A9" w:rsidRPr="009F54E3" w:rsidRDefault="006852A9" w:rsidP="009F54E3">
            <w:pPr>
              <w:spacing w:line="360" w:lineRule="auto"/>
              <w:jc w:val="center"/>
              <w:rPr>
                <w:rFonts w:eastAsia="Calibri"/>
                <w:b/>
                <w:bCs/>
                <w:noProof/>
                <w:color w:val="FFFFFF" w:themeColor="background1"/>
                <w:lang w:val="es-DO"/>
              </w:rPr>
            </w:pPr>
            <w:r w:rsidRPr="009F54E3">
              <w:rPr>
                <w:rFonts w:eastAsia="Calibri"/>
                <w:b/>
                <w:bCs/>
                <w:noProof/>
                <w:color w:val="FFFFFF" w:themeColor="background1"/>
                <w:lang w:val="es-DO"/>
              </w:rPr>
              <w:lastRenderedPageBreak/>
              <w:t>Objetivo y/o indicador</w:t>
            </w:r>
          </w:p>
        </w:tc>
        <w:tc>
          <w:tcPr>
            <w:tcW w:w="1540" w:type="dxa"/>
            <w:tcBorders>
              <w:top w:val="single" w:sz="8" w:space="0" w:color="auto"/>
              <w:left w:val="nil"/>
              <w:bottom w:val="single" w:sz="8" w:space="0" w:color="auto"/>
              <w:right w:val="single" w:sz="8" w:space="0" w:color="auto"/>
            </w:tcBorders>
            <w:shd w:val="clear" w:color="000000" w:fill="1F3864"/>
            <w:vAlign w:val="center"/>
            <w:hideMark/>
          </w:tcPr>
          <w:p w14:paraId="663CF415" w14:textId="77777777" w:rsidR="006852A9" w:rsidRPr="009F54E3" w:rsidRDefault="006852A9" w:rsidP="009F54E3">
            <w:pPr>
              <w:spacing w:line="360" w:lineRule="auto"/>
              <w:jc w:val="center"/>
              <w:rPr>
                <w:rFonts w:eastAsia="Calibri"/>
                <w:b/>
                <w:bCs/>
                <w:noProof/>
                <w:color w:val="FFFFFF" w:themeColor="background1"/>
                <w:lang w:val="es-DO"/>
              </w:rPr>
            </w:pPr>
            <w:r w:rsidRPr="009F54E3">
              <w:rPr>
                <w:rFonts w:eastAsia="Calibri"/>
                <w:b/>
                <w:bCs/>
                <w:noProof/>
                <w:color w:val="FFFFFF" w:themeColor="background1"/>
                <w:lang w:val="es-DO"/>
              </w:rPr>
              <w:t>Avance</w:t>
            </w:r>
          </w:p>
        </w:tc>
        <w:tc>
          <w:tcPr>
            <w:tcW w:w="1700" w:type="dxa"/>
            <w:tcBorders>
              <w:top w:val="single" w:sz="8" w:space="0" w:color="auto"/>
              <w:left w:val="nil"/>
              <w:bottom w:val="single" w:sz="8" w:space="0" w:color="auto"/>
              <w:right w:val="single" w:sz="8" w:space="0" w:color="auto"/>
            </w:tcBorders>
            <w:shd w:val="clear" w:color="000000" w:fill="1F3864"/>
            <w:vAlign w:val="center"/>
            <w:hideMark/>
          </w:tcPr>
          <w:p w14:paraId="4B6CC70F" w14:textId="77777777" w:rsidR="006852A9" w:rsidRPr="009F54E3" w:rsidRDefault="006852A9" w:rsidP="009F54E3">
            <w:pPr>
              <w:spacing w:line="360" w:lineRule="auto"/>
              <w:jc w:val="center"/>
              <w:rPr>
                <w:rFonts w:eastAsia="Calibri"/>
                <w:b/>
                <w:bCs/>
                <w:noProof/>
                <w:color w:val="FFFFFF" w:themeColor="background1"/>
                <w:lang w:val="es-DO"/>
              </w:rPr>
            </w:pPr>
            <w:r w:rsidRPr="009F54E3">
              <w:rPr>
                <w:rFonts w:eastAsia="Calibri"/>
                <w:b/>
                <w:bCs/>
                <w:noProof/>
                <w:color w:val="FFFFFF" w:themeColor="background1"/>
                <w:lang w:val="es-DO"/>
              </w:rPr>
              <w:t>Avance Ponderado</w:t>
            </w:r>
          </w:p>
        </w:tc>
      </w:tr>
      <w:tr w:rsidR="006852A9" w:rsidRPr="009F54E3" w14:paraId="62498FA8" w14:textId="77777777" w:rsidTr="009F54E3">
        <w:trPr>
          <w:trHeight w:val="655"/>
          <w:jc w:val="center"/>
        </w:trPr>
        <w:tc>
          <w:tcPr>
            <w:tcW w:w="4490" w:type="dxa"/>
            <w:tcBorders>
              <w:top w:val="nil"/>
              <w:left w:val="single" w:sz="8" w:space="0" w:color="auto"/>
              <w:bottom w:val="single" w:sz="8" w:space="0" w:color="auto"/>
              <w:right w:val="single" w:sz="8" w:space="0" w:color="auto"/>
            </w:tcBorders>
            <w:shd w:val="clear" w:color="000000" w:fill="F2F2F2"/>
            <w:vAlign w:val="center"/>
            <w:hideMark/>
          </w:tcPr>
          <w:p w14:paraId="2DFEF829" w14:textId="77777777" w:rsidR="006852A9" w:rsidRPr="009F54E3" w:rsidRDefault="006852A9" w:rsidP="009F54E3">
            <w:pPr>
              <w:spacing w:line="360" w:lineRule="auto"/>
              <w:jc w:val="both"/>
              <w:rPr>
                <w:rFonts w:eastAsia="Calibri"/>
                <w:noProof/>
                <w:lang w:val="es-DO"/>
              </w:rPr>
            </w:pPr>
            <w:r w:rsidRPr="009F54E3">
              <w:rPr>
                <w:rFonts w:eastAsia="Calibri"/>
                <w:noProof/>
                <w:lang w:val="es-DO"/>
              </w:rPr>
              <w:t>Actualizar la carga de evidencia requeridas por NOBACI</w:t>
            </w:r>
          </w:p>
        </w:tc>
        <w:tc>
          <w:tcPr>
            <w:tcW w:w="1540" w:type="dxa"/>
            <w:tcBorders>
              <w:top w:val="nil"/>
              <w:left w:val="nil"/>
              <w:bottom w:val="single" w:sz="8" w:space="0" w:color="auto"/>
              <w:right w:val="single" w:sz="8" w:space="0" w:color="auto"/>
            </w:tcBorders>
            <w:shd w:val="clear" w:color="000000" w:fill="F2F2F2"/>
            <w:hideMark/>
          </w:tcPr>
          <w:p w14:paraId="2982FD42" w14:textId="77777777" w:rsidR="006852A9" w:rsidRPr="009F54E3" w:rsidRDefault="006852A9" w:rsidP="009F54E3">
            <w:pPr>
              <w:spacing w:line="360" w:lineRule="auto"/>
              <w:jc w:val="center"/>
              <w:rPr>
                <w:rFonts w:eastAsia="Calibri"/>
                <w:noProof/>
                <w:lang w:val="es-DO"/>
              </w:rPr>
            </w:pPr>
            <w:r w:rsidRPr="009F54E3">
              <w:rPr>
                <w:rFonts w:eastAsia="Calibri"/>
                <w:noProof/>
                <w:lang w:val="es-DO"/>
              </w:rPr>
              <w:t>75%</w:t>
            </w:r>
          </w:p>
        </w:tc>
        <w:tc>
          <w:tcPr>
            <w:tcW w:w="1700" w:type="dxa"/>
            <w:tcBorders>
              <w:top w:val="nil"/>
              <w:left w:val="nil"/>
              <w:bottom w:val="single" w:sz="8" w:space="0" w:color="auto"/>
              <w:right w:val="single" w:sz="8" w:space="0" w:color="auto"/>
            </w:tcBorders>
            <w:shd w:val="clear" w:color="000000" w:fill="F2F2F2"/>
            <w:hideMark/>
          </w:tcPr>
          <w:p w14:paraId="213AA7F1" w14:textId="0D7BD595" w:rsidR="006852A9" w:rsidRPr="009F54E3" w:rsidRDefault="006852A9" w:rsidP="009F54E3">
            <w:pPr>
              <w:spacing w:line="360" w:lineRule="auto"/>
              <w:jc w:val="center"/>
              <w:rPr>
                <w:rFonts w:eastAsia="Calibri"/>
                <w:noProof/>
                <w:lang w:val="es-DO"/>
              </w:rPr>
            </w:pPr>
            <w:r w:rsidRPr="009F54E3">
              <w:rPr>
                <w:rFonts w:eastAsia="Calibri"/>
                <w:noProof/>
                <w:lang w:val="es-DO"/>
              </w:rPr>
              <w:t>34</w:t>
            </w:r>
          </w:p>
        </w:tc>
      </w:tr>
      <w:tr w:rsidR="006852A9" w:rsidRPr="009F54E3" w14:paraId="6435CC16" w14:textId="77777777" w:rsidTr="009F54E3">
        <w:trPr>
          <w:trHeight w:val="988"/>
          <w:jc w:val="center"/>
        </w:trPr>
        <w:tc>
          <w:tcPr>
            <w:tcW w:w="4490" w:type="dxa"/>
            <w:tcBorders>
              <w:top w:val="nil"/>
              <w:left w:val="single" w:sz="8" w:space="0" w:color="auto"/>
              <w:bottom w:val="single" w:sz="8" w:space="0" w:color="auto"/>
              <w:right w:val="single" w:sz="8" w:space="0" w:color="auto"/>
            </w:tcBorders>
            <w:shd w:val="clear" w:color="000000" w:fill="F2F2F2"/>
            <w:vAlign w:val="center"/>
            <w:hideMark/>
          </w:tcPr>
          <w:p w14:paraId="3B190855" w14:textId="77777777" w:rsidR="006852A9" w:rsidRPr="009F54E3" w:rsidRDefault="006852A9" w:rsidP="009F54E3">
            <w:pPr>
              <w:spacing w:line="360" w:lineRule="auto"/>
              <w:jc w:val="both"/>
              <w:rPr>
                <w:rFonts w:eastAsia="Calibri"/>
                <w:noProof/>
                <w:lang w:val="es-DO"/>
              </w:rPr>
            </w:pPr>
            <w:r w:rsidRPr="009F54E3">
              <w:rPr>
                <w:rFonts w:eastAsia="Calibri"/>
                <w:noProof/>
                <w:lang w:val="es-DO"/>
              </w:rPr>
              <w:t>Realizar funciones operativas del proyecto de implementación de normas Cumplimiento y antisoborno.</w:t>
            </w:r>
          </w:p>
        </w:tc>
        <w:tc>
          <w:tcPr>
            <w:tcW w:w="1540" w:type="dxa"/>
            <w:tcBorders>
              <w:top w:val="nil"/>
              <w:left w:val="nil"/>
              <w:bottom w:val="single" w:sz="8" w:space="0" w:color="auto"/>
              <w:right w:val="single" w:sz="8" w:space="0" w:color="auto"/>
            </w:tcBorders>
            <w:shd w:val="clear" w:color="000000" w:fill="F2F2F2"/>
            <w:hideMark/>
          </w:tcPr>
          <w:p w14:paraId="4A6178B9" w14:textId="77777777" w:rsidR="006852A9" w:rsidRPr="009F54E3" w:rsidRDefault="006852A9" w:rsidP="009F54E3">
            <w:pPr>
              <w:spacing w:line="360" w:lineRule="auto"/>
              <w:jc w:val="center"/>
              <w:rPr>
                <w:rFonts w:eastAsia="Calibri"/>
                <w:noProof/>
                <w:lang w:val="es-DO"/>
              </w:rPr>
            </w:pPr>
            <w:r w:rsidRPr="009F54E3">
              <w:rPr>
                <w:rFonts w:eastAsia="Calibri"/>
                <w:noProof/>
                <w:lang w:val="es-DO"/>
              </w:rPr>
              <w:t>65%</w:t>
            </w:r>
          </w:p>
        </w:tc>
        <w:tc>
          <w:tcPr>
            <w:tcW w:w="1700" w:type="dxa"/>
            <w:tcBorders>
              <w:top w:val="nil"/>
              <w:left w:val="nil"/>
              <w:bottom w:val="single" w:sz="8" w:space="0" w:color="auto"/>
              <w:right w:val="single" w:sz="8" w:space="0" w:color="auto"/>
            </w:tcBorders>
            <w:shd w:val="clear" w:color="000000" w:fill="F2F2F2"/>
            <w:hideMark/>
          </w:tcPr>
          <w:p w14:paraId="186134DD" w14:textId="77777777" w:rsidR="006852A9" w:rsidRPr="009F54E3" w:rsidRDefault="006852A9" w:rsidP="009F54E3">
            <w:pPr>
              <w:spacing w:line="360" w:lineRule="auto"/>
              <w:jc w:val="center"/>
              <w:rPr>
                <w:rFonts w:eastAsia="Calibri"/>
                <w:noProof/>
                <w:lang w:val="es-DO"/>
              </w:rPr>
            </w:pPr>
            <w:r w:rsidRPr="009F54E3">
              <w:rPr>
                <w:rFonts w:eastAsia="Calibri"/>
                <w:noProof/>
                <w:lang w:val="es-DO"/>
              </w:rPr>
              <w:t>20</w:t>
            </w:r>
          </w:p>
        </w:tc>
      </w:tr>
      <w:tr w:rsidR="006852A9" w:rsidRPr="009F54E3" w14:paraId="256CBBCE" w14:textId="77777777" w:rsidTr="009F54E3">
        <w:trPr>
          <w:trHeight w:val="871"/>
          <w:jc w:val="center"/>
        </w:trPr>
        <w:tc>
          <w:tcPr>
            <w:tcW w:w="4490" w:type="dxa"/>
            <w:tcBorders>
              <w:top w:val="nil"/>
              <w:left w:val="single" w:sz="8" w:space="0" w:color="auto"/>
              <w:bottom w:val="single" w:sz="8" w:space="0" w:color="auto"/>
              <w:right w:val="single" w:sz="8" w:space="0" w:color="auto"/>
            </w:tcBorders>
            <w:shd w:val="clear" w:color="000000" w:fill="F2F2F2"/>
            <w:vAlign w:val="center"/>
            <w:hideMark/>
          </w:tcPr>
          <w:p w14:paraId="7EE364F8" w14:textId="77777777" w:rsidR="006852A9" w:rsidRPr="009F54E3" w:rsidRDefault="006852A9" w:rsidP="009F54E3">
            <w:pPr>
              <w:spacing w:line="360" w:lineRule="auto"/>
              <w:jc w:val="both"/>
              <w:rPr>
                <w:rFonts w:eastAsia="Calibri"/>
                <w:noProof/>
                <w:lang w:val="es-DO"/>
              </w:rPr>
            </w:pPr>
            <w:r w:rsidRPr="009F54E3">
              <w:rPr>
                <w:rFonts w:eastAsia="Calibri"/>
                <w:noProof/>
                <w:lang w:val="es-DO"/>
              </w:rPr>
              <w:t>Crear, solicitar aprobación y poner en marcha documentos de trabajo del área (manuales, protocolos, instructivos, etc.)</w:t>
            </w:r>
          </w:p>
        </w:tc>
        <w:tc>
          <w:tcPr>
            <w:tcW w:w="1540" w:type="dxa"/>
            <w:tcBorders>
              <w:top w:val="nil"/>
              <w:left w:val="nil"/>
              <w:bottom w:val="single" w:sz="8" w:space="0" w:color="auto"/>
              <w:right w:val="single" w:sz="8" w:space="0" w:color="auto"/>
            </w:tcBorders>
            <w:shd w:val="clear" w:color="000000" w:fill="F2F2F2"/>
            <w:hideMark/>
          </w:tcPr>
          <w:p w14:paraId="74A57D65" w14:textId="77777777" w:rsidR="006852A9" w:rsidRPr="009F54E3" w:rsidRDefault="006852A9" w:rsidP="009F54E3">
            <w:pPr>
              <w:spacing w:line="360" w:lineRule="auto"/>
              <w:jc w:val="center"/>
              <w:rPr>
                <w:rFonts w:eastAsia="Calibri"/>
                <w:noProof/>
                <w:lang w:val="es-DO"/>
              </w:rPr>
            </w:pPr>
            <w:r w:rsidRPr="009F54E3">
              <w:rPr>
                <w:rFonts w:eastAsia="Calibri"/>
                <w:noProof/>
                <w:lang w:val="es-DO"/>
              </w:rPr>
              <w:t>60%</w:t>
            </w:r>
          </w:p>
        </w:tc>
        <w:tc>
          <w:tcPr>
            <w:tcW w:w="1700" w:type="dxa"/>
            <w:tcBorders>
              <w:top w:val="nil"/>
              <w:left w:val="nil"/>
              <w:bottom w:val="single" w:sz="8" w:space="0" w:color="auto"/>
              <w:right w:val="single" w:sz="8" w:space="0" w:color="auto"/>
            </w:tcBorders>
            <w:shd w:val="clear" w:color="000000" w:fill="F2F2F2"/>
            <w:hideMark/>
          </w:tcPr>
          <w:p w14:paraId="0BC87CE9" w14:textId="77777777" w:rsidR="006852A9" w:rsidRPr="009F54E3" w:rsidRDefault="006852A9" w:rsidP="009F54E3">
            <w:pPr>
              <w:spacing w:line="360" w:lineRule="auto"/>
              <w:jc w:val="center"/>
              <w:rPr>
                <w:rFonts w:eastAsia="Calibri"/>
                <w:noProof/>
                <w:lang w:val="es-DO"/>
              </w:rPr>
            </w:pPr>
            <w:r w:rsidRPr="009F54E3">
              <w:rPr>
                <w:rFonts w:eastAsia="Calibri"/>
                <w:noProof/>
                <w:lang w:val="es-DO"/>
              </w:rPr>
              <w:t>12</w:t>
            </w:r>
          </w:p>
        </w:tc>
      </w:tr>
    </w:tbl>
    <w:p w14:paraId="576D9A69" w14:textId="4F1B2612" w:rsidR="006852A9" w:rsidRPr="009F54E3" w:rsidRDefault="009F54E3" w:rsidP="009F54E3">
      <w:pPr>
        <w:spacing w:line="360" w:lineRule="auto"/>
        <w:ind w:left="-180"/>
        <w:jc w:val="both"/>
        <w:rPr>
          <w:rFonts w:eastAsia="Calibri"/>
          <w:noProof/>
          <w:sz w:val="18"/>
          <w:szCs w:val="18"/>
          <w:lang w:val="es-DO"/>
        </w:rPr>
      </w:pPr>
      <w:r>
        <w:rPr>
          <w:rFonts w:eastAsia="Calibri"/>
          <w:b/>
          <w:bCs/>
          <w:noProof/>
          <w:sz w:val="18"/>
          <w:szCs w:val="18"/>
          <w:lang w:val="es-DO"/>
        </w:rPr>
        <w:t xml:space="preserve">  </w:t>
      </w:r>
      <w:r w:rsidR="006852A9" w:rsidRPr="009F54E3">
        <w:rPr>
          <w:rFonts w:eastAsia="Calibri"/>
          <w:b/>
          <w:bCs/>
          <w:noProof/>
          <w:sz w:val="18"/>
          <w:szCs w:val="18"/>
          <w:lang w:val="es-DO"/>
        </w:rPr>
        <w:t>Tabla 2</w:t>
      </w:r>
      <w:r w:rsidR="00C50277">
        <w:rPr>
          <w:rFonts w:eastAsia="Calibri"/>
          <w:b/>
          <w:bCs/>
          <w:noProof/>
          <w:sz w:val="18"/>
          <w:szCs w:val="18"/>
          <w:lang w:val="es-DO"/>
        </w:rPr>
        <w:t>9</w:t>
      </w:r>
      <w:r w:rsidR="006852A9" w:rsidRPr="009F54E3">
        <w:rPr>
          <w:rFonts w:eastAsia="Calibri"/>
          <w:b/>
          <w:bCs/>
          <w:noProof/>
          <w:sz w:val="18"/>
          <w:szCs w:val="18"/>
          <w:lang w:val="es-DO"/>
        </w:rPr>
        <w:t>:</w:t>
      </w:r>
      <w:r w:rsidR="006852A9" w:rsidRPr="009F54E3">
        <w:rPr>
          <w:rFonts w:eastAsia="Calibri"/>
          <w:noProof/>
          <w:sz w:val="18"/>
          <w:szCs w:val="18"/>
          <w:lang w:val="es-DO"/>
        </w:rPr>
        <w:t xml:space="preserve"> Resultado de indicadores POA 2024.</w:t>
      </w:r>
    </w:p>
    <w:p w14:paraId="22C9A06A" w14:textId="77777777" w:rsidR="006852A9" w:rsidRPr="00083451" w:rsidRDefault="006852A9" w:rsidP="009F54E3">
      <w:pPr>
        <w:spacing w:line="360" w:lineRule="auto"/>
        <w:jc w:val="both"/>
        <w:rPr>
          <w:rFonts w:eastAsia="Calibri"/>
          <w:noProof/>
          <w:lang w:val="es-DO"/>
        </w:rPr>
      </w:pPr>
      <w:r w:rsidRPr="00083451">
        <w:rPr>
          <w:rFonts w:eastAsia="Calibri"/>
          <w:noProof/>
          <w:lang w:val="es-DO"/>
        </w:rPr>
        <w:t xml:space="preserve">El 09 de abril 2024, se inició con el Proyecto de Implementación Normas ISO 37001/373001 de cumplimiento y antisoborno que tienen como objetivo gestionar los riesgos de incumplimiento y promover una cultura de integridad y prevención de incumplimiento y la corrupción administrativa. De igual manera dar cumplimiento la Ley núm. 340-06 y decreto no. 36-21 y sus modificaciones. </w:t>
      </w:r>
    </w:p>
    <w:p w14:paraId="2C1BB60F" w14:textId="77777777" w:rsidR="006852A9" w:rsidRPr="00083451" w:rsidRDefault="006852A9" w:rsidP="009F54E3">
      <w:pPr>
        <w:spacing w:line="360" w:lineRule="auto"/>
        <w:jc w:val="both"/>
        <w:rPr>
          <w:rFonts w:eastAsia="Calibri"/>
          <w:noProof/>
          <w:lang w:val="es-DO"/>
        </w:rPr>
      </w:pPr>
      <w:r w:rsidRPr="00083451">
        <w:rPr>
          <w:rFonts w:eastAsia="Calibri"/>
          <w:noProof/>
          <w:lang w:val="es-DO"/>
        </w:rPr>
        <w:t>Se nos presentó el estatus de la Institución en referencia al cumplimiento de las Normas ISO 37001/37301 a través de un Diagnóstico el cual dentro de sus resultados estableció como se aprecia la alineación del sistema de cumplimiento y antisoborno en el liderazgo institucional procurando la eficiencia en la operación organizacional, lo que sirve como impulso para la armonización del sistema con la estrategia organizacional, optimizando el valor institucional de “Transparencia” y “Calidad”.</w:t>
      </w:r>
    </w:p>
    <w:p w14:paraId="3E243617" w14:textId="77777777" w:rsidR="006852A9" w:rsidRPr="00083451" w:rsidRDefault="006852A9" w:rsidP="009F54E3">
      <w:pPr>
        <w:spacing w:line="360" w:lineRule="auto"/>
        <w:jc w:val="both"/>
        <w:rPr>
          <w:rFonts w:eastAsia="Calibri"/>
          <w:noProof/>
          <w:lang w:val="es-DO"/>
        </w:rPr>
      </w:pPr>
      <w:r w:rsidRPr="00083451">
        <w:rPr>
          <w:rFonts w:eastAsia="Calibri"/>
          <w:noProof/>
          <w:lang w:val="es-DO"/>
        </w:rPr>
        <w:lastRenderedPageBreak/>
        <w:t>Fueron realizadas sesiones de acercamiento con todas las áreas establecidas para el alcance de la implementación de los sistemas.</w:t>
      </w:r>
    </w:p>
    <w:p w14:paraId="2650D9EC" w14:textId="77777777" w:rsidR="003B5614" w:rsidRDefault="006852A9" w:rsidP="009F54E3">
      <w:pPr>
        <w:spacing w:line="360" w:lineRule="auto"/>
        <w:jc w:val="both"/>
        <w:rPr>
          <w:rFonts w:eastAsia="Calibri"/>
          <w:noProof/>
          <w:lang w:val="es-DO"/>
        </w:rPr>
      </w:pPr>
      <w:r w:rsidRPr="00083451">
        <w:rPr>
          <w:rFonts w:eastAsia="Calibri"/>
          <w:noProof/>
          <w:lang w:val="es-DO"/>
        </w:rPr>
        <w:t xml:space="preserve">Se realizaron reuniones para la construcción del análisis de Contexto, Análisis FODA y Mapa de Grupos de Interés,  procedimos al análisis de la regulación institucional, planificación estratégica, apoyándonos en la realización de un grupo de enfoque con una representación de colaboradores de distintas áreas de la organización, en el cual levantamos información a través de preguntas y análisis de situaciones y de igual forma realizamos de manera separada un grupo de enfoque con una representación de los distintos grupos de interés externos de cara a la implementación del sistema de   cumplimiento y antisoborno, los cuales nutrieron el proceso para la definición del alcance del sistema de gestión. </w:t>
      </w:r>
    </w:p>
    <w:p w14:paraId="0E3BE5A1" w14:textId="7FB03792" w:rsidR="006852A9" w:rsidRPr="00083451" w:rsidRDefault="006852A9" w:rsidP="009F54E3">
      <w:pPr>
        <w:spacing w:line="360" w:lineRule="auto"/>
        <w:jc w:val="both"/>
        <w:rPr>
          <w:rFonts w:eastAsia="Calibri"/>
          <w:noProof/>
          <w:lang w:val="es-DO"/>
        </w:rPr>
      </w:pPr>
      <w:r w:rsidRPr="00083451">
        <w:rPr>
          <w:rFonts w:eastAsia="Calibri"/>
          <w:noProof/>
          <w:lang w:val="es-DO"/>
        </w:rPr>
        <w:t>De este levantamiento de información salió como resultado análisis de contexto sistema de cumplimiento y antisoborno el cual fue entregado para la vinculación y elaboración  del Plan Estratégico Institucional.</w:t>
      </w:r>
    </w:p>
    <w:p w14:paraId="2AE4F9BA" w14:textId="260904A1" w:rsidR="006852A9" w:rsidRPr="00083451" w:rsidRDefault="006852A9" w:rsidP="009F54E3">
      <w:pPr>
        <w:spacing w:line="360" w:lineRule="auto"/>
        <w:jc w:val="both"/>
        <w:rPr>
          <w:rFonts w:eastAsia="Calibri"/>
          <w:noProof/>
          <w:lang w:val="es-DO"/>
        </w:rPr>
      </w:pPr>
      <w:r w:rsidRPr="00083451">
        <w:rPr>
          <w:rFonts w:eastAsia="Calibri"/>
          <w:noProof/>
          <w:lang w:val="es-DO"/>
        </w:rPr>
        <w:t>Fue presentada la Valoración técnica función de cumplimiento y antisoborno la cual definió la estructura de gobernanza del Sistema de Antisoborno y  de cumplimiento y de la  TSS  la cual se configura en el Tesorero de lo Seguridad Social como órgano de gobierno y Alta Dirección, conjuntamente y en la Dirección de Gestión de Normas Cumplimiento y Ciberseguridad como el área en la que  recae la función  de Cumplimiento Antisoborno,  con el Departamento de Cumplimiento Normativo  como responsable operativo directo</w:t>
      </w:r>
      <w:r w:rsidR="00923B8C">
        <w:rPr>
          <w:rFonts w:eastAsia="Calibri"/>
          <w:noProof/>
          <w:lang w:val="es-DO"/>
        </w:rPr>
        <w:t>.</w:t>
      </w:r>
      <w:r w:rsidRPr="00083451">
        <w:rPr>
          <w:rFonts w:eastAsia="Calibri"/>
          <w:noProof/>
          <w:lang w:val="es-DO"/>
        </w:rPr>
        <w:t xml:space="preserve">    </w:t>
      </w:r>
    </w:p>
    <w:p w14:paraId="2D4D1CCD" w14:textId="77777777" w:rsidR="006852A9" w:rsidRPr="00083451" w:rsidRDefault="006852A9" w:rsidP="009F54E3">
      <w:pPr>
        <w:spacing w:line="360" w:lineRule="auto"/>
        <w:jc w:val="both"/>
        <w:rPr>
          <w:rFonts w:eastAsia="Calibri"/>
          <w:noProof/>
          <w:lang w:val="es-DO"/>
        </w:rPr>
      </w:pPr>
      <w:r w:rsidRPr="00083451">
        <w:rPr>
          <w:rFonts w:eastAsia="Calibri"/>
          <w:noProof/>
          <w:lang w:val="es-DO"/>
        </w:rPr>
        <w:t xml:space="preserve">El Plan de Concientización para los colaboradores se ha puesto en marcha y las capacitaciones programadas fueron impartidas, entre ellas la sensibilización sobre las Normas ISO 37001/370301 a </w:t>
      </w:r>
      <w:r w:rsidRPr="00083451">
        <w:rPr>
          <w:rFonts w:eastAsia="Calibri"/>
          <w:noProof/>
          <w:lang w:val="es-DO"/>
        </w:rPr>
        <w:lastRenderedPageBreak/>
        <w:t xml:space="preserve">todos los colaboradores de la institución. Capacitaciones personalizadas para el Departamento de Compras y Contrataciones, Dirección Financiera y Dirección Jurídica de las Normas ISO 37001:2016 y 37301:2021. Además de Formación integral en cumplimiento y </w:t>
      </w:r>
      <w:r>
        <w:rPr>
          <w:rFonts w:eastAsia="Calibri"/>
          <w:noProof/>
          <w:lang w:val="es-DO"/>
        </w:rPr>
        <w:t>a</w:t>
      </w:r>
      <w:r w:rsidRPr="00083451">
        <w:rPr>
          <w:rFonts w:eastAsia="Calibri"/>
          <w:noProof/>
          <w:lang w:val="es-DO"/>
        </w:rPr>
        <w:t>ntisoborno, Curso Auditor Líder 37001 y 37301, Curso Auditor interno 37001 y 37301.</w:t>
      </w:r>
    </w:p>
    <w:p w14:paraId="0256C236" w14:textId="77777777" w:rsidR="006852A9" w:rsidRDefault="006852A9" w:rsidP="009F54E3">
      <w:pPr>
        <w:spacing w:line="360" w:lineRule="auto"/>
        <w:jc w:val="both"/>
        <w:rPr>
          <w:rFonts w:eastAsia="Calibri"/>
          <w:noProof/>
          <w:lang w:val="es-DO"/>
        </w:rPr>
      </w:pPr>
      <w:r w:rsidRPr="00083451">
        <w:rPr>
          <w:rFonts w:eastAsia="Calibri"/>
          <w:noProof/>
          <w:lang w:val="es-DO"/>
        </w:rPr>
        <w:t>La documentación del Sistema de Gestión se encuentra en etapa de validación para su puesta en marcha a partir de enero 2025.</w:t>
      </w:r>
    </w:p>
    <w:p w14:paraId="6633E569" w14:textId="77777777" w:rsidR="00E82B86" w:rsidRDefault="006852A9" w:rsidP="009F54E3">
      <w:pPr>
        <w:spacing w:line="360" w:lineRule="auto"/>
        <w:jc w:val="both"/>
        <w:rPr>
          <w:rFonts w:eastAsia="Calibri"/>
          <w:noProof/>
          <w:lang w:val="es-DO"/>
        </w:rPr>
      </w:pPr>
      <w:r w:rsidRPr="000B6850">
        <w:rPr>
          <w:rFonts w:eastAsia="Calibri"/>
          <w:noProof/>
          <w:lang w:val="es-DO"/>
        </w:rPr>
        <w:t>La Contraloría General de la República (CGR), evaluó a 50 instituciones del sector público mediante el Índice de control Interno que es una métrica agrupada que permite valorar razonablemente un conjunto de dimensiones asociadas al nivel de cumplimiento del control interno de las instituciones, este sistema aporta mejoras significativas y evidencia el proceso de transparencia y redición de cuentas del recaudo, uso e inversión de los recursos públicos durante el primer trimestre del 2024, el resultado de nuestra evaluación fue de 99.11</w:t>
      </w:r>
      <w:r>
        <w:rPr>
          <w:rFonts w:eastAsia="Calibri"/>
          <w:noProof/>
          <w:lang w:val="es-DO"/>
        </w:rPr>
        <w:t>%</w:t>
      </w:r>
      <w:r w:rsidRPr="000B6850">
        <w:rPr>
          <w:rFonts w:eastAsia="Calibri"/>
          <w:noProof/>
          <w:lang w:val="es-DO"/>
        </w:rPr>
        <w:t>, ocupando el primer lugar de la lista de las instituciones evaluadas.</w:t>
      </w:r>
    </w:p>
    <w:p w14:paraId="55654E02" w14:textId="6FF4D764" w:rsidR="006852A9" w:rsidRDefault="006852A9" w:rsidP="009F54E3">
      <w:pPr>
        <w:spacing w:line="360" w:lineRule="auto"/>
        <w:jc w:val="both"/>
        <w:rPr>
          <w:rFonts w:eastAsia="Calibri"/>
          <w:noProof/>
          <w:lang w:val="es-DO"/>
        </w:rPr>
      </w:pPr>
      <w:r>
        <w:rPr>
          <w:rFonts w:eastAsia="Calibri"/>
          <w:noProof/>
          <w:lang w:val="es-DO"/>
        </w:rPr>
        <w:t xml:space="preserve">Para el segundo trimestre alcanzamos una puntuacion de 99.23%, y por segundo trimestre logramos el primer lugar en la evaluacion del Indice de Control Interno de la Contraloria General de la Republica. </w:t>
      </w:r>
    </w:p>
    <w:p w14:paraId="2A6E8C01" w14:textId="349C20D7" w:rsidR="006852A9" w:rsidRPr="009A2A77" w:rsidRDefault="006852A9" w:rsidP="006852A9">
      <w:pPr>
        <w:spacing w:before="240" w:line="360" w:lineRule="auto"/>
        <w:rPr>
          <w:lang w:val="es-ES"/>
        </w:rPr>
      </w:pPr>
      <w:r>
        <w:rPr>
          <w:rFonts w:eastAsia="Calibri"/>
          <w:noProof/>
          <w:lang w:val="es-DO"/>
        </w:rPr>
        <w:lastRenderedPageBreak/>
        <w:t xml:space="preserve"> </w:t>
      </w:r>
      <w:bookmarkStart w:id="229" w:name="_Toc139461517"/>
      <w:bookmarkStart w:id="230" w:name="_Toc140587663"/>
      <w:r w:rsidRPr="004E3701">
        <w:rPr>
          <w:rFonts w:eastAsia="Calibri"/>
          <w:b/>
          <w:bCs/>
          <w:noProof/>
          <w:sz w:val="18"/>
          <w:szCs w:val="18"/>
          <w:lang w:val="es-ES"/>
        </w:rPr>
        <w:drawing>
          <wp:inline distT="0" distB="0" distL="0" distR="0" wp14:anchorId="2D408CD5" wp14:editId="5DC07859">
            <wp:extent cx="4643562" cy="3289547"/>
            <wp:effectExtent l="0" t="0" r="5080" b="6350"/>
            <wp:docPr id="10135304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530426" name="Picture 1" descr="A screenshot of a computer&#10;&#10;Description automatically generated"/>
                    <pic:cNvPicPr/>
                  </pic:nvPicPr>
                  <pic:blipFill>
                    <a:blip r:embed="rId44"/>
                    <a:stretch>
                      <a:fillRect/>
                    </a:stretch>
                  </pic:blipFill>
                  <pic:spPr>
                    <a:xfrm>
                      <a:off x="0" y="0"/>
                      <a:ext cx="4646245" cy="3291448"/>
                    </a:xfrm>
                    <a:prstGeom prst="rect">
                      <a:avLst/>
                    </a:prstGeom>
                  </pic:spPr>
                </pic:pic>
              </a:graphicData>
            </a:graphic>
          </wp:inline>
        </w:drawing>
      </w:r>
      <w:r w:rsidRPr="004E3701">
        <w:rPr>
          <w:rFonts w:eastAsia="Calibri"/>
          <w:b/>
          <w:bCs/>
          <w:noProof/>
          <w:sz w:val="18"/>
          <w:szCs w:val="18"/>
          <w:lang w:val="es-ES"/>
        </w:rPr>
        <w:t xml:space="preserve"> </w:t>
      </w:r>
      <w:r w:rsidRPr="00307AEF">
        <w:rPr>
          <w:rFonts w:eastAsia="Calibri"/>
          <w:b/>
          <w:bCs/>
          <w:noProof/>
          <w:sz w:val="18"/>
          <w:szCs w:val="18"/>
          <w:lang w:val="es-DO"/>
        </w:rPr>
        <w:t xml:space="preserve">Imagen </w:t>
      </w:r>
      <w:r w:rsidR="00307AEF" w:rsidRPr="00307AEF">
        <w:rPr>
          <w:rFonts w:eastAsia="Calibri"/>
          <w:b/>
          <w:bCs/>
          <w:noProof/>
          <w:sz w:val="18"/>
          <w:szCs w:val="18"/>
          <w:lang w:val="es-DO"/>
        </w:rPr>
        <w:t>2</w:t>
      </w:r>
      <w:r w:rsidRPr="00307AEF">
        <w:rPr>
          <w:rFonts w:eastAsia="Calibri"/>
          <w:b/>
          <w:bCs/>
          <w:noProof/>
          <w:sz w:val="18"/>
          <w:szCs w:val="18"/>
          <w:lang w:val="es-DO"/>
        </w:rPr>
        <w:t>:</w:t>
      </w:r>
      <w:r w:rsidRPr="00307AEF">
        <w:rPr>
          <w:rFonts w:eastAsia="Calibri"/>
          <w:b/>
          <w:bCs/>
          <w:noProof/>
          <w:sz w:val="18"/>
          <w:szCs w:val="18"/>
          <w:lang w:val="es-ES"/>
        </w:rPr>
        <w:t xml:space="preserve"> </w:t>
      </w:r>
      <w:r w:rsidRPr="00307AEF">
        <w:rPr>
          <w:rFonts w:eastAsia="Calibri"/>
          <w:noProof/>
          <w:sz w:val="18"/>
          <w:szCs w:val="18"/>
          <w:lang w:val="es-ES"/>
        </w:rPr>
        <w:t>Reporte</w:t>
      </w:r>
      <w:r>
        <w:rPr>
          <w:rFonts w:eastAsia="Calibri"/>
          <w:noProof/>
          <w:sz w:val="18"/>
          <w:szCs w:val="18"/>
          <w:lang w:val="es-ES"/>
        </w:rPr>
        <w:t xml:space="preserve"> Índice de Control Interno</w:t>
      </w:r>
      <w:r w:rsidRPr="00FD209E">
        <w:rPr>
          <w:rFonts w:eastAsia="Calibri"/>
          <w:noProof/>
          <w:sz w:val="18"/>
          <w:szCs w:val="18"/>
          <w:lang w:val="es-ES"/>
        </w:rPr>
        <w:t>.</w:t>
      </w:r>
      <w:bookmarkEnd w:id="229"/>
      <w:bookmarkEnd w:id="230"/>
    </w:p>
    <w:p w14:paraId="2303E3BB" w14:textId="77777777" w:rsidR="003E5FCE" w:rsidRPr="00D10021" w:rsidRDefault="003E5FCE" w:rsidP="009F54E3">
      <w:pPr>
        <w:pStyle w:val="Heading1"/>
        <w:spacing w:after="240" w:line="259" w:lineRule="auto"/>
        <w:jc w:val="both"/>
        <w:rPr>
          <w:spacing w:val="0"/>
          <w:lang w:val="es-DO"/>
        </w:rPr>
      </w:pPr>
      <w:bookmarkStart w:id="231" w:name="_Toc139461515"/>
      <w:bookmarkStart w:id="232" w:name="_Toc140587658"/>
      <w:bookmarkStart w:id="233" w:name="_Toc172121430"/>
      <w:bookmarkStart w:id="234" w:name="_Toc185245112"/>
      <w:bookmarkStart w:id="235" w:name="_Toc172121435"/>
      <w:r>
        <w:rPr>
          <w:spacing w:val="0"/>
          <w:lang w:val="es-DO"/>
        </w:rPr>
        <w:t>4</w:t>
      </w:r>
      <w:r w:rsidRPr="00D10021">
        <w:rPr>
          <w:spacing w:val="0"/>
          <w:lang w:val="es-DO"/>
        </w:rPr>
        <w:t>.5. Desempeño del Sistema de Planificación y Desarrollo Institucional</w:t>
      </w:r>
      <w:bookmarkEnd w:id="231"/>
      <w:bookmarkEnd w:id="232"/>
      <w:bookmarkEnd w:id="233"/>
      <w:bookmarkEnd w:id="234"/>
    </w:p>
    <w:p w14:paraId="67443401" w14:textId="5FD1BD93" w:rsidR="003E5FCE" w:rsidRDefault="003E5FCE" w:rsidP="009F54E3">
      <w:pPr>
        <w:spacing w:line="360" w:lineRule="auto"/>
        <w:jc w:val="both"/>
        <w:rPr>
          <w:rFonts w:eastAsia="Calibri"/>
          <w:noProof/>
          <w:lang w:val="es-DO"/>
        </w:rPr>
      </w:pPr>
      <w:r>
        <w:rPr>
          <w:rFonts w:eastAsia="Calibri"/>
          <w:noProof/>
          <w:lang w:val="es-DO"/>
        </w:rPr>
        <w:t>La</w:t>
      </w:r>
      <w:r w:rsidRPr="001C2109">
        <w:rPr>
          <w:rFonts w:eastAsia="Calibri"/>
          <w:noProof/>
          <w:lang w:val="es-DO"/>
        </w:rPr>
        <w:t xml:space="preserve"> </w:t>
      </w:r>
      <w:r>
        <w:rPr>
          <w:rFonts w:eastAsia="Calibri"/>
          <w:noProof/>
          <w:lang w:val="es-DO"/>
        </w:rPr>
        <w:t>Dirección de Planificación y Desarrollo</w:t>
      </w:r>
      <w:r w:rsidRPr="001C2109">
        <w:rPr>
          <w:rFonts w:eastAsia="Calibri"/>
          <w:noProof/>
          <w:lang w:val="es-DO"/>
        </w:rPr>
        <w:t xml:space="preserve"> de la Tesorería de la Seguridad Social (TSS)</w:t>
      </w:r>
      <w:r>
        <w:rPr>
          <w:rFonts w:eastAsia="Calibri"/>
          <w:noProof/>
          <w:lang w:val="es-DO"/>
        </w:rPr>
        <w:t>,</w:t>
      </w:r>
      <w:r w:rsidRPr="001C2109">
        <w:rPr>
          <w:rFonts w:eastAsia="Calibri"/>
          <w:noProof/>
          <w:lang w:val="es-DO"/>
        </w:rPr>
        <w:t xml:space="preserve"> es un área transversal a toda la organización y tiene la responsabilidad de </w:t>
      </w:r>
      <w:r>
        <w:rPr>
          <w:rFonts w:eastAsia="Calibri"/>
          <w:noProof/>
          <w:lang w:val="es-DO"/>
        </w:rPr>
        <w:t>a</w:t>
      </w:r>
      <w:r w:rsidRPr="001C2109">
        <w:rPr>
          <w:rFonts w:eastAsia="Calibri"/>
          <w:noProof/>
          <w:lang w:val="es-DO"/>
        </w:rPr>
        <w:t xml:space="preserve">sesorar </w:t>
      </w:r>
      <w:r>
        <w:rPr>
          <w:rFonts w:eastAsia="Calibri"/>
          <w:noProof/>
          <w:lang w:val="es-DO"/>
        </w:rPr>
        <w:t xml:space="preserve">a </w:t>
      </w:r>
      <w:r w:rsidRPr="001C2109">
        <w:rPr>
          <w:rFonts w:eastAsia="Calibri"/>
          <w:noProof/>
          <w:lang w:val="es-DO"/>
        </w:rPr>
        <w:t xml:space="preserve">la Institución en materia de políticas, planes, programas y proyectos de la institución, así como </w:t>
      </w:r>
      <w:r>
        <w:rPr>
          <w:rFonts w:eastAsia="Calibri"/>
          <w:noProof/>
          <w:lang w:val="es-DO"/>
        </w:rPr>
        <w:t>la formulación de</w:t>
      </w:r>
      <w:r w:rsidRPr="001C2109">
        <w:rPr>
          <w:rFonts w:eastAsia="Calibri"/>
          <w:noProof/>
          <w:lang w:val="es-DO"/>
        </w:rPr>
        <w:t xml:space="preserve">l Plan Estratégico Institucional </w:t>
      </w:r>
      <w:r>
        <w:rPr>
          <w:rFonts w:eastAsia="Calibri"/>
          <w:noProof/>
          <w:lang w:val="es-DO"/>
        </w:rPr>
        <w:t xml:space="preserve">y los presupuestos institucionales, dentro de su gestión contempla los </w:t>
      </w:r>
      <w:r w:rsidRPr="001C2109">
        <w:rPr>
          <w:rFonts w:eastAsia="Calibri"/>
          <w:noProof/>
          <w:lang w:val="es-DO"/>
        </w:rPr>
        <w:t xml:space="preserve"> cambios organizacionales y de reingeniería de procesos</w:t>
      </w:r>
      <w:r>
        <w:rPr>
          <w:rFonts w:eastAsia="Calibri"/>
          <w:noProof/>
          <w:lang w:val="es-DO"/>
        </w:rPr>
        <w:t xml:space="preserve"> y el sistema de gestión de </w:t>
      </w:r>
      <w:r w:rsidRPr="00490B3F">
        <w:rPr>
          <w:rFonts w:eastAsia="Calibri"/>
          <w:noProof/>
          <w:lang w:val="es-DO"/>
        </w:rPr>
        <w:t>Desarrollo Institucional y Calidad en la Gestión</w:t>
      </w:r>
      <w:r>
        <w:rPr>
          <w:rFonts w:eastAsia="Calibri"/>
          <w:noProof/>
          <w:lang w:val="es-DO"/>
        </w:rPr>
        <w:t xml:space="preserve">. </w:t>
      </w:r>
    </w:p>
    <w:p w14:paraId="3E8BF79C" w14:textId="5F2D6113" w:rsidR="003E5FCE" w:rsidRPr="00835DB3" w:rsidRDefault="003E5FCE" w:rsidP="009F54E3">
      <w:pPr>
        <w:spacing w:line="360" w:lineRule="auto"/>
        <w:jc w:val="both"/>
        <w:rPr>
          <w:rFonts w:eastAsia="Calibri"/>
          <w:noProof/>
          <w:lang w:val="es-DO"/>
        </w:rPr>
      </w:pPr>
      <w:r w:rsidRPr="00835DB3">
        <w:rPr>
          <w:rFonts w:eastAsia="Calibri"/>
          <w:noProof/>
          <w:lang w:val="es-DO"/>
        </w:rPr>
        <w:t xml:space="preserve">La </w:t>
      </w:r>
      <w:r>
        <w:rPr>
          <w:rFonts w:eastAsia="Calibri"/>
          <w:noProof/>
          <w:lang w:val="es-DO"/>
        </w:rPr>
        <w:t>TSS</w:t>
      </w:r>
      <w:r w:rsidRPr="00835DB3">
        <w:rPr>
          <w:rFonts w:eastAsia="Calibri"/>
          <w:noProof/>
          <w:lang w:val="es-DO"/>
        </w:rPr>
        <w:t xml:space="preserve"> </w:t>
      </w:r>
      <w:r w:rsidR="00642ADF">
        <w:rPr>
          <w:rFonts w:eastAsia="Calibri"/>
          <w:noProof/>
          <w:lang w:val="es-DO"/>
        </w:rPr>
        <w:t>realizo en el mes de agosto, el</w:t>
      </w:r>
      <w:r w:rsidRPr="00835DB3">
        <w:rPr>
          <w:rFonts w:eastAsia="Calibri"/>
          <w:noProof/>
          <w:lang w:val="es-DO"/>
        </w:rPr>
        <w:t xml:space="preserve"> proceso de Formulación del Anteproyecto de presupuesto 202</w:t>
      </w:r>
      <w:r>
        <w:rPr>
          <w:rFonts w:eastAsia="Calibri"/>
          <w:noProof/>
          <w:lang w:val="es-DO"/>
        </w:rPr>
        <w:t>5</w:t>
      </w:r>
      <w:r w:rsidRPr="00835DB3">
        <w:rPr>
          <w:rFonts w:eastAsia="Calibri"/>
          <w:noProof/>
          <w:lang w:val="es-DO"/>
        </w:rPr>
        <w:t xml:space="preserve"> de acuerdo al calendario de DIGEPRES,  donde se mantienen aprobada la propuesta</w:t>
      </w:r>
      <w:r>
        <w:rPr>
          <w:rFonts w:eastAsia="Calibri"/>
          <w:noProof/>
          <w:lang w:val="es-DO"/>
        </w:rPr>
        <w:t xml:space="preserve"> de estrucutura programatica con </w:t>
      </w:r>
      <w:r w:rsidRPr="00835DB3">
        <w:rPr>
          <w:rFonts w:eastAsia="Calibri"/>
          <w:noProof/>
          <w:lang w:val="es-DO"/>
        </w:rPr>
        <w:t xml:space="preserve">los productos 7333, 7334 y 7335 e indicadores que reflejan la naturaleza para la cual fue creada la TSS, asociados al SUIR por ser la entidad a cargo de la base de </w:t>
      </w:r>
      <w:r w:rsidRPr="00835DB3">
        <w:rPr>
          <w:rFonts w:eastAsia="Calibri"/>
          <w:noProof/>
          <w:lang w:val="es-DO"/>
        </w:rPr>
        <w:lastRenderedPageBreak/>
        <w:t xml:space="preserve">datos del SDSS y de sometimientos y sanciones a empleadores morosos facultad otorgada por la </w:t>
      </w:r>
      <w:r>
        <w:rPr>
          <w:rFonts w:eastAsia="Calibri"/>
          <w:noProof/>
          <w:lang w:val="es-DO"/>
        </w:rPr>
        <w:t>L</w:t>
      </w:r>
      <w:r w:rsidRPr="00835DB3">
        <w:rPr>
          <w:rFonts w:eastAsia="Calibri"/>
          <w:noProof/>
          <w:lang w:val="es-DO"/>
        </w:rPr>
        <w:t xml:space="preserve">ey </w:t>
      </w:r>
      <w:r>
        <w:rPr>
          <w:rFonts w:eastAsia="Calibri"/>
          <w:noProof/>
          <w:lang w:val="es-DO"/>
        </w:rPr>
        <w:t xml:space="preserve">no. </w:t>
      </w:r>
      <w:r w:rsidRPr="00835DB3">
        <w:rPr>
          <w:rFonts w:eastAsia="Calibri"/>
          <w:noProof/>
          <w:lang w:val="es-DO"/>
        </w:rPr>
        <w:t xml:space="preserve">13-20. Los resultados alcanzados </w:t>
      </w:r>
      <w:r w:rsidR="00987B2F">
        <w:rPr>
          <w:rFonts w:eastAsia="Calibri"/>
          <w:noProof/>
          <w:lang w:val="es-DO"/>
        </w:rPr>
        <w:t>al</w:t>
      </w:r>
      <w:r w:rsidRPr="00835DB3">
        <w:rPr>
          <w:rFonts w:eastAsia="Calibri"/>
          <w:noProof/>
          <w:lang w:val="es-DO"/>
        </w:rPr>
        <w:t xml:space="preserve"> </w:t>
      </w:r>
      <w:r>
        <w:rPr>
          <w:rFonts w:eastAsia="Calibri"/>
          <w:noProof/>
          <w:lang w:val="es-DO"/>
        </w:rPr>
        <w:t>tercer trimestre</w:t>
      </w:r>
      <w:r w:rsidRPr="00835DB3">
        <w:rPr>
          <w:rFonts w:eastAsia="Calibri"/>
          <w:noProof/>
          <w:lang w:val="es-DO"/>
        </w:rPr>
        <w:t xml:space="preserve"> del 202</w:t>
      </w:r>
      <w:r>
        <w:rPr>
          <w:rFonts w:eastAsia="Calibri"/>
          <w:noProof/>
          <w:lang w:val="es-DO"/>
        </w:rPr>
        <w:t>4</w:t>
      </w:r>
      <w:r w:rsidRPr="00835DB3">
        <w:rPr>
          <w:rFonts w:eastAsia="Calibri"/>
          <w:noProof/>
          <w:lang w:val="es-DO"/>
        </w:rPr>
        <w:t xml:space="preserve"> es de </w:t>
      </w:r>
      <w:r w:rsidR="00987B2F">
        <w:rPr>
          <w:rFonts w:eastAsia="Calibri"/>
          <w:noProof/>
          <w:lang w:val="es-DO"/>
        </w:rPr>
        <w:t>48</w:t>
      </w:r>
      <w:r w:rsidRPr="00835DB3">
        <w:rPr>
          <w:rFonts w:eastAsia="Calibri"/>
          <w:noProof/>
          <w:lang w:val="es-DO"/>
        </w:rPr>
        <w:t xml:space="preserve">%, </w:t>
      </w:r>
      <w:r>
        <w:rPr>
          <w:rFonts w:eastAsia="Calibri"/>
          <w:noProof/>
          <w:lang w:val="es-DO"/>
        </w:rPr>
        <w:t>98.18</w:t>
      </w:r>
      <w:r w:rsidRPr="00835DB3">
        <w:rPr>
          <w:rFonts w:eastAsia="Calibri"/>
          <w:noProof/>
          <w:lang w:val="es-DO"/>
        </w:rPr>
        <w:t xml:space="preserve">% y </w:t>
      </w:r>
      <w:r>
        <w:rPr>
          <w:rFonts w:eastAsia="Calibri"/>
          <w:noProof/>
          <w:lang w:val="es-DO"/>
        </w:rPr>
        <w:t>98.86</w:t>
      </w:r>
      <w:r w:rsidRPr="00835DB3">
        <w:rPr>
          <w:rFonts w:eastAsia="Calibri"/>
          <w:noProof/>
          <w:lang w:val="es-DO"/>
        </w:rPr>
        <w:t xml:space="preserve">% respectivamente </w:t>
      </w:r>
      <w:r>
        <w:rPr>
          <w:rFonts w:eastAsia="Calibri"/>
          <w:noProof/>
          <w:lang w:val="es-DO"/>
        </w:rPr>
        <w:t xml:space="preserve">según </w:t>
      </w:r>
      <w:r w:rsidRPr="00835DB3">
        <w:rPr>
          <w:rFonts w:eastAsia="Calibri"/>
          <w:noProof/>
          <w:lang w:val="es-DO"/>
        </w:rPr>
        <w:t>fueron citados.</w:t>
      </w:r>
    </w:p>
    <w:p w14:paraId="1AA6EF12" w14:textId="77777777" w:rsidR="003E5FCE" w:rsidRPr="00B13A69" w:rsidRDefault="003E5FCE" w:rsidP="009F54E3">
      <w:pPr>
        <w:spacing w:line="360" w:lineRule="auto"/>
        <w:jc w:val="both"/>
        <w:rPr>
          <w:rFonts w:eastAsia="Calibri"/>
          <w:noProof/>
          <w:lang w:val="es-DO"/>
        </w:rPr>
      </w:pPr>
      <w:r w:rsidRPr="00B13A69">
        <w:rPr>
          <w:rFonts w:eastAsia="Calibri"/>
          <w:noProof/>
          <w:lang w:val="es-DO"/>
        </w:rPr>
        <w:t>Como parte del fortalecimiento institucional,  se ha identificado la automatización de los procesos internos para la rápida respuesta a nuestras partes interesadas, como lo es el de planificación estratégica y presupuestaria que permitirá una automatización y mayor precisión de nuestras actividades, fortalecer la toma de decisiones basado en evidencias, lograr una disminución en la programación y apoyo a las áreas para elaborar la planificación anual y estratégica, los seguimientos oportunos, así como, tener un mayor control de las variaciones que va sufriendo el presupuesto conforme se ejecutan las actividades mensuales.</w:t>
      </w:r>
    </w:p>
    <w:p w14:paraId="112E3F63" w14:textId="1B9FA91A" w:rsidR="003E5FCE" w:rsidRDefault="003E5FCE" w:rsidP="009F54E3">
      <w:pPr>
        <w:spacing w:line="360" w:lineRule="auto"/>
        <w:jc w:val="both"/>
        <w:rPr>
          <w:rFonts w:eastAsia="Calibri"/>
          <w:noProof/>
          <w:lang w:val="es-DO"/>
        </w:rPr>
      </w:pPr>
      <w:r w:rsidRPr="00463A36">
        <w:rPr>
          <w:rFonts w:eastAsia="Calibri"/>
          <w:noProof/>
          <w:lang w:val="es-DO"/>
        </w:rPr>
        <w:t>Para el fortalecimiento</w:t>
      </w:r>
      <w:r>
        <w:rPr>
          <w:rFonts w:eastAsia="Calibri"/>
          <w:noProof/>
          <w:lang w:val="es-DO"/>
        </w:rPr>
        <w:t xml:space="preserve"> y formulación</w:t>
      </w:r>
      <w:r w:rsidRPr="00463A36">
        <w:rPr>
          <w:rFonts w:eastAsia="Calibri"/>
          <w:noProof/>
          <w:lang w:val="es-DO"/>
        </w:rPr>
        <w:t xml:space="preserve"> de nuestro proceso de Planificación Estratégica  de cara a la actualización de nuestro PEI 2025-2028, </w:t>
      </w:r>
      <w:r>
        <w:rPr>
          <w:rFonts w:eastAsia="Calibri"/>
          <w:noProof/>
          <w:lang w:val="es-DO"/>
        </w:rPr>
        <w:t>la TSS se acompañ</w:t>
      </w:r>
      <w:r w:rsidR="0030402E">
        <w:rPr>
          <w:rFonts w:eastAsia="Calibri"/>
          <w:noProof/>
          <w:lang w:val="es-DO"/>
        </w:rPr>
        <w:t>ó</w:t>
      </w:r>
      <w:r>
        <w:rPr>
          <w:rFonts w:eastAsia="Calibri"/>
          <w:noProof/>
          <w:lang w:val="es-DO"/>
        </w:rPr>
        <w:t xml:space="preserve"> de una firma consultora </w:t>
      </w:r>
      <w:r w:rsidRPr="00463A36">
        <w:rPr>
          <w:rFonts w:eastAsia="Calibri"/>
          <w:noProof/>
          <w:lang w:val="es-DO"/>
        </w:rPr>
        <w:t>para guiar el proceso y realizar talleres y mesas de trabajo para elevar el pensamiento estratégico de nuestro personal directivo y encargados.</w:t>
      </w:r>
    </w:p>
    <w:p w14:paraId="36427522" w14:textId="77777777" w:rsidR="003E5FCE" w:rsidRPr="00DA069C" w:rsidRDefault="003E5FCE" w:rsidP="009F54E3">
      <w:pPr>
        <w:spacing w:line="360" w:lineRule="auto"/>
        <w:jc w:val="both"/>
        <w:rPr>
          <w:rFonts w:eastAsia="Calibri"/>
          <w:noProof/>
          <w:lang w:val="es-DO"/>
        </w:rPr>
      </w:pPr>
      <w:r>
        <w:rPr>
          <w:rFonts w:eastAsia="Calibri"/>
          <w:noProof/>
          <w:lang w:val="es-DO"/>
        </w:rPr>
        <w:t xml:space="preserve">Fue realizado el </w:t>
      </w:r>
      <w:r w:rsidRPr="00DA069C">
        <w:rPr>
          <w:rFonts w:eastAsia="Calibri"/>
          <w:noProof/>
          <w:lang w:val="es-DO"/>
        </w:rPr>
        <w:t xml:space="preserve">Análisis </w:t>
      </w:r>
      <w:r>
        <w:rPr>
          <w:rFonts w:eastAsia="Calibri"/>
          <w:noProof/>
          <w:lang w:val="es-DO"/>
        </w:rPr>
        <w:t>S</w:t>
      </w:r>
      <w:r w:rsidRPr="00DA069C">
        <w:rPr>
          <w:rFonts w:eastAsia="Calibri"/>
          <w:noProof/>
          <w:lang w:val="es-DO"/>
        </w:rPr>
        <w:t xml:space="preserve">ituacional actual en la que se encuentra la institución, respecto a su entorno externo, como en su funcionamiento a lo interno. </w:t>
      </w:r>
      <w:r>
        <w:rPr>
          <w:rFonts w:eastAsia="Calibri"/>
          <w:noProof/>
          <w:lang w:val="es-DO"/>
        </w:rPr>
        <w:t>Para esto fueron llevados a cabo sesiones con todos los directores y encargados de la Gerencia para levantar la informaci</w:t>
      </w:r>
      <w:r w:rsidRPr="00DA069C">
        <w:rPr>
          <w:rFonts w:eastAsia="Calibri"/>
          <w:noProof/>
          <w:lang w:val="es-DO"/>
        </w:rPr>
        <w:t>ó</w:t>
      </w:r>
      <w:r>
        <w:rPr>
          <w:rFonts w:eastAsia="Calibri"/>
          <w:noProof/>
          <w:lang w:val="es-DO"/>
        </w:rPr>
        <w:t>n sobre los procesos, dolores y desafíos que tiene la instituci</w:t>
      </w:r>
      <w:r w:rsidRPr="00DA069C">
        <w:rPr>
          <w:rFonts w:eastAsia="Calibri"/>
          <w:noProof/>
          <w:lang w:val="es-DO"/>
        </w:rPr>
        <w:t>ó</w:t>
      </w:r>
      <w:r>
        <w:rPr>
          <w:rFonts w:eastAsia="Calibri"/>
          <w:noProof/>
          <w:lang w:val="es-DO"/>
        </w:rPr>
        <w:t>n.</w:t>
      </w:r>
    </w:p>
    <w:p w14:paraId="2E946DB9" w14:textId="5A30FFBC" w:rsidR="003E5FCE" w:rsidRPr="00DA069C" w:rsidRDefault="003E5FCE" w:rsidP="009F54E3">
      <w:pPr>
        <w:spacing w:line="360" w:lineRule="auto"/>
        <w:jc w:val="both"/>
        <w:rPr>
          <w:rFonts w:eastAsia="Calibri"/>
          <w:noProof/>
          <w:lang w:val="es-DO"/>
        </w:rPr>
      </w:pPr>
      <w:r>
        <w:rPr>
          <w:rFonts w:eastAsia="Calibri"/>
          <w:noProof/>
          <w:lang w:val="es-DO"/>
        </w:rPr>
        <w:t>Se han llevado a cabo</w:t>
      </w:r>
      <w:r w:rsidRPr="00DA069C">
        <w:rPr>
          <w:rFonts w:eastAsia="Calibri"/>
          <w:noProof/>
          <w:lang w:val="es-DO"/>
        </w:rPr>
        <w:t xml:space="preserve"> </w:t>
      </w:r>
      <w:r>
        <w:rPr>
          <w:rFonts w:eastAsia="Calibri"/>
          <w:noProof/>
          <w:lang w:val="es-DO"/>
        </w:rPr>
        <w:t>c</w:t>
      </w:r>
      <w:r w:rsidRPr="00DA069C">
        <w:rPr>
          <w:rFonts w:eastAsia="Calibri"/>
          <w:noProof/>
          <w:lang w:val="es-DO"/>
        </w:rPr>
        <w:t>apacitaciones en Planificación Estratégica, Innovaci</w:t>
      </w:r>
      <w:r>
        <w:rPr>
          <w:rFonts w:eastAsia="Calibri"/>
          <w:noProof/>
          <w:lang w:val="es-DO"/>
        </w:rPr>
        <w:t>ó</w:t>
      </w:r>
      <w:r w:rsidRPr="00DA069C">
        <w:rPr>
          <w:rFonts w:eastAsia="Calibri"/>
          <w:noProof/>
          <w:lang w:val="es-DO"/>
        </w:rPr>
        <w:t>n, Gobierno Corporativo y Gobierno Abierto dirigida a</w:t>
      </w:r>
      <w:r>
        <w:rPr>
          <w:rFonts w:eastAsia="Calibri"/>
          <w:noProof/>
          <w:lang w:val="es-DO"/>
        </w:rPr>
        <w:t xml:space="preserve"> todos</w:t>
      </w:r>
      <w:r w:rsidRPr="00DA069C">
        <w:rPr>
          <w:rFonts w:eastAsia="Calibri"/>
          <w:noProof/>
          <w:lang w:val="es-DO"/>
        </w:rPr>
        <w:t xml:space="preserve"> los directores y encargados</w:t>
      </w:r>
      <w:r>
        <w:rPr>
          <w:rFonts w:eastAsia="Calibri"/>
          <w:noProof/>
          <w:lang w:val="es-DO"/>
        </w:rPr>
        <w:t xml:space="preserve"> de la TSS</w:t>
      </w:r>
      <w:r w:rsidR="00642ADF">
        <w:rPr>
          <w:rFonts w:eastAsia="Calibri"/>
          <w:noProof/>
          <w:lang w:val="es-DO"/>
        </w:rPr>
        <w:t>.</w:t>
      </w:r>
    </w:p>
    <w:p w14:paraId="0F4219EB" w14:textId="77777777" w:rsidR="003E5FCE" w:rsidRPr="00DA069C" w:rsidRDefault="003E5FCE" w:rsidP="009F54E3">
      <w:pPr>
        <w:spacing w:line="360" w:lineRule="auto"/>
        <w:jc w:val="both"/>
        <w:rPr>
          <w:rFonts w:eastAsia="Calibri"/>
          <w:noProof/>
          <w:lang w:val="es-DO"/>
        </w:rPr>
      </w:pPr>
      <w:r>
        <w:rPr>
          <w:rFonts w:eastAsia="Calibri"/>
          <w:noProof/>
          <w:lang w:val="es-DO"/>
        </w:rPr>
        <w:lastRenderedPageBreak/>
        <w:t>Se han realizado</w:t>
      </w:r>
      <w:r w:rsidRPr="00DA069C">
        <w:rPr>
          <w:rFonts w:eastAsia="Calibri"/>
          <w:noProof/>
          <w:lang w:val="es-DO"/>
        </w:rPr>
        <w:t xml:space="preserve"> talleres </w:t>
      </w:r>
      <w:r>
        <w:rPr>
          <w:rFonts w:eastAsia="Calibri"/>
          <w:noProof/>
          <w:lang w:val="es-DO"/>
        </w:rPr>
        <w:t>con</w:t>
      </w:r>
      <w:r w:rsidRPr="00DA069C">
        <w:rPr>
          <w:rFonts w:eastAsia="Calibri"/>
          <w:noProof/>
          <w:lang w:val="es-DO"/>
        </w:rPr>
        <w:t xml:space="preserve"> todo el personal para el an</w:t>
      </w:r>
      <w:r w:rsidRPr="00A414EA">
        <w:rPr>
          <w:rFonts w:eastAsia="Calibri"/>
          <w:noProof/>
          <w:lang w:val="es-DO"/>
        </w:rPr>
        <w:t>á</w:t>
      </w:r>
      <w:r w:rsidRPr="00DA069C">
        <w:rPr>
          <w:rFonts w:eastAsia="Calibri"/>
          <w:noProof/>
          <w:lang w:val="es-DO"/>
        </w:rPr>
        <w:t>lisis FODA, donde fueron organizados 6 grupos de trabajo de manera presencial y virtual</w:t>
      </w:r>
      <w:r>
        <w:rPr>
          <w:rFonts w:eastAsia="Calibri"/>
          <w:noProof/>
          <w:lang w:val="es-DO"/>
        </w:rPr>
        <w:t>,</w:t>
      </w:r>
      <w:r w:rsidRPr="00DA069C">
        <w:rPr>
          <w:rFonts w:eastAsia="Calibri"/>
          <w:noProof/>
          <w:lang w:val="es-DO"/>
        </w:rPr>
        <w:t xml:space="preserve"> divididos en 4 mesas de trabajo, luego estas informaciones fueron consolidadas y analizadas para unificar criterios. </w:t>
      </w:r>
      <w:r>
        <w:rPr>
          <w:rFonts w:eastAsia="Calibri"/>
          <w:noProof/>
          <w:lang w:val="es-DO"/>
        </w:rPr>
        <w:t>Fue</w:t>
      </w:r>
      <w:r w:rsidRPr="00DA069C">
        <w:rPr>
          <w:rFonts w:eastAsia="Calibri"/>
          <w:noProof/>
          <w:lang w:val="es-DO"/>
        </w:rPr>
        <w:t xml:space="preserve"> comparti</w:t>
      </w:r>
      <w:r>
        <w:rPr>
          <w:rFonts w:eastAsia="Calibri"/>
          <w:noProof/>
          <w:lang w:val="es-DO"/>
        </w:rPr>
        <w:t>da</w:t>
      </w:r>
      <w:r w:rsidRPr="00DA069C">
        <w:rPr>
          <w:rFonts w:eastAsia="Calibri"/>
          <w:noProof/>
          <w:lang w:val="es-DO"/>
        </w:rPr>
        <w:t xml:space="preserve"> una encuesta </w:t>
      </w:r>
      <w:r>
        <w:rPr>
          <w:rFonts w:eastAsia="Calibri"/>
          <w:noProof/>
          <w:lang w:val="es-DO"/>
        </w:rPr>
        <w:t>a todo el personal para</w:t>
      </w:r>
      <w:r w:rsidRPr="00DA069C">
        <w:rPr>
          <w:rFonts w:eastAsia="Calibri"/>
          <w:noProof/>
          <w:lang w:val="es-DO"/>
        </w:rPr>
        <w:t xml:space="preserve"> categoriza</w:t>
      </w:r>
      <w:r>
        <w:rPr>
          <w:rFonts w:eastAsia="Calibri"/>
          <w:noProof/>
          <w:lang w:val="es-DO"/>
        </w:rPr>
        <w:t>r</w:t>
      </w:r>
      <w:r w:rsidRPr="00DA069C">
        <w:rPr>
          <w:rFonts w:eastAsia="Calibri"/>
          <w:noProof/>
          <w:lang w:val="es-DO"/>
        </w:rPr>
        <w:t xml:space="preserve"> por nivel de prioridad e impacto para la instituci</w:t>
      </w:r>
      <w:r w:rsidRPr="00A414EA">
        <w:rPr>
          <w:rFonts w:eastAsia="Calibri"/>
          <w:noProof/>
          <w:lang w:val="es-DO"/>
        </w:rPr>
        <w:t>ó</w:t>
      </w:r>
      <w:r w:rsidRPr="00DA069C">
        <w:rPr>
          <w:rFonts w:eastAsia="Calibri"/>
          <w:noProof/>
          <w:lang w:val="es-DO"/>
        </w:rPr>
        <w:t>n.</w:t>
      </w:r>
    </w:p>
    <w:p w14:paraId="5C306B92" w14:textId="77777777" w:rsidR="0021654B" w:rsidRPr="0021654B" w:rsidRDefault="0021654B" w:rsidP="009F54E3">
      <w:pPr>
        <w:spacing w:line="360" w:lineRule="auto"/>
        <w:jc w:val="both"/>
        <w:rPr>
          <w:rFonts w:eastAsia="Calibri"/>
          <w:noProof/>
          <w:lang w:val="es-DO"/>
        </w:rPr>
      </w:pPr>
      <w:r w:rsidRPr="0021654B">
        <w:rPr>
          <w:rFonts w:eastAsia="Calibri"/>
          <w:noProof/>
          <w:lang w:val="es-DO"/>
        </w:rPr>
        <w:t>Fue presentado el nuevo Plan Estratégico Institucional TSS 2025-2028, la estructura de este nuevo plan contiene 5 ejes estratégicos, 9 objetivos estratégicos, 20 resultados esperados, 35 indicadores estratégicos y 65 iniciativas estratégicas.</w:t>
      </w:r>
    </w:p>
    <w:p w14:paraId="182B3338" w14:textId="77777777" w:rsidR="0021654B" w:rsidRPr="0021654B" w:rsidRDefault="0021654B" w:rsidP="009F54E3">
      <w:pPr>
        <w:spacing w:line="360" w:lineRule="auto"/>
        <w:jc w:val="both"/>
        <w:rPr>
          <w:rFonts w:eastAsia="Calibri"/>
          <w:noProof/>
          <w:lang w:val="es-DO"/>
        </w:rPr>
      </w:pPr>
      <w:r w:rsidRPr="0021654B">
        <w:rPr>
          <w:rFonts w:eastAsia="Calibri"/>
          <w:noProof/>
          <w:lang w:val="es-DO"/>
        </w:rPr>
        <w:t>Para el desarrollo de la estrategia institucional, fueron definidos 5 ejes: Gobernanza y Excelencia Operativa, Servicio y Posicionamiento Institucional, Regulación y Supervisión, Riesgo y Control de Gestión y eje de Crecimiento y Desarrollo del Talento Humano.</w:t>
      </w:r>
    </w:p>
    <w:p w14:paraId="7F72A8B7" w14:textId="77777777" w:rsidR="0021654B" w:rsidRPr="0021654B" w:rsidRDefault="0021654B" w:rsidP="009F54E3">
      <w:pPr>
        <w:spacing w:line="360" w:lineRule="auto"/>
        <w:jc w:val="both"/>
        <w:rPr>
          <w:rFonts w:eastAsia="Calibri"/>
          <w:noProof/>
          <w:lang w:val="es-DO"/>
        </w:rPr>
      </w:pPr>
      <w:r w:rsidRPr="0021654B">
        <w:rPr>
          <w:rFonts w:eastAsia="Calibri"/>
          <w:noProof/>
          <w:lang w:val="es-DO"/>
        </w:rPr>
        <w:t>Se ha instaurado con éxito una cultura orientada hacia la gestión de riesgos, que permite la identificación de eventos capaces de afectar las operaciones de la TSS, así como la adopción de medidas para mitigar su impacto.</w:t>
      </w:r>
    </w:p>
    <w:p w14:paraId="07C3F123" w14:textId="6AF20338" w:rsidR="0021654B" w:rsidRPr="0021654B" w:rsidRDefault="00642ADF" w:rsidP="009F54E3">
      <w:pPr>
        <w:spacing w:line="360" w:lineRule="auto"/>
        <w:jc w:val="both"/>
        <w:rPr>
          <w:rFonts w:eastAsia="Calibri"/>
          <w:noProof/>
          <w:lang w:val="es-DO"/>
        </w:rPr>
      </w:pPr>
      <w:r>
        <w:rPr>
          <w:rFonts w:eastAsia="Calibri"/>
          <w:noProof/>
          <w:lang w:val="es-DO"/>
        </w:rPr>
        <w:t>Fue realizada la segunda auditoria de seguimiento</w:t>
      </w:r>
      <w:r w:rsidR="0021654B" w:rsidRPr="0021654B">
        <w:rPr>
          <w:rFonts w:eastAsia="Calibri"/>
          <w:noProof/>
          <w:lang w:val="es-DO"/>
        </w:rPr>
        <w:t xml:space="preserve"> sin identificación de no conformidades por cinco años consecutivos para nuestro sistema de Gestión Integrado, basado en la Norma ISO 9001:2015 dando constancia al compromiso institucional con la excelencia.</w:t>
      </w:r>
    </w:p>
    <w:p w14:paraId="05B1E4C2" w14:textId="7EE8F0D6" w:rsidR="003E5FCE" w:rsidRDefault="003E5FCE" w:rsidP="009F54E3">
      <w:pPr>
        <w:spacing w:line="360" w:lineRule="auto"/>
        <w:jc w:val="both"/>
        <w:rPr>
          <w:rFonts w:eastAsia="Calibri"/>
          <w:noProof/>
          <w:lang w:val="es-DO"/>
        </w:rPr>
      </w:pPr>
      <w:r>
        <w:rPr>
          <w:rFonts w:eastAsia="Calibri"/>
          <w:noProof/>
          <w:lang w:val="es-DO"/>
        </w:rPr>
        <w:t>A través de los seguimientos trimestrales realizados por la Dirección de Planificación y Desarrollo mediante las fichas de seguimiento del Plan Operativo Anual, se obtienen los resultados de los logros alcanzados por la TSS de los productos definidos en los diferentes ejes de nuestro plan estrat</w:t>
      </w:r>
      <w:r w:rsidR="005C4045">
        <w:rPr>
          <w:rFonts w:eastAsia="Calibri"/>
          <w:noProof/>
          <w:lang w:val="es-DO"/>
        </w:rPr>
        <w:t>é</w:t>
      </w:r>
      <w:r>
        <w:rPr>
          <w:rFonts w:eastAsia="Calibri"/>
          <w:noProof/>
          <w:lang w:val="es-DO"/>
        </w:rPr>
        <w:t xml:space="preserve">gico vigente. Estos resultados se detallan a continuación: </w:t>
      </w:r>
    </w:p>
    <w:p w14:paraId="14A1A6D8" w14:textId="33C11152" w:rsidR="003E5FCE" w:rsidRPr="00BC65EC" w:rsidRDefault="003E5FCE" w:rsidP="009F54E3">
      <w:pPr>
        <w:spacing w:line="360" w:lineRule="auto"/>
        <w:jc w:val="both"/>
        <w:rPr>
          <w:rFonts w:eastAsia="Calibri"/>
          <w:noProof/>
          <w:lang w:val="es-DO"/>
        </w:rPr>
      </w:pPr>
      <w:r w:rsidRPr="00AA3D18">
        <w:rPr>
          <w:rFonts w:eastAsia="Calibri"/>
          <w:noProof/>
          <w:lang w:val="es-DO"/>
        </w:rPr>
        <w:lastRenderedPageBreak/>
        <w:t xml:space="preserve">EJE1: Experiencia al Usuario con un avance de </w:t>
      </w:r>
      <w:r>
        <w:rPr>
          <w:rFonts w:eastAsia="Calibri"/>
          <w:noProof/>
          <w:lang w:val="es-DO"/>
        </w:rPr>
        <w:t>75</w:t>
      </w:r>
      <w:r w:rsidRPr="00BC65EC">
        <w:rPr>
          <w:rFonts w:eastAsia="Calibri"/>
          <w:noProof/>
          <w:lang w:val="es-DO"/>
        </w:rPr>
        <w:t>%</w:t>
      </w:r>
    </w:p>
    <w:p w14:paraId="188A6112" w14:textId="1FEF2A9C" w:rsidR="003E5FCE" w:rsidRPr="00AA3D18" w:rsidRDefault="003E5FCE" w:rsidP="009F54E3">
      <w:pPr>
        <w:spacing w:line="360" w:lineRule="auto"/>
        <w:jc w:val="both"/>
        <w:rPr>
          <w:rFonts w:eastAsia="Calibri"/>
          <w:noProof/>
          <w:lang w:val="es-DO"/>
        </w:rPr>
      </w:pPr>
      <w:r w:rsidRPr="00AA3D18">
        <w:rPr>
          <w:rFonts w:eastAsia="Calibri"/>
          <w:noProof/>
          <w:lang w:val="es-DO"/>
        </w:rPr>
        <w:t xml:space="preserve">EJE2: Fortalecimiento Institucional con un avance de </w:t>
      </w:r>
      <w:r>
        <w:rPr>
          <w:rFonts w:eastAsia="Calibri"/>
          <w:noProof/>
          <w:lang w:val="es-DO"/>
        </w:rPr>
        <w:t>65</w:t>
      </w:r>
      <w:r w:rsidRPr="00BC65EC">
        <w:rPr>
          <w:rFonts w:eastAsia="Calibri"/>
          <w:noProof/>
          <w:lang w:val="es-DO"/>
        </w:rPr>
        <w:t>%</w:t>
      </w:r>
    </w:p>
    <w:p w14:paraId="1DD1E869" w14:textId="69CE3F79" w:rsidR="003E5FCE" w:rsidRDefault="003E5FCE" w:rsidP="009F54E3">
      <w:pPr>
        <w:spacing w:line="360" w:lineRule="auto"/>
        <w:jc w:val="both"/>
        <w:rPr>
          <w:rFonts w:eastAsia="Calibri"/>
          <w:noProof/>
          <w:lang w:val="es-DO"/>
        </w:rPr>
      </w:pPr>
      <w:r w:rsidRPr="00AA3D18">
        <w:rPr>
          <w:rFonts w:eastAsia="Calibri"/>
          <w:noProof/>
          <w:lang w:val="es-DO"/>
        </w:rPr>
        <w:t xml:space="preserve">EJE3: Crecimiento y Desarrollo con un avance de </w:t>
      </w:r>
      <w:r>
        <w:rPr>
          <w:rFonts w:eastAsia="Calibri"/>
          <w:noProof/>
          <w:lang w:val="es-DO"/>
        </w:rPr>
        <w:t>67</w:t>
      </w:r>
      <w:r w:rsidRPr="00BC65EC">
        <w:rPr>
          <w:rFonts w:eastAsia="Calibri"/>
          <w:noProof/>
          <w:lang w:val="es-DO"/>
        </w:rPr>
        <w:t>%</w:t>
      </w:r>
    </w:p>
    <w:p w14:paraId="7AED5670" w14:textId="61727C12" w:rsidR="00796934" w:rsidRPr="00796934" w:rsidRDefault="00CC7170" w:rsidP="009F54E3">
      <w:pPr>
        <w:spacing w:line="360" w:lineRule="auto"/>
        <w:jc w:val="both"/>
        <w:rPr>
          <w:rFonts w:eastAsia="Calibri"/>
          <w:noProof/>
          <w:lang w:val="es-DO"/>
        </w:rPr>
      </w:pPr>
      <w:r>
        <w:rPr>
          <w:rFonts w:eastAsia="Calibri"/>
          <w:noProof/>
          <w:lang w:val="es-DO"/>
        </w:rPr>
        <w:t>Se realizó la encuesta de Credibilidad y Transparencia a todos los entes re</w:t>
      </w:r>
      <w:r w:rsidR="00796934">
        <w:rPr>
          <w:rFonts w:eastAsia="Calibri"/>
          <w:noProof/>
          <w:lang w:val="es-DO"/>
        </w:rPr>
        <w:t>la</w:t>
      </w:r>
      <w:r>
        <w:rPr>
          <w:rFonts w:eastAsia="Calibri"/>
          <w:noProof/>
          <w:lang w:val="es-DO"/>
        </w:rPr>
        <w:t xml:space="preserve">cionados con la institución en los cuales de las 167 instituciones envidas </w:t>
      </w:r>
      <w:r w:rsidR="00796934">
        <w:rPr>
          <w:rFonts w:eastAsia="Calibri"/>
          <w:noProof/>
          <w:lang w:val="es-DO"/>
        </w:rPr>
        <w:t>e</w:t>
      </w:r>
      <w:r w:rsidR="00796934" w:rsidRPr="00796934">
        <w:rPr>
          <w:rFonts w:eastAsia="Calibri"/>
          <w:noProof/>
          <w:lang w:val="es-DO"/>
        </w:rPr>
        <w:t>l valor</w:t>
      </w:r>
      <w:r w:rsidR="00796934">
        <w:rPr>
          <w:rFonts w:eastAsia="Calibri"/>
          <w:noProof/>
          <w:lang w:val="es-DO"/>
        </w:rPr>
        <w:t xml:space="preserve"> en puntuación obtenido fue de </w:t>
      </w:r>
      <w:r w:rsidR="00796934" w:rsidRPr="00796934">
        <w:rPr>
          <w:rFonts w:eastAsia="Calibri"/>
          <w:noProof/>
          <w:lang w:val="es-DO"/>
        </w:rPr>
        <w:t xml:space="preserve"> </w:t>
      </w:r>
      <w:r w:rsidR="00584B8E">
        <w:rPr>
          <w:rFonts w:eastAsia="Calibri"/>
          <w:noProof/>
          <w:lang w:val="es-DO"/>
        </w:rPr>
        <w:t>95.99</w:t>
      </w:r>
      <w:r w:rsidR="00796934" w:rsidRPr="00796934">
        <w:rPr>
          <w:rFonts w:eastAsia="Calibri"/>
          <w:noProof/>
          <w:lang w:val="es-DO"/>
        </w:rPr>
        <w:t xml:space="preserve">% </w:t>
      </w:r>
      <w:r w:rsidR="00796934">
        <w:rPr>
          <w:rFonts w:eastAsia="Calibri"/>
          <w:noProof/>
          <w:lang w:val="es-DO"/>
        </w:rPr>
        <w:t xml:space="preserve">lo que </w:t>
      </w:r>
      <w:r w:rsidR="00796934" w:rsidRPr="00796934">
        <w:rPr>
          <w:rFonts w:eastAsia="Calibri"/>
          <w:noProof/>
          <w:lang w:val="es-DO"/>
        </w:rPr>
        <w:t>indica el compromiso que ha asumido la Tesorería de la Seguridad Social en el año 2024 de mantener un alto nivel de satisfacción, además de posicionamiento como una institución eficiente y transparente.</w:t>
      </w:r>
    </w:p>
    <w:p w14:paraId="3B66E595" w14:textId="77777777" w:rsidR="003303DE" w:rsidRDefault="00796934" w:rsidP="009F54E3">
      <w:pPr>
        <w:spacing w:line="360" w:lineRule="auto"/>
        <w:jc w:val="both"/>
        <w:rPr>
          <w:rFonts w:eastAsia="Calibri"/>
          <w:noProof/>
          <w:lang w:val="es-DO"/>
        </w:rPr>
      </w:pPr>
      <w:r w:rsidRPr="00796934">
        <w:rPr>
          <w:rFonts w:eastAsia="Calibri"/>
          <w:noProof/>
          <w:lang w:val="es-DO"/>
        </w:rPr>
        <w:t>Los retos son continuar brindando eficaces servicios, velar por el cumplimiento de la misión y la calidad de los procesos conferidos por la Ley no. 87-01 con sus modificaciones.</w:t>
      </w:r>
    </w:p>
    <w:p w14:paraId="3C560F7F" w14:textId="656859A2" w:rsidR="0021654B" w:rsidRPr="009F54E3" w:rsidRDefault="00B0637A" w:rsidP="009F54E3">
      <w:pPr>
        <w:spacing w:line="360" w:lineRule="auto"/>
        <w:jc w:val="both"/>
        <w:rPr>
          <w:rFonts w:eastAsia="Calibri"/>
          <w:b/>
          <w:bCs/>
          <w:noProof/>
          <w:lang w:val="es-DO"/>
        </w:rPr>
      </w:pPr>
      <w:r w:rsidRPr="009F54E3">
        <w:rPr>
          <w:rFonts w:eastAsia="Calibri"/>
          <w:b/>
          <w:bCs/>
          <w:noProof/>
          <w:lang w:val="es-DO"/>
        </w:rPr>
        <w:t xml:space="preserve">Resultados </w:t>
      </w:r>
      <w:r w:rsidR="00C37A3B" w:rsidRPr="009F54E3">
        <w:rPr>
          <w:rFonts w:eastAsia="Calibri"/>
          <w:b/>
          <w:bCs/>
          <w:noProof/>
          <w:lang w:val="es-DO"/>
        </w:rPr>
        <w:t>del sistema de Gestión Integrado</w:t>
      </w:r>
    </w:p>
    <w:p w14:paraId="6020C381" w14:textId="77777777" w:rsidR="00B0637A" w:rsidRPr="00B0637A" w:rsidRDefault="00B0637A" w:rsidP="00B0637A">
      <w:pPr>
        <w:rPr>
          <w:b/>
          <w:bCs/>
          <w:lang w:val="es-DO"/>
        </w:rPr>
      </w:pPr>
      <w:r w:rsidRPr="00B0637A">
        <w:rPr>
          <w:b/>
          <w:bCs/>
          <w:lang w:val="es-DO"/>
        </w:rPr>
        <w:t>Implementación del Tablero de Indicadores Institucionales en Power BI</w:t>
      </w:r>
    </w:p>
    <w:p w14:paraId="63F90301" w14:textId="77777777" w:rsidR="00B0637A" w:rsidRPr="001B368A" w:rsidRDefault="00B0637A" w:rsidP="0010597E">
      <w:pPr>
        <w:spacing w:line="360" w:lineRule="auto"/>
        <w:jc w:val="both"/>
        <w:rPr>
          <w:rFonts w:eastAsia="Calibri"/>
          <w:noProof/>
          <w:lang w:val="es-DO"/>
        </w:rPr>
      </w:pPr>
      <w:r w:rsidRPr="001B368A">
        <w:rPr>
          <w:rFonts w:eastAsia="Calibri"/>
          <w:noProof/>
          <w:lang w:val="es-DO"/>
        </w:rPr>
        <w:t xml:space="preserve">En nuestra búsqueda por fortalecer la gestión basada en resultados, hemos desarrollado un tablero de indicadores institucionales en Power BI. Este tablero concentra en un solo espacio todos los indicadores </w:t>
      </w:r>
      <w:r>
        <w:rPr>
          <w:rFonts w:eastAsia="Calibri"/>
          <w:noProof/>
          <w:lang w:val="es-DO"/>
        </w:rPr>
        <w:t>institucioanles</w:t>
      </w:r>
      <w:r w:rsidRPr="001B368A">
        <w:rPr>
          <w:rFonts w:eastAsia="Calibri"/>
          <w:noProof/>
          <w:lang w:val="es-DO"/>
        </w:rPr>
        <w:t xml:space="preserve"> y los objetivos de calidad</w:t>
      </w:r>
      <w:r>
        <w:rPr>
          <w:rFonts w:eastAsia="Calibri"/>
          <w:noProof/>
          <w:lang w:val="es-DO"/>
        </w:rPr>
        <w:t xml:space="preserve"> con su respectivamente metas definidos en el año</w:t>
      </w:r>
      <w:r w:rsidRPr="001B368A">
        <w:rPr>
          <w:rFonts w:eastAsia="Calibri"/>
          <w:noProof/>
          <w:lang w:val="es-DO"/>
        </w:rPr>
        <w:t>, brindando a todo el personal acceso a una herramienta visual e intuitiva para el seguimiento de los avances y el cumplimiento de metas.</w:t>
      </w:r>
    </w:p>
    <w:p w14:paraId="62F520B7" w14:textId="77777777" w:rsidR="00B0637A" w:rsidRPr="001B368A" w:rsidRDefault="00B0637A" w:rsidP="0010597E">
      <w:pPr>
        <w:spacing w:line="360" w:lineRule="auto"/>
        <w:jc w:val="both"/>
        <w:rPr>
          <w:rFonts w:eastAsia="Calibri"/>
          <w:noProof/>
          <w:lang w:val="es-DO"/>
        </w:rPr>
      </w:pPr>
    </w:p>
    <w:p w14:paraId="45F49DE6" w14:textId="77777777" w:rsidR="00B0637A" w:rsidRPr="0010597E" w:rsidRDefault="00B0637A" w:rsidP="0010597E">
      <w:pPr>
        <w:spacing w:line="360" w:lineRule="auto"/>
        <w:jc w:val="both"/>
        <w:rPr>
          <w:rFonts w:eastAsia="Calibri"/>
          <w:noProof/>
          <w:lang w:val="es-DO"/>
        </w:rPr>
      </w:pPr>
      <w:r w:rsidRPr="001B368A">
        <w:rPr>
          <w:rFonts w:eastAsia="Calibri"/>
          <w:noProof/>
          <w:lang w:val="es-DO"/>
        </w:rPr>
        <w:t xml:space="preserve">El tablero está integrado con Power Apps, permitiendo que trimestralmente </w:t>
      </w:r>
      <w:r>
        <w:rPr>
          <w:rFonts w:eastAsia="Calibri"/>
          <w:noProof/>
          <w:lang w:val="es-DO"/>
        </w:rPr>
        <w:t>se</w:t>
      </w:r>
      <w:r w:rsidRPr="001B368A">
        <w:rPr>
          <w:rFonts w:eastAsia="Calibri"/>
          <w:noProof/>
          <w:lang w:val="es-DO"/>
        </w:rPr>
        <w:t xml:space="preserve"> actualicen los avances de cada indicador mediante un formulario diseñado específicamente para este propósito. Este formulario también permite cargar las evidencias necesarias, asegurando la trazabilidad y transparencia en la </w:t>
      </w:r>
      <w:r w:rsidRPr="001B368A">
        <w:rPr>
          <w:rFonts w:eastAsia="Calibri"/>
          <w:noProof/>
          <w:lang w:val="es-DO"/>
        </w:rPr>
        <w:lastRenderedPageBreak/>
        <w:t>información reportada. La integración entre Power Apps y Power BI asegura que los datos sean actualizados en tiempo real, facilitando una toma de decisiones oportuna y promoviendo una cultura de rendición de cuentas y mejora continua en la institución.</w:t>
      </w:r>
      <w:r w:rsidRPr="0010597E">
        <w:rPr>
          <w:rFonts w:eastAsia="Calibri"/>
          <w:noProof/>
          <w:lang w:val="es-DO"/>
        </w:rPr>
        <w:t xml:space="preserve"> </w:t>
      </w:r>
    </w:p>
    <w:p w14:paraId="7379770F" w14:textId="77777777" w:rsidR="00987B2F" w:rsidRDefault="00B0637A" w:rsidP="00B0637A">
      <w:pPr>
        <w:spacing w:after="0" w:line="360" w:lineRule="auto"/>
        <w:jc w:val="both"/>
        <w:rPr>
          <w:noProof/>
          <w:lang w:val="es-ES"/>
        </w:rPr>
      </w:pPr>
      <w:r>
        <w:rPr>
          <w:noProof/>
        </w:rPr>
        <w:drawing>
          <wp:inline distT="0" distB="0" distL="0" distR="0" wp14:anchorId="09C3E484" wp14:editId="72456AF7">
            <wp:extent cx="4272076" cy="2205306"/>
            <wp:effectExtent l="0" t="0" r="0" b="5080"/>
            <wp:docPr id="14397459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745980" name="Picture 1" descr="A screenshot of a computer&#10;&#10;Description automatically generated"/>
                    <pic:cNvPicPr/>
                  </pic:nvPicPr>
                  <pic:blipFill>
                    <a:blip r:embed="rId45"/>
                    <a:stretch>
                      <a:fillRect/>
                    </a:stretch>
                  </pic:blipFill>
                  <pic:spPr>
                    <a:xfrm>
                      <a:off x="0" y="0"/>
                      <a:ext cx="4281683" cy="2210265"/>
                    </a:xfrm>
                    <a:prstGeom prst="rect">
                      <a:avLst/>
                    </a:prstGeom>
                  </pic:spPr>
                </pic:pic>
              </a:graphicData>
            </a:graphic>
          </wp:inline>
        </w:drawing>
      </w:r>
      <w:r w:rsidRPr="007E48DE">
        <w:rPr>
          <w:noProof/>
          <w:lang w:val="es-ES"/>
        </w:rPr>
        <w:t xml:space="preserve"> </w:t>
      </w:r>
    </w:p>
    <w:p w14:paraId="50914974" w14:textId="77777777" w:rsidR="00987B2F" w:rsidRDefault="00987B2F" w:rsidP="00B0637A">
      <w:pPr>
        <w:spacing w:after="0" w:line="360" w:lineRule="auto"/>
        <w:jc w:val="both"/>
        <w:rPr>
          <w:noProof/>
          <w:lang w:val="es-ES"/>
        </w:rPr>
      </w:pPr>
    </w:p>
    <w:p w14:paraId="70F50723" w14:textId="6C257153" w:rsidR="00B0637A" w:rsidRDefault="00B0637A" w:rsidP="00987B2F">
      <w:pPr>
        <w:spacing w:after="0" w:line="360" w:lineRule="auto"/>
        <w:jc w:val="both"/>
        <w:rPr>
          <w:noProof/>
          <w:lang w:val="es-ES"/>
        </w:rPr>
      </w:pPr>
      <w:r>
        <w:rPr>
          <w:noProof/>
        </w:rPr>
        <w:drawing>
          <wp:inline distT="0" distB="0" distL="0" distR="0" wp14:anchorId="30EBC280" wp14:editId="2E368F1C">
            <wp:extent cx="4430845" cy="2260397"/>
            <wp:effectExtent l="0" t="0" r="8255" b="6985"/>
            <wp:docPr id="53145947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459477" name="Picture 1" descr="A screenshot of a computer&#10;&#10;Description automatically generated"/>
                    <pic:cNvPicPr/>
                  </pic:nvPicPr>
                  <pic:blipFill>
                    <a:blip r:embed="rId46"/>
                    <a:stretch>
                      <a:fillRect/>
                    </a:stretch>
                  </pic:blipFill>
                  <pic:spPr>
                    <a:xfrm>
                      <a:off x="0" y="0"/>
                      <a:ext cx="4444398" cy="2267311"/>
                    </a:xfrm>
                    <a:prstGeom prst="rect">
                      <a:avLst/>
                    </a:prstGeom>
                  </pic:spPr>
                </pic:pic>
              </a:graphicData>
            </a:graphic>
          </wp:inline>
        </w:drawing>
      </w:r>
    </w:p>
    <w:p w14:paraId="3953290E" w14:textId="2D8D9616" w:rsidR="00987B2F" w:rsidRDefault="00690EA0" w:rsidP="00987B2F">
      <w:pPr>
        <w:spacing w:after="0" w:line="360" w:lineRule="auto"/>
        <w:rPr>
          <w:sz w:val="18"/>
          <w:szCs w:val="18"/>
          <w:lang w:val="es-DO"/>
        </w:rPr>
      </w:pPr>
      <w:r w:rsidRPr="00690EA0">
        <w:rPr>
          <w:b/>
          <w:bCs/>
          <w:sz w:val="18"/>
          <w:szCs w:val="18"/>
          <w:lang w:val="es-DO"/>
        </w:rPr>
        <w:t>Imagen</w:t>
      </w:r>
      <w:r w:rsidR="0024181E">
        <w:rPr>
          <w:b/>
          <w:bCs/>
          <w:sz w:val="18"/>
          <w:szCs w:val="18"/>
          <w:lang w:val="es-DO"/>
        </w:rPr>
        <w:t xml:space="preserve"> </w:t>
      </w:r>
      <w:r w:rsidR="00B003EE">
        <w:rPr>
          <w:b/>
          <w:bCs/>
          <w:sz w:val="18"/>
          <w:szCs w:val="18"/>
          <w:lang w:val="es-DO"/>
        </w:rPr>
        <w:t>3</w:t>
      </w:r>
      <w:r w:rsidRPr="00690EA0">
        <w:rPr>
          <w:b/>
          <w:bCs/>
          <w:sz w:val="18"/>
          <w:szCs w:val="18"/>
          <w:lang w:val="es-DO"/>
        </w:rPr>
        <w:t xml:space="preserve">: </w:t>
      </w:r>
      <w:r w:rsidRPr="00690EA0">
        <w:rPr>
          <w:sz w:val="18"/>
          <w:szCs w:val="18"/>
          <w:lang w:val="es-DO"/>
        </w:rPr>
        <w:t>Tablero de Indicadores</w:t>
      </w:r>
      <w:r w:rsidR="0010597E">
        <w:rPr>
          <w:sz w:val="18"/>
          <w:szCs w:val="18"/>
          <w:lang w:val="es-DO"/>
        </w:rPr>
        <w:t xml:space="preserve"> Institucional.</w:t>
      </w:r>
    </w:p>
    <w:p w14:paraId="79A7EEA2" w14:textId="77777777" w:rsidR="0010597E" w:rsidRPr="00690EA0" w:rsidRDefault="0010597E" w:rsidP="00987B2F">
      <w:pPr>
        <w:spacing w:after="0" w:line="360" w:lineRule="auto"/>
        <w:rPr>
          <w:b/>
          <w:bCs/>
          <w:sz w:val="18"/>
          <w:szCs w:val="18"/>
          <w:lang w:val="es-DO"/>
        </w:rPr>
      </w:pPr>
    </w:p>
    <w:p w14:paraId="031FB0D2" w14:textId="7E1CFE42" w:rsidR="00B0637A" w:rsidRPr="00B0637A" w:rsidRDefault="00B0637A" w:rsidP="00987B2F">
      <w:pPr>
        <w:spacing w:line="360" w:lineRule="auto"/>
        <w:rPr>
          <w:b/>
          <w:bCs/>
          <w:lang w:val="es-DO"/>
        </w:rPr>
      </w:pPr>
      <w:r w:rsidRPr="00B0637A">
        <w:rPr>
          <w:b/>
          <w:bCs/>
          <w:lang w:val="es-DO"/>
        </w:rPr>
        <w:t>Celebración de la Semana de la Calidad Institucional</w:t>
      </w:r>
    </w:p>
    <w:p w14:paraId="71CF195D" w14:textId="000E9AC8" w:rsidR="00B0637A" w:rsidRDefault="00B0637A" w:rsidP="00987B2F">
      <w:pPr>
        <w:spacing w:after="0" w:line="360" w:lineRule="auto"/>
        <w:jc w:val="both"/>
        <w:rPr>
          <w:rFonts w:eastAsia="Calibri"/>
          <w:noProof/>
          <w:lang w:val="es-DO"/>
        </w:rPr>
      </w:pPr>
      <w:r w:rsidRPr="00907D3A">
        <w:rPr>
          <w:rFonts w:eastAsia="Calibri"/>
          <w:noProof/>
          <w:lang w:val="es-DO"/>
        </w:rPr>
        <w:t xml:space="preserve">Durante la Semana de la Calidad, destacamos el papel fundamental de nuestros colaboradores en la construcción de una cultura orientada a la </w:t>
      </w:r>
      <w:r>
        <w:rPr>
          <w:rFonts w:eastAsia="Calibri"/>
          <w:noProof/>
          <w:lang w:val="es-DO"/>
        </w:rPr>
        <w:t xml:space="preserve">calidad y </w:t>
      </w:r>
      <w:r w:rsidRPr="00907D3A">
        <w:rPr>
          <w:rFonts w:eastAsia="Calibri"/>
          <w:noProof/>
          <w:lang w:val="es-DO"/>
        </w:rPr>
        <w:t xml:space="preserve">excelencia. Como parte de esta celebración, colocamos fondos de pantalla </w:t>
      </w:r>
      <w:r>
        <w:rPr>
          <w:rFonts w:eastAsia="Calibri"/>
          <w:noProof/>
          <w:lang w:val="es-DO"/>
        </w:rPr>
        <w:t>y pantallas de bloque</w:t>
      </w:r>
      <w:r w:rsidR="000C6E0C">
        <w:rPr>
          <w:rFonts w:eastAsia="Calibri"/>
          <w:noProof/>
          <w:lang w:val="es-DO"/>
        </w:rPr>
        <w:t>o</w:t>
      </w:r>
      <w:r>
        <w:rPr>
          <w:rFonts w:eastAsia="Calibri"/>
          <w:noProof/>
          <w:lang w:val="es-DO"/>
        </w:rPr>
        <w:t>s en las computadoras</w:t>
      </w:r>
      <w:r w:rsidRPr="00907D3A">
        <w:rPr>
          <w:rFonts w:eastAsia="Calibri"/>
          <w:noProof/>
          <w:lang w:val="es-DO"/>
        </w:rPr>
        <w:t xml:space="preserve"> con mensajes inspiradores que resaltan la </w:t>
      </w:r>
      <w:r w:rsidRPr="00907D3A">
        <w:rPr>
          <w:rFonts w:eastAsia="Calibri"/>
          <w:noProof/>
          <w:lang w:val="es-DO"/>
        </w:rPr>
        <w:lastRenderedPageBreak/>
        <w:t>importancia de cada miembro del equipo en el logro de nuestros objetivos de calidad. Esta iniciativa está alineada con los enfoque definido en nuestro Plan Estratégico Institucional 2025-2028, reafirmando nuestro compromiso de avanzar juntos hacia la excelencia y de consolidar la calidad como un pilar esencial en todas nuestras acciones.</w:t>
      </w:r>
    </w:p>
    <w:p w14:paraId="5B5FE857" w14:textId="77777777" w:rsidR="00B0637A" w:rsidRDefault="00B0637A" w:rsidP="00B0637A">
      <w:pPr>
        <w:autoSpaceDE w:val="0"/>
        <w:autoSpaceDN w:val="0"/>
        <w:adjustRightInd w:val="0"/>
        <w:spacing w:after="0" w:line="240" w:lineRule="auto"/>
        <w:rPr>
          <w:rFonts w:eastAsiaTheme="majorEastAsia" w:cstheme="majorBidi"/>
          <w:b/>
          <w:color w:val="767171" w:themeColor="background2" w:themeShade="80"/>
          <w:spacing w:val="0"/>
          <w:sz w:val="28"/>
          <w:szCs w:val="32"/>
          <w:lang w:val="es-DO"/>
        </w:rPr>
      </w:pPr>
    </w:p>
    <w:p w14:paraId="0961381C" w14:textId="77777777" w:rsidR="00B0637A" w:rsidRPr="00B0637A" w:rsidRDefault="00B0637A" w:rsidP="00987B2F">
      <w:pPr>
        <w:spacing w:line="360" w:lineRule="auto"/>
        <w:rPr>
          <w:b/>
          <w:bCs/>
          <w:lang w:val="es-DO"/>
        </w:rPr>
      </w:pPr>
      <w:r w:rsidRPr="00B0637A">
        <w:rPr>
          <w:b/>
          <w:bCs/>
          <w:lang w:val="es-DO"/>
        </w:rPr>
        <w:t>Auditoría externa SGC: ¡5 años sin no conformidades!</w:t>
      </w:r>
    </w:p>
    <w:p w14:paraId="60BCBAE7" w14:textId="77777777" w:rsidR="00B0637A" w:rsidRDefault="00B0637A" w:rsidP="005A76F1">
      <w:pPr>
        <w:spacing w:line="360" w:lineRule="auto"/>
        <w:jc w:val="both"/>
        <w:rPr>
          <w:rFonts w:eastAsia="Calibri"/>
          <w:noProof/>
          <w:lang w:val="es-DO"/>
        </w:rPr>
      </w:pPr>
      <w:r w:rsidRPr="000F7A14">
        <w:rPr>
          <w:rFonts w:eastAsia="Calibri"/>
          <w:noProof/>
          <w:lang w:val="es-DO"/>
        </w:rPr>
        <w:t>Durante los días 18 y 19 de noviembre se</w:t>
      </w:r>
      <w:r>
        <w:rPr>
          <w:rFonts w:eastAsia="Calibri"/>
          <w:noProof/>
          <w:lang w:val="es-DO"/>
        </w:rPr>
        <w:t xml:space="preserve"> </w:t>
      </w:r>
      <w:r w:rsidRPr="000F7A14">
        <w:rPr>
          <w:rFonts w:eastAsia="Calibri"/>
          <w:noProof/>
          <w:lang w:val="es-DO"/>
        </w:rPr>
        <w:t>realizó la auditoría externa de seguimiento al</w:t>
      </w:r>
      <w:r>
        <w:rPr>
          <w:rFonts w:eastAsia="Calibri"/>
          <w:noProof/>
          <w:lang w:val="es-DO"/>
        </w:rPr>
        <w:t xml:space="preserve"> </w:t>
      </w:r>
      <w:r w:rsidRPr="000F7A14">
        <w:rPr>
          <w:rFonts w:eastAsia="Calibri"/>
          <w:noProof/>
          <w:lang w:val="es-DO"/>
        </w:rPr>
        <w:t>Sistema de Gestión Integrado, específicamente</w:t>
      </w:r>
      <w:r>
        <w:rPr>
          <w:rFonts w:eastAsia="Calibri"/>
          <w:noProof/>
          <w:lang w:val="es-DO"/>
        </w:rPr>
        <w:t xml:space="preserve"> </w:t>
      </w:r>
      <w:r w:rsidRPr="000F7A14">
        <w:rPr>
          <w:rFonts w:eastAsia="Calibri"/>
          <w:noProof/>
          <w:lang w:val="es-DO"/>
        </w:rPr>
        <w:t>al Sistema de Gestión de Calidad, con la</w:t>
      </w:r>
      <w:r>
        <w:rPr>
          <w:rFonts w:eastAsia="Calibri"/>
          <w:noProof/>
          <w:lang w:val="es-DO"/>
        </w:rPr>
        <w:t xml:space="preserve"> </w:t>
      </w:r>
      <w:r w:rsidRPr="000F7A14">
        <w:rPr>
          <w:rFonts w:eastAsia="Calibri"/>
          <w:noProof/>
          <w:lang w:val="es-DO"/>
        </w:rPr>
        <w:t>finalidad de verificar el nivel de cumplimiento</w:t>
      </w:r>
      <w:r>
        <w:rPr>
          <w:rFonts w:eastAsia="Calibri"/>
          <w:noProof/>
          <w:lang w:val="es-DO"/>
        </w:rPr>
        <w:t xml:space="preserve"> </w:t>
      </w:r>
      <w:r w:rsidRPr="000F7A14">
        <w:rPr>
          <w:rFonts w:eastAsia="Calibri"/>
          <w:noProof/>
          <w:lang w:val="es-DO"/>
        </w:rPr>
        <w:t>de los procesos de las distintas áreas que</w:t>
      </w:r>
      <w:r>
        <w:rPr>
          <w:rFonts w:eastAsia="Calibri"/>
          <w:noProof/>
          <w:lang w:val="es-DO"/>
        </w:rPr>
        <w:t xml:space="preserve"> </w:t>
      </w:r>
      <w:r w:rsidRPr="000F7A14">
        <w:rPr>
          <w:rFonts w:eastAsia="Calibri"/>
          <w:noProof/>
          <w:lang w:val="es-DO"/>
        </w:rPr>
        <w:t>conforman la institución.</w:t>
      </w:r>
    </w:p>
    <w:p w14:paraId="189791DF" w14:textId="77777777" w:rsidR="00B0637A" w:rsidRPr="000F7A14" w:rsidRDefault="00B0637A" w:rsidP="005A76F1">
      <w:pPr>
        <w:spacing w:line="360" w:lineRule="auto"/>
        <w:jc w:val="both"/>
        <w:rPr>
          <w:rFonts w:eastAsia="Calibri"/>
          <w:noProof/>
          <w:lang w:val="es-DO"/>
        </w:rPr>
      </w:pPr>
      <w:r w:rsidRPr="000F7A14">
        <w:rPr>
          <w:rFonts w:eastAsia="Calibri"/>
          <w:noProof/>
          <w:lang w:val="es-DO"/>
        </w:rPr>
        <w:t>Como parte de los resultados obtenidos durante estas jornadas, los procesos</w:t>
      </w:r>
      <w:r>
        <w:rPr>
          <w:rFonts w:eastAsia="Calibri"/>
          <w:noProof/>
          <w:lang w:val="es-DO"/>
        </w:rPr>
        <w:t xml:space="preserve"> </w:t>
      </w:r>
      <w:r w:rsidRPr="000F7A14">
        <w:rPr>
          <w:rFonts w:eastAsia="Calibri"/>
          <w:noProof/>
          <w:lang w:val="es-DO"/>
        </w:rPr>
        <w:t>auditados no arrojaron no conformidades,</w:t>
      </w:r>
      <w:r>
        <w:rPr>
          <w:rFonts w:eastAsia="Calibri"/>
          <w:noProof/>
          <w:lang w:val="es-DO"/>
        </w:rPr>
        <w:t xml:space="preserve"> </w:t>
      </w:r>
      <w:r w:rsidRPr="000F7A14">
        <w:rPr>
          <w:rFonts w:eastAsia="Calibri"/>
          <w:noProof/>
          <w:lang w:val="es-DO"/>
        </w:rPr>
        <w:t>constituyéndose este en el quinto año</w:t>
      </w:r>
      <w:r>
        <w:rPr>
          <w:rFonts w:eastAsia="Calibri"/>
          <w:noProof/>
          <w:lang w:val="es-DO"/>
        </w:rPr>
        <w:t xml:space="preserve"> </w:t>
      </w:r>
      <w:r w:rsidRPr="000F7A14">
        <w:rPr>
          <w:rFonts w:eastAsia="Calibri"/>
          <w:noProof/>
          <w:lang w:val="es-DO"/>
        </w:rPr>
        <w:t>consecutivo con estos resultados. Esto representa un hito importante que refleja</w:t>
      </w:r>
      <w:r>
        <w:rPr>
          <w:rFonts w:eastAsia="Calibri"/>
          <w:noProof/>
          <w:lang w:val="es-DO"/>
        </w:rPr>
        <w:t xml:space="preserve"> </w:t>
      </w:r>
      <w:r w:rsidRPr="000F7A14">
        <w:rPr>
          <w:rFonts w:eastAsia="Calibri"/>
          <w:noProof/>
          <w:lang w:val="es-DO"/>
        </w:rPr>
        <w:t>nuestro compromiso inquebrantable con la excelencia y la mejora continua en</w:t>
      </w:r>
      <w:r>
        <w:rPr>
          <w:rFonts w:eastAsia="Calibri"/>
          <w:noProof/>
          <w:lang w:val="es-DO"/>
        </w:rPr>
        <w:t xml:space="preserve"> </w:t>
      </w:r>
      <w:r w:rsidRPr="000F7A14">
        <w:rPr>
          <w:rFonts w:eastAsia="Calibri"/>
          <w:noProof/>
          <w:lang w:val="es-DO"/>
        </w:rPr>
        <w:t>todos nuestros procesos.</w:t>
      </w:r>
    </w:p>
    <w:p w14:paraId="4BB9149F" w14:textId="3E8631CC" w:rsidR="000C47CC" w:rsidRPr="00FB4776" w:rsidRDefault="000C47CC" w:rsidP="005A76F1">
      <w:pPr>
        <w:pStyle w:val="Heading1"/>
        <w:spacing w:after="240" w:line="259" w:lineRule="auto"/>
        <w:jc w:val="both"/>
        <w:rPr>
          <w:spacing w:val="0"/>
          <w:lang w:val="es-DO"/>
        </w:rPr>
      </w:pPr>
      <w:bookmarkStart w:id="236" w:name="_Toc185245113"/>
      <w:r>
        <w:rPr>
          <w:spacing w:val="0"/>
          <w:lang w:val="es-DO"/>
        </w:rPr>
        <w:t>4</w:t>
      </w:r>
      <w:r w:rsidRPr="00FB4776">
        <w:rPr>
          <w:spacing w:val="0"/>
          <w:lang w:val="es-DO"/>
        </w:rPr>
        <w:t>.</w:t>
      </w:r>
      <w:r>
        <w:rPr>
          <w:spacing w:val="0"/>
          <w:lang w:val="es-DO"/>
        </w:rPr>
        <w:t>6</w:t>
      </w:r>
      <w:r w:rsidRPr="00FB4776">
        <w:rPr>
          <w:spacing w:val="0"/>
          <w:lang w:val="es-DO"/>
        </w:rPr>
        <w:t xml:space="preserve"> Desempeño del Área de Comunicaciones</w:t>
      </w:r>
      <w:bookmarkEnd w:id="235"/>
      <w:bookmarkEnd w:id="236"/>
    </w:p>
    <w:p w14:paraId="1658FB1F" w14:textId="77777777" w:rsidR="000C47CC" w:rsidRDefault="000C47CC" w:rsidP="00D12DBC">
      <w:pPr>
        <w:spacing w:line="360" w:lineRule="auto"/>
        <w:jc w:val="both"/>
        <w:rPr>
          <w:rFonts w:eastAsia="Calibri"/>
          <w:noProof/>
          <w:lang w:val="es-DO"/>
        </w:rPr>
      </w:pPr>
      <w:r w:rsidRPr="00095B12">
        <w:rPr>
          <w:rFonts w:eastAsia="Calibri"/>
          <w:noProof/>
          <w:lang w:val="es-DO"/>
        </w:rPr>
        <w:t xml:space="preserve">El Departamento de Comunicaciones de la Tesorería de la Seguridad Social (TSS) es un área transversal a toda la organización y tiene la responsabilidad de contribuir con las demás unidades organizacionales, para dar a conocer los logros y conquistas de la TSS a la ciudadanía, generando posicionamiento y visibilidad positiva del crecimiento de las recaudaciones del Sistema Dominicano de Seguridad Social, el aumento de cotizantes al Sistema y los beneficios </w:t>
      </w:r>
      <w:r>
        <w:rPr>
          <w:rFonts w:eastAsia="Calibri"/>
          <w:noProof/>
          <w:lang w:val="es-DO"/>
        </w:rPr>
        <w:t>que ofrece el registro en el mismo.</w:t>
      </w:r>
    </w:p>
    <w:p w14:paraId="6EA68231" w14:textId="77777777" w:rsidR="000C47CC" w:rsidRPr="00095B12" w:rsidRDefault="000C47CC" w:rsidP="00D12DBC">
      <w:pPr>
        <w:spacing w:line="360" w:lineRule="auto"/>
        <w:jc w:val="both"/>
        <w:rPr>
          <w:rFonts w:eastAsia="Calibri"/>
          <w:noProof/>
          <w:lang w:val="es-DO"/>
        </w:rPr>
      </w:pPr>
      <w:r w:rsidRPr="00095B12">
        <w:rPr>
          <w:rFonts w:eastAsia="Calibri"/>
          <w:noProof/>
          <w:lang w:val="es-DO"/>
        </w:rPr>
        <w:lastRenderedPageBreak/>
        <w:t xml:space="preserve">Este </w:t>
      </w:r>
      <w:r>
        <w:rPr>
          <w:rFonts w:eastAsia="Calibri"/>
          <w:noProof/>
          <w:lang w:val="es-DO"/>
        </w:rPr>
        <w:t xml:space="preserve">Departamento es </w:t>
      </w:r>
      <w:r w:rsidRPr="00095B12">
        <w:rPr>
          <w:rFonts w:eastAsia="Calibri"/>
          <w:noProof/>
          <w:lang w:val="es-DO"/>
        </w:rPr>
        <w:t xml:space="preserve">responsable de diseñar las estrategias de comunicación y creación de contenidos para los distintos canales en los que la TSS tiene presencia. </w:t>
      </w:r>
    </w:p>
    <w:p w14:paraId="3F740D5C" w14:textId="77777777" w:rsidR="000C47CC" w:rsidRPr="00095B12" w:rsidRDefault="000C47CC" w:rsidP="00D12DBC">
      <w:pPr>
        <w:spacing w:line="360" w:lineRule="auto"/>
        <w:jc w:val="both"/>
        <w:rPr>
          <w:rFonts w:eastAsia="Calibri"/>
          <w:noProof/>
          <w:lang w:val="es-DO"/>
        </w:rPr>
      </w:pPr>
      <w:r w:rsidRPr="00095B12">
        <w:rPr>
          <w:rFonts w:eastAsia="Calibri"/>
          <w:noProof/>
          <w:lang w:val="es-DO"/>
        </w:rPr>
        <w:t>Además de los procesos administrativos propios del Departamento, Comunicaciones tienes tres áreas operativas, las cuales son: comunicación interna, comunicación digital y gestión de medios (prensa), desde estas áreas de trabajo hemos conquistado importantes resultados, que nos han ayudado a mejorar el clima organizacional y fomentar el sentido de pertenencia entre los colaboradores, dar a conocer la Tesorería de la Seguridad Social e informar acerca de cuál es el p</w:t>
      </w:r>
      <w:r w:rsidRPr="00D12DBC">
        <w:rPr>
          <w:rFonts w:eastAsia="Calibri"/>
          <w:noProof/>
          <w:lang w:val="es-DO"/>
        </w:rPr>
        <w:t>ape</w:t>
      </w:r>
      <w:r w:rsidRPr="00095B12">
        <w:rPr>
          <w:rFonts w:eastAsia="Calibri"/>
          <w:noProof/>
          <w:lang w:val="es-DO"/>
        </w:rPr>
        <w:t>l de la TSS dentro del Sistema Dominicano de Seguridad Social.</w:t>
      </w:r>
    </w:p>
    <w:p w14:paraId="62315B49" w14:textId="2EED1281" w:rsidR="000C47CC" w:rsidRPr="000716D2" w:rsidRDefault="000C47CC" w:rsidP="000716D2">
      <w:pPr>
        <w:rPr>
          <w:b/>
          <w:bCs/>
          <w:lang w:val="es-DO"/>
        </w:rPr>
      </w:pPr>
      <w:bookmarkStart w:id="237" w:name="_Toc171677881"/>
      <w:bookmarkStart w:id="238" w:name="_Toc172119885"/>
      <w:bookmarkStart w:id="239" w:name="_Toc172120218"/>
      <w:bookmarkStart w:id="240" w:name="_Toc172121436"/>
      <w:bookmarkStart w:id="241" w:name="_Toc184981209"/>
      <w:r w:rsidRPr="000716D2">
        <w:rPr>
          <w:b/>
          <w:bCs/>
          <w:lang w:val="es-DO"/>
        </w:rPr>
        <w:t xml:space="preserve">Comunicación en </w:t>
      </w:r>
      <w:r w:rsidR="00D12DBC">
        <w:rPr>
          <w:b/>
          <w:bCs/>
          <w:lang w:val="es-DO"/>
        </w:rPr>
        <w:t>M</w:t>
      </w:r>
      <w:r w:rsidRPr="000716D2">
        <w:rPr>
          <w:b/>
          <w:bCs/>
          <w:lang w:val="es-DO"/>
        </w:rPr>
        <w:t xml:space="preserve">edios </w:t>
      </w:r>
      <w:r w:rsidR="00D12DBC">
        <w:rPr>
          <w:b/>
          <w:bCs/>
          <w:lang w:val="es-DO"/>
        </w:rPr>
        <w:t>D</w:t>
      </w:r>
      <w:r w:rsidRPr="000716D2">
        <w:rPr>
          <w:b/>
          <w:bCs/>
          <w:lang w:val="es-DO"/>
        </w:rPr>
        <w:t>igitales</w:t>
      </w:r>
      <w:bookmarkEnd w:id="237"/>
      <w:bookmarkEnd w:id="238"/>
      <w:bookmarkEnd w:id="239"/>
      <w:bookmarkEnd w:id="240"/>
      <w:bookmarkEnd w:id="241"/>
    </w:p>
    <w:p w14:paraId="1A87E9B2" w14:textId="77777777" w:rsidR="000C47CC" w:rsidRPr="00095B12" w:rsidRDefault="000C47CC" w:rsidP="00D12DBC">
      <w:pPr>
        <w:spacing w:line="360" w:lineRule="auto"/>
        <w:jc w:val="both"/>
        <w:rPr>
          <w:rFonts w:eastAsia="Calibri"/>
          <w:noProof/>
          <w:lang w:val="es-DO"/>
        </w:rPr>
      </w:pPr>
      <w:r w:rsidRPr="00095B12">
        <w:rPr>
          <w:rFonts w:eastAsia="Calibri"/>
          <w:noProof/>
          <w:lang w:val="es-DO"/>
        </w:rPr>
        <w:t xml:space="preserve">La TSS actualmente cuenta con presencia en seis plataformas de redes sociales, las cuales son: Instagram, X (antiguo Twitter), LinkedIn, Facebook, YouTube y Threads, siendo esta la más reciente creación de la compañía Meta. </w:t>
      </w:r>
    </w:p>
    <w:p w14:paraId="6B1D13E6" w14:textId="77777777" w:rsidR="000C47CC" w:rsidRPr="00095B12" w:rsidRDefault="000C47CC" w:rsidP="00D12DBC">
      <w:pPr>
        <w:spacing w:line="360" w:lineRule="auto"/>
        <w:jc w:val="both"/>
        <w:rPr>
          <w:rFonts w:eastAsia="Calibri"/>
          <w:noProof/>
          <w:lang w:val="es-DO"/>
        </w:rPr>
      </w:pPr>
      <w:r w:rsidRPr="00095B12">
        <w:rPr>
          <w:rFonts w:eastAsia="Calibri"/>
          <w:noProof/>
          <w:lang w:val="es-DO"/>
        </w:rPr>
        <w:t>A través de estos canales se publican diariamente las noticias, iniciativas y actividades que se desarrollan en la institución, así como se informa acerca de los servicios que ofrece la Tesorería y se educa acerca de cómo se puede acceder a estos servicios.</w:t>
      </w:r>
    </w:p>
    <w:p w14:paraId="55914E46" w14:textId="77777777" w:rsidR="000C47CC" w:rsidRPr="00095B12" w:rsidRDefault="000C47CC" w:rsidP="00D12DBC">
      <w:pPr>
        <w:spacing w:line="360" w:lineRule="auto"/>
        <w:jc w:val="both"/>
        <w:rPr>
          <w:rFonts w:eastAsia="Calibri"/>
          <w:noProof/>
          <w:lang w:val="es-DO"/>
        </w:rPr>
      </w:pPr>
      <w:r w:rsidRPr="00095B12">
        <w:rPr>
          <w:rFonts w:eastAsia="Calibri"/>
          <w:noProof/>
          <w:lang w:val="es-DO"/>
        </w:rPr>
        <w:t xml:space="preserve">Otro canal de comunicación digital es la página web institucional, la cual se actualiza con notas de prensa novedades sobre las ejecuciones institucionales y los índices de recaudaciones en períodos de tiempo definidos por la institución. </w:t>
      </w:r>
    </w:p>
    <w:p w14:paraId="4274A6AD" w14:textId="77777777" w:rsidR="000C47CC" w:rsidRPr="00095B12" w:rsidRDefault="000C47CC" w:rsidP="00D12DBC">
      <w:pPr>
        <w:spacing w:line="360" w:lineRule="auto"/>
        <w:jc w:val="both"/>
        <w:rPr>
          <w:rFonts w:eastAsia="Calibri"/>
          <w:noProof/>
          <w:lang w:val="es-DO"/>
        </w:rPr>
      </w:pPr>
      <w:r w:rsidRPr="00095B12">
        <w:rPr>
          <w:rFonts w:eastAsia="Calibri"/>
          <w:noProof/>
          <w:lang w:val="es-DO"/>
        </w:rPr>
        <w:t xml:space="preserve">El manejo de la comunicación en los canales y plataformas digitales se ejecuta bajo el objetivo de informar a la ciudadanía, a la vez que acercamos la </w:t>
      </w:r>
      <w:r>
        <w:rPr>
          <w:rFonts w:eastAsia="Calibri"/>
          <w:noProof/>
          <w:lang w:val="es-DO"/>
        </w:rPr>
        <w:t>TSS</w:t>
      </w:r>
      <w:r w:rsidRPr="00095B12">
        <w:rPr>
          <w:rFonts w:eastAsia="Calibri"/>
          <w:noProof/>
          <w:lang w:val="es-DO"/>
        </w:rPr>
        <w:t xml:space="preserve"> a la gente, con especial interés en los empleadores, haciendo uso de un lenguaje sencillo con un tono comunicacional cálido, cercano y poco complicado.</w:t>
      </w:r>
    </w:p>
    <w:p w14:paraId="102B0D1F" w14:textId="77777777" w:rsidR="000C47CC" w:rsidRPr="00095B12" w:rsidRDefault="000C47CC" w:rsidP="00D12DBC">
      <w:pPr>
        <w:spacing w:line="360" w:lineRule="auto"/>
        <w:jc w:val="both"/>
        <w:rPr>
          <w:rFonts w:eastAsia="Calibri"/>
          <w:noProof/>
          <w:lang w:val="es-DO"/>
        </w:rPr>
      </w:pPr>
      <w:r w:rsidRPr="00095B12">
        <w:rPr>
          <w:rFonts w:eastAsia="Calibri"/>
          <w:noProof/>
          <w:lang w:val="es-DO"/>
        </w:rPr>
        <w:lastRenderedPageBreak/>
        <w:t xml:space="preserve">La presencia en redes sociales de la Tesorería de la Seguridad Social es parte del plan de medios de la institución y es un eje fundamental para conectar, informar y socializar sobre las fortalezas del SDSS, la importancia de cotizar para el Sistema y el fortalecimiento de la Seguridad Social a nivel nacional. </w:t>
      </w:r>
    </w:p>
    <w:p w14:paraId="5EA322AB" w14:textId="77777777" w:rsidR="000C47CC" w:rsidRPr="00095B12" w:rsidRDefault="000C47CC" w:rsidP="00D12DBC">
      <w:pPr>
        <w:spacing w:line="360" w:lineRule="auto"/>
        <w:jc w:val="both"/>
        <w:rPr>
          <w:rFonts w:eastAsia="Calibri"/>
          <w:noProof/>
          <w:lang w:val="es-DO"/>
        </w:rPr>
      </w:pPr>
      <w:r w:rsidRPr="00095B12">
        <w:rPr>
          <w:rFonts w:eastAsia="Calibri"/>
          <w:noProof/>
          <w:lang w:val="es-DO"/>
        </w:rPr>
        <w:t>Los contenidos compartidos a través de los perfiles sociales de la institución están dirigidos a toda la ciudadanía, como público objetivo, prestando especial interés a los empleadores como parte de nuestros grupos de interés.</w:t>
      </w:r>
    </w:p>
    <w:p w14:paraId="3375F41B" w14:textId="77777777" w:rsidR="000C47CC" w:rsidRPr="005976A3" w:rsidRDefault="000C47CC" w:rsidP="00D12DBC">
      <w:pPr>
        <w:spacing w:line="360" w:lineRule="auto"/>
        <w:jc w:val="both"/>
        <w:rPr>
          <w:rFonts w:eastAsia="Calibri"/>
          <w:noProof/>
          <w:lang w:val="es-DO"/>
        </w:rPr>
      </w:pPr>
      <w:r w:rsidRPr="005976A3">
        <w:rPr>
          <w:rFonts w:eastAsia="Calibri"/>
          <w:noProof/>
          <w:lang w:val="es-DO"/>
        </w:rPr>
        <w:t>A la fecha de elaboración de este informe, la Tesorería de la Seguridad Social cuenta con 50,348 seguidores en Instagram; 4,251 seguidores en X; 8,197 seguidores en Facebook; 19,426 seguidores en LinkedIn; 2,077 suscriptores en YouTube, y 8,618 seguidores en Threads.</w:t>
      </w:r>
    </w:p>
    <w:p w14:paraId="4F227E8F" w14:textId="77777777" w:rsidR="000C47CC" w:rsidRPr="005976A3" w:rsidRDefault="000C47CC" w:rsidP="00D12DBC">
      <w:pPr>
        <w:spacing w:line="360" w:lineRule="auto"/>
        <w:jc w:val="both"/>
        <w:rPr>
          <w:rFonts w:eastAsia="Calibri"/>
          <w:noProof/>
          <w:lang w:val="es-DO"/>
        </w:rPr>
      </w:pPr>
      <w:r w:rsidRPr="005976A3">
        <w:rPr>
          <w:rFonts w:eastAsia="Calibri"/>
          <w:noProof/>
          <w:lang w:val="es-DO"/>
        </w:rPr>
        <w:t>Durante el periodo de enero - noviembre 2024, en los perfiles de redes sociales de la Tesorería de la Seguridad Social se realizaron 228 publicaciones (en Instagram: publicaciones e historias; YouTube, Facebook, LinkedIn, Threads y X), a través de las cuales se informan a la ciudadanía sobre las actualizaciones y nuevos proyectos de la institución.</w:t>
      </w:r>
    </w:p>
    <w:p w14:paraId="795E0A1D" w14:textId="77777777" w:rsidR="000C47CC" w:rsidRPr="005976A3" w:rsidRDefault="000C47CC" w:rsidP="00D12DBC">
      <w:pPr>
        <w:spacing w:line="360" w:lineRule="auto"/>
        <w:jc w:val="both"/>
        <w:rPr>
          <w:rFonts w:eastAsia="Calibri"/>
          <w:noProof/>
          <w:lang w:val="es-DO"/>
        </w:rPr>
      </w:pPr>
      <w:r w:rsidRPr="005976A3">
        <w:rPr>
          <w:rFonts w:eastAsia="Calibri"/>
          <w:noProof/>
          <w:lang w:val="es-DO"/>
        </w:rPr>
        <w:t xml:space="preserve">En cuanto al ejercicio de comunicación que impacta al público externo, podemos mencionar que, desde el Departamento de Comunicaciones, en el período de enero – </w:t>
      </w:r>
      <w:r w:rsidRPr="00987B2F">
        <w:rPr>
          <w:rFonts w:eastAsia="Calibri"/>
          <w:noProof/>
          <w:lang w:val="es-DO"/>
        </w:rPr>
        <w:t>diciembre</w:t>
      </w:r>
      <w:r w:rsidRPr="005976A3">
        <w:rPr>
          <w:rFonts w:eastAsia="Calibri"/>
          <w:noProof/>
          <w:lang w:val="es-DO"/>
        </w:rPr>
        <w:t xml:space="preserve"> 2024 a través del foro institucional se contestaron un total de 77 consultas expuestas por los participantes, facilitando con esto la obtención de los servicios institucionales, a la vez que se educa a la ciudadanía acerca de la correcta reportería ante el Sistema Dominicano de Seguridad Social.</w:t>
      </w:r>
    </w:p>
    <w:p w14:paraId="27B6F665" w14:textId="77777777" w:rsidR="000C47CC" w:rsidRPr="00095B12" w:rsidRDefault="000C47CC" w:rsidP="00D12DBC">
      <w:pPr>
        <w:spacing w:line="360" w:lineRule="auto"/>
        <w:jc w:val="both"/>
        <w:rPr>
          <w:rFonts w:eastAsia="Calibri"/>
          <w:noProof/>
          <w:lang w:val="es-DO"/>
        </w:rPr>
      </w:pPr>
      <w:r w:rsidRPr="00095B12">
        <w:rPr>
          <w:rFonts w:eastAsia="Calibri"/>
          <w:noProof/>
          <w:lang w:val="es-DO"/>
        </w:rPr>
        <w:t xml:space="preserve">Los esfuerzos llevados a </w:t>
      </w:r>
      <w:r w:rsidRPr="005976A3">
        <w:rPr>
          <w:rFonts w:eastAsia="Calibri"/>
          <w:noProof/>
          <w:lang w:val="es-DO"/>
        </w:rPr>
        <w:t>cabo d</w:t>
      </w:r>
      <w:r w:rsidRPr="00095B12">
        <w:rPr>
          <w:rFonts w:eastAsia="Calibri"/>
          <w:noProof/>
          <w:lang w:val="es-DO"/>
        </w:rPr>
        <w:t xml:space="preserve">esde este brazo operativo del Departamento de Comunicaciones, han permitido que la </w:t>
      </w:r>
      <w:r w:rsidRPr="00095B12">
        <w:rPr>
          <w:rFonts w:eastAsia="Calibri"/>
          <w:noProof/>
          <w:lang w:val="es-DO"/>
        </w:rPr>
        <w:lastRenderedPageBreak/>
        <w:t>comunidad en línea de la TSS mantenga un crecimiento sostenido mensual, mejorando así su posicionamiento y reconocimiento de marca en las plataformas en las que tiene presencia.</w:t>
      </w:r>
    </w:p>
    <w:p w14:paraId="31173DE9" w14:textId="23449DF0" w:rsidR="000C47CC" w:rsidRPr="00D12DBC" w:rsidRDefault="000C47CC" w:rsidP="000716D2">
      <w:pPr>
        <w:rPr>
          <w:rFonts w:eastAsiaTheme="majorEastAsia" w:cstheme="majorBidi"/>
          <w:b/>
          <w:color w:val="767171" w:themeColor="background2" w:themeShade="80"/>
          <w:spacing w:val="0"/>
          <w:lang w:val="es-DO"/>
        </w:rPr>
      </w:pPr>
      <w:bookmarkStart w:id="242" w:name="_Toc171677882"/>
      <w:bookmarkStart w:id="243" w:name="_Toc172119886"/>
      <w:bookmarkStart w:id="244" w:name="_Toc172120219"/>
      <w:bookmarkStart w:id="245" w:name="_Toc172121437"/>
      <w:bookmarkStart w:id="246" w:name="_Toc184981210"/>
      <w:r w:rsidRPr="00D12DBC">
        <w:rPr>
          <w:rFonts w:eastAsiaTheme="majorEastAsia" w:cstheme="majorBidi"/>
          <w:b/>
          <w:color w:val="767171" w:themeColor="background2" w:themeShade="80"/>
          <w:spacing w:val="0"/>
          <w:lang w:val="es-DO"/>
        </w:rPr>
        <w:t xml:space="preserve">Comunicación en </w:t>
      </w:r>
      <w:r w:rsidR="00D12DBC">
        <w:rPr>
          <w:rFonts w:eastAsiaTheme="majorEastAsia" w:cstheme="majorBidi"/>
          <w:b/>
          <w:color w:val="767171" w:themeColor="background2" w:themeShade="80"/>
          <w:spacing w:val="0"/>
          <w:lang w:val="es-DO"/>
        </w:rPr>
        <w:t>M</w:t>
      </w:r>
      <w:r w:rsidRPr="00D12DBC">
        <w:rPr>
          <w:rFonts w:eastAsiaTheme="majorEastAsia" w:cstheme="majorBidi"/>
          <w:b/>
          <w:color w:val="767171" w:themeColor="background2" w:themeShade="80"/>
          <w:spacing w:val="0"/>
          <w:lang w:val="es-DO"/>
        </w:rPr>
        <w:t xml:space="preserve">edios </w:t>
      </w:r>
      <w:r w:rsidR="00D12DBC">
        <w:rPr>
          <w:rFonts w:eastAsiaTheme="majorEastAsia" w:cstheme="majorBidi"/>
          <w:b/>
          <w:color w:val="767171" w:themeColor="background2" w:themeShade="80"/>
          <w:spacing w:val="0"/>
          <w:lang w:val="es-DO"/>
        </w:rPr>
        <w:t>T</w:t>
      </w:r>
      <w:r w:rsidRPr="00D12DBC">
        <w:rPr>
          <w:rFonts w:eastAsiaTheme="majorEastAsia" w:cstheme="majorBidi"/>
          <w:b/>
          <w:color w:val="767171" w:themeColor="background2" w:themeShade="80"/>
          <w:spacing w:val="0"/>
          <w:lang w:val="es-DO"/>
        </w:rPr>
        <w:t>radicionales</w:t>
      </w:r>
      <w:bookmarkEnd w:id="242"/>
      <w:bookmarkEnd w:id="243"/>
      <w:bookmarkEnd w:id="244"/>
      <w:bookmarkEnd w:id="245"/>
      <w:bookmarkEnd w:id="246"/>
    </w:p>
    <w:p w14:paraId="63AED67B" w14:textId="77777777" w:rsidR="000C47CC" w:rsidRPr="005976A3" w:rsidRDefault="000C47CC" w:rsidP="00D12DBC">
      <w:pPr>
        <w:spacing w:line="360" w:lineRule="auto"/>
        <w:jc w:val="both"/>
        <w:rPr>
          <w:rFonts w:eastAsia="Calibri"/>
          <w:noProof/>
          <w:lang w:val="es-DO"/>
        </w:rPr>
      </w:pPr>
      <w:r w:rsidRPr="005976A3">
        <w:rPr>
          <w:rFonts w:eastAsia="Calibri"/>
          <w:noProof/>
          <w:lang w:val="es-DO"/>
        </w:rPr>
        <w:t>En cuanto a la gestión de prensa de la TSS, durante el periodo enero - noviembre de 2024 el Departamento de Comunicaciones elaboró y distribuyó un total de 23 notas de prensa, las cuales comunicaron los tópicos más relevantes de la institución, tales como los nuevos topes de cotización del régimen contributivo, la estabilidad financiera del SDSS, los retos que este afronta en cuanto a la elusión, evasión y denuncias de fraudes por parte de los los empleadores en perjuicio de los trabajadores.</w:t>
      </w:r>
    </w:p>
    <w:p w14:paraId="4567076C" w14:textId="75843B8F" w:rsidR="000C47CC" w:rsidRPr="00D12DBC" w:rsidRDefault="007F3759" w:rsidP="00D12DBC">
      <w:pPr>
        <w:spacing w:line="360" w:lineRule="auto"/>
        <w:jc w:val="both"/>
        <w:rPr>
          <w:rFonts w:eastAsia="Calibri"/>
          <w:noProof/>
          <w:lang w:val="es-DO"/>
        </w:rPr>
      </w:pPr>
      <w:r>
        <w:rPr>
          <w:rFonts w:eastAsia="Calibri"/>
          <w:noProof/>
          <w:lang w:val="es-DO"/>
        </w:rPr>
        <w:t>A</w:t>
      </w:r>
      <w:r w:rsidR="000C47CC" w:rsidRPr="00095B12">
        <w:rPr>
          <w:rFonts w:eastAsia="Calibri"/>
          <w:noProof/>
          <w:lang w:val="es-DO"/>
        </w:rPr>
        <w:t xml:space="preserve"> través de las notas de prensa </w:t>
      </w:r>
      <w:r w:rsidR="000C47CC">
        <w:rPr>
          <w:rFonts w:eastAsia="Calibri"/>
          <w:noProof/>
          <w:lang w:val="es-DO"/>
        </w:rPr>
        <w:t>se informó</w:t>
      </w:r>
      <w:r w:rsidR="000C47CC" w:rsidRPr="00095B12">
        <w:rPr>
          <w:rFonts w:eastAsia="Calibri"/>
          <w:noProof/>
          <w:lang w:val="es-DO"/>
        </w:rPr>
        <w:t xml:space="preserve"> acerca de las novedades institucionales como la firma de acuerdo con el Centro Nacional de Ciberseguridad</w:t>
      </w:r>
      <w:r w:rsidR="000C47CC">
        <w:rPr>
          <w:rFonts w:eastAsia="Calibri"/>
          <w:noProof/>
          <w:lang w:val="es-DO"/>
        </w:rPr>
        <w:t>;</w:t>
      </w:r>
      <w:r w:rsidR="000C47CC" w:rsidRPr="00095B12">
        <w:rPr>
          <w:rFonts w:eastAsia="Calibri"/>
          <w:noProof/>
          <w:lang w:val="es-DO"/>
        </w:rPr>
        <w:t xml:space="preserve"> la obtención del reconocimiento por </w:t>
      </w:r>
      <w:r w:rsidR="000C47CC" w:rsidRPr="005976A3">
        <w:rPr>
          <w:rFonts w:eastAsia="Calibri"/>
          <w:noProof/>
          <w:lang w:val="es-DO"/>
        </w:rPr>
        <w:t>parte del INAP; el reembolso de más de 211 millones a favor de trabajadores y empleadores por concepto de montos pagados en exceso y cápitas no dispersadas; el inicio de la consultoría para la implementación de las Normas ISO 37001 y 37301; la ratificación de la máxima autoridad de la TSS; la formulacion del PEI TSS 2025-2028 hasta su presentanción en noviembre del corriente año; las jornadas de limpieza de costas; la entrega de donativos a instituciones sin fines de lucro, como parte de las actividades del Programa de Compromiso Social de la institución; el reconocimiento de la institución por parte de la DIGEIG en su ranking de transparencia, y la obtención del primer lugar de manera consecutiva en las mediciones del Índice de Control Interno que realiza la Contraloría General de la República.</w:t>
      </w:r>
      <w:r w:rsidR="000C47CC" w:rsidRPr="00D12DBC">
        <w:rPr>
          <w:rFonts w:eastAsia="Calibri"/>
          <w:noProof/>
          <w:lang w:val="es-DO"/>
        </w:rPr>
        <w:t xml:space="preserve"> </w:t>
      </w:r>
    </w:p>
    <w:p w14:paraId="1C9492CD" w14:textId="77777777" w:rsidR="000C47CC" w:rsidRPr="005976A3" w:rsidRDefault="000C47CC" w:rsidP="00D12DBC">
      <w:pPr>
        <w:spacing w:line="360" w:lineRule="auto"/>
        <w:jc w:val="both"/>
        <w:rPr>
          <w:rFonts w:eastAsia="Calibri"/>
          <w:noProof/>
          <w:lang w:val="es-DO"/>
        </w:rPr>
      </w:pPr>
      <w:r w:rsidRPr="005976A3">
        <w:rPr>
          <w:rFonts w:eastAsia="Calibri"/>
          <w:noProof/>
          <w:lang w:val="es-DO"/>
        </w:rPr>
        <w:t>En general, la TSS obtuvo publicaciones en la versión digital de los periódicos de circulación impresa y un promedio de 20 medios digitales.</w:t>
      </w:r>
    </w:p>
    <w:p w14:paraId="0AD090C7" w14:textId="77777777" w:rsidR="000C47CC" w:rsidRPr="00095B12" w:rsidRDefault="000C47CC" w:rsidP="00A42720">
      <w:pPr>
        <w:spacing w:line="360" w:lineRule="auto"/>
        <w:jc w:val="both"/>
        <w:rPr>
          <w:rFonts w:eastAsia="Calibri"/>
          <w:noProof/>
          <w:lang w:val="es-DO"/>
        </w:rPr>
      </w:pPr>
      <w:r w:rsidRPr="005976A3">
        <w:rPr>
          <w:rFonts w:eastAsia="Calibri"/>
          <w:noProof/>
          <w:lang w:val="es-DO"/>
        </w:rPr>
        <w:lastRenderedPageBreak/>
        <w:t>Gracias a los esfuerzos</w:t>
      </w:r>
      <w:r w:rsidRPr="00095B12">
        <w:rPr>
          <w:rFonts w:eastAsia="Calibri"/>
          <w:noProof/>
          <w:lang w:val="es-DO"/>
        </w:rPr>
        <w:t xml:space="preserve"> realizados en esta área de operaciones del Departamento de Comunicaciones, hemos logrado mantener la conversación sobre la Tesorería de la Seguridad Social, así como el posicionamiento y acercamiento de la institución a los medios de circulación nacional y, en consecuencia, a los ciudadanos dominicanos.</w:t>
      </w:r>
    </w:p>
    <w:p w14:paraId="7E4ECEA6" w14:textId="2B24AE0A" w:rsidR="000C47CC" w:rsidRPr="00BC710B" w:rsidRDefault="000C47CC" w:rsidP="00A42720">
      <w:pPr>
        <w:spacing w:line="360" w:lineRule="auto"/>
        <w:jc w:val="both"/>
        <w:rPr>
          <w:b/>
          <w:bCs/>
          <w:lang w:val="es-DO"/>
        </w:rPr>
      </w:pPr>
      <w:bookmarkStart w:id="247" w:name="_Toc171677883"/>
      <w:bookmarkStart w:id="248" w:name="_Toc172119887"/>
      <w:bookmarkStart w:id="249" w:name="_Toc172120220"/>
      <w:bookmarkStart w:id="250" w:name="_Toc172121438"/>
      <w:bookmarkStart w:id="251" w:name="_Toc184981211"/>
      <w:r w:rsidRPr="00BC710B">
        <w:rPr>
          <w:b/>
          <w:bCs/>
          <w:lang w:val="es-DO"/>
        </w:rPr>
        <w:t xml:space="preserve">Comunicación </w:t>
      </w:r>
      <w:r w:rsidR="00D12DBC">
        <w:rPr>
          <w:b/>
          <w:bCs/>
          <w:lang w:val="es-DO"/>
        </w:rPr>
        <w:t>I</w:t>
      </w:r>
      <w:r w:rsidRPr="00BC710B">
        <w:rPr>
          <w:b/>
          <w:bCs/>
          <w:lang w:val="es-DO"/>
        </w:rPr>
        <w:t>nterna</w:t>
      </w:r>
      <w:bookmarkEnd w:id="247"/>
      <w:bookmarkEnd w:id="248"/>
      <w:bookmarkEnd w:id="249"/>
      <w:bookmarkEnd w:id="250"/>
      <w:bookmarkEnd w:id="251"/>
    </w:p>
    <w:p w14:paraId="305AA487" w14:textId="77777777" w:rsidR="000C47CC" w:rsidRPr="00095B12" w:rsidRDefault="000C47CC" w:rsidP="00D12DBC">
      <w:pPr>
        <w:spacing w:line="360" w:lineRule="auto"/>
        <w:jc w:val="both"/>
        <w:rPr>
          <w:rFonts w:eastAsia="Calibri"/>
          <w:noProof/>
          <w:lang w:val="es-DO"/>
        </w:rPr>
      </w:pPr>
      <w:r w:rsidRPr="00095B12">
        <w:rPr>
          <w:rFonts w:eastAsia="Calibri"/>
          <w:noProof/>
          <w:lang w:val="es-DO"/>
        </w:rPr>
        <w:t>La comunicación interna es un pilar fundamental en cualquier organización que aspire al éxito y la sostenibilidad a largo plazo. Una buena gestión de la comunicación interna no solo facilita la transmisión de información, sino que también fortalece la cultura organizacional, mejora la cohesión entre los equipos y aumenta la productividad.</w:t>
      </w:r>
    </w:p>
    <w:p w14:paraId="20668A04" w14:textId="3744AB96" w:rsidR="000C47CC" w:rsidRPr="005976A3" w:rsidRDefault="000C47CC" w:rsidP="00D12DBC">
      <w:pPr>
        <w:spacing w:line="360" w:lineRule="auto"/>
        <w:jc w:val="both"/>
        <w:rPr>
          <w:rFonts w:eastAsia="Calibri"/>
          <w:noProof/>
          <w:lang w:val="es-DO"/>
        </w:rPr>
      </w:pPr>
      <w:r w:rsidRPr="005976A3">
        <w:rPr>
          <w:rFonts w:eastAsia="Calibri"/>
          <w:noProof/>
          <w:lang w:val="es-DO"/>
        </w:rPr>
        <w:t xml:space="preserve">Entre los esfuerzos realizados en este orden durante el periodo enero - </w:t>
      </w:r>
      <w:r w:rsidRPr="00987B2F">
        <w:rPr>
          <w:rFonts w:eastAsia="Calibri"/>
          <w:noProof/>
          <w:lang w:val="es-DO"/>
        </w:rPr>
        <w:t>diciembre</w:t>
      </w:r>
      <w:r w:rsidRPr="00D12DBC">
        <w:rPr>
          <w:rFonts w:eastAsia="Calibri"/>
          <w:noProof/>
          <w:lang w:val="es-DO"/>
        </w:rPr>
        <w:t xml:space="preserve"> </w:t>
      </w:r>
      <w:r w:rsidRPr="005976A3">
        <w:rPr>
          <w:rFonts w:eastAsia="Calibri"/>
          <w:noProof/>
          <w:lang w:val="es-DO"/>
        </w:rPr>
        <w:t>del 2024 podemos destacar la difusión de 255 mensajes de comunicación en formato digital a través del correo institucional, as</w:t>
      </w:r>
      <w:r w:rsidR="00A42720">
        <w:rPr>
          <w:rFonts w:eastAsia="Calibri"/>
          <w:noProof/>
          <w:lang w:val="es-DO"/>
        </w:rPr>
        <w:t xml:space="preserve">í </w:t>
      </w:r>
      <w:r w:rsidRPr="005976A3">
        <w:rPr>
          <w:rFonts w:eastAsia="Calibri"/>
          <w:noProof/>
          <w:lang w:val="es-DO"/>
        </w:rPr>
        <w:t>mismo la colocación de informaciones relevantes para los colaboradores en los murales informativos. También se destaca la redacción y publicación mensual del boletín de comunicación interna, producto editorial que tiene por objetivo presentar un resumen de las actividades institucionales más relevantes del mes, de manera que los colaboradores puedan ver, de manera clara, las conquistas institucionales de las últimas semanas.</w:t>
      </w:r>
    </w:p>
    <w:p w14:paraId="18C96D0F" w14:textId="77777777" w:rsidR="000C47CC" w:rsidRPr="005976A3" w:rsidRDefault="000C47CC" w:rsidP="00D12DBC">
      <w:pPr>
        <w:spacing w:line="360" w:lineRule="auto"/>
        <w:jc w:val="both"/>
        <w:rPr>
          <w:rFonts w:eastAsia="Calibri"/>
          <w:noProof/>
          <w:lang w:val="es-DO"/>
        </w:rPr>
      </w:pPr>
      <w:r w:rsidRPr="005976A3">
        <w:rPr>
          <w:rFonts w:eastAsia="Calibri"/>
          <w:noProof/>
          <w:lang w:val="es-DO"/>
        </w:rPr>
        <w:t xml:space="preserve">Como brazo de apoyo hacia las demás áreas operativas de la institución, el Departamento de Comunicaciones ejecutó 55 coberturas fotográficas de las actividades institucionales, de manera interna y externa, con el fin de documentar el quehacer institucional, a la vez que se cuenta con el soporte visual para el contenido a difundir sobre estas actividades. </w:t>
      </w:r>
    </w:p>
    <w:p w14:paraId="0269955F" w14:textId="1AB52208" w:rsidR="000C47CC" w:rsidRPr="00095B12" w:rsidRDefault="00A42720" w:rsidP="00D12DBC">
      <w:pPr>
        <w:spacing w:line="360" w:lineRule="auto"/>
        <w:jc w:val="both"/>
        <w:rPr>
          <w:rFonts w:eastAsia="Calibri"/>
          <w:noProof/>
          <w:lang w:val="es-DO"/>
        </w:rPr>
      </w:pPr>
      <w:r>
        <w:rPr>
          <w:rFonts w:eastAsia="Calibri"/>
          <w:noProof/>
          <w:lang w:val="es-DO"/>
        </w:rPr>
        <w:lastRenderedPageBreak/>
        <w:t>M</w:t>
      </w:r>
      <w:r w:rsidR="000C47CC" w:rsidRPr="00095B12">
        <w:rPr>
          <w:rFonts w:eastAsia="Calibri"/>
          <w:noProof/>
          <w:lang w:val="es-DO"/>
        </w:rPr>
        <w:t>ediante el programa de donantes de sangre TSS, y haciendo uso de los canales de comunicación intern</w:t>
      </w:r>
      <w:r w:rsidR="000C47CC">
        <w:rPr>
          <w:rFonts w:eastAsia="Calibri"/>
          <w:noProof/>
          <w:lang w:val="es-DO"/>
        </w:rPr>
        <w:t>a</w:t>
      </w:r>
      <w:r w:rsidR="000C47CC" w:rsidRPr="00095B12">
        <w:rPr>
          <w:rFonts w:eastAsia="Calibri"/>
          <w:noProof/>
          <w:lang w:val="es-DO"/>
        </w:rPr>
        <w:t xml:space="preserve">, se </w:t>
      </w:r>
      <w:r w:rsidR="000C47CC">
        <w:rPr>
          <w:rFonts w:eastAsia="Calibri"/>
          <w:noProof/>
          <w:lang w:val="es-DO"/>
        </w:rPr>
        <w:t>motivó</w:t>
      </w:r>
      <w:r w:rsidR="000C47CC" w:rsidRPr="00095B12">
        <w:rPr>
          <w:rFonts w:eastAsia="Calibri"/>
          <w:noProof/>
          <w:lang w:val="es-DO"/>
        </w:rPr>
        <w:t xml:space="preserve"> a los colaboradores de la institución a ayudar a otros que, en algún momento crítico, han requerido la donación de sangre para algún familiar directo.</w:t>
      </w:r>
    </w:p>
    <w:p w14:paraId="2794047A" w14:textId="3A9442A4" w:rsidR="000C47CC" w:rsidRPr="00095B12" w:rsidRDefault="000C47CC" w:rsidP="00D12DBC">
      <w:pPr>
        <w:spacing w:line="360" w:lineRule="auto"/>
        <w:jc w:val="both"/>
        <w:rPr>
          <w:rFonts w:eastAsia="Calibri"/>
          <w:noProof/>
          <w:lang w:val="es-DO"/>
        </w:rPr>
      </w:pPr>
      <w:r w:rsidRPr="00095B12">
        <w:rPr>
          <w:rFonts w:eastAsia="Calibri"/>
          <w:noProof/>
          <w:lang w:val="es-DO"/>
        </w:rPr>
        <w:t xml:space="preserve">Mediante las herramientas de comunicación interna también se dan a conocer las conquistas institucionales, entre las que se destacan durante </w:t>
      </w:r>
      <w:r>
        <w:rPr>
          <w:rFonts w:eastAsia="Calibri"/>
          <w:noProof/>
          <w:lang w:val="es-DO"/>
        </w:rPr>
        <w:t xml:space="preserve">el periodo enero - </w:t>
      </w:r>
      <w:r w:rsidR="007B4F4C">
        <w:rPr>
          <w:rFonts w:eastAsia="Calibri"/>
          <w:noProof/>
          <w:lang w:val="es-DO"/>
        </w:rPr>
        <w:t>dic</w:t>
      </w:r>
      <w:r>
        <w:rPr>
          <w:rFonts w:eastAsia="Calibri"/>
          <w:noProof/>
          <w:lang w:val="es-DO"/>
        </w:rPr>
        <w:t>iembre</w:t>
      </w:r>
      <w:r w:rsidRPr="00095B12">
        <w:rPr>
          <w:rFonts w:eastAsia="Calibri"/>
          <w:noProof/>
          <w:lang w:val="es-DO"/>
        </w:rPr>
        <w:t xml:space="preserve"> del 2024: la sentencia favorable de crédito privilegiado a la TSS por parte de tribunal competente; los colaboradores premiados con el Programa de Reconocimiento TSS</w:t>
      </w:r>
      <w:r>
        <w:rPr>
          <w:rFonts w:eastAsia="Calibri"/>
          <w:noProof/>
          <w:lang w:val="es-DO"/>
        </w:rPr>
        <w:t>;</w:t>
      </w:r>
      <w:r w:rsidRPr="00095B12">
        <w:rPr>
          <w:rFonts w:eastAsia="Calibri"/>
          <w:noProof/>
          <w:lang w:val="es-DO"/>
        </w:rPr>
        <w:t xml:space="preserve"> el reconocimiento otorgado por el INAP a la TSS por el alto índice de capacitación al personal</w:t>
      </w:r>
      <w:r>
        <w:rPr>
          <w:rFonts w:eastAsia="Calibri"/>
          <w:noProof/>
          <w:lang w:val="es-DO"/>
        </w:rPr>
        <w:t>;</w:t>
      </w:r>
      <w:r w:rsidRPr="00095B12">
        <w:rPr>
          <w:rFonts w:eastAsia="Calibri"/>
          <w:noProof/>
          <w:lang w:val="es-DO"/>
        </w:rPr>
        <w:t xml:space="preserve"> las convocatorias a charlas y acciones formativas para los colaboradores</w:t>
      </w:r>
      <w:r>
        <w:rPr>
          <w:rFonts w:eastAsia="Calibri"/>
          <w:noProof/>
          <w:lang w:val="es-DO"/>
        </w:rPr>
        <w:t>,</w:t>
      </w:r>
      <w:r w:rsidRPr="00095B12">
        <w:rPr>
          <w:rFonts w:eastAsia="Calibri"/>
          <w:noProof/>
          <w:lang w:val="es-DO"/>
        </w:rPr>
        <w:t xml:space="preserve"> así como también el inicio de procesos de transformación institucional que impactarán el día a día de todas las áreas y colaboradores, como son la implementación de las normas ISO 37001 y 37301 de antisoborno y cumplimiento regulatorio</w:t>
      </w:r>
      <w:r>
        <w:rPr>
          <w:rFonts w:eastAsia="Calibri"/>
          <w:noProof/>
          <w:lang w:val="es-DO"/>
        </w:rPr>
        <w:t>,</w:t>
      </w:r>
      <w:r w:rsidRPr="00095B12">
        <w:rPr>
          <w:rFonts w:eastAsia="Calibri"/>
          <w:noProof/>
          <w:lang w:val="es-DO"/>
        </w:rPr>
        <w:t xml:space="preserve"> y el proceso de </w:t>
      </w:r>
      <w:r>
        <w:rPr>
          <w:rFonts w:eastAsia="Calibri"/>
          <w:noProof/>
          <w:lang w:val="es-DO"/>
        </w:rPr>
        <w:t xml:space="preserve">fortalecimiento y </w:t>
      </w:r>
      <w:r w:rsidRPr="00095B12">
        <w:rPr>
          <w:rFonts w:eastAsia="Calibri"/>
          <w:noProof/>
          <w:lang w:val="es-DO"/>
        </w:rPr>
        <w:t>formulación del Plan Estratégico Institucional 2025-2028.</w:t>
      </w:r>
    </w:p>
    <w:p w14:paraId="747C812E" w14:textId="5747CCD7" w:rsidR="000C47CC" w:rsidRPr="005976A3" w:rsidRDefault="000C47CC" w:rsidP="00D12DBC">
      <w:pPr>
        <w:spacing w:line="360" w:lineRule="auto"/>
        <w:jc w:val="both"/>
        <w:rPr>
          <w:rFonts w:eastAsia="Calibri"/>
          <w:noProof/>
          <w:lang w:val="es-DO"/>
        </w:rPr>
      </w:pPr>
      <w:r w:rsidRPr="005976A3">
        <w:rPr>
          <w:rFonts w:eastAsia="Calibri"/>
          <w:noProof/>
          <w:lang w:val="es-DO"/>
        </w:rPr>
        <w:t xml:space="preserve">Otra de las campañas de comunicación interna llevadas a cabo durante los meses de enero a </w:t>
      </w:r>
      <w:r w:rsidR="001762C7">
        <w:rPr>
          <w:rFonts w:eastAsia="Calibri"/>
          <w:noProof/>
          <w:lang w:val="es-DO"/>
        </w:rPr>
        <w:t>dic</w:t>
      </w:r>
      <w:r w:rsidRPr="005976A3">
        <w:rPr>
          <w:rFonts w:eastAsia="Calibri"/>
          <w:noProof/>
          <w:lang w:val="es-DO"/>
        </w:rPr>
        <w:t>iembre de 2024 fue “Un nuevo capítulo institucional”, mediante la cual se dio a conocer la nueva estructura organizacional de la Tesorería de la Seguridad Social, presentando en detalle las nuevas unidades que formarán parte de la institución y sus funciones.</w:t>
      </w:r>
    </w:p>
    <w:p w14:paraId="6774AFC7" w14:textId="77777777" w:rsidR="000C47CC" w:rsidRPr="00095B12" w:rsidRDefault="000C47CC" w:rsidP="00D12DBC">
      <w:pPr>
        <w:spacing w:line="360" w:lineRule="auto"/>
        <w:jc w:val="both"/>
        <w:rPr>
          <w:rFonts w:eastAsia="Calibri"/>
          <w:noProof/>
          <w:lang w:val="es-DO"/>
        </w:rPr>
      </w:pPr>
      <w:r w:rsidRPr="005976A3">
        <w:rPr>
          <w:rFonts w:eastAsia="Calibri"/>
          <w:noProof/>
          <w:lang w:val="es-DO"/>
        </w:rPr>
        <w:t>De igual manera, se desarrolló la campaña “Ciberseguridad para mujeres”, como parte de las acciones derivadas de la firma de acuerdo con el Centro Nacional de Ciberseguridad, que tiene entre sus objetivos fomentar una cultura cibersegura en todas las instituciones.</w:t>
      </w:r>
    </w:p>
    <w:p w14:paraId="02885F0E" w14:textId="77777777" w:rsidR="000C47CC" w:rsidRPr="00095B12" w:rsidRDefault="000C47CC" w:rsidP="00D12DBC">
      <w:pPr>
        <w:spacing w:line="360" w:lineRule="auto"/>
        <w:jc w:val="both"/>
        <w:rPr>
          <w:rFonts w:eastAsia="Calibri"/>
          <w:noProof/>
          <w:lang w:val="es-DO"/>
        </w:rPr>
      </w:pPr>
      <w:r w:rsidRPr="00095B12">
        <w:rPr>
          <w:rFonts w:eastAsia="Calibri"/>
          <w:noProof/>
          <w:lang w:val="es-DO"/>
        </w:rPr>
        <w:lastRenderedPageBreak/>
        <w:t xml:space="preserve">A nivel estratégico, desde esta área de operaciones y en un esfuerzo conjunto con la Dirección de Recursos Humanos, se </w:t>
      </w:r>
      <w:r>
        <w:rPr>
          <w:rFonts w:eastAsia="Calibri"/>
          <w:noProof/>
          <w:lang w:val="es-DO"/>
        </w:rPr>
        <w:t>llevó</w:t>
      </w:r>
      <w:r w:rsidRPr="00095B12">
        <w:rPr>
          <w:rFonts w:eastAsia="Calibri"/>
          <w:noProof/>
          <w:lang w:val="es-DO"/>
        </w:rPr>
        <w:t xml:space="preserve"> a cabo el diagnóstico de comunicación interna y </w:t>
      </w:r>
      <w:r>
        <w:rPr>
          <w:rFonts w:eastAsia="Calibri"/>
          <w:noProof/>
          <w:lang w:val="es-DO"/>
        </w:rPr>
        <w:t>l</w:t>
      </w:r>
      <w:r w:rsidRPr="00095B12">
        <w:rPr>
          <w:rFonts w:eastAsia="Calibri"/>
          <w:noProof/>
          <w:lang w:val="es-DO"/>
        </w:rPr>
        <w:t xml:space="preserve">iderazgo, </w:t>
      </w:r>
      <w:r>
        <w:rPr>
          <w:rFonts w:eastAsia="Calibri"/>
          <w:noProof/>
          <w:lang w:val="es-DO"/>
        </w:rPr>
        <w:t>cuyo</w:t>
      </w:r>
      <w:r w:rsidRPr="00095B12">
        <w:rPr>
          <w:rFonts w:eastAsia="Calibri"/>
          <w:noProof/>
          <w:lang w:val="es-DO"/>
        </w:rPr>
        <w:t xml:space="preserve"> objetivo </w:t>
      </w:r>
      <w:r>
        <w:rPr>
          <w:rFonts w:eastAsia="Calibri"/>
          <w:noProof/>
          <w:lang w:val="es-DO"/>
        </w:rPr>
        <w:t xml:space="preserve">es </w:t>
      </w:r>
      <w:r w:rsidRPr="00095B12">
        <w:rPr>
          <w:rFonts w:eastAsia="Calibri"/>
          <w:noProof/>
          <w:lang w:val="es-DO"/>
        </w:rPr>
        <w:t>conocer cómo perciben los colaboradores la comunicación vertical, es decir, entre supervisor y supervisados, y a partir de los resultados arrojados por el estudio, diseñar un plan de acción que fomente la apertura y la bidireccionalidad</w:t>
      </w:r>
      <w:r>
        <w:rPr>
          <w:rFonts w:eastAsia="Calibri"/>
          <w:noProof/>
          <w:lang w:val="es-DO"/>
        </w:rPr>
        <w:t xml:space="preserve"> </w:t>
      </w:r>
      <w:r w:rsidRPr="00095B12">
        <w:rPr>
          <w:rFonts w:eastAsia="Calibri"/>
          <w:noProof/>
          <w:lang w:val="es-DO"/>
        </w:rPr>
        <w:t>en la comunicación entre colaboradores y supervisores.</w:t>
      </w:r>
    </w:p>
    <w:p w14:paraId="44B355EE" w14:textId="77777777" w:rsidR="000C47CC" w:rsidRDefault="000C47CC" w:rsidP="00D12DBC">
      <w:pPr>
        <w:spacing w:line="360" w:lineRule="auto"/>
        <w:jc w:val="both"/>
        <w:rPr>
          <w:rFonts w:eastAsia="Calibri"/>
          <w:noProof/>
          <w:lang w:val="es-DO"/>
        </w:rPr>
      </w:pPr>
      <w:r w:rsidRPr="00095B12">
        <w:rPr>
          <w:rFonts w:eastAsia="Calibri"/>
          <w:noProof/>
          <w:lang w:val="es-DO"/>
        </w:rPr>
        <w:t>Es importante destacar que un ambiente laboral donde se valora y se facilita la comunicación interna estimula la creatividad y la innovación. Los colaboradores se sienten más inclinados a compartir ideas y sugerencias, lo que puede conducir a nuevas soluciones y mejoras en los procesos de la institución.</w:t>
      </w:r>
    </w:p>
    <w:p w14:paraId="2EF46DFF" w14:textId="77777777" w:rsidR="000C47CC" w:rsidRDefault="000C47CC" w:rsidP="000C47CC">
      <w:pPr>
        <w:rPr>
          <w:rFonts w:eastAsia="Calibri"/>
          <w:noProof/>
          <w:lang w:val="es-DO"/>
        </w:rPr>
      </w:pPr>
    </w:p>
    <w:p w14:paraId="2F28A957" w14:textId="77777777" w:rsidR="00D12DBC" w:rsidRDefault="00D12DBC" w:rsidP="000C47CC">
      <w:pPr>
        <w:rPr>
          <w:rFonts w:eastAsia="Calibri"/>
          <w:noProof/>
          <w:lang w:val="es-DO"/>
        </w:rPr>
      </w:pPr>
    </w:p>
    <w:p w14:paraId="699F007C" w14:textId="13E29627" w:rsidR="00D12DBC" w:rsidRDefault="00D12DBC">
      <w:pPr>
        <w:rPr>
          <w:rFonts w:eastAsia="Calibri"/>
          <w:noProof/>
          <w:lang w:val="es-DO"/>
        </w:rPr>
      </w:pPr>
      <w:r>
        <w:rPr>
          <w:rFonts w:eastAsia="Calibri"/>
          <w:noProof/>
          <w:lang w:val="es-DO"/>
        </w:rPr>
        <w:br w:type="page"/>
      </w:r>
    </w:p>
    <w:bookmarkStart w:id="252" w:name="_Toc185245114"/>
    <w:p w14:paraId="0A54B7AA" w14:textId="5AA7B161" w:rsidR="00DD7615" w:rsidRPr="00BC0B52" w:rsidRDefault="00BC0B52" w:rsidP="00BC0B52">
      <w:pPr>
        <w:pStyle w:val="Heading1"/>
        <w:spacing w:after="240" w:line="259" w:lineRule="auto"/>
        <w:ind w:left="360" w:hanging="360"/>
        <w:rPr>
          <w:rFonts w:cs="Times New Roman"/>
          <w:spacing w:val="0"/>
          <w:lang w:val="es-DO"/>
        </w:rPr>
      </w:pPr>
      <w:r w:rsidRPr="0082260F">
        <w:rPr>
          <w:rFonts w:eastAsia="Calibri"/>
          <w:noProof/>
          <w:color w:val="4C4747"/>
          <w:sz w:val="18"/>
        </w:rPr>
        <w:lastRenderedPageBreak/>
        <mc:AlternateContent>
          <mc:Choice Requires="wps">
            <w:drawing>
              <wp:anchor distT="0" distB="0" distL="114300" distR="114300" simplePos="0" relativeHeight="251658256" behindDoc="0" locked="0" layoutInCell="1" allowOverlap="1" wp14:anchorId="5B826A78" wp14:editId="62B8BC26">
                <wp:simplePos x="0" y="0"/>
                <wp:positionH relativeFrom="margin">
                  <wp:posOffset>2188032</wp:posOffset>
                </wp:positionH>
                <wp:positionV relativeFrom="paragraph">
                  <wp:posOffset>510997</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08929" id="Straight Connector 3" o:spid="_x0000_s1026" style="position:absolute;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3pt,40.25pt" to="208.8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" strokecolor="#ee2a24" strokeweight="2.25pt">
                <v:stroke joinstyle="miter"/>
                <w10:wrap anchorx="margin"/>
              </v:line>
            </w:pict>
          </mc:Fallback>
        </mc:AlternateContent>
      </w:r>
      <w:r>
        <w:rPr>
          <w:rFonts w:cs="Times New Roman"/>
          <w:spacing w:val="0"/>
          <w:lang w:val="es-DO"/>
        </w:rPr>
        <w:t xml:space="preserve">V. </w:t>
      </w:r>
      <w:r w:rsidR="00DD7615" w:rsidRPr="00BC0B52">
        <w:rPr>
          <w:rFonts w:cs="Times New Roman"/>
          <w:spacing w:val="0"/>
          <w:lang w:val="es-DO"/>
        </w:rPr>
        <w:t>SERVICIO AL CIUDADANO Y TRANSPARENCIA INSTITUCIONAL</w:t>
      </w:r>
      <w:bookmarkEnd w:id="252"/>
    </w:p>
    <w:p w14:paraId="5468EA26" w14:textId="3DB4C2F3" w:rsidR="00DD7615" w:rsidRDefault="00DD7615" w:rsidP="00BC0B52">
      <w:pPr>
        <w:spacing w:before="240" w:after="240"/>
        <w:jc w:val="center"/>
        <w:rPr>
          <w:sz w:val="22"/>
          <w:szCs w:val="36"/>
          <w:lang w:val="es-DO"/>
        </w:rPr>
      </w:pPr>
      <w:r w:rsidRPr="00BC0B52">
        <w:rPr>
          <w:sz w:val="22"/>
          <w:szCs w:val="36"/>
          <w:lang w:val="es-DO"/>
        </w:rPr>
        <w:t xml:space="preserve">Memoria </w:t>
      </w:r>
      <w:r w:rsidR="00F05DF4" w:rsidRPr="00BC0B52">
        <w:rPr>
          <w:sz w:val="22"/>
          <w:szCs w:val="36"/>
          <w:lang w:val="es-DO"/>
        </w:rPr>
        <w:t>I</w:t>
      </w:r>
      <w:r w:rsidRPr="00BC0B52">
        <w:rPr>
          <w:sz w:val="22"/>
          <w:szCs w:val="36"/>
          <w:lang w:val="es-DO"/>
        </w:rPr>
        <w:t xml:space="preserve">nstitucional </w:t>
      </w:r>
      <w:r w:rsidR="000025D4" w:rsidRPr="00BC0B52">
        <w:rPr>
          <w:sz w:val="22"/>
          <w:szCs w:val="36"/>
          <w:lang w:val="es-DO"/>
        </w:rPr>
        <w:t>2024</w:t>
      </w:r>
    </w:p>
    <w:p w14:paraId="4F164E91" w14:textId="0BB478AE" w:rsidR="00BC0B52" w:rsidRPr="00BC0B52" w:rsidRDefault="00BC0B52" w:rsidP="001E7BA6">
      <w:pPr>
        <w:pStyle w:val="Heading1"/>
        <w:spacing w:after="240" w:line="259" w:lineRule="auto"/>
        <w:ind w:left="360" w:hanging="375"/>
        <w:jc w:val="left"/>
        <w:rPr>
          <w:spacing w:val="0"/>
          <w:lang w:val="es-DO"/>
        </w:rPr>
      </w:pPr>
      <w:bookmarkStart w:id="253" w:name="_Toc154736747"/>
      <w:bookmarkStart w:id="254" w:name="_Toc185245115"/>
      <w:r w:rsidRPr="00BC0B52">
        <w:rPr>
          <w:spacing w:val="0"/>
          <w:lang w:val="es-DO"/>
        </w:rPr>
        <w:t>5.1 Nivel de la Satisfacción con el Servicio</w:t>
      </w:r>
      <w:bookmarkEnd w:id="253"/>
      <w:bookmarkEnd w:id="254"/>
      <w:r w:rsidRPr="00BC0B52">
        <w:rPr>
          <w:spacing w:val="0"/>
          <w:lang w:val="es-DO"/>
        </w:rPr>
        <w:t xml:space="preserve">  </w:t>
      </w:r>
    </w:p>
    <w:p w14:paraId="74B9F9A0" w14:textId="77777777" w:rsidR="00A42822" w:rsidRPr="00DF1742" w:rsidRDefault="00A42822" w:rsidP="00A42822">
      <w:pPr>
        <w:spacing w:line="360" w:lineRule="auto"/>
        <w:jc w:val="both"/>
        <w:rPr>
          <w:rFonts w:eastAsia="Calibri"/>
          <w:noProof/>
          <w:lang w:val="es-DO"/>
        </w:rPr>
      </w:pPr>
      <w:r w:rsidRPr="00DF1742">
        <w:rPr>
          <w:rFonts w:eastAsia="Calibri"/>
          <w:noProof/>
          <w:lang w:val="es-DO"/>
        </w:rPr>
        <w:t xml:space="preserve">La Dirección de Servicios se encarga de dar asistencia a las empresas en los diferentes procesos que se realizan dentro del Sistema Único de Información y Recaudo (SUIRPlus), así como brindar soporte para el registro de los deberes y derechos de los trabajadores establecidos en la ley 87-01 que crea el Sistema Dominicano de Seguridad Social, sus normas y las actualizaciones sobre resoluciones que inciden sobre la salud, pensión, riesgos laborales, subsidios y otros, manteniendo un manejo confidencial de la información y la calidad en las asistencias brindadas. </w:t>
      </w:r>
    </w:p>
    <w:p w14:paraId="1DAA7506" w14:textId="77777777" w:rsidR="00A42822" w:rsidRDefault="00A42822" w:rsidP="00A42822">
      <w:pPr>
        <w:spacing w:line="360" w:lineRule="auto"/>
        <w:jc w:val="both"/>
        <w:rPr>
          <w:rFonts w:eastAsia="Calibri"/>
          <w:noProof/>
          <w:lang w:val="es-DO"/>
        </w:rPr>
      </w:pPr>
      <w:r w:rsidRPr="00DF1742">
        <w:rPr>
          <w:rFonts w:eastAsia="Calibri"/>
          <w:noProof/>
          <w:lang w:val="es-DO"/>
        </w:rPr>
        <w:t>El principal objetivo es garantizar la calidad en el servicio y valores fundamentales de la institución, logrando así, las asistencias oportunas y la satisfacción de los usuarios, apegados a la Carta Compromiso al Ciudadano monitoreada y controlada por el Ministerio de Administración Pública y el Sistema de Gestión Integrado de Calidad TSS amparado en la norma ISO 9001:2015.</w:t>
      </w:r>
    </w:p>
    <w:p w14:paraId="2F58316F" w14:textId="77777777" w:rsidR="00A42822" w:rsidRPr="005E6195" w:rsidRDefault="00A42822" w:rsidP="005E6195">
      <w:pPr>
        <w:rPr>
          <w:b/>
          <w:bCs/>
          <w:lang w:val="es-DO"/>
        </w:rPr>
      </w:pPr>
      <w:bookmarkStart w:id="255" w:name="_Toc153782168"/>
      <w:bookmarkStart w:id="256" w:name="_Toc154736748"/>
      <w:r w:rsidRPr="005E6195">
        <w:rPr>
          <w:b/>
          <w:bCs/>
          <w:lang w:val="es-DO"/>
        </w:rPr>
        <w:t>Objetivos e Indicadores de Servicios</w:t>
      </w:r>
      <w:bookmarkEnd w:id="255"/>
      <w:bookmarkEnd w:id="256"/>
    </w:p>
    <w:p w14:paraId="656D4963" w14:textId="77777777" w:rsidR="00A42822" w:rsidRPr="00DF1742" w:rsidRDefault="00A42822" w:rsidP="00A42822">
      <w:pPr>
        <w:spacing w:line="360" w:lineRule="auto"/>
        <w:jc w:val="both"/>
        <w:rPr>
          <w:rFonts w:eastAsia="Calibri"/>
          <w:noProof/>
          <w:lang w:val="es-DO"/>
        </w:rPr>
      </w:pPr>
      <w:r w:rsidRPr="00DF1742">
        <w:rPr>
          <w:rFonts w:eastAsia="Calibri"/>
          <w:noProof/>
          <w:lang w:val="es-DO"/>
        </w:rPr>
        <w:t>De conformidad con lo establecido en la Ley 87-01 que crea el Sistema Dominicano de Seguridad Social, sus modificaciones y normas complementarias, se han identificado dos servicios pilares para el sistema como son el registro de empleadores y la asignación de Número de Seguridad Social (NSS) para dominicanos, residentes legales y extranjeros en territorio nacional que cumplan con las regulaciones laborales de la República Dominicana.</w:t>
      </w:r>
    </w:p>
    <w:p w14:paraId="57EB8ACC" w14:textId="57A23F96" w:rsidR="00DD7615" w:rsidRPr="00E8153C" w:rsidRDefault="00A42822" w:rsidP="00A42822">
      <w:pPr>
        <w:spacing w:line="360" w:lineRule="auto"/>
        <w:jc w:val="both"/>
        <w:rPr>
          <w:rFonts w:eastAsia="Calibri"/>
          <w:noProof/>
          <w:lang w:val="es-DO"/>
        </w:rPr>
      </w:pPr>
      <w:r w:rsidRPr="00DF1742">
        <w:rPr>
          <w:rFonts w:eastAsia="Calibri"/>
          <w:noProof/>
          <w:lang w:val="es-DO"/>
        </w:rPr>
        <w:t xml:space="preserve">Hemos mejorado el tiempo de respuesta a las asistencias de nuestros usuarios como resultado de las implementaciones de </w:t>
      </w:r>
      <w:r w:rsidRPr="00DF1742">
        <w:rPr>
          <w:rFonts w:eastAsia="Calibri"/>
          <w:noProof/>
          <w:lang w:val="es-DO"/>
        </w:rPr>
        <w:lastRenderedPageBreak/>
        <w:t xml:space="preserve">nuevos modelos de gestión y el aumento del personal. Esto ha permitido elevar los niveles de calidad en el servicio y se continúa realizando los esfuerzos para lograr el punto de equilibrio que permita lograr la implementación plena de una cultura de servicio basada en la Excelencia como principio del Sistema de Gestión de la Calidad. </w:t>
      </w:r>
    </w:p>
    <w:p w14:paraId="3AF63AE9" w14:textId="77777777" w:rsidR="00A83076" w:rsidRPr="00E8153C" w:rsidRDefault="00A83076" w:rsidP="00A83076">
      <w:pPr>
        <w:spacing w:line="360" w:lineRule="auto"/>
        <w:jc w:val="both"/>
        <w:rPr>
          <w:rFonts w:eastAsia="Calibri"/>
          <w:noProof/>
          <w:lang w:val="es-DO"/>
        </w:rPr>
      </w:pPr>
      <w:r w:rsidRPr="00E8153C">
        <w:rPr>
          <w:rFonts w:eastAsia="Calibri"/>
          <w:noProof/>
          <w:lang w:val="es-DO"/>
        </w:rPr>
        <w:t>A través de nuestros Centros de Servicios ubicados en Distrito Nacional, Bávaro, Puerto Plata, San Francisco de Macorís y los Punto GOB Santiago, Sambil, Mega Centro y Occidental Mall hemos recibido un total de treinta y cuatro mil seiscientos noventa y ocho (34,698) y diez y nueve mil novecientos veinte y seis (19,926) usuarios respectivamente, asistiéndoles en los diferentes procesos de nuestra cartera de servicios institucionales para un total de ochenta y nueve mil trescientos veinte y dos (89,322) asistencias presenciales.</w:t>
      </w:r>
    </w:p>
    <w:p w14:paraId="133EC5ED" w14:textId="77777777" w:rsidR="00A83076" w:rsidRPr="00E8153C" w:rsidRDefault="00A83076" w:rsidP="00A83076">
      <w:pPr>
        <w:spacing w:line="360" w:lineRule="auto"/>
        <w:jc w:val="both"/>
        <w:rPr>
          <w:rFonts w:eastAsia="Calibri"/>
          <w:noProof/>
          <w:lang w:val="es-DO"/>
        </w:rPr>
      </w:pPr>
      <w:r w:rsidRPr="00E8153C">
        <w:rPr>
          <w:rFonts w:eastAsia="Calibri"/>
          <w:noProof/>
          <w:lang w:val="es-DO"/>
        </w:rPr>
        <w:t>De los servicios tramitados y procesados a nuestros usuarios durante este año 2024, hemos gestionado un total de diez mil ciento treinta y cuatro (10,134) solicitudes de registro de empleadores vía los distintos canales de comunicación, logrando un impresionante porcentaje de cumplimiento del 99.99% de respuesta en menos de 3 días laborables reduciendo los tiempos antes comprometidos de 10 días y hemos entregado al 30 de octubre 1,107,729 certificaciones automáticas y manuales sobre aporte empleado, aporte personal, balance al día, NSS a extranjero, registro sin nómina, entre otras con un porcentaje de cumplimiento sostenible del 100% dentro del plazo comprometido.</w:t>
      </w:r>
    </w:p>
    <w:p w14:paraId="6A3BE14C" w14:textId="77777777" w:rsidR="00A83076" w:rsidRDefault="00A83076" w:rsidP="000D0686">
      <w:pPr>
        <w:spacing w:line="360" w:lineRule="auto"/>
        <w:jc w:val="center"/>
        <w:rPr>
          <w:lang w:val="es-DO"/>
        </w:rPr>
      </w:pPr>
      <w:r>
        <w:rPr>
          <w:noProof/>
        </w:rPr>
        <w:lastRenderedPageBreak/>
        <w:drawing>
          <wp:inline distT="0" distB="0" distL="0" distR="0" wp14:anchorId="1FBFC193" wp14:editId="390B76C1">
            <wp:extent cx="4794422" cy="3011170"/>
            <wp:effectExtent l="0" t="0" r="6350" b="17780"/>
            <wp:docPr id="1052733289" name="Chart 1">
              <a:extLst xmlns:a="http://schemas.openxmlformats.org/drawingml/2006/main">
                <a:ext uri="{FF2B5EF4-FFF2-40B4-BE49-F238E27FC236}">
                  <a16:creationId xmlns:a16="http://schemas.microsoft.com/office/drawing/2014/main" id="{1BE5114D-7F84-4D34-85F6-68BB791A56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A170311" w14:textId="51E56C87" w:rsidR="00690EA0" w:rsidRPr="00690EA0" w:rsidRDefault="00690EA0" w:rsidP="00A83076">
      <w:pPr>
        <w:spacing w:line="360" w:lineRule="auto"/>
        <w:jc w:val="both"/>
        <w:rPr>
          <w:sz w:val="18"/>
          <w:szCs w:val="18"/>
          <w:lang w:val="es-DO"/>
        </w:rPr>
      </w:pPr>
      <w:r w:rsidRPr="00690EA0">
        <w:rPr>
          <w:b/>
          <w:bCs/>
          <w:sz w:val="18"/>
          <w:szCs w:val="18"/>
          <w:lang w:val="es-DO"/>
        </w:rPr>
        <w:t xml:space="preserve">Gráfico </w:t>
      </w:r>
      <w:r w:rsidR="0024181E">
        <w:rPr>
          <w:b/>
          <w:bCs/>
          <w:sz w:val="18"/>
          <w:szCs w:val="18"/>
          <w:lang w:val="es-DO"/>
        </w:rPr>
        <w:t>20</w:t>
      </w:r>
      <w:r w:rsidRPr="00690EA0">
        <w:rPr>
          <w:b/>
          <w:bCs/>
          <w:sz w:val="18"/>
          <w:szCs w:val="18"/>
          <w:lang w:val="es-DO"/>
        </w:rPr>
        <w:t>:</w:t>
      </w:r>
      <w:r w:rsidRPr="00690EA0">
        <w:rPr>
          <w:sz w:val="18"/>
          <w:szCs w:val="18"/>
          <w:lang w:val="es-DO"/>
        </w:rPr>
        <w:t xml:space="preserve"> </w:t>
      </w:r>
      <w:r w:rsidRPr="00B003EE">
        <w:rPr>
          <w:sz w:val="18"/>
          <w:szCs w:val="18"/>
          <w:lang w:val="es-DO"/>
        </w:rPr>
        <w:t>Asistencias Brindada</w:t>
      </w:r>
      <w:r w:rsidR="00B003EE" w:rsidRPr="00B003EE">
        <w:rPr>
          <w:sz w:val="18"/>
          <w:szCs w:val="18"/>
          <w:lang w:val="es-DO"/>
        </w:rPr>
        <w:t>s por localidad.</w:t>
      </w:r>
    </w:p>
    <w:p w14:paraId="163F1666" w14:textId="07D791F9" w:rsidR="00A83076" w:rsidRPr="000D0686" w:rsidRDefault="00A83076" w:rsidP="00ED09EE">
      <w:pPr>
        <w:spacing w:line="360" w:lineRule="auto"/>
        <w:jc w:val="both"/>
        <w:rPr>
          <w:rFonts w:eastAsia="Calibri"/>
          <w:noProof/>
          <w:lang w:val="es-DO"/>
        </w:rPr>
      </w:pPr>
      <w:r w:rsidRPr="000D0686">
        <w:rPr>
          <w:rFonts w:eastAsia="Calibri"/>
          <w:noProof/>
          <w:lang w:val="es-DO"/>
        </w:rPr>
        <w:t>Entre los servicios de mayor impacto en las cotizaciones de los empleadores y trabajadores del régimen contributivo del Sistema Dominicano de Seguridad Social se encuentran los permisos otorgados a los representantes de las empresas para el registro y pago oportuno de los trabajadores cotizantes y la habilitación de los números de seguridad social (NSS) a todos los afiliados y durante este 2024 tuvimos la oportunidad de, adicional a la habilitación de más de 10,000 nuevas empresas, otorgar diez mil cientos sesenta y dos (10,162) nuevas credenciales de acceso a usuarios del SUIR y además habilitar un total de cuarenta y un mil doscientos ochenta y un (41,281) nuevos números de seguridad social que permiten que más ciudadanos sean beneficiados de la seguridad social en la República Dominicana.</w:t>
      </w:r>
    </w:p>
    <w:p w14:paraId="0D4B0F37" w14:textId="77777777" w:rsidR="00A83076" w:rsidRPr="000D0686" w:rsidRDefault="00A83076" w:rsidP="00ED09EE">
      <w:pPr>
        <w:spacing w:line="360" w:lineRule="auto"/>
        <w:jc w:val="both"/>
        <w:rPr>
          <w:rFonts w:eastAsia="Calibri"/>
          <w:noProof/>
          <w:lang w:val="es-DO"/>
        </w:rPr>
      </w:pPr>
      <w:r w:rsidRPr="000D0686">
        <w:rPr>
          <w:rFonts w:eastAsia="Calibri"/>
          <w:noProof/>
          <w:lang w:val="es-DO"/>
        </w:rPr>
        <w:t xml:space="preserve">Hemos optimizado nuestros tiempos de atención a las solicitudes vía el Centro de Asistencia a Empleador gestionando respuestas a llamadas, chats y correo de servicio al usuario con una tasa de éxito histórica del 97.95% y con tiempos de espera que antes excedían de los quince (15) minutos, logrando las asistencias de </w:t>
      </w:r>
      <w:r w:rsidRPr="000D0686">
        <w:rPr>
          <w:rFonts w:eastAsia="Calibri"/>
          <w:noProof/>
          <w:lang w:val="es-DO"/>
        </w:rPr>
        <w:lastRenderedPageBreak/>
        <w:t>llamadas y chats a un tiempo de espera menor a cuarenta segundos (40) lo que ha favorecido la satisfacción de los usuarios y eliminado el re llamado por abandono no contestado.</w:t>
      </w:r>
    </w:p>
    <w:p w14:paraId="02D040E5" w14:textId="77777777" w:rsidR="00690EA0" w:rsidRDefault="00A83076" w:rsidP="000D0686">
      <w:pPr>
        <w:ind w:left="-180"/>
        <w:rPr>
          <w:sz w:val="18"/>
          <w:szCs w:val="18"/>
          <w:lang w:val="es-DO"/>
        </w:rPr>
      </w:pPr>
      <w:r>
        <w:rPr>
          <w:noProof/>
        </w:rPr>
        <w:drawing>
          <wp:inline distT="0" distB="0" distL="0" distR="0" wp14:anchorId="6304D428" wp14:editId="738BAACA">
            <wp:extent cx="4794422" cy="3020695"/>
            <wp:effectExtent l="0" t="0" r="6350" b="8255"/>
            <wp:docPr id="1022282717" name="Chart 1">
              <a:extLst xmlns:a="http://schemas.openxmlformats.org/drawingml/2006/main">
                <a:ext uri="{FF2B5EF4-FFF2-40B4-BE49-F238E27FC236}">
                  <a16:creationId xmlns:a16="http://schemas.microsoft.com/office/drawing/2014/main" id="{B77D1643-385E-4288-B14A-3121FB1320CD}"/>
                </a:ext>
                <a:ext uri="{147F2762-F138-4A5C-976F-8EAC2B608ADB}">
                  <a16:predDERef xmlns:a16="http://schemas.microsoft.com/office/drawing/2014/main" pred="{2D7F0402-0191-4648-B791-9D3BA7631B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80BD37B" w14:textId="23CEBFD5" w:rsidR="00A83076" w:rsidRDefault="00690EA0" w:rsidP="00A83076">
      <w:pPr>
        <w:rPr>
          <w:lang w:val="es-DO"/>
        </w:rPr>
      </w:pPr>
      <w:r w:rsidRPr="00690EA0">
        <w:rPr>
          <w:b/>
          <w:bCs/>
          <w:sz w:val="18"/>
          <w:szCs w:val="18"/>
          <w:lang w:val="es-DO"/>
        </w:rPr>
        <w:t>Gráfico 2</w:t>
      </w:r>
      <w:r w:rsidR="0024181E">
        <w:rPr>
          <w:b/>
          <w:bCs/>
          <w:sz w:val="18"/>
          <w:szCs w:val="18"/>
          <w:lang w:val="es-DO"/>
        </w:rPr>
        <w:t>1</w:t>
      </w:r>
      <w:r w:rsidRPr="00690EA0">
        <w:rPr>
          <w:sz w:val="18"/>
          <w:szCs w:val="18"/>
          <w:lang w:val="es-DO"/>
        </w:rPr>
        <w:t>: Índice de</w:t>
      </w:r>
      <w:r w:rsidR="000D0686">
        <w:rPr>
          <w:sz w:val="18"/>
          <w:szCs w:val="18"/>
          <w:lang w:val="es-DO"/>
        </w:rPr>
        <w:t xml:space="preserve"> </w:t>
      </w:r>
      <w:r w:rsidR="000D0686" w:rsidRPr="00690EA0">
        <w:rPr>
          <w:sz w:val="18"/>
          <w:szCs w:val="18"/>
          <w:lang w:val="es-DO"/>
        </w:rPr>
        <w:t>Éxi</w:t>
      </w:r>
      <w:r w:rsidR="000D0686">
        <w:rPr>
          <w:sz w:val="18"/>
          <w:szCs w:val="18"/>
          <w:lang w:val="es-DO"/>
        </w:rPr>
        <w:t>tos de las llamadas y chat.</w:t>
      </w:r>
    </w:p>
    <w:p w14:paraId="18BCD839" w14:textId="77777777" w:rsidR="00A83076" w:rsidRPr="000D0686" w:rsidRDefault="00A83076" w:rsidP="000D0686">
      <w:pPr>
        <w:spacing w:line="360" w:lineRule="auto"/>
        <w:jc w:val="both"/>
        <w:rPr>
          <w:rFonts w:eastAsia="Calibri"/>
          <w:noProof/>
          <w:lang w:val="es-DO"/>
        </w:rPr>
      </w:pPr>
      <w:r w:rsidRPr="000D0686">
        <w:rPr>
          <w:rFonts w:eastAsia="Calibri"/>
          <w:noProof/>
          <w:lang w:val="es-DO"/>
        </w:rPr>
        <w:t>Estos soportes y orientaciones a las empresas y ciudadanía brindados por nuestro equipo gestor nos colocan para este 2024 un total de ciento treinta y cuatro mil trescientos sesenta y nueve (134,369) llamadas y chats con un cierre de brecha significativo en comparación con el año 2022 y 2023 donde la tasa de abandono del Centro de Asistencia al Usuario fue reduciendo progresivamente de un 53% en 2022 a un 11% en 2023 y en este 2024 a solo un 2%.</w:t>
      </w:r>
    </w:p>
    <w:p w14:paraId="7A4CA170" w14:textId="07CB01CE" w:rsidR="00A8614C" w:rsidRPr="00A8614C" w:rsidRDefault="00A8614C" w:rsidP="000D0686">
      <w:pPr>
        <w:pStyle w:val="Heading1"/>
        <w:spacing w:after="240" w:line="259" w:lineRule="auto"/>
        <w:jc w:val="both"/>
        <w:rPr>
          <w:spacing w:val="0"/>
          <w:lang w:val="es-DO"/>
        </w:rPr>
      </w:pPr>
      <w:bookmarkStart w:id="257" w:name="_Toc154736750"/>
      <w:bookmarkStart w:id="258" w:name="_Toc185245116"/>
      <w:r>
        <w:rPr>
          <w:spacing w:val="0"/>
          <w:lang w:val="es-DO"/>
        </w:rPr>
        <w:t xml:space="preserve">5.2 </w:t>
      </w:r>
      <w:r w:rsidRPr="00A8614C">
        <w:rPr>
          <w:spacing w:val="0"/>
          <w:lang w:val="es-DO"/>
        </w:rPr>
        <w:t>Nivel de Cumplimiento Acceso a la Información</w:t>
      </w:r>
      <w:bookmarkEnd w:id="257"/>
      <w:bookmarkEnd w:id="258"/>
    </w:p>
    <w:p w14:paraId="24FA9B3E" w14:textId="77777777" w:rsidR="00A8614C" w:rsidRPr="00715A0C" w:rsidRDefault="00A8614C" w:rsidP="00A8614C">
      <w:pPr>
        <w:spacing w:line="360" w:lineRule="auto"/>
        <w:jc w:val="both"/>
        <w:rPr>
          <w:rFonts w:eastAsia="Calibri"/>
          <w:noProof/>
          <w:lang w:val="es-DO"/>
        </w:rPr>
      </w:pPr>
      <w:r w:rsidRPr="00715A0C">
        <w:rPr>
          <w:rFonts w:eastAsia="Calibri"/>
          <w:noProof/>
          <w:lang w:val="es-DO"/>
        </w:rPr>
        <w:t xml:space="preserve">En el Depto. Acceso a la Información Pública estamos comprometidos a cumplir los mandatos establecidos en la Ley General de Libre Acceso a la Información Pública Ley </w:t>
      </w:r>
      <w:r>
        <w:rPr>
          <w:rFonts w:eastAsia="Calibri"/>
          <w:noProof/>
          <w:lang w:val="es-DO"/>
        </w:rPr>
        <w:t xml:space="preserve">No. </w:t>
      </w:r>
      <w:r w:rsidRPr="00715A0C">
        <w:rPr>
          <w:rFonts w:eastAsia="Calibri"/>
          <w:noProof/>
          <w:lang w:val="es-DO"/>
        </w:rPr>
        <w:t xml:space="preserve">200-04, el Decreto No. 130-05 que crea el reglamento de dicha ley, la resolución No. DIGEIG-R-02-2017 y la Resolución DIGEIG </w:t>
      </w:r>
      <w:r>
        <w:rPr>
          <w:rFonts w:eastAsia="Calibri"/>
          <w:noProof/>
          <w:lang w:val="es-DO"/>
        </w:rPr>
        <w:t xml:space="preserve">No. </w:t>
      </w:r>
      <w:r w:rsidRPr="00715A0C">
        <w:rPr>
          <w:rFonts w:eastAsia="Calibri"/>
          <w:noProof/>
          <w:lang w:val="es-DO"/>
        </w:rPr>
        <w:t xml:space="preserve">002-2021, con el objetivo de apoyar a entidades y personas tanto </w:t>
      </w:r>
      <w:r w:rsidRPr="00715A0C">
        <w:rPr>
          <w:rFonts w:eastAsia="Calibri"/>
          <w:noProof/>
          <w:lang w:val="es-DO"/>
        </w:rPr>
        <w:lastRenderedPageBreak/>
        <w:t>públicas como privadas otorgándoles las informaciones solicitadas, promoviendo así el buen hacer en el estado y una cultura de transparencia.</w:t>
      </w:r>
    </w:p>
    <w:p w14:paraId="3D2269D9" w14:textId="77777777" w:rsidR="00A8614C" w:rsidRPr="00715A0C" w:rsidRDefault="00A8614C" w:rsidP="000D0686">
      <w:pPr>
        <w:spacing w:line="360" w:lineRule="auto"/>
        <w:jc w:val="both"/>
        <w:rPr>
          <w:rFonts w:eastAsia="Calibri"/>
          <w:noProof/>
          <w:lang w:val="es-DO"/>
        </w:rPr>
      </w:pPr>
      <w:r w:rsidRPr="00715A0C">
        <w:rPr>
          <w:rFonts w:eastAsia="Calibri"/>
          <w:noProof/>
          <w:lang w:val="es-DO"/>
        </w:rPr>
        <w:t xml:space="preserve">Fundamentamos nuestro trabajo en la eficiencia, de manera que nuestras actuaciones se realizan optimizando el uso del tiempo, resolviendo los procedimientos en el plazo establecido por la Ley. </w:t>
      </w:r>
    </w:p>
    <w:p w14:paraId="6C4378E1" w14:textId="113B5742" w:rsidR="00A8614C" w:rsidRDefault="00A8614C" w:rsidP="000D0686">
      <w:pPr>
        <w:spacing w:line="360" w:lineRule="auto"/>
        <w:jc w:val="both"/>
        <w:rPr>
          <w:rFonts w:eastAsia="Calibri"/>
          <w:noProof/>
          <w:lang w:val="es-DO"/>
        </w:rPr>
      </w:pPr>
      <w:r w:rsidRPr="00715A0C">
        <w:rPr>
          <w:rFonts w:eastAsia="Calibri"/>
          <w:noProof/>
          <w:lang w:val="es-DO"/>
        </w:rPr>
        <w:t>Mediante este documento mostraremos la información correspondiente al cumplimiento de las solicitudes, el portal de transparencia, datos abiertos, logros y metas cumplidas en el periodo enero -</w:t>
      </w:r>
      <w:r w:rsidR="00995933">
        <w:rPr>
          <w:rFonts w:eastAsia="Calibri"/>
          <w:noProof/>
          <w:lang w:val="es-DO"/>
        </w:rPr>
        <w:t>diciembre</w:t>
      </w:r>
      <w:r w:rsidRPr="00715A0C">
        <w:rPr>
          <w:rFonts w:eastAsia="Calibri"/>
          <w:noProof/>
          <w:lang w:val="es-DO"/>
        </w:rPr>
        <w:t xml:space="preserve"> 2024.</w:t>
      </w:r>
    </w:p>
    <w:tbl>
      <w:tblPr>
        <w:tblW w:w="7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1447"/>
        <w:gridCol w:w="1080"/>
        <w:gridCol w:w="900"/>
        <w:gridCol w:w="990"/>
        <w:gridCol w:w="900"/>
        <w:gridCol w:w="1101"/>
      </w:tblGrid>
      <w:tr w:rsidR="00F664E1" w:rsidRPr="00452C56" w14:paraId="216D5507" w14:textId="77777777" w:rsidTr="00F664E1">
        <w:trPr>
          <w:trHeight w:val="601"/>
          <w:tblHeader/>
          <w:jc w:val="center"/>
        </w:trPr>
        <w:tc>
          <w:tcPr>
            <w:tcW w:w="1158" w:type="dxa"/>
            <w:shd w:val="clear" w:color="000000" w:fill="1F3864"/>
            <w:vAlign w:val="center"/>
            <w:hideMark/>
          </w:tcPr>
          <w:p w14:paraId="72FFBE9D" w14:textId="77777777" w:rsidR="00A8614C" w:rsidRPr="000D0686" w:rsidRDefault="00A8614C" w:rsidP="000D0686">
            <w:pPr>
              <w:spacing w:after="0" w:line="240" w:lineRule="auto"/>
              <w:jc w:val="center"/>
              <w:rPr>
                <w:b/>
                <w:bCs/>
                <w:color w:val="FFFFFF" w:themeColor="background1"/>
                <w:sz w:val="21"/>
                <w:szCs w:val="21"/>
                <w:lang w:val="es-DO"/>
              </w:rPr>
            </w:pPr>
            <w:r w:rsidRPr="000D0686">
              <w:rPr>
                <w:b/>
                <w:bCs/>
                <w:color w:val="FFFFFF" w:themeColor="background1"/>
                <w:sz w:val="21"/>
                <w:szCs w:val="21"/>
                <w:lang w:val="es-DO"/>
              </w:rPr>
              <w:t>Mes</w:t>
            </w:r>
          </w:p>
        </w:tc>
        <w:tc>
          <w:tcPr>
            <w:tcW w:w="1447" w:type="dxa"/>
            <w:shd w:val="clear" w:color="000000" w:fill="1F3864"/>
            <w:vAlign w:val="center"/>
            <w:hideMark/>
          </w:tcPr>
          <w:p w14:paraId="5840720A" w14:textId="77777777" w:rsidR="00A8614C" w:rsidRPr="000D0686" w:rsidRDefault="00A8614C" w:rsidP="000D0686">
            <w:pPr>
              <w:spacing w:after="0" w:line="240" w:lineRule="auto"/>
              <w:jc w:val="center"/>
              <w:rPr>
                <w:b/>
                <w:bCs/>
                <w:color w:val="FFFFFF" w:themeColor="background1"/>
                <w:sz w:val="21"/>
                <w:szCs w:val="21"/>
                <w:lang w:val="es-DO"/>
              </w:rPr>
            </w:pPr>
            <w:r w:rsidRPr="000D0686">
              <w:rPr>
                <w:b/>
                <w:bCs/>
                <w:color w:val="FFFFFF" w:themeColor="background1"/>
                <w:sz w:val="21"/>
                <w:szCs w:val="21"/>
                <w:lang w:val="es-DO"/>
              </w:rPr>
              <w:t>Solicitudes Recibidas</w:t>
            </w:r>
          </w:p>
        </w:tc>
        <w:tc>
          <w:tcPr>
            <w:tcW w:w="1080" w:type="dxa"/>
            <w:shd w:val="clear" w:color="000000" w:fill="1F3864"/>
            <w:vAlign w:val="center"/>
            <w:hideMark/>
          </w:tcPr>
          <w:p w14:paraId="3B63BDC7" w14:textId="77777777" w:rsidR="00A8614C" w:rsidRPr="000D0686" w:rsidRDefault="00A8614C" w:rsidP="000D0686">
            <w:pPr>
              <w:spacing w:after="0" w:line="240" w:lineRule="auto"/>
              <w:jc w:val="center"/>
              <w:rPr>
                <w:b/>
                <w:bCs/>
                <w:color w:val="FFFFFF" w:themeColor="background1"/>
                <w:sz w:val="21"/>
                <w:szCs w:val="21"/>
                <w:lang w:val="es-DO"/>
              </w:rPr>
            </w:pPr>
            <w:r w:rsidRPr="000D0686">
              <w:rPr>
                <w:b/>
                <w:bCs/>
                <w:color w:val="FFFFFF" w:themeColor="background1"/>
                <w:sz w:val="21"/>
                <w:szCs w:val="21"/>
                <w:lang w:val="es-DO"/>
              </w:rPr>
              <w:t>Antes de 10 dias</w:t>
            </w:r>
          </w:p>
        </w:tc>
        <w:tc>
          <w:tcPr>
            <w:tcW w:w="900" w:type="dxa"/>
            <w:shd w:val="clear" w:color="000000" w:fill="1F3864"/>
            <w:vAlign w:val="center"/>
            <w:hideMark/>
          </w:tcPr>
          <w:p w14:paraId="7C745474" w14:textId="529D7A98" w:rsidR="00A8614C" w:rsidRPr="000D0686" w:rsidRDefault="00A8614C" w:rsidP="000D0686">
            <w:pPr>
              <w:spacing w:after="0" w:line="240" w:lineRule="auto"/>
              <w:jc w:val="center"/>
              <w:rPr>
                <w:b/>
                <w:bCs/>
                <w:color w:val="FFFFFF" w:themeColor="background1"/>
                <w:sz w:val="21"/>
                <w:szCs w:val="21"/>
                <w:lang w:val="es-DO"/>
              </w:rPr>
            </w:pPr>
            <w:r w:rsidRPr="000D0686">
              <w:rPr>
                <w:b/>
                <w:bCs/>
                <w:color w:val="FFFFFF" w:themeColor="background1"/>
                <w:sz w:val="21"/>
                <w:szCs w:val="21"/>
                <w:lang w:val="es-DO"/>
              </w:rPr>
              <w:t>De 10 a 15 días</w:t>
            </w:r>
          </w:p>
        </w:tc>
        <w:tc>
          <w:tcPr>
            <w:tcW w:w="990" w:type="dxa"/>
            <w:shd w:val="clear" w:color="000000" w:fill="1F3864"/>
            <w:vAlign w:val="center"/>
            <w:hideMark/>
          </w:tcPr>
          <w:p w14:paraId="15D8EC31" w14:textId="77777777" w:rsidR="00A8614C" w:rsidRPr="000D0686" w:rsidRDefault="00A8614C" w:rsidP="000D0686">
            <w:pPr>
              <w:spacing w:after="0" w:line="240" w:lineRule="auto"/>
              <w:jc w:val="center"/>
              <w:rPr>
                <w:b/>
                <w:bCs/>
                <w:color w:val="FFFFFF" w:themeColor="background1"/>
                <w:sz w:val="21"/>
                <w:szCs w:val="21"/>
                <w:lang w:val="es-DO"/>
              </w:rPr>
            </w:pPr>
            <w:r w:rsidRPr="000D0686">
              <w:rPr>
                <w:b/>
                <w:bCs/>
                <w:color w:val="FFFFFF" w:themeColor="background1"/>
                <w:sz w:val="21"/>
                <w:szCs w:val="21"/>
                <w:lang w:val="es-DO"/>
              </w:rPr>
              <w:t>Referidas</w:t>
            </w:r>
          </w:p>
        </w:tc>
        <w:tc>
          <w:tcPr>
            <w:tcW w:w="900" w:type="dxa"/>
            <w:shd w:val="clear" w:color="000000" w:fill="1F3864"/>
            <w:vAlign w:val="center"/>
            <w:hideMark/>
          </w:tcPr>
          <w:p w14:paraId="3DE9C5A1" w14:textId="77777777" w:rsidR="00A8614C" w:rsidRPr="000D0686" w:rsidRDefault="00A8614C" w:rsidP="000D0686">
            <w:pPr>
              <w:spacing w:after="0" w:line="240" w:lineRule="auto"/>
              <w:jc w:val="center"/>
              <w:rPr>
                <w:b/>
                <w:bCs/>
                <w:color w:val="FFFFFF" w:themeColor="background1"/>
                <w:sz w:val="21"/>
                <w:szCs w:val="21"/>
                <w:lang w:val="es-DO"/>
              </w:rPr>
            </w:pPr>
            <w:r w:rsidRPr="000D0686">
              <w:rPr>
                <w:b/>
                <w:bCs/>
                <w:color w:val="FFFFFF" w:themeColor="background1"/>
                <w:sz w:val="21"/>
                <w:szCs w:val="21"/>
                <w:lang w:val="es-DO"/>
              </w:rPr>
              <w:t>Rechazadas</w:t>
            </w:r>
          </w:p>
        </w:tc>
        <w:tc>
          <w:tcPr>
            <w:tcW w:w="1101" w:type="dxa"/>
            <w:shd w:val="clear" w:color="000000" w:fill="1F3864"/>
            <w:vAlign w:val="center"/>
            <w:hideMark/>
          </w:tcPr>
          <w:p w14:paraId="4C4F834F" w14:textId="77777777" w:rsidR="00A8614C" w:rsidRPr="000D0686" w:rsidRDefault="00A8614C" w:rsidP="000D0686">
            <w:pPr>
              <w:spacing w:after="0" w:line="240" w:lineRule="auto"/>
              <w:jc w:val="center"/>
              <w:rPr>
                <w:b/>
                <w:bCs/>
                <w:color w:val="FFFFFF" w:themeColor="background1"/>
                <w:sz w:val="21"/>
                <w:szCs w:val="21"/>
                <w:lang w:val="es-DO"/>
              </w:rPr>
            </w:pPr>
            <w:r w:rsidRPr="000D0686">
              <w:rPr>
                <w:b/>
                <w:bCs/>
                <w:color w:val="FFFFFF" w:themeColor="background1"/>
                <w:sz w:val="21"/>
                <w:szCs w:val="21"/>
                <w:lang w:val="es-DO"/>
              </w:rPr>
              <w:t>Fuera de Plazo</w:t>
            </w:r>
          </w:p>
        </w:tc>
      </w:tr>
      <w:tr w:rsidR="00F664E1" w:rsidRPr="00452C56" w14:paraId="26D308BB" w14:textId="77777777" w:rsidTr="00F664E1">
        <w:trPr>
          <w:trHeight w:val="383"/>
          <w:jc w:val="center"/>
        </w:trPr>
        <w:tc>
          <w:tcPr>
            <w:tcW w:w="1158" w:type="dxa"/>
            <w:shd w:val="clear" w:color="000000" w:fill="F2F2F2"/>
            <w:vAlign w:val="center"/>
          </w:tcPr>
          <w:p w14:paraId="7A63B386" w14:textId="73718706" w:rsidR="00A8614C" w:rsidRPr="009F0AC3" w:rsidRDefault="00A8614C" w:rsidP="000D0686">
            <w:pPr>
              <w:spacing w:after="0" w:line="240" w:lineRule="auto"/>
              <w:jc w:val="center"/>
              <w:rPr>
                <w:sz w:val="22"/>
                <w:szCs w:val="22"/>
                <w:lang w:val="es-DO"/>
              </w:rPr>
            </w:pPr>
            <w:r w:rsidRPr="009F0AC3">
              <w:rPr>
                <w:sz w:val="22"/>
                <w:szCs w:val="22"/>
                <w:lang w:val="es-DO"/>
              </w:rPr>
              <w:t>Enero</w:t>
            </w:r>
          </w:p>
        </w:tc>
        <w:tc>
          <w:tcPr>
            <w:tcW w:w="1447" w:type="dxa"/>
            <w:shd w:val="clear" w:color="000000" w:fill="F2F2F2"/>
            <w:vAlign w:val="center"/>
          </w:tcPr>
          <w:p w14:paraId="5DEB0E8B" w14:textId="77777777" w:rsidR="00A8614C" w:rsidRPr="009F0AC3" w:rsidRDefault="00A8614C" w:rsidP="000D0686">
            <w:pPr>
              <w:spacing w:after="0" w:line="240" w:lineRule="auto"/>
              <w:jc w:val="center"/>
              <w:rPr>
                <w:sz w:val="22"/>
                <w:szCs w:val="22"/>
                <w:lang w:val="es-DO"/>
              </w:rPr>
            </w:pPr>
            <w:r w:rsidRPr="009F0AC3">
              <w:rPr>
                <w:sz w:val="22"/>
                <w:szCs w:val="22"/>
                <w:lang w:val="es-DO"/>
              </w:rPr>
              <w:t>15</w:t>
            </w:r>
          </w:p>
        </w:tc>
        <w:tc>
          <w:tcPr>
            <w:tcW w:w="1080" w:type="dxa"/>
            <w:shd w:val="clear" w:color="000000" w:fill="F2F2F2"/>
            <w:vAlign w:val="center"/>
          </w:tcPr>
          <w:p w14:paraId="1D99D5DF"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c>
          <w:tcPr>
            <w:tcW w:w="900" w:type="dxa"/>
            <w:shd w:val="clear" w:color="000000" w:fill="F2F2F2"/>
            <w:vAlign w:val="center"/>
          </w:tcPr>
          <w:p w14:paraId="31AE8AA7" w14:textId="77777777" w:rsidR="00A8614C" w:rsidRPr="009F0AC3" w:rsidRDefault="00A8614C" w:rsidP="000D0686">
            <w:pPr>
              <w:spacing w:after="0" w:line="240" w:lineRule="auto"/>
              <w:jc w:val="center"/>
              <w:rPr>
                <w:sz w:val="22"/>
                <w:szCs w:val="22"/>
                <w:lang w:val="es-DO"/>
              </w:rPr>
            </w:pPr>
            <w:r w:rsidRPr="009F0AC3">
              <w:rPr>
                <w:sz w:val="22"/>
                <w:szCs w:val="22"/>
                <w:lang w:val="es-DO"/>
              </w:rPr>
              <w:t>10</w:t>
            </w:r>
          </w:p>
        </w:tc>
        <w:tc>
          <w:tcPr>
            <w:tcW w:w="990" w:type="dxa"/>
            <w:shd w:val="clear" w:color="000000" w:fill="F2F2F2"/>
            <w:vAlign w:val="center"/>
          </w:tcPr>
          <w:p w14:paraId="1009FCD1" w14:textId="77777777" w:rsidR="00A8614C" w:rsidRPr="009F0AC3" w:rsidRDefault="00A8614C" w:rsidP="000D0686">
            <w:pPr>
              <w:spacing w:after="0" w:line="240" w:lineRule="auto"/>
              <w:jc w:val="center"/>
              <w:rPr>
                <w:sz w:val="22"/>
                <w:szCs w:val="22"/>
                <w:lang w:val="es-DO"/>
              </w:rPr>
            </w:pPr>
            <w:r w:rsidRPr="009F0AC3">
              <w:rPr>
                <w:sz w:val="22"/>
                <w:szCs w:val="22"/>
                <w:lang w:val="es-DO"/>
              </w:rPr>
              <w:t>3</w:t>
            </w:r>
          </w:p>
        </w:tc>
        <w:tc>
          <w:tcPr>
            <w:tcW w:w="900" w:type="dxa"/>
            <w:shd w:val="clear" w:color="000000" w:fill="F2F2F2"/>
            <w:vAlign w:val="center"/>
          </w:tcPr>
          <w:p w14:paraId="6A3490BA" w14:textId="77777777" w:rsidR="00A8614C" w:rsidRPr="009F0AC3" w:rsidRDefault="00A8614C" w:rsidP="000D0686">
            <w:pPr>
              <w:spacing w:after="0" w:line="240" w:lineRule="auto"/>
              <w:jc w:val="center"/>
              <w:rPr>
                <w:sz w:val="22"/>
                <w:szCs w:val="22"/>
                <w:lang w:val="es-DO"/>
              </w:rPr>
            </w:pPr>
            <w:r w:rsidRPr="009F0AC3">
              <w:rPr>
                <w:sz w:val="22"/>
                <w:szCs w:val="22"/>
                <w:lang w:val="es-DO"/>
              </w:rPr>
              <w:t>2</w:t>
            </w:r>
          </w:p>
        </w:tc>
        <w:tc>
          <w:tcPr>
            <w:tcW w:w="1101" w:type="dxa"/>
            <w:shd w:val="clear" w:color="auto" w:fill="auto"/>
            <w:vAlign w:val="center"/>
          </w:tcPr>
          <w:p w14:paraId="7DA10F40"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r>
      <w:tr w:rsidR="00F664E1" w:rsidRPr="00452C56" w14:paraId="67919206" w14:textId="77777777" w:rsidTr="00F664E1">
        <w:trPr>
          <w:trHeight w:val="306"/>
          <w:jc w:val="center"/>
        </w:trPr>
        <w:tc>
          <w:tcPr>
            <w:tcW w:w="1158" w:type="dxa"/>
            <w:shd w:val="clear" w:color="000000" w:fill="F2F2F2"/>
            <w:vAlign w:val="center"/>
          </w:tcPr>
          <w:p w14:paraId="0902B8CA" w14:textId="6555EF22" w:rsidR="00A8614C" w:rsidRPr="009F0AC3" w:rsidRDefault="00A8614C" w:rsidP="000D0686">
            <w:pPr>
              <w:spacing w:after="0" w:line="240" w:lineRule="auto"/>
              <w:jc w:val="center"/>
              <w:rPr>
                <w:sz w:val="22"/>
                <w:szCs w:val="22"/>
                <w:lang w:val="es-DO"/>
              </w:rPr>
            </w:pPr>
            <w:r w:rsidRPr="009F0AC3">
              <w:rPr>
                <w:sz w:val="22"/>
                <w:szCs w:val="22"/>
                <w:lang w:val="es-DO"/>
              </w:rPr>
              <w:t>Febrero</w:t>
            </w:r>
          </w:p>
        </w:tc>
        <w:tc>
          <w:tcPr>
            <w:tcW w:w="1447" w:type="dxa"/>
            <w:shd w:val="clear" w:color="000000" w:fill="F2F2F2"/>
            <w:vAlign w:val="center"/>
          </w:tcPr>
          <w:p w14:paraId="4877E277" w14:textId="77777777" w:rsidR="00A8614C" w:rsidRPr="009F0AC3" w:rsidRDefault="00A8614C" w:rsidP="000D0686">
            <w:pPr>
              <w:spacing w:after="0" w:line="240" w:lineRule="auto"/>
              <w:jc w:val="center"/>
              <w:rPr>
                <w:sz w:val="22"/>
                <w:szCs w:val="22"/>
                <w:lang w:val="es-DO"/>
              </w:rPr>
            </w:pPr>
            <w:r w:rsidRPr="009F0AC3">
              <w:rPr>
                <w:sz w:val="22"/>
                <w:szCs w:val="22"/>
                <w:lang w:val="es-DO"/>
              </w:rPr>
              <w:t>4</w:t>
            </w:r>
          </w:p>
        </w:tc>
        <w:tc>
          <w:tcPr>
            <w:tcW w:w="1080" w:type="dxa"/>
            <w:shd w:val="clear" w:color="000000" w:fill="F2F2F2"/>
            <w:vAlign w:val="center"/>
          </w:tcPr>
          <w:p w14:paraId="3A37DB34" w14:textId="77777777" w:rsidR="00A8614C" w:rsidRPr="009F0AC3" w:rsidRDefault="00A8614C" w:rsidP="000D0686">
            <w:pPr>
              <w:spacing w:after="0" w:line="240" w:lineRule="auto"/>
              <w:jc w:val="center"/>
              <w:rPr>
                <w:sz w:val="22"/>
                <w:szCs w:val="22"/>
                <w:lang w:val="es-DO"/>
              </w:rPr>
            </w:pPr>
            <w:r w:rsidRPr="009F0AC3">
              <w:rPr>
                <w:sz w:val="22"/>
                <w:szCs w:val="22"/>
                <w:lang w:val="es-DO"/>
              </w:rPr>
              <w:t>1</w:t>
            </w:r>
          </w:p>
        </w:tc>
        <w:tc>
          <w:tcPr>
            <w:tcW w:w="900" w:type="dxa"/>
            <w:shd w:val="clear" w:color="000000" w:fill="F2F2F2"/>
            <w:vAlign w:val="center"/>
          </w:tcPr>
          <w:p w14:paraId="0BE129EB" w14:textId="77777777" w:rsidR="00A8614C" w:rsidRPr="009F0AC3" w:rsidRDefault="00A8614C" w:rsidP="000D0686">
            <w:pPr>
              <w:spacing w:after="0" w:line="240" w:lineRule="auto"/>
              <w:jc w:val="center"/>
              <w:rPr>
                <w:sz w:val="22"/>
                <w:szCs w:val="22"/>
                <w:lang w:val="es-DO"/>
              </w:rPr>
            </w:pPr>
            <w:r w:rsidRPr="009F0AC3">
              <w:rPr>
                <w:sz w:val="22"/>
                <w:szCs w:val="22"/>
                <w:lang w:val="es-DO"/>
              </w:rPr>
              <w:t>2</w:t>
            </w:r>
          </w:p>
        </w:tc>
        <w:tc>
          <w:tcPr>
            <w:tcW w:w="990" w:type="dxa"/>
            <w:shd w:val="clear" w:color="000000" w:fill="F2F2F2"/>
            <w:vAlign w:val="center"/>
          </w:tcPr>
          <w:p w14:paraId="5811CF8C"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c>
          <w:tcPr>
            <w:tcW w:w="900" w:type="dxa"/>
            <w:shd w:val="clear" w:color="000000" w:fill="F2F2F2"/>
            <w:vAlign w:val="center"/>
          </w:tcPr>
          <w:p w14:paraId="3E540A06" w14:textId="77777777" w:rsidR="00A8614C" w:rsidRPr="009F0AC3" w:rsidRDefault="00A8614C" w:rsidP="000D0686">
            <w:pPr>
              <w:spacing w:after="0" w:line="240" w:lineRule="auto"/>
              <w:jc w:val="center"/>
              <w:rPr>
                <w:sz w:val="22"/>
                <w:szCs w:val="22"/>
                <w:lang w:val="es-DO"/>
              </w:rPr>
            </w:pPr>
            <w:r w:rsidRPr="009F0AC3">
              <w:rPr>
                <w:sz w:val="22"/>
                <w:szCs w:val="22"/>
                <w:lang w:val="es-DO"/>
              </w:rPr>
              <w:t>1</w:t>
            </w:r>
          </w:p>
        </w:tc>
        <w:tc>
          <w:tcPr>
            <w:tcW w:w="1101" w:type="dxa"/>
            <w:shd w:val="clear" w:color="auto" w:fill="auto"/>
            <w:vAlign w:val="center"/>
          </w:tcPr>
          <w:p w14:paraId="39114BB1"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r>
      <w:tr w:rsidR="00F664E1" w:rsidRPr="00452C56" w14:paraId="76E92EE8" w14:textId="77777777" w:rsidTr="00F664E1">
        <w:trPr>
          <w:trHeight w:val="408"/>
          <w:jc w:val="center"/>
        </w:trPr>
        <w:tc>
          <w:tcPr>
            <w:tcW w:w="1158" w:type="dxa"/>
            <w:shd w:val="clear" w:color="000000" w:fill="F2F2F2"/>
            <w:vAlign w:val="center"/>
          </w:tcPr>
          <w:p w14:paraId="569BF062" w14:textId="58F49891" w:rsidR="00A8614C" w:rsidRPr="009F0AC3" w:rsidRDefault="00A8614C" w:rsidP="000D0686">
            <w:pPr>
              <w:spacing w:after="0" w:line="240" w:lineRule="auto"/>
              <w:jc w:val="center"/>
              <w:rPr>
                <w:sz w:val="22"/>
                <w:szCs w:val="22"/>
                <w:lang w:val="es-DO"/>
              </w:rPr>
            </w:pPr>
            <w:r w:rsidRPr="009F0AC3">
              <w:rPr>
                <w:sz w:val="22"/>
                <w:szCs w:val="22"/>
                <w:lang w:val="es-DO"/>
              </w:rPr>
              <w:t>Marzo</w:t>
            </w:r>
          </w:p>
        </w:tc>
        <w:tc>
          <w:tcPr>
            <w:tcW w:w="1447" w:type="dxa"/>
            <w:shd w:val="clear" w:color="000000" w:fill="F2F2F2"/>
            <w:vAlign w:val="center"/>
          </w:tcPr>
          <w:p w14:paraId="3761B146" w14:textId="77777777" w:rsidR="00A8614C" w:rsidRPr="009F0AC3" w:rsidRDefault="00A8614C" w:rsidP="000D0686">
            <w:pPr>
              <w:spacing w:after="0" w:line="240" w:lineRule="auto"/>
              <w:jc w:val="center"/>
              <w:rPr>
                <w:sz w:val="22"/>
                <w:szCs w:val="22"/>
                <w:lang w:val="es-DO"/>
              </w:rPr>
            </w:pPr>
            <w:r w:rsidRPr="009F0AC3">
              <w:rPr>
                <w:sz w:val="22"/>
                <w:szCs w:val="22"/>
                <w:lang w:val="es-DO"/>
              </w:rPr>
              <w:t>5</w:t>
            </w:r>
          </w:p>
        </w:tc>
        <w:tc>
          <w:tcPr>
            <w:tcW w:w="1080" w:type="dxa"/>
            <w:shd w:val="clear" w:color="000000" w:fill="F2F2F2"/>
            <w:vAlign w:val="center"/>
          </w:tcPr>
          <w:p w14:paraId="39DAA3D2" w14:textId="77777777" w:rsidR="00A8614C" w:rsidRPr="009F0AC3" w:rsidRDefault="00A8614C" w:rsidP="000D0686">
            <w:pPr>
              <w:spacing w:after="0" w:line="240" w:lineRule="auto"/>
              <w:jc w:val="center"/>
              <w:rPr>
                <w:sz w:val="22"/>
                <w:szCs w:val="22"/>
                <w:lang w:val="es-DO"/>
              </w:rPr>
            </w:pPr>
            <w:r w:rsidRPr="009F0AC3">
              <w:rPr>
                <w:sz w:val="22"/>
                <w:szCs w:val="22"/>
                <w:lang w:val="es-DO"/>
              </w:rPr>
              <w:t>1</w:t>
            </w:r>
          </w:p>
        </w:tc>
        <w:tc>
          <w:tcPr>
            <w:tcW w:w="900" w:type="dxa"/>
            <w:shd w:val="clear" w:color="000000" w:fill="F2F2F2"/>
            <w:vAlign w:val="center"/>
          </w:tcPr>
          <w:p w14:paraId="13CB7D84" w14:textId="77777777" w:rsidR="00A8614C" w:rsidRPr="009F0AC3" w:rsidRDefault="00A8614C" w:rsidP="000D0686">
            <w:pPr>
              <w:spacing w:after="0" w:line="240" w:lineRule="auto"/>
              <w:jc w:val="center"/>
              <w:rPr>
                <w:sz w:val="22"/>
                <w:szCs w:val="22"/>
                <w:lang w:val="es-DO"/>
              </w:rPr>
            </w:pPr>
            <w:r w:rsidRPr="009F0AC3">
              <w:rPr>
                <w:sz w:val="22"/>
                <w:szCs w:val="22"/>
                <w:lang w:val="es-DO"/>
              </w:rPr>
              <w:t>3</w:t>
            </w:r>
          </w:p>
        </w:tc>
        <w:tc>
          <w:tcPr>
            <w:tcW w:w="990" w:type="dxa"/>
            <w:shd w:val="clear" w:color="000000" w:fill="F2F2F2"/>
            <w:vAlign w:val="center"/>
          </w:tcPr>
          <w:p w14:paraId="009AFCB6" w14:textId="77777777" w:rsidR="00A8614C" w:rsidRPr="009F0AC3" w:rsidRDefault="00A8614C" w:rsidP="000D0686">
            <w:pPr>
              <w:spacing w:after="0" w:line="240" w:lineRule="auto"/>
              <w:jc w:val="center"/>
              <w:rPr>
                <w:sz w:val="22"/>
                <w:szCs w:val="22"/>
                <w:lang w:val="es-DO"/>
              </w:rPr>
            </w:pPr>
            <w:r w:rsidRPr="009F0AC3">
              <w:rPr>
                <w:sz w:val="22"/>
                <w:szCs w:val="22"/>
                <w:lang w:val="es-DO"/>
              </w:rPr>
              <w:t>1</w:t>
            </w:r>
          </w:p>
        </w:tc>
        <w:tc>
          <w:tcPr>
            <w:tcW w:w="900" w:type="dxa"/>
            <w:shd w:val="clear" w:color="000000" w:fill="F2F2F2"/>
            <w:vAlign w:val="center"/>
          </w:tcPr>
          <w:p w14:paraId="54DD77BB"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c>
          <w:tcPr>
            <w:tcW w:w="1101" w:type="dxa"/>
            <w:shd w:val="clear" w:color="auto" w:fill="auto"/>
            <w:vAlign w:val="center"/>
          </w:tcPr>
          <w:p w14:paraId="4F4721D1"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r>
      <w:tr w:rsidR="00F664E1" w:rsidRPr="00452C56" w14:paraId="26F8631D" w14:textId="77777777" w:rsidTr="00F664E1">
        <w:trPr>
          <w:trHeight w:val="268"/>
          <w:jc w:val="center"/>
        </w:trPr>
        <w:tc>
          <w:tcPr>
            <w:tcW w:w="1158" w:type="dxa"/>
            <w:shd w:val="clear" w:color="000000" w:fill="F2F2F2"/>
            <w:vAlign w:val="center"/>
          </w:tcPr>
          <w:p w14:paraId="6AB96E45" w14:textId="2CC3D23B" w:rsidR="00A8614C" w:rsidRPr="009F0AC3" w:rsidRDefault="00A8614C" w:rsidP="000D0686">
            <w:pPr>
              <w:spacing w:after="0" w:line="240" w:lineRule="auto"/>
              <w:jc w:val="center"/>
              <w:rPr>
                <w:sz w:val="22"/>
                <w:szCs w:val="22"/>
                <w:lang w:val="es-DO"/>
              </w:rPr>
            </w:pPr>
            <w:r w:rsidRPr="009F0AC3">
              <w:rPr>
                <w:sz w:val="22"/>
                <w:szCs w:val="22"/>
                <w:lang w:val="es-DO"/>
              </w:rPr>
              <w:t>Abril</w:t>
            </w:r>
          </w:p>
        </w:tc>
        <w:tc>
          <w:tcPr>
            <w:tcW w:w="1447" w:type="dxa"/>
            <w:shd w:val="clear" w:color="000000" w:fill="F2F2F2"/>
            <w:vAlign w:val="center"/>
          </w:tcPr>
          <w:p w14:paraId="66C82DCC" w14:textId="77777777" w:rsidR="00A8614C" w:rsidRPr="009F0AC3" w:rsidRDefault="00A8614C" w:rsidP="000D0686">
            <w:pPr>
              <w:spacing w:after="0" w:line="240" w:lineRule="auto"/>
              <w:jc w:val="center"/>
              <w:rPr>
                <w:sz w:val="22"/>
                <w:szCs w:val="22"/>
                <w:lang w:val="es-DO"/>
              </w:rPr>
            </w:pPr>
            <w:r w:rsidRPr="009F0AC3">
              <w:rPr>
                <w:sz w:val="22"/>
                <w:szCs w:val="22"/>
                <w:lang w:val="es-DO"/>
              </w:rPr>
              <w:t>3</w:t>
            </w:r>
          </w:p>
        </w:tc>
        <w:tc>
          <w:tcPr>
            <w:tcW w:w="1080" w:type="dxa"/>
            <w:shd w:val="clear" w:color="000000" w:fill="F2F2F2"/>
            <w:vAlign w:val="center"/>
          </w:tcPr>
          <w:p w14:paraId="2891D80F" w14:textId="77777777" w:rsidR="00A8614C" w:rsidRPr="009F0AC3" w:rsidRDefault="00A8614C" w:rsidP="000D0686">
            <w:pPr>
              <w:spacing w:after="0" w:line="240" w:lineRule="auto"/>
              <w:jc w:val="center"/>
              <w:rPr>
                <w:sz w:val="22"/>
                <w:szCs w:val="22"/>
                <w:lang w:val="es-DO"/>
              </w:rPr>
            </w:pPr>
            <w:r w:rsidRPr="009F0AC3">
              <w:rPr>
                <w:sz w:val="22"/>
                <w:szCs w:val="22"/>
                <w:lang w:val="es-DO"/>
              </w:rPr>
              <w:t>1</w:t>
            </w:r>
          </w:p>
        </w:tc>
        <w:tc>
          <w:tcPr>
            <w:tcW w:w="900" w:type="dxa"/>
            <w:shd w:val="clear" w:color="000000" w:fill="F2F2F2"/>
            <w:vAlign w:val="center"/>
          </w:tcPr>
          <w:p w14:paraId="7E1A6EF8" w14:textId="77777777" w:rsidR="00A8614C" w:rsidRPr="009F0AC3" w:rsidRDefault="00A8614C" w:rsidP="000D0686">
            <w:pPr>
              <w:spacing w:after="0" w:line="240" w:lineRule="auto"/>
              <w:jc w:val="center"/>
              <w:rPr>
                <w:sz w:val="22"/>
                <w:szCs w:val="22"/>
                <w:lang w:val="es-DO"/>
              </w:rPr>
            </w:pPr>
            <w:r w:rsidRPr="009F0AC3">
              <w:rPr>
                <w:sz w:val="22"/>
                <w:szCs w:val="22"/>
                <w:lang w:val="es-DO"/>
              </w:rPr>
              <w:t>1</w:t>
            </w:r>
          </w:p>
        </w:tc>
        <w:tc>
          <w:tcPr>
            <w:tcW w:w="990" w:type="dxa"/>
            <w:shd w:val="clear" w:color="000000" w:fill="F2F2F2"/>
            <w:vAlign w:val="center"/>
          </w:tcPr>
          <w:p w14:paraId="572010C9" w14:textId="77777777" w:rsidR="00A8614C" w:rsidRPr="009F0AC3" w:rsidRDefault="00A8614C" w:rsidP="000D0686">
            <w:pPr>
              <w:spacing w:after="0" w:line="240" w:lineRule="auto"/>
              <w:jc w:val="center"/>
              <w:rPr>
                <w:sz w:val="22"/>
                <w:szCs w:val="22"/>
                <w:lang w:val="es-DO"/>
              </w:rPr>
            </w:pPr>
            <w:r w:rsidRPr="009F0AC3">
              <w:rPr>
                <w:sz w:val="22"/>
                <w:szCs w:val="22"/>
                <w:lang w:val="es-DO"/>
              </w:rPr>
              <w:t>1</w:t>
            </w:r>
          </w:p>
        </w:tc>
        <w:tc>
          <w:tcPr>
            <w:tcW w:w="900" w:type="dxa"/>
            <w:shd w:val="clear" w:color="000000" w:fill="F2F2F2"/>
            <w:vAlign w:val="center"/>
          </w:tcPr>
          <w:p w14:paraId="0430D00E"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c>
          <w:tcPr>
            <w:tcW w:w="1101" w:type="dxa"/>
            <w:shd w:val="clear" w:color="auto" w:fill="auto"/>
            <w:vAlign w:val="center"/>
          </w:tcPr>
          <w:p w14:paraId="5FAA652D"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r>
      <w:tr w:rsidR="00F664E1" w:rsidRPr="00452C56" w14:paraId="1D2FE1AA" w14:textId="77777777" w:rsidTr="00F664E1">
        <w:trPr>
          <w:trHeight w:val="268"/>
          <w:jc w:val="center"/>
        </w:trPr>
        <w:tc>
          <w:tcPr>
            <w:tcW w:w="1158" w:type="dxa"/>
            <w:shd w:val="clear" w:color="000000" w:fill="F2F2F2"/>
            <w:vAlign w:val="center"/>
          </w:tcPr>
          <w:p w14:paraId="21FF1B5D" w14:textId="7D4D7B80" w:rsidR="00A8614C" w:rsidRPr="009F0AC3" w:rsidRDefault="00A8614C" w:rsidP="000D0686">
            <w:pPr>
              <w:spacing w:after="0" w:line="240" w:lineRule="auto"/>
              <w:jc w:val="center"/>
              <w:rPr>
                <w:sz w:val="22"/>
                <w:szCs w:val="22"/>
                <w:lang w:val="es-DO"/>
              </w:rPr>
            </w:pPr>
            <w:r w:rsidRPr="009F0AC3">
              <w:rPr>
                <w:sz w:val="22"/>
                <w:szCs w:val="22"/>
                <w:lang w:val="es-DO"/>
              </w:rPr>
              <w:t>Mayo</w:t>
            </w:r>
          </w:p>
        </w:tc>
        <w:tc>
          <w:tcPr>
            <w:tcW w:w="1447" w:type="dxa"/>
            <w:shd w:val="clear" w:color="000000" w:fill="F2F2F2"/>
            <w:vAlign w:val="center"/>
          </w:tcPr>
          <w:p w14:paraId="52C991BB" w14:textId="77777777" w:rsidR="00A8614C" w:rsidRPr="009F0AC3" w:rsidRDefault="00A8614C" w:rsidP="000D0686">
            <w:pPr>
              <w:spacing w:after="0" w:line="240" w:lineRule="auto"/>
              <w:jc w:val="center"/>
              <w:rPr>
                <w:sz w:val="22"/>
                <w:szCs w:val="22"/>
                <w:lang w:val="es-DO"/>
              </w:rPr>
            </w:pPr>
            <w:r w:rsidRPr="009F0AC3">
              <w:rPr>
                <w:sz w:val="22"/>
                <w:szCs w:val="22"/>
                <w:lang w:val="es-DO"/>
              </w:rPr>
              <w:t>6</w:t>
            </w:r>
          </w:p>
        </w:tc>
        <w:tc>
          <w:tcPr>
            <w:tcW w:w="1080" w:type="dxa"/>
            <w:shd w:val="clear" w:color="000000" w:fill="F2F2F2"/>
            <w:vAlign w:val="center"/>
          </w:tcPr>
          <w:p w14:paraId="19E88FB3" w14:textId="77777777" w:rsidR="00A8614C" w:rsidRPr="009F0AC3" w:rsidRDefault="00A8614C" w:rsidP="000D0686">
            <w:pPr>
              <w:spacing w:after="0" w:line="240" w:lineRule="auto"/>
              <w:jc w:val="center"/>
              <w:rPr>
                <w:sz w:val="22"/>
                <w:szCs w:val="22"/>
                <w:lang w:val="es-DO"/>
              </w:rPr>
            </w:pPr>
            <w:r w:rsidRPr="009F0AC3">
              <w:rPr>
                <w:sz w:val="22"/>
                <w:szCs w:val="22"/>
                <w:lang w:val="es-DO"/>
              </w:rPr>
              <w:t>1</w:t>
            </w:r>
          </w:p>
        </w:tc>
        <w:tc>
          <w:tcPr>
            <w:tcW w:w="900" w:type="dxa"/>
            <w:shd w:val="clear" w:color="000000" w:fill="F2F2F2"/>
            <w:vAlign w:val="center"/>
          </w:tcPr>
          <w:p w14:paraId="09DD7490" w14:textId="77777777" w:rsidR="00A8614C" w:rsidRPr="009F0AC3" w:rsidRDefault="00A8614C" w:rsidP="000D0686">
            <w:pPr>
              <w:spacing w:after="0" w:line="240" w:lineRule="auto"/>
              <w:jc w:val="center"/>
              <w:rPr>
                <w:sz w:val="22"/>
                <w:szCs w:val="22"/>
                <w:lang w:val="es-DO"/>
              </w:rPr>
            </w:pPr>
            <w:r w:rsidRPr="009F0AC3">
              <w:rPr>
                <w:sz w:val="22"/>
                <w:szCs w:val="22"/>
                <w:lang w:val="es-DO"/>
              </w:rPr>
              <w:t>5</w:t>
            </w:r>
          </w:p>
        </w:tc>
        <w:tc>
          <w:tcPr>
            <w:tcW w:w="990" w:type="dxa"/>
            <w:shd w:val="clear" w:color="000000" w:fill="F2F2F2"/>
            <w:vAlign w:val="center"/>
          </w:tcPr>
          <w:p w14:paraId="0FCD6413"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c>
          <w:tcPr>
            <w:tcW w:w="900" w:type="dxa"/>
            <w:shd w:val="clear" w:color="000000" w:fill="F2F2F2"/>
            <w:vAlign w:val="center"/>
          </w:tcPr>
          <w:p w14:paraId="5584E360" w14:textId="77777777" w:rsidR="00A8614C" w:rsidRPr="009F0AC3" w:rsidRDefault="00A8614C" w:rsidP="000D0686">
            <w:pPr>
              <w:spacing w:after="0" w:line="240" w:lineRule="auto"/>
              <w:jc w:val="center"/>
              <w:rPr>
                <w:sz w:val="22"/>
                <w:szCs w:val="22"/>
                <w:lang w:val="es-DO"/>
              </w:rPr>
            </w:pPr>
            <w:r w:rsidRPr="009F0AC3">
              <w:rPr>
                <w:sz w:val="22"/>
                <w:szCs w:val="22"/>
                <w:lang w:val="es-DO"/>
              </w:rPr>
              <w:t>1</w:t>
            </w:r>
          </w:p>
        </w:tc>
        <w:tc>
          <w:tcPr>
            <w:tcW w:w="1101" w:type="dxa"/>
            <w:shd w:val="clear" w:color="auto" w:fill="auto"/>
            <w:vAlign w:val="center"/>
          </w:tcPr>
          <w:p w14:paraId="6613B5BC"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r>
      <w:tr w:rsidR="00F664E1" w:rsidRPr="00452C56" w14:paraId="41BD4DDE" w14:textId="77777777" w:rsidTr="00F664E1">
        <w:trPr>
          <w:trHeight w:val="268"/>
          <w:jc w:val="center"/>
        </w:trPr>
        <w:tc>
          <w:tcPr>
            <w:tcW w:w="1158" w:type="dxa"/>
            <w:shd w:val="clear" w:color="000000" w:fill="F2F2F2"/>
            <w:vAlign w:val="center"/>
          </w:tcPr>
          <w:p w14:paraId="50F0ED9B" w14:textId="36DCB55B" w:rsidR="00A8614C" w:rsidRPr="009F0AC3" w:rsidRDefault="00A8614C" w:rsidP="000D0686">
            <w:pPr>
              <w:spacing w:after="0" w:line="240" w:lineRule="auto"/>
              <w:jc w:val="center"/>
              <w:rPr>
                <w:sz w:val="22"/>
                <w:szCs w:val="22"/>
                <w:lang w:val="es-DO"/>
              </w:rPr>
            </w:pPr>
            <w:r w:rsidRPr="009F0AC3">
              <w:rPr>
                <w:sz w:val="22"/>
                <w:szCs w:val="22"/>
                <w:lang w:val="es-DO"/>
              </w:rPr>
              <w:t>Junio</w:t>
            </w:r>
          </w:p>
        </w:tc>
        <w:tc>
          <w:tcPr>
            <w:tcW w:w="1447" w:type="dxa"/>
            <w:shd w:val="clear" w:color="000000" w:fill="F2F2F2"/>
            <w:vAlign w:val="center"/>
          </w:tcPr>
          <w:p w14:paraId="45D82BA6" w14:textId="77777777" w:rsidR="00A8614C" w:rsidRPr="009F0AC3" w:rsidRDefault="00A8614C" w:rsidP="000D0686">
            <w:pPr>
              <w:spacing w:after="0" w:line="240" w:lineRule="auto"/>
              <w:jc w:val="center"/>
              <w:rPr>
                <w:sz w:val="22"/>
                <w:szCs w:val="22"/>
                <w:lang w:val="es-DO"/>
              </w:rPr>
            </w:pPr>
            <w:r w:rsidRPr="009F0AC3">
              <w:rPr>
                <w:sz w:val="22"/>
                <w:szCs w:val="22"/>
                <w:lang w:val="es-DO"/>
              </w:rPr>
              <w:t>6</w:t>
            </w:r>
          </w:p>
        </w:tc>
        <w:tc>
          <w:tcPr>
            <w:tcW w:w="1080" w:type="dxa"/>
            <w:shd w:val="clear" w:color="000000" w:fill="F2F2F2"/>
            <w:vAlign w:val="center"/>
          </w:tcPr>
          <w:p w14:paraId="110F5F11"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c>
          <w:tcPr>
            <w:tcW w:w="900" w:type="dxa"/>
            <w:shd w:val="clear" w:color="000000" w:fill="F2F2F2"/>
            <w:vAlign w:val="center"/>
          </w:tcPr>
          <w:p w14:paraId="15BEC7E6" w14:textId="77777777" w:rsidR="00A8614C" w:rsidRPr="009F0AC3" w:rsidRDefault="00A8614C" w:rsidP="000D0686">
            <w:pPr>
              <w:spacing w:after="0" w:line="240" w:lineRule="auto"/>
              <w:jc w:val="center"/>
              <w:rPr>
                <w:sz w:val="22"/>
                <w:szCs w:val="22"/>
                <w:lang w:val="es-DO"/>
              </w:rPr>
            </w:pPr>
            <w:r w:rsidRPr="009F0AC3">
              <w:rPr>
                <w:sz w:val="22"/>
                <w:szCs w:val="22"/>
                <w:lang w:val="es-DO"/>
              </w:rPr>
              <w:t>1</w:t>
            </w:r>
          </w:p>
        </w:tc>
        <w:tc>
          <w:tcPr>
            <w:tcW w:w="990" w:type="dxa"/>
            <w:shd w:val="clear" w:color="000000" w:fill="F2F2F2"/>
            <w:vAlign w:val="center"/>
          </w:tcPr>
          <w:p w14:paraId="53078949"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c>
          <w:tcPr>
            <w:tcW w:w="900" w:type="dxa"/>
            <w:shd w:val="clear" w:color="000000" w:fill="F2F2F2"/>
            <w:vAlign w:val="center"/>
          </w:tcPr>
          <w:p w14:paraId="632AA157" w14:textId="77777777" w:rsidR="00A8614C" w:rsidRPr="009F0AC3" w:rsidRDefault="00A8614C" w:rsidP="000D0686">
            <w:pPr>
              <w:spacing w:after="0" w:line="240" w:lineRule="auto"/>
              <w:jc w:val="center"/>
              <w:rPr>
                <w:sz w:val="22"/>
                <w:szCs w:val="22"/>
                <w:lang w:val="es-DO"/>
              </w:rPr>
            </w:pPr>
            <w:r w:rsidRPr="009F0AC3">
              <w:rPr>
                <w:sz w:val="22"/>
                <w:szCs w:val="22"/>
                <w:lang w:val="es-DO"/>
              </w:rPr>
              <w:t>5</w:t>
            </w:r>
          </w:p>
        </w:tc>
        <w:tc>
          <w:tcPr>
            <w:tcW w:w="1101" w:type="dxa"/>
            <w:shd w:val="clear" w:color="auto" w:fill="auto"/>
            <w:vAlign w:val="center"/>
          </w:tcPr>
          <w:p w14:paraId="757C6F0D"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r>
      <w:tr w:rsidR="00F664E1" w:rsidRPr="00452C56" w14:paraId="5CFF89F7" w14:textId="77777777" w:rsidTr="00F664E1">
        <w:trPr>
          <w:trHeight w:val="268"/>
          <w:jc w:val="center"/>
        </w:trPr>
        <w:tc>
          <w:tcPr>
            <w:tcW w:w="1158" w:type="dxa"/>
            <w:shd w:val="clear" w:color="000000" w:fill="F2F2F2"/>
            <w:vAlign w:val="center"/>
          </w:tcPr>
          <w:p w14:paraId="16611924" w14:textId="5424AF44" w:rsidR="00A8614C" w:rsidRPr="009F0AC3" w:rsidRDefault="00A8614C" w:rsidP="000D0686">
            <w:pPr>
              <w:spacing w:after="0" w:line="240" w:lineRule="auto"/>
              <w:jc w:val="center"/>
              <w:rPr>
                <w:sz w:val="22"/>
                <w:szCs w:val="22"/>
                <w:lang w:val="es-DO"/>
              </w:rPr>
            </w:pPr>
            <w:r w:rsidRPr="009F0AC3">
              <w:rPr>
                <w:sz w:val="22"/>
                <w:szCs w:val="22"/>
                <w:lang w:val="es-DO"/>
              </w:rPr>
              <w:t>Julio</w:t>
            </w:r>
          </w:p>
        </w:tc>
        <w:tc>
          <w:tcPr>
            <w:tcW w:w="1447" w:type="dxa"/>
            <w:shd w:val="clear" w:color="000000" w:fill="F2F2F2"/>
            <w:vAlign w:val="center"/>
          </w:tcPr>
          <w:p w14:paraId="260E253D" w14:textId="77777777" w:rsidR="00A8614C" w:rsidRPr="009F0AC3" w:rsidRDefault="00A8614C" w:rsidP="000D0686">
            <w:pPr>
              <w:spacing w:after="0" w:line="240" w:lineRule="auto"/>
              <w:jc w:val="center"/>
              <w:rPr>
                <w:sz w:val="22"/>
                <w:szCs w:val="22"/>
                <w:lang w:val="es-DO"/>
              </w:rPr>
            </w:pPr>
            <w:r w:rsidRPr="009F0AC3">
              <w:rPr>
                <w:sz w:val="22"/>
                <w:szCs w:val="22"/>
                <w:lang w:val="es-DO"/>
              </w:rPr>
              <w:t>12</w:t>
            </w:r>
          </w:p>
        </w:tc>
        <w:tc>
          <w:tcPr>
            <w:tcW w:w="1080" w:type="dxa"/>
            <w:shd w:val="clear" w:color="000000" w:fill="F2F2F2"/>
            <w:vAlign w:val="center"/>
          </w:tcPr>
          <w:p w14:paraId="07B7609E" w14:textId="77777777" w:rsidR="00A8614C" w:rsidRPr="009F0AC3" w:rsidRDefault="00A8614C" w:rsidP="000D0686">
            <w:pPr>
              <w:spacing w:after="0" w:line="240" w:lineRule="auto"/>
              <w:jc w:val="center"/>
              <w:rPr>
                <w:sz w:val="22"/>
                <w:szCs w:val="22"/>
                <w:lang w:val="es-DO"/>
              </w:rPr>
            </w:pPr>
            <w:r w:rsidRPr="009F0AC3">
              <w:rPr>
                <w:sz w:val="22"/>
                <w:szCs w:val="22"/>
                <w:lang w:val="es-DO"/>
              </w:rPr>
              <w:t>4</w:t>
            </w:r>
          </w:p>
        </w:tc>
        <w:tc>
          <w:tcPr>
            <w:tcW w:w="900" w:type="dxa"/>
            <w:shd w:val="clear" w:color="000000" w:fill="F2F2F2"/>
            <w:vAlign w:val="center"/>
          </w:tcPr>
          <w:p w14:paraId="21023D81" w14:textId="77777777" w:rsidR="00A8614C" w:rsidRPr="009F0AC3" w:rsidRDefault="00A8614C" w:rsidP="000D0686">
            <w:pPr>
              <w:spacing w:after="0" w:line="240" w:lineRule="auto"/>
              <w:jc w:val="center"/>
              <w:rPr>
                <w:sz w:val="22"/>
                <w:szCs w:val="22"/>
                <w:lang w:val="es-DO"/>
              </w:rPr>
            </w:pPr>
            <w:r w:rsidRPr="009F0AC3">
              <w:rPr>
                <w:sz w:val="22"/>
                <w:szCs w:val="22"/>
                <w:lang w:val="es-DO"/>
              </w:rPr>
              <w:t>5</w:t>
            </w:r>
          </w:p>
        </w:tc>
        <w:tc>
          <w:tcPr>
            <w:tcW w:w="990" w:type="dxa"/>
            <w:shd w:val="clear" w:color="000000" w:fill="F2F2F2"/>
            <w:vAlign w:val="center"/>
          </w:tcPr>
          <w:p w14:paraId="6DFE48DD" w14:textId="77777777" w:rsidR="00A8614C" w:rsidRPr="009F0AC3" w:rsidRDefault="00A8614C" w:rsidP="000D0686">
            <w:pPr>
              <w:spacing w:after="0" w:line="240" w:lineRule="auto"/>
              <w:jc w:val="center"/>
              <w:rPr>
                <w:sz w:val="22"/>
                <w:szCs w:val="22"/>
                <w:lang w:val="es-DO"/>
              </w:rPr>
            </w:pPr>
            <w:r w:rsidRPr="009F0AC3">
              <w:rPr>
                <w:sz w:val="22"/>
                <w:szCs w:val="22"/>
                <w:lang w:val="es-DO"/>
              </w:rPr>
              <w:t>1</w:t>
            </w:r>
          </w:p>
        </w:tc>
        <w:tc>
          <w:tcPr>
            <w:tcW w:w="900" w:type="dxa"/>
            <w:shd w:val="clear" w:color="000000" w:fill="F2F2F2"/>
            <w:vAlign w:val="center"/>
          </w:tcPr>
          <w:p w14:paraId="4F3E3FAB" w14:textId="77777777" w:rsidR="00A8614C" w:rsidRPr="009F0AC3" w:rsidRDefault="00A8614C" w:rsidP="000D0686">
            <w:pPr>
              <w:spacing w:after="0" w:line="240" w:lineRule="auto"/>
              <w:jc w:val="center"/>
              <w:rPr>
                <w:sz w:val="22"/>
                <w:szCs w:val="22"/>
                <w:lang w:val="es-DO"/>
              </w:rPr>
            </w:pPr>
            <w:r w:rsidRPr="009F0AC3">
              <w:rPr>
                <w:sz w:val="22"/>
                <w:szCs w:val="22"/>
                <w:lang w:val="es-DO"/>
              </w:rPr>
              <w:t>2</w:t>
            </w:r>
          </w:p>
        </w:tc>
        <w:tc>
          <w:tcPr>
            <w:tcW w:w="1101" w:type="dxa"/>
            <w:shd w:val="clear" w:color="auto" w:fill="auto"/>
            <w:vAlign w:val="center"/>
          </w:tcPr>
          <w:p w14:paraId="221D66DA"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r>
      <w:tr w:rsidR="00F664E1" w:rsidRPr="00452C56" w14:paraId="2E54A170" w14:textId="77777777" w:rsidTr="00F664E1">
        <w:trPr>
          <w:trHeight w:val="268"/>
          <w:jc w:val="center"/>
        </w:trPr>
        <w:tc>
          <w:tcPr>
            <w:tcW w:w="1158" w:type="dxa"/>
            <w:shd w:val="clear" w:color="000000" w:fill="F2F2F2"/>
            <w:vAlign w:val="center"/>
          </w:tcPr>
          <w:p w14:paraId="525CC197" w14:textId="6F64E3F8" w:rsidR="00A8614C" w:rsidRPr="009F0AC3" w:rsidRDefault="00A8614C" w:rsidP="000D0686">
            <w:pPr>
              <w:spacing w:after="0" w:line="240" w:lineRule="auto"/>
              <w:jc w:val="center"/>
              <w:rPr>
                <w:sz w:val="22"/>
                <w:szCs w:val="22"/>
                <w:lang w:val="es-DO"/>
              </w:rPr>
            </w:pPr>
            <w:r w:rsidRPr="009F0AC3">
              <w:rPr>
                <w:sz w:val="22"/>
                <w:szCs w:val="22"/>
                <w:lang w:val="es-DO"/>
              </w:rPr>
              <w:t>Agosto</w:t>
            </w:r>
          </w:p>
        </w:tc>
        <w:tc>
          <w:tcPr>
            <w:tcW w:w="1447" w:type="dxa"/>
            <w:shd w:val="clear" w:color="000000" w:fill="F2F2F2"/>
            <w:vAlign w:val="center"/>
          </w:tcPr>
          <w:p w14:paraId="4B7B972B" w14:textId="77777777" w:rsidR="00A8614C" w:rsidRPr="009F0AC3" w:rsidRDefault="00A8614C" w:rsidP="000D0686">
            <w:pPr>
              <w:spacing w:after="0" w:line="240" w:lineRule="auto"/>
              <w:jc w:val="center"/>
              <w:rPr>
                <w:sz w:val="22"/>
                <w:szCs w:val="22"/>
                <w:lang w:val="es-DO"/>
              </w:rPr>
            </w:pPr>
            <w:r w:rsidRPr="009F0AC3">
              <w:rPr>
                <w:sz w:val="22"/>
                <w:szCs w:val="22"/>
                <w:lang w:val="es-DO"/>
              </w:rPr>
              <w:t>13</w:t>
            </w:r>
          </w:p>
        </w:tc>
        <w:tc>
          <w:tcPr>
            <w:tcW w:w="1080" w:type="dxa"/>
            <w:shd w:val="clear" w:color="000000" w:fill="F2F2F2"/>
            <w:vAlign w:val="center"/>
          </w:tcPr>
          <w:p w14:paraId="5F633A3D" w14:textId="77777777" w:rsidR="00A8614C" w:rsidRPr="009F0AC3" w:rsidRDefault="00A8614C" w:rsidP="000D0686">
            <w:pPr>
              <w:spacing w:after="0" w:line="240" w:lineRule="auto"/>
              <w:jc w:val="center"/>
              <w:rPr>
                <w:sz w:val="22"/>
                <w:szCs w:val="22"/>
                <w:lang w:val="es-DO"/>
              </w:rPr>
            </w:pPr>
            <w:r w:rsidRPr="009F0AC3">
              <w:rPr>
                <w:sz w:val="22"/>
                <w:szCs w:val="22"/>
                <w:lang w:val="es-DO"/>
              </w:rPr>
              <w:t>5</w:t>
            </w:r>
          </w:p>
        </w:tc>
        <w:tc>
          <w:tcPr>
            <w:tcW w:w="900" w:type="dxa"/>
            <w:shd w:val="clear" w:color="000000" w:fill="F2F2F2"/>
            <w:vAlign w:val="center"/>
          </w:tcPr>
          <w:p w14:paraId="7CBE2C65" w14:textId="77777777" w:rsidR="00A8614C" w:rsidRPr="009F0AC3" w:rsidRDefault="00A8614C" w:rsidP="000D0686">
            <w:pPr>
              <w:spacing w:after="0" w:line="240" w:lineRule="auto"/>
              <w:jc w:val="center"/>
              <w:rPr>
                <w:sz w:val="22"/>
                <w:szCs w:val="22"/>
                <w:lang w:val="es-DO"/>
              </w:rPr>
            </w:pPr>
            <w:r w:rsidRPr="009F0AC3">
              <w:rPr>
                <w:sz w:val="22"/>
                <w:szCs w:val="22"/>
                <w:lang w:val="es-DO"/>
              </w:rPr>
              <w:t>5</w:t>
            </w:r>
          </w:p>
        </w:tc>
        <w:tc>
          <w:tcPr>
            <w:tcW w:w="990" w:type="dxa"/>
            <w:shd w:val="clear" w:color="000000" w:fill="F2F2F2"/>
            <w:vAlign w:val="center"/>
          </w:tcPr>
          <w:p w14:paraId="26BA10A9" w14:textId="77777777" w:rsidR="00A8614C" w:rsidRPr="009F0AC3" w:rsidRDefault="00A8614C" w:rsidP="000D0686">
            <w:pPr>
              <w:spacing w:after="0" w:line="240" w:lineRule="auto"/>
              <w:jc w:val="center"/>
              <w:rPr>
                <w:sz w:val="22"/>
                <w:szCs w:val="22"/>
                <w:lang w:val="es-DO"/>
              </w:rPr>
            </w:pPr>
            <w:r w:rsidRPr="009F0AC3">
              <w:rPr>
                <w:sz w:val="22"/>
                <w:szCs w:val="22"/>
                <w:lang w:val="es-DO"/>
              </w:rPr>
              <w:t>1</w:t>
            </w:r>
          </w:p>
        </w:tc>
        <w:tc>
          <w:tcPr>
            <w:tcW w:w="900" w:type="dxa"/>
            <w:shd w:val="clear" w:color="000000" w:fill="F2F2F2"/>
            <w:vAlign w:val="center"/>
          </w:tcPr>
          <w:p w14:paraId="4B1DE182" w14:textId="77777777" w:rsidR="00A8614C" w:rsidRPr="009F0AC3" w:rsidRDefault="00A8614C" w:rsidP="000D0686">
            <w:pPr>
              <w:spacing w:after="0" w:line="240" w:lineRule="auto"/>
              <w:jc w:val="center"/>
              <w:rPr>
                <w:sz w:val="22"/>
                <w:szCs w:val="22"/>
                <w:lang w:val="es-DO"/>
              </w:rPr>
            </w:pPr>
            <w:r w:rsidRPr="009F0AC3">
              <w:rPr>
                <w:sz w:val="22"/>
                <w:szCs w:val="22"/>
                <w:lang w:val="es-DO"/>
              </w:rPr>
              <w:t>2</w:t>
            </w:r>
          </w:p>
        </w:tc>
        <w:tc>
          <w:tcPr>
            <w:tcW w:w="1101" w:type="dxa"/>
            <w:shd w:val="clear" w:color="auto" w:fill="auto"/>
            <w:vAlign w:val="center"/>
          </w:tcPr>
          <w:p w14:paraId="54612852"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r>
      <w:tr w:rsidR="00F664E1" w:rsidRPr="00452C56" w14:paraId="03257AD3" w14:textId="77777777" w:rsidTr="00F664E1">
        <w:trPr>
          <w:trHeight w:val="431"/>
          <w:jc w:val="center"/>
        </w:trPr>
        <w:tc>
          <w:tcPr>
            <w:tcW w:w="1158" w:type="dxa"/>
            <w:shd w:val="clear" w:color="000000" w:fill="F2F2F2"/>
            <w:vAlign w:val="center"/>
          </w:tcPr>
          <w:p w14:paraId="7FC222BF" w14:textId="681F70A0" w:rsidR="00A8614C" w:rsidRPr="009F0AC3" w:rsidRDefault="00A8614C" w:rsidP="000D0686">
            <w:pPr>
              <w:spacing w:after="0" w:line="240" w:lineRule="auto"/>
              <w:jc w:val="center"/>
              <w:rPr>
                <w:sz w:val="22"/>
                <w:szCs w:val="22"/>
                <w:lang w:val="es-DO"/>
              </w:rPr>
            </w:pPr>
            <w:proofErr w:type="spellStart"/>
            <w:r w:rsidRPr="009F0AC3">
              <w:rPr>
                <w:sz w:val="22"/>
                <w:szCs w:val="22"/>
                <w:lang w:val="es-DO"/>
              </w:rPr>
              <w:t>Septie</w:t>
            </w:r>
            <w:r w:rsidR="000D0686">
              <w:rPr>
                <w:sz w:val="22"/>
                <w:szCs w:val="22"/>
                <w:lang w:val="es-DO"/>
              </w:rPr>
              <w:t>m-</w:t>
            </w:r>
            <w:r w:rsidRPr="009F0AC3">
              <w:rPr>
                <w:sz w:val="22"/>
                <w:szCs w:val="22"/>
                <w:lang w:val="es-DO"/>
              </w:rPr>
              <w:t>bre</w:t>
            </w:r>
            <w:proofErr w:type="spellEnd"/>
          </w:p>
        </w:tc>
        <w:tc>
          <w:tcPr>
            <w:tcW w:w="1447" w:type="dxa"/>
            <w:shd w:val="clear" w:color="000000" w:fill="F2F2F2"/>
            <w:vAlign w:val="center"/>
          </w:tcPr>
          <w:p w14:paraId="55BBEA27" w14:textId="77777777" w:rsidR="00A8614C" w:rsidRPr="009F0AC3" w:rsidRDefault="00A8614C" w:rsidP="000D0686">
            <w:pPr>
              <w:spacing w:after="0" w:line="240" w:lineRule="auto"/>
              <w:jc w:val="center"/>
              <w:rPr>
                <w:sz w:val="22"/>
                <w:szCs w:val="22"/>
                <w:lang w:val="es-DO"/>
              </w:rPr>
            </w:pPr>
            <w:r w:rsidRPr="009F0AC3">
              <w:rPr>
                <w:sz w:val="22"/>
                <w:szCs w:val="22"/>
                <w:lang w:val="es-DO"/>
              </w:rPr>
              <w:t>10</w:t>
            </w:r>
          </w:p>
        </w:tc>
        <w:tc>
          <w:tcPr>
            <w:tcW w:w="1080" w:type="dxa"/>
            <w:shd w:val="clear" w:color="000000" w:fill="F2F2F2"/>
            <w:vAlign w:val="center"/>
          </w:tcPr>
          <w:p w14:paraId="2512C23F" w14:textId="77777777" w:rsidR="00A8614C" w:rsidRPr="009F0AC3" w:rsidRDefault="00A8614C" w:rsidP="000D0686">
            <w:pPr>
              <w:spacing w:after="0" w:line="240" w:lineRule="auto"/>
              <w:jc w:val="center"/>
              <w:rPr>
                <w:sz w:val="22"/>
                <w:szCs w:val="22"/>
                <w:lang w:val="es-DO"/>
              </w:rPr>
            </w:pPr>
            <w:r w:rsidRPr="009F0AC3">
              <w:rPr>
                <w:sz w:val="22"/>
                <w:szCs w:val="22"/>
                <w:lang w:val="es-DO"/>
              </w:rPr>
              <w:t>4</w:t>
            </w:r>
          </w:p>
        </w:tc>
        <w:tc>
          <w:tcPr>
            <w:tcW w:w="900" w:type="dxa"/>
            <w:shd w:val="clear" w:color="000000" w:fill="F2F2F2"/>
            <w:vAlign w:val="center"/>
          </w:tcPr>
          <w:p w14:paraId="5BB2A9D3" w14:textId="77777777" w:rsidR="00A8614C" w:rsidRPr="009F0AC3" w:rsidRDefault="00A8614C" w:rsidP="000D0686">
            <w:pPr>
              <w:spacing w:after="0" w:line="240" w:lineRule="auto"/>
              <w:jc w:val="center"/>
              <w:rPr>
                <w:sz w:val="22"/>
                <w:szCs w:val="22"/>
                <w:lang w:val="es-DO"/>
              </w:rPr>
            </w:pPr>
            <w:r w:rsidRPr="009F0AC3">
              <w:rPr>
                <w:sz w:val="22"/>
                <w:szCs w:val="22"/>
                <w:lang w:val="es-DO"/>
              </w:rPr>
              <w:t>3</w:t>
            </w:r>
          </w:p>
        </w:tc>
        <w:tc>
          <w:tcPr>
            <w:tcW w:w="990" w:type="dxa"/>
            <w:shd w:val="clear" w:color="000000" w:fill="F2F2F2"/>
            <w:vAlign w:val="center"/>
          </w:tcPr>
          <w:p w14:paraId="7029F3AB" w14:textId="77777777" w:rsidR="00A8614C" w:rsidRPr="009F0AC3" w:rsidRDefault="00A8614C" w:rsidP="000D0686">
            <w:pPr>
              <w:spacing w:after="0" w:line="240" w:lineRule="auto"/>
              <w:jc w:val="center"/>
              <w:rPr>
                <w:sz w:val="22"/>
                <w:szCs w:val="22"/>
                <w:lang w:val="es-DO"/>
              </w:rPr>
            </w:pPr>
            <w:r w:rsidRPr="009F0AC3">
              <w:rPr>
                <w:sz w:val="22"/>
                <w:szCs w:val="22"/>
                <w:lang w:val="es-DO"/>
              </w:rPr>
              <w:t>3</w:t>
            </w:r>
          </w:p>
        </w:tc>
        <w:tc>
          <w:tcPr>
            <w:tcW w:w="900" w:type="dxa"/>
            <w:shd w:val="clear" w:color="000000" w:fill="F2F2F2"/>
            <w:vAlign w:val="center"/>
          </w:tcPr>
          <w:p w14:paraId="1475D62B"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c>
          <w:tcPr>
            <w:tcW w:w="1101" w:type="dxa"/>
            <w:shd w:val="clear" w:color="auto" w:fill="auto"/>
            <w:vAlign w:val="center"/>
          </w:tcPr>
          <w:p w14:paraId="07A5EA98"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r>
      <w:tr w:rsidR="00F664E1" w:rsidRPr="00452C56" w14:paraId="66927BFA" w14:textId="77777777" w:rsidTr="00F664E1">
        <w:trPr>
          <w:trHeight w:val="268"/>
          <w:jc w:val="center"/>
        </w:trPr>
        <w:tc>
          <w:tcPr>
            <w:tcW w:w="1158" w:type="dxa"/>
            <w:shd w:val="clear" w:color="000000" w:fill="F2F2F2"/>
            <w:vAlign w:val="center"/>
          </w:tcPr>
          <w:p w14:paraId="4FE5AD92" w14:textId="394FE0EA" w:rsidR="00A8614C" w:rsidRPr="009F0AC3" w:rsidRDefault="00A8614C" w:rsidP="000D0686">
            <w:pPr>
              <w:spacing w:after="0" w:line="240" w:lineRule="auto"/>
              <w:jc w:val="center"/>
              <w:rPr>
                <w:sz w:val="22"/>
                <w:szCs w:val="22"/>
                <w:lang w:val="es-DO"/>
              </w:rPr>
            </w:pPr>
            <w:r w:rsidRPr="009F0AC3">
              <w:rPr>
                <w:sz w:val="22"/>
                <w:szCs w:val="22"/>
                <w:lang w:val="es-DO"/>
              </w:rPr>
              <w:t>Octubre</w:t>
            </w:r>
          </w:p>
        </w:tc>
        <w:tc>
          <w:tcPr>
            <w:tcW w:w="1447" w:type="dxa"/>
            <w:shd w:val="clear" w:color="000000" w:fill="F2F2F2"/>
            <w:vAlign w:val="center"/>
          </w:tcPr>
          <w:p w14:paraId="3940875E" w14:textId="77777777" w:rsidR="00A8614C" w:rsidRPr="009F0AC3" w:rsidRDefault="00A8614C" w:rsidP="000D0686">
            <w:pPr>
              <w:spacing w:after="0" w:line="240" w:lineRule="auto"/>
              <w:jc w:val="center"/>
              <w:rPr>
                <w:sz w:val="22"/>
                <w:szCs w:val="22"/>
                <w:lang w:val="es-DO"/>
              </w:rPr>
            </w:pPr>
            <w:r w:rsidRPr="009F0AC3">
              <w:rPr>
                <w:sz w:val="22"/>
                <w:szCs w:val="22"/>
                <w:lang w:val="es-DO"/>
              </w:rPr>
              <w:t>11</w:t>
            </w:r>
          </w:p>
        </w:tc>
        <w:tc>
          <w:tcPr>
            <w:tcW w:w="1080" w:type="dxa"/>
            <w:shd w:val="clear" w:color="000000" w:fill="F2F2F2"/>
            <w:vAlign w:val="center"/>
          </w:tcPr>
          <w:p w14:paraId="7B95FD02" w14:textId="77777777" w:rsidR="00A8614C" w:rsidRPr="009F0AC3" w:rsidRDefault="00A8614C" w:rsidP="000D0686">
            <w:pPr>
              <w:spacing w:after="0" w:line="240" w:lineRule="auto"/>
              <w:jc w:val="center"/>
              <w:rPr>
                <w:sz w:val="22"/>
                <w:szCs w:val="22"/>
                <w:lang w:val="es-DO"/>
              </w:rPr>
            </w:pPr>
            <w:r w:rsidRPr="009F0AC3">
              <w:rPr>
                <w:sz w:val="22"/>
                <w:szCs w:val="22"/>
                <w:lang w:val="es-DO"/>
              </w:rPr>
              <w:t>2</w:t>
            </w:r>
          </w:p>
        </w:tc>
        <w:tc>
          <w:tcPr>
            <w:tcW w:w="900" w:type="dxa"/>
            <w:shd w:val="clear" w:color="000000" w:fill="F2F2F2"/>
            <w:vAlign w:val="center"/>
          </w:tcPr>
          <w:p w14:paraId="44182A17" w14:textId="77777777" w:rsidR="00A8614C" w:rsidRPr="009F0AC3" w:rsidRDefault="00A8614C" w:rsidP="000D0686">
            <w:pPr>
              <w:spacing w:after="0" w:line="240" w:lineRule="auto"/>
              <w:jc w:val="center"/>
              <w:rPr>
                <w:sz w:val="22"/>
                <w:szCs w:val="22"/>
                <w:lang w:val="es-DO"/>
              </w:rPr>
            </w:pPr>
            <w:r w:rsidRPr="009F0AC3">
              <w:rPr>
                <w:sz w:val="22"/>
                <w:szCs w:val="22"/>
                <w:lang w:val="es-DO"/>
              </w:rPr>
              <w:t>4</w:t>
            </w:r>
          </w:p>
        </w:tc>
        <w:tc>
          <w:tcPr>
            <w:tcW w:w="990" w:type="dxa"/>
            <w:shd w:val="clear" w:color="000000" w:fill="F2F2F2"/>
            <w:vAlign w:val="center"/>
          </w:tcPr>
          <w:p w14:paraId="6E1391A4" w14:textId="77777777" w:rsidR="00A8614C" w:rsidRPr="009F0AC3" w:rsidRDefault="00A8614C" w:rsidP="000D0686">
            <w:pPr>
              <w:spacing w:after="0" w:line="240" w:lineRule="auto"/>
              <w:jc w:val="center"/>
              <w:rPr>
                <w:sz w:val="22"/>
                <w:szCs w:val="22"/>
                <w:lang w:val="es-DO"/>
              </w:rPr>
            </w:pPr>
            <w:r w:rsidRPr="009F0AC3">
              <w:rPr>
                <w:sz w:val="22"/>
                <w:szCs w:val="22"/>
                <w:lang w:val="es-DO"/>
              </w:rPr>
              <w:t>4</w:t>
            </w:r>
          </w:p>
        </w:tc>
        <w:tc>
          <w:tcPr>
            <w:tcW w:w="900" w:type="dxa"/>
            <w:shd w:val="clear" w:color="000000" w:fill="F2F2F2"/>
            <w:vAlign w:val="center"/>
          </w:tcPr>
          <w:p w14:paraId="7FC71FE2" w14:textId="77777777" w:rsidR="00A8614C" w:rsidRPr="009F0AC3" w:rsidRDefault="00A8614C" w:rsidP="000D0686">
            <w:pPr>
              <w:spacing w:after="0" w:line="240" w:lineRule="auto"/>
              <w:jc w:val="center"/>
              <w:rPr>
                <w:sz w:val="22"/>
                <w:szCs w:val="22"/>
                <w:lang w:val="es-DO"/>
              </w:rPr>
            </w:pPr>
            <w:r w:rsidRPr="009F0AC3">
              <w:rPr>
                <w:sz w:val="22"/>
                <w:szCs w:val="22"/>
                <w:lang w:val="es-DO"/>
              </w:rPr>
              <w:t>1</w:t>
            </w:r>
          </w:p>
        </w:tc>
        <w:tc>
          <w:tcPr>
            <w:tcW w:w="1101" w:type="dxa"/>
            <w:shd w:val="clear" w:color="auto" w:fill="auto"/>
            <w:vAlign w:val="center"/>
          </w:tcPr>
          <w:p w14:paraId="151F231B"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r>
      <w:tr w:rsidR="00F664E1" w:rsidRPr="00452C56" w14:paraId="35E9F8F8" w14:textId="77777777" w:rsidTr="00F664E1">
        <w:trPr>
          <w:trHeight w:val="268"/>
          <w:jc w:val="center"/>
        </w:trPr>
        <w:tc>
          <w:tcPr>
            <w:tcW w:w="1158" w:type="dxa"/>
            <w:shd w:val="clear" w:color="000000" w:fill="F2F2F2"/>
            <w:vAlign w:val="center"/>
          </w:tcPr>
          <w:p w14:paraId="1CAB165D" w14:textId="6CA1D969" w:rsidR="00A8614C" w:rsidRPr="009F0AC3" w:rsidRDefault="000D0686" w:rsidP="000D0686">
            <w:pPr>
              <w:spacing w:after="0" w:line="240" w:lineRule="auto"/>
              <w:jc w:val="center"/>
              <w:rPr>
                <w:sz w:val="22"/>
                <w:szCs w:val="22"/>
                <w:lang w:val="es-DO"/>
              </w:rPr>
            </w:pPr>
            <w:proofErr w:type="spellStart"/>
            <w:r w:rsidRPr="009F0AC3">
              <w:rPr>
                <w:sz w:val="22"/>
                <w:szCs w:val="22"/>
                <w:lang w:val="es-DO"/>
              </w:rPr>
              <w:t>Noviem</w:t>
            </w:r>
            <w:r>
              <w:rPr>
                <w:sz w:val="22"/>
                <w:szCs w:val="22"/>
                <w:lang w:val="es-DO"/>
              </w:rPr>
              <w:t>-b</w:t>
            </w:r>
            <w:r w:rsidRPr="009F0AC3">
              <w:rPr>
                <w:sz w:val="22"/>
                <w:szCs w:val="22"/>
                <w:lang w:val="es-DO"/>
              </w:rPr>
              <w:t>re</w:t>
            </w:r>
            <w:proofErr w:type="spellEnd"/>
          </w:p>
        </w:tc>
        <w:tc>
          <w:tcPr>
            <w:tcW w:w="1447" w:type="dxa"/>
            <w:shd w:val="clear" w:color="000000" w:fill="F2F2F2"/>
            <w:vAlign w:val="center"/>
          </w:tcPr>
          <w:p w14:paraId="6A85C0E1" w14:textId="77777777" w:rsidR="00A8614C" w:rsidRPr="009F0AC3" w:rsidRDefault="00A8614C" w:rsidP="000D0686">
            <w:pPr>
              <w:spacing w:after="0" w:line="240" w:lineRule="auto"/>
              <w:jc w:val="center"/>
              <w:rPr>
                <w:sz w:val="22"/>
                <w:szCs w:val="22"/>
                <w:lang w:val="es-DO"/>
              </w:rPr>
            </w:pPr>
            <w:r w:rsidRPr="009F0AC3">
              <w:rPr>
                <w:sz w:val="22"/>
                <w:szCs w:val="22"/>
                <w:lang w:val="es-DO"/>
              </w:rPr>
              <w:t>6</w:t>
            </w:r>
          </w:p>
        </w:tc>
        <w:tc>
          <w:tcPr>
            <w:tcW w:w="1080" w:type="dxa"/>
            <w:shd w:val="clear" w:color="000000" w:fill="F2F2F2"/>
            <w:vAlign w:val="center"/>
          </w:tcPr>
          <w:p w14:paraId="28456270" w14:textId="77777777" w:rsidR="00A8614C" w:rsidRPr="009F0AC3" w:rsidRDefault="00A8614C" w:rsidP="000D0686">
            <w:pPr>
              <w:spacing w:after="0" w:line="240" w:lineRule="auto"/>
              <w:jc w:val="center"/>
              <w:rPr>
                <w:sz w:val="22"/>
                <w:szCs w:val="22"/>
                <w:lang w:val="es-DO"/>
              </w:rPr>
            </w:pPr>
            <w:r w:rsidRPr="009F0AC3">
              <w:rPr>
                <w:sz w:val="22"/>
                <w:szCs w:val="22"/>
                <w:lang w:val="es-DO"/>
              </w:rPr>
              <w:t>3</w:t>
            </w:r>
          </w:p>
        </w:tc>
        <w:tc>
          <w:tcPr>
            <w:tcW w:w="900" w:type="dxa"/>
            <w:shd w:val="clear" w:color="000000" w:fill="F2F2F2"/>
            <w:vAlign w:val="center"/>
          </w:tcPr>
          <w:p w14:paraId="08DE2F58" w14:textId="77777777" w:rsidR="00A8614C" w:rsidRPr="009F0AC3" w:rsidRDefault="00A8614C" w:rsidP="000D0686">
            <w:pPr>
              <w:spacing w:after="0" w:line="240" w:lineRule="auto"/>
              <w:jc w:val="center"/>
              <w:rPr>
                <w:sz w:val="22"/>
                <w:szCs w:val="22"/>
                <w:lang w:val="es-DO"/>
              </w:rPr>
            </w:pPr>
            <w:r w:rsidRPr="009F0AC3">
              <w:rPr>
                <w:sz w:val="22"/>
                <w:szCs w:val="22"/>
                <w:lang w:val="es-DO"/>
              </w:rPr>
              <w:t>2</w:t>
            </w:r>
          </w:p>
        </w:tc>
        <w:tc>
          <w:tcPr>
            <w:tcW w:w="990" w:type="dxa"/>
            <w:shd w:val="clear" w:color="000000" w:fill="F2F2F2"/>
            <w:vAlign w:val="center"/>
          </w:tcPr>
          <w:p w14:paraId="4ECAEF7A" w14:textId="77777777" w:rsidR="00A8614C" w:rsidRPr="009F0AC3" w:rsidRDefault="00A8614C" w:rsidP="000D0686">
            <w:pPr>
              <w:spacing w:after="0" w:line="240" w:lineRule="auto"/>
              <w:jc w:val="center"/>
              <w:rPr>
                <w:sz w:val="22"/>
                <w:szCs w:val="22"/>
                <w:lang w:val="es-DO"/>
              </w:rPr>
            </w:pPr>
            <w:r w:rsidRPr="009F0AC3">
              <w:rPr>
                <w:sz w:val="22"/>
                <w:szCs w:val="22"/>
                <w:lang w:val="es-DO"/>
              </w:rPr>
              <w:t>1</w:t>
            </w:r>
          </w:p>
        </w:tc>
        <w:tc>
          <w:tcPr>
            <w:tcW w:w="900" w:type="dxa"/>
            <w:shd w:val="clear" w:color="000000" w:fill="F2F2F2"/>
            <w:vAlign w:val="center"/>
          </w:tcPr>
          <w:p w14:paraId="5A51F11D"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c>
          <w:tcPr>
            <w:tcW w:w="1101" w:type="dxa"/>
            <w:shd w:val="clear" w:color="auto" w:fill="auto"/>
            <w:vAlign w:val="center"/>
          </w:tcPr>
          <w:p w14:paraId="149BBE8E" w14:textId="77777777" w:rsidR="00A8614C" w:rsidRPr="009F0AC3" w:rsidRDefault="00A8614C" w:rsidP="000D0686">
            <w:pPr>
              <w:spacing w:after="0" w:line="240" w:lineRule="auto"/>
              <w:jc w:val="center"/>
              <w:rPr>
                <w:sz w:val="22"/>
                <w:szCs w:val="22"/>
                <w:lang w:val="es-DO"/>
              </w:rPr>
            </w:pPr>
            <w:r w:rsidRPr="009F0AC3">
              <w:rPr>
                <w:sz w:val="22"/>
                <w:szCs w:val="22"/>
                <w:lang w:val="es-DO"/>
              </w:rPr>
              <w:t>0</w:t>
            </w:r>
          </w:p>
        </w:tc>
      </w:tr>
      <w:tr w:rsidR="00F664E1" w:rsidRPr="00452C56" w14:paraId="0EB0BEC2" w14:textId="77777777" w:rsidTr="00F664E1">
        <w:trPr>
          <w:trHeight w:val="268"/>
          <w:jc w:val="center"/>
        </w:trPr>
        <w:tc>
          <w:tcPr>
            <w:tcW w:w="1158" w:type="dxa"/>
            <w:shd w:val="clear" w:color="000000" w:fill="F2F2F2"/>
            <w:vAlign w:val="center"/>
          </w:tcPr>
          <w:p w14:paraId="6C012273" w14:textId="77777777" w:rsidR="00A8614C" w:rsidRPr="000D0686" w:rsidRDefault="00A8614C" w:rsidP="000D0686">
            <w:pPr>
              <w:spacing w:after="0" w:line="240" w:lineRule="auto"/>
              <w:jc w:val="center"/>
              <w:rPr>
                <w:b/>
                <w:bCs/>
                <w:sz w:val="22"/>
                <w:szCs w:val="22"/>
                <w:lang w:val="es-DO"/>
              </w:rPr>
            </w:pPr>
            <w:r w:rsidRPr="000D0686">
              <w:rPr>
                <w:b/>
                <w:bCs/>
                <w:sz w:val="22"/>
                <w:szCs w:val="22"/>
                <w:lang w:val="es-DO"/>
              </w:rPr>
              <w:t>TOTAL</w:t>
            </w:r>
          </w:p>
        </w:tc>
        <w:tc>
          <w:tcPr>
            <w:tcW w:w="1447" w:type="dxa"/>
            <w:shd w:val="clear" w:color="000000" w:fill="F2F2F2"/>
            <w:vAlign w:val="center"/>
          </w:tcPr>
          <w:p w14:paraId="02938640" w14:textId="77777777" w:rsidR="00A8614C" w:rsidRPr="000D0686" w:rsidRDefault="00A8614C" w:rsidP="000D0686">
            <w:pPr>
              <w:spacing w:after="0" w:line="240" w:lineRule="auto"/>
              <w:jc w:val="center"/>
              <w:rPr>
                <w:b/>
                <w:bCs/>
                <w:sz w:val="22"/>
                <w:szCs w:val="22"/>
                <w:lang w:val="es-DO"/>
              </w:rPr>
            </w:pPr>
            <w:r w:rsidRPr="000D0686">
              <w:rPr>
                <w:b/>
                <w:bCs/>
                <w:sz w:val="22"/>
                <w:szCs w:val="22"/>
                <w:lang w:val="es-DO"/>
              </w:rPr>
              <w:t>91</w:t>
            </w:r>
          </w:p>
        </w:tc>
        <w:tc>
          <w:tcPr>
            <w:tcW w:w="1080" w:type="dxa"/>
            <w:shd w:val="clear" w:color="000000" w:fill="F2F2F2"/>
            <w:vAlign w:val="center"/>
          </w:tcPr>
          <w:p w14:paraId="7091EB16" w14:textId="77777777" w:rsidR="00A8614C" w:rsidRPr="000D0686" w:rsidRDefault="00A8614C" w:rsidP="000D0686">
            <w:pPr>
              <w:spacing w:after="0" w:line="240" w:lineRule="auto"/>
              <w:jc w:val="center"/>
              <w:rPr>
                <w:b/>
                <w:bCs/>
                <w:sz w:val="22"/>
                <w:szCs w:val="22"/>
                <w:lang w:val="es-DO"/>
              </w:rPr>
            </w:pPr>
            <w:r w:rsidRPr="000D0686">
              <w:rPr>
                <w:b/>
                <w:bCs/>
                <w:sz w:val="22"/>
                <w:szCs w:val="22"/>
                <w:lang w:val="es-DO"/>
              </w:rPr>
              <w:t>22</w:t>
            </w:r>
          </w:p>
        </w:tc>
        <w:tc>
          <w:tcPr>
            <w:tcW w:w="900" w:type="dxa"/>
            <w:shd w:val="clear" w:color="000000" w:fill="F2F2F2"/>
            <w:vAlign w:val="center"/>
          </w:tcPr>
          <w:p w14:paraId="28F4A0C9" w14:textId="77777777" w:rsidR="00A8614C" w:rsidRPr="000D0686" w:rsidRDefault="00A8614C" w:rsidP="000D0686">
            <w:pPr>
              <w:spacing w:after="0" w:line="240" w:lineRule="auto"/>
              <w:jc w:val="center"/>
              <w:rPr>
                <w:b/>
                <w:bCs/>
                <w:sz w:val="22"/>
                <w:szCs w:val="22"/>
                <w:lang w:val="es-DO"/>
              </w:rPr>
            </w:pPr>
            <w:r w:rsidRPr="000D0686">
              <w:rPr>
                <w:b/>
                <w:bCs/>
                <w:sz w:val="22"/>
                <w:szCs w:val="22"/>
                <w:lang w:val="es-DO"/>
              </w:rPr>
              <w:t>41</w:t>
            </w:r>
          </w:p>
        </w:tc>
        <w:tc>
          <w:tcPr>
            <w:tcW w:w="990" w:type="dxa"/>
            <w:shd w:val="clear" w:color="000000" w:fill="F2F2F2"/>
            <w:vAlign w:val="center"/>
          </w:tcPr>
          <w:p w14:paraId="4BC8F7E4" w14:textId="77777777" w:rsidR="00A8614C" w:rsidRPr="000D0686" w:rsidRDefault="00A8614C" w:rsidP="000D0686">
            <w:pPr>
              <w:spacing w:after="0" w:line="240" w:lineRule="auto"/>
              <w:jc w:val="center"/>
              <w:rPr>
                <w:b/>
                <w:bCs/>
                <w:sz w:val="22"/>
                <w:szCs w:val="22"/>
                <w:lang w:val="es-DO"/>
              </w:rPr>
            </w:pPr>
            <w:r w:rsidRPr="000D0686">
              <w:rPr>
                <w:b/>
                <w:bCs/>
                <w:sz w:val="22"/>
                <w:szCs w:val="22"/>
                <w:lang w:val="es-DO"/>
              </w:rPr>
              <w:t>15</w:t>
            </w:r>
          </w:p>
        </w:tc>
        <w:tc>
          <w:tcPr>
            <w:tcW w:w="900" w:type="dxa"/>
            <w:shd w:val="clear" w:color="000000" w:fill="F2F2F2"/>
            <w:vAlign w:val="center"/>
          </w:tcPr>
          <w:p w14:paraId="77DABA7E" w14:textId="77777777" w:rsidR="00A8614C" w:rsidRPr="000D0686" w:rsidRDefault="00A8614C" w:rsidP="000D0686">
            <w:pPr>
              <w:spacing w:after="0" w:line="240" w:lineRule="auto"/>
              <w:jc w:val="center"/>
              <w:rPr>
                <w:b/>
                <w:bCs/>
                <w:sz w:val="22"/>
                <w:szCs w:val="22"/>
                <w:lang w:val="es-DO"/>
              </w:rPr>
            </w:pPr>
            <w:r w:rsidRPr="000D0686">
              <w:rPr>
                <w:b/>
                <w:bCs/>
                <w:sz w:val="22"/>
                <w:szCs w:val="22"/>
                <w:lang w:val="es-DO"/>
              </w:rPr>
              <w:t>14</w:t>
            </w:r>
          </w:p>
        </w:tc>
        <w:tc>
          <w:tcPr>
            <w:tcW w:w="1101" w:type="dxa"/>
            <w:shd w:val="clear" w:color="auto" w:fill="auto"/>
            <w:vAlign w:val="center"/>
          </w:tcPr>
          <w:p w14:paraId="1D317DB8" w14:textId="4505051C" w:rsidR="00A8614C" w:rsidRPr="000D0686" w:rsidRDefault="009F0AC3" w:rsidP="000D0686">
            <w:pPr>
              <w:spacing w:after="0" w:line="240" w:lineRule="auto"/>
              <w:jc w:val="center"/>
              <w:rPr>
                <w:b/>
                <w:bCs/>
                <w:sz w:val="22"/>
                <w:szCs w:val="22"/>
                <w:lang w:val="es-DO"/>
              </w:rPr>
            </w:pPr>
            <w:r w:rsidRPr="000D0686">
              <w:rPr>
                <w:b/>
                <w:bCs/>
                <w:sz w:val="22"/>
                <w:szCs w:val="22"/>
                <w:lang w:val="es-DO"/>
              </w:rPr>
              <w:t>0</w:t>
            </w:r>
          </w:p>
        </w:tc>
      </w:tr>
    </w:tbl>
    <w:p w14:paraId="2D037FDA" w14:textId="0E941BD5" w:rsidR="00A8614C" w:rsidRPr="00690EA0" w:rsidRDefault="004515C5" w:rsidP="00B0637A">
      <w:pPr>
        <w:spacing w:line="360" w:lineRule="auto"/>
        <w:jc w:val="both"/>
        <w:rPr>
          <w:rFonts w:eastAsia="Calibri"/>
          <w:noProof/>
          <w:sz w:val="18"/>
          <w:szCs w:val="18"/>
          <w:lang w:val="es-DO"/>
        </w:rPr>
      </w:pPr>
      <w:r w:rsidRPr="00690EA0">
        <w:rPr>
          <w:rFonts w:eastAsia="Calibri"/>
          <w:b/>
          <w:bCs/>
          <w:noProof/>
          <w:sz w:val="18"/>
          <w:szCs w:val="18"/>
          <w:lang w:val="es-DO"/>
        </w:rPr>
        <w:t xml:space="preserve">Tabla </w:t>
      </w:r>
      <w:r w:rsidR="00C50277">
        <w:rPr>
          <w:rFonts w:eastAsia="Calibri"/>
          <w:b/>
          <w:bCs/>
          <w:noProof/>
          <w:sz w:val="18"/>
          <w:szCs w:val="18"/>
          <w:lang w:val="es-DO"/>
        </w:rPr>
        <w:t>30</w:t>
      </w:r>
      <w:r w:rsidRPr="00690EA0">
        <w:rPr>
          <w:rFonts w:eastAsia="Calibri"/>
          <w:b/>
          <w:bCs/>
          <w:noProof/>
          <w:sz w:val="18"/>
          <w:szCs w:val="18"/>
          <w:lang w:val="es-DO"/>
        </w:rPr>
        <w:t>:</w:t>
      </w:r>
      <w:r w:rsidRPr="00690EA0">
        <w:rPr>
          <w:rFonts w:eastAsia="Calibri"/>
          <w:noProof/>
          <w:sz w:val="18"/>
          <w:szCs w:val="18"/>
          <w:lang w:val="es-DO"/>
        </w:rPr>
        <w:t xml:space="preserve"> Cantidad de solicitudes con estatus correspondientes</w:t>
      </w:r>
    </w:p>
    <w:p w14:paraId="4C32A3F5" w14:textId="282E7D17" w:rsidR="004515C5" w:rsidRPr="009F0AC3" w:rsidRDefault="004515C5" w:rsidP="000D0686">
      <w:pPr>
        <w:spacing w:line="360" w:lineRule="auto"/>
        <w:jc w:val="both"/>
        <w:rPr>
          <w:rFonts w:eastAsia="Calibri"/>
          <w:noProof/>
          <w:lang w:val="es-DO"/>
        </w:rPr>
      </w:pPr>
      <w:r w:rsidRPr="00E54882">
        <w:rPr>
          <w:rFonts w:eastAsia="Calibri"/>
          <w:noProof/>
          <w:lang w:val="es-DO"/>
        </w:rPr>
        <w:t xml:space="preserve">Durante el </w:t>
      </w:r>
      <w:r>
        <w:rPr>
          <w:rFonts w:eastAsia="Calibri"/>
          <w:noProof/>
          <w:lang w:val="es-DO"/>
        </w:rPr>
        <w:t xml:space="preserve">periodo enero – </w:t>
      </w:r>
      <w:r w:rsidR="001762C7">
        <w:rPr>
          <w:rFonts w:eastAsia="Calibri"/>
          <w:noProof/>
          <w:lang w:val="es-DO"/>
        </w:rPr>
        <w:t>dic</w:t>
      </w:r>
      <w:r>
        <w:rPr>
          <w:rFonts w:eastAsia="Calibri"/>
          <w:noProof/>
          <w:lang w:val="es-DO"/>
        </w:rPr>
        <w:t>iembre</w:t>
      </w:r>
      <w:r w:rsidRPr="00E54882">
        <w:rPr>
          <w:rFonts w:eastAsia="Calibri"/>
          <w:noProof/>
          <w:lang w:val="es-DO"/>
        </w:rPr>
        <w:t xml:space="preserve">, hemos recibido un total </w:t>
      </w:r>
      <w:r>
        <w:rPr>
          <w:rFonts w:eastAsia="Calibri"/>
          <w:noProof/>
          <w:lang w:val="es-DO"/>
        </w:rPr>
        <w:t>91</w:t>
      </w:r>
      <w:r w:rsidRPr="00E54882">
        <w:rPr>
          <w:rFonts w:eastAsia="Calibri"/>
          <w:noProof/>
          <w:lang w:val="es-DO"/>
        </w:rPr>
        <w:t xml:space="preserve"> solicitudes, las cuales fueron respondidas en los plazos siguientes, de </w:t>
      </w:r>
      <w:r w:rsidRPr="009F0AC3">
        <w:rPr>
          <w:rFonts w:eastAsia="Calibri"/>
          <w:noProof/>
          <w:lang w:val="es-DO"/>
        </w:rPr>
        <w:t>estas quince  (</w:t>
      </w:r>
      <w:r w:rsidR="009F0AC3" w:rsidRPr="009F0AC3">
        <w:rPr>
          <w:rFonts w:eastAsia="Calibri"/>
          <w:noProof/>
          <w:lang w:val="es-DO"/>
        </w:rPr>
        <w:t>15</w:t>
      </w:r>
      <w:r w:rsidRPr="009F0AC3">
        <w:rPr>
          <w:rFonts w:eastAsia="Calibri"/>
          <w:noProof/>
          <w:lang w:val="es-DO"/>
        </w:rPr>
        <w:t>) fueron remitidas a otras instituciones, catorce (14) rechazadas, cuarenta y una  (41) respondidas de 10-15 días, veintidos (22) antes de los 10 días.</w:t>
      </w:r>
    </w:p>
    <w:p w14:paraId="3E063DA1" w14:textId="0CB0BA49" w:rsidR="002A6621" w:rsidRPr="002A6621" w:rsidRDefault="004515C5" w:rsidP="000D0686">
      <w:pPr>
        <w:spacing w:line="360" w:lineRule="auto"/>
        <w:jc w:val="both"/>
        <w:rPr>
          <w:rFonts w:eastAsia="Calibri"/>
          <w:noProof/>
          <w:lang w:val="es-DO"/>
        </w:rPr>
      </w:pPr>
      <w:r w:rsidRPr="000D0686">
        <w:rPr>
          <w:rFonts w:eastAsia="Calibri"/>
          <w:noProof/>
          <w:lang w:val="es-DO"/>
        </w:rPr>
        <w:t xml:space="preserve"> </w:t>
      </w:r>
      <w:bookmarkStart w:id="259" w:name="_Hlk108527832"/>
      <w:r w:rsidRPr="009F0AC3">
        <w:rPr>
          <w:rFonts w:eastAsia="Calibri"/>
          <w:noProof/>
          <w:lang w:val="es-DO"/>
        </w:rPr>
        <w:t xml:space="preserve">De las cuales veinte y ocho (28) fueron solicitadas por hombres y diez (10) por </w:t>
      </w:r>
      <w:bookmarkEnd w:id="259"/>
      <w:r w:rsidRPr="009F0AC3">
        <w:rPr>
          <w:rFonts w:eastAsia="Calibri"/>
          <w:noProof/>
          <w:lang w:val="es-DO"/>
        </w:rPr>
        <w:t>mujeres.</w:t>
      </w:r>
    </w:p>
    <w:p w14:paraId="1A732C62" w14:textId="5FA7907E" w:rsidR="00A83076" w:rsidRPr="00A83076" w:rsidRDefault="00A83076" w:rsidP="000D0686">
      <w:pPr>
        <w:pStyle w:val="Heading1"/>
        <w:spacing w:after="240" w:line="259" w:lineRule="auto"/>
        <w:jc w:val="left"/>
        <w:rPr>
          <w:spacing w:val="0"/>
          <w:lang w:val="es-DO"/>
        </w:rPr>
      </w:pPr>
      <w:bookmarkStart w:id="260" w:name="_Toc154736751"/>
      <w:bookmarkStart w:id="261" w:name="_Toc185245117"/>
      <w:r w:rsidRPr="00A83076">
        <w:rPr>
          <w:spacing w:val="0"/>
          <w:lang w:val="es-DO"/>
        </w:rPr>
        <w:lastRenderedPageBreak/>
        <w:t>5.3 Resultados Sistema de Quejas, Reclamos y Sugerencias</w:t>
      </w:r>
      <w:bookmarkEnd w:id="260"/>
      <w:bookmarkEnd w:id="261"/>
    </w:p>
    <w:p w14:paraId="52A64EFF" w14:textId="42AED291" w:rsidR="00B0637A" w:rsidRPr="00C76E53" w:rsidRDefault="00B0637A" w:rsidP="009F0AC3">
      <w:pPr>
        <w:spacing w:line="360" w:lineRule="auto"/>
        <w:jc w:val="both"/>
        <w:rPr>
          <w:rFonts w:eastAsia="Calibri"/>
          <w:noProof/>
          <w:lang w:val="es-DO"/>
        </w:rPr>
      </w:pPr>
      <w:r w:rsidRPr="00C76E53">
        <w:rPr>
          <w:rFonts w:eastAsia="Calibri"/>
          <w:noProof/>
          <w:lang w:val="es-DO"/>
        </w:rPr>
        <w:t xml:space="preserve">La Tesorería de la Seguridad Social, como parte fundamental de su cultura organizacional, y reconociendo la importancia de las percepciones de sus partes interesadas, se compromete a escuchar activamente sus opiniones y evaluar la satisfacción de los servicios brindados. Para ello, se apoya en encuestas y en el seguimiento de los comentarios de los usuarios a través de los distintos canales de comunicación disponibles. </w:t>
      </w:r>
    </w:p>
    <w:p w14:paraId="51316188" w14:textId="6A8AFEFF" w:rsidR="00B0637A" w:rsidRDefault="000D0686" w:rsidP="009F0AC3">
      <w:pPr>
        <w:spacing w:line="360" w:lineRule="auto"/>
        <w:jc w:val="both"/>
        <w:rPr>
          <w:rFonts w:eastAsia="Calibri"/>
          <w:noProof/>
          <w:lang w:val="es-DO"/>
        </w:rPr>
      </w:pPr>
      <w:r w:rsidRPr="009F0AC3">
        <w:rPr>
          <w:rFonts w:ascii="Century Gothic" w:eastAsia="Times New Roman" w:hAnsi="Century Gothic" w:cstheme="majorHAnsi"/>
          <w:b/>
          <w:bCs/>
          <w:noProof/>
          <w:lang w:val="es-DO" w:eastAsia="es-DO"/>
        </w:rPr>
        <w:drawing>
          <wp:anchor distT="0" distB="0" distL="114300" distR="114300" simplePos="0" relativeHeight="251658267" behindDoc="0" locked="0" layoutInCell="1" allowOverlap="1" wp14:anchorId="424C26E6" wp14:editId="552B158C">
            <wp:simplePos x="0" y="0"/>
            <wp:positionH relativeFrom="margin">
              <wp:align>left</wp:align>
            </wp:positionH>
            <wp:positionV relativeFrom="margin">
              <wp:posOffset>3852460</wp:posOffset>
            </wp:positionV>
            <wp:extent cx="4769485" cy="3669665"/>
            <wp:effectExtent l="0" t="0" r="0" b="6985"/>
            <wp:wrapSquare wrapText="bothSides"/>
            <wp:docPr id="17371306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r w:rsidR="00B0637A" w:rsidRPr="00C76E53">
        <w:rPr>
          <w:rFonts w:eastAsia="Calibri"/>
          <w:noProof/>
          <w:lang w:val="es-DO"/>
        </w:rPr>
        <w:t xml:space="preserve">La meta establecida para este año es obtener, al menos, un 92% en la Encuesta de Satisfacción de los Servicios Brindados. En el periodo enero - </w:t>
      </w:r>
      <w:r w:rsidR="001762C7">
        <w:rPr>
          <w:rFonts w:eastAsia="Calibri"/>
          <w:noProof/>
          <w:lang w:val="es-DO"/>
        </w:rPr>
        <w:t>dic</w:t>
      </w:r>
      <w:r w:rsidR="00B0637A" w:rsidRPr="00C76E53">
        <w:rPr>
          <w:rFonts w:eastAsia="Calibri"/>
          <w:noProof/>
          <w:lang w:val="es-DO"/>
        </w:rPr>
        <w:t>iembre del año se obtuvo un 95%</w:t>
      </w:r>
      <w:bookmarkStart w:id="262" w:name="_Hlk170978229"/>
      <w:r w:rsidR="00B0637A" w:rsidRPr="00C76E53">
        <w:rPr>
          <w:rFonts w:eastAsia="Calibri"/>
          <w:noProof/>
          <w:lang w:val="es-DO"/>
        </w:rPr>
        <w:t>.</w:t>
      </w:r>
    </w:p>
    <w:p w14:paraId="6AE074B2" w14:textId="37C05C1F" w:rsidR="009F0AC3" w:rsidRPr="00690EA0" w:rsidRDefault="00690EA0" w:rsidP="009F0AC3">
      <w:pPr>
        <w:spacing w:line="360" w:lineRule="auto"/>
        <w:jc w:val="both"/>
        <w:rPr>
          <w:rFonts w:eastAsia="Calibri"/>
          <w:noProof/>
          <w:sz w:val="18"/>
          <w:szCs w:val="18"/>
          <w:lang w:val="es-DO"/>
        </w:rPr>
      </w:pPr>
      <w:r>
        <w:rPr>
          <w:rFonts w:eastAsia="Calibri"/>
          <w:b/>
          <w:bCs/>
          <w:noProof/>
          <w:sz w:val="18"/>
          <w:szCs w:val="18"/>
          <w:lang w:val="es-DO"/>
        </w:rPr>
        <w:t xml:space="preserve"> </w:t>
      </w:r>
      <w:r w:rsidRPr="00690EA0">
        <w:rPr>
          <w:rFonts w:eastAsia="Calibri"/>
          <w:b/>
          <w:bCs/>
          <w:noProof/>
          <w:sz w:val="18"/>
          <w:szCs w:val="18"/>
          <w:lang w:val="es-DO"/>
        </w:rPr>
        <w:t xml:space="preserve">Gráfico </w:t>
      </w:r>
      <w:r w:rsidR="0024181E">
        <w:rPr>
          <w:rFonts w:eastAsia="Calibri"/>
          <w:b/>
          <w:bCs/>
          <w:noProof/>
          <w:sz w:val="18"/>
          <w:szCs w:val="18"/>
          <w:lang w:val="es-DO"/>
        </w:rPr>
        <w:t>22</w:t>
      </w:r>
      <w:r w:rsidRPr="00690EA0">
        <w:rPr>
          <w:rFonts w:eastAsia="Calibri"/>
          <w:b/>
          <w:bCs/>
          <w:noProof/>
          <w:sz w:val="18"/>
          <w:szCs w:val="18"/>
          <w:lang w:val="es-DO"/>
        </w:rPr>
        <w:t>:</w:t>
      </w:r>
      <w:r w:rsidRPr="00690EA0">
        <w:rPr>
          <w:rFonts w:eastAsia="Calibri"/>
          <w:noProof/>
          <w:sz w:val="18"/>
          <w:szCs w:val="18"/>
          <w:lang w:val="es-DO"/>
        </w:rPr>
        <w:t xml:space="preserve"> Solicitudes Recibidas.</w:t>
      </w:r>
    </w:p>
    <w:p w14:paraId="6E777086" w14:textId="3228B6F5" w:rsidR="00B0637A" w:rsidRDefault="00B0637A" w:rsidP="009F0AC3">
      <w:pPr>
        <w:jc w:val="center"/>
        <w:rPr>
          <w:szCs w:val="36"/>
          <w:lang w:val="es-ES"/>
        </w:rPr>
      </w:pPr>
      <w:r>
        <w:rPr>
          <w:noProof/>
        </w:rPr>
        <w:lastRenderedPageBreak/>
        <w:drawing>
          <wp:inline distT="0" distB="0" distL="0" distR="0" wp14:anchorId="7D8D2A9C" wp14:editId="623CA1AF">
            <wp:extent cx="4819015" cy="2570205"/>
            <wp:effectExtent l="0" t="0" r="635" b="1905"/>
            <wp:docPr id="1900572382" name="Gráfico 1">
              <a:extLst xmlns:a="http://schemas.openxmlformats.org/drawingml/2006/main">
                <a:ext uri="{FF2B5EF4-FFF2-40B4-BE49-F238E27FC236}">
                  <a16:creationId xmlns:a16="http://schemas.microsoft.com/office/drawing/2014/main" id="{CB2791C3-8CC8-8CB0-05E5-BFDB8283E6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AB473CA" w14:textId="78A445D2" w:rsidR="00690EA0" w:rsidRDefault="00690EA0" w:rsidP="00690EA0">
      <w:pPr>
        <w:rPr>
          <w:sz w:val="18"/>
          <w:lang w:val="es-ES"/>
        </w:rPr>
      </w:pPr>
      <w:r w:rsidRPr="00690EA0">
        <w:rPr>
          <w:b/>
          <w:bCs/>
          <w:sz w:val="18"/>
          <w:lang w:val="es-ES"/>
        </w:rPr>
        <w:t xml:space="preserve">Gráfico </w:t>
      </w:r>
      <w:r w:rsidR="009E6B75">
        <w:rPr>
          <w:b/>
          <w:bCs/>
          <w:sz w:val="18"/>
          <w:lang w:val="es-ES"/>
        </w:rPr>
        <w:t>2</w:t>
      </w:r>
      <w:r w:rsidR="0024181E">
        <w:rPr>
          <w:b/>
          <w:bCs/>
          <w:sz w:val="18"/>
          <w:lang w:val="es-ES"/>
        </w:rPr>
        <w:t>3</w:t>
      </w:r>
      <w:r w:rsidRPr="00690EA0">
        <w:rPr>
          <w:b/>
          <w:bCs/>
          <w:sz w:val="18"/>
          <w:lang w:val="es-ES"/>
        </w:rPr>
        <w:t>:</w:t>
      </w:r>
      <w:r w:rsidRPr="00690EA0">
        <w:rPr>
          <w:sz w:val="18"/>
          <w:lang w:val="es-ES"/>
        </w:rPr>
        <w:t xml:space="preserve"> Índice de Satisfacción.</w:t>
      </w:r>
    </w:p>
    <w:p w14:paraId="5A493990" w14:textId="77777777" w:rsidR="000D0686" w:rsidRPr="00690EA0" w:rsidRDefault="000D0686" w:rsidP="00690EA0">
      <w:pPr>
        <w:rPr>
          <w:sz w:val="18"/>
          <w:lang w:val="es-ES"/>
        </w:rPr>
      </w:pPr>
    </w:p>
    <w:p w14:paraId="7724C7E0" w14:textId="6246A4BA" w:rsidR="00B0637A" w:rsidRPr="00C76E53" w:rsidRDefault="00B0637A" w:rsidP="00B0637A">
      <w:pPr>
        <w:spacing w:line="360" w:lineRule="auto"/>
        <w:jc w:val="both"/>
        <w:rPr>
          <w:rFonts w:eastAsia="Calibri"/>
          <w:noProof/>
          <w:lang w:val="es-DO"/>
        </w:rPr>
      </w:pPr>
      <w:r w:rsidRPr="00C76E53">
        <w:rPr>
          <w:rFonts w:eastAsia="Calibri"/>
          <w:noProof/>
          <w:lang w:val="es-DO"/>
        </w:rPr>
        <w:t xml:space="preserve">En el periodo Junio - </w:t>
      </w:r>
      <w:r w:rsidR="009E3ED4">
        <w:rPr>
          <w:rFonts w:eastAsia="Calibri"/>
          <w:noProof/>
          <w:lang w:val="es-DO"/>
        </w:rPr>
        <w:t>Dici</w:t>
      </w:r>
      <w:r w:rsidRPr="00C76E53">
        <w:rPr>
          <w:rFonts w:eastAsia="Calibri"/>
          <w:noProof/>
          <w:lang w:val="es-DO"/>
        </w:rPr>
        <w:t xml:space="preserve">embre hubo una reducción de dos puntos para el índice de satisfacción. Esta variación es natural debido a lo cercano que se encuentra el objetivo al 100%. </w:t>
      </w:r>
    </w:p>
    <w:p w14:paraId="5914DEAD" w14:textId="7DB8ACDA" w:rsidR="00B0637A" w:rsidRPr="00C76E53" w:rsidRDefault="00B0637A" w:rsidP="00B0637A">
      <w:pPr>
        <w:spacing w:line="360" w:lineRule="auto"/>
        <w:jc w:val="both"/>
        <w:rPr>
          <w:rFonts w:eastAsia="Calibri"/>
          <w:noProof/>
          <w:lang w:val="es-DO"/>
        </w:rPr>
      </w:pPr>
      <w:r w:rsidRPr="00C76E53">
        <w:rPr>
          <w:rFonts w:eastAsia="Calibri"/>
          <w:noProof/>
          <w:lang w:val="es-DO"/>
        </w:rPr>
        <w:t xml:space="preserve">Además, durante el año se implementaron diversas iniciativas orientadas a mejorar la experiencia del usuario, como la optimización de procesos internos, lo que contribuyó al alto nivel de satisfacción registrado. Estos esfuerzos reflejan el compromiso de la institución con la calidad y la mejora continua, fortaleciendo la confianza de los ciudadanos en los servicios brindados. </w:t>
      </w:r>
    </w:p>
    <w:p w14:paraId="2DF5FE92" w14:textId="4A047B57" w:rsidR="000D3194" w:rsidRPr="00594DB0" w:rsidRDefault="009E3ED4" w:rsidP="009E3ED4">
      <w:pPr>
        <w:tabs>
          <w:tab w:val="left" w:pos="0"/>
        </w:tabs>
        <w:spacing w:line="360" w:lineRule="auto"/>
        <w:jc w:val="both"/>
        <w:rPr>
          <w:noProof/>
          <w:lang w:val="es-ES"/>
        </w:rPr>
      </w:pPr>
      <w:bookmarkStart w:id="263" w:name="_Hlk170978372"/>
      <w:bookmarkEnd w:id="262"/>
      <w:r w:rsidRPr="009E3ED4">
        <w:rPr>
          <w:rFonts w:eastAsia="Calibri"/>
          <w:noProof/>
          <w:lang w:val="es-DO"/>
        </w:rPr>
        <w:t>En la Encuesta de Satisfacción Simplificada se recibieron un total de 2,110 respuestas, y en la Encuesta de Servicios un total de 927 se obtuvo un total general de 3,037 respuestas. De estas, 737 corresponden a quejas y sugerencias de los empleadores, las cuales fueron respondidas en su totalidad por los colaboradores de la TSS. Estas quejas y sugerencias representan solo el 24% del total de respuestas, lo que indica que el 76% de los empleadores encuestados quedaron completamente satisfechos con el servicio ofrecido.</w:t>
      </w:r>
    </w:p>
    <w:p w14:paraId="7F28B2F3" w14:textId="77777777" w:rsidR="00995933" w:rsidRPr="00594DB0" w:rsidRDefault="00995933" w:rsidP="009E3ED4">
      <w:pPr>
        <w:tabs>
          <w:tab w:val="left" w:pos="0"/>
        </w:tabs>
        <w:spacing w:line="360" w:lineRule="auto"/>
        <w:jc w:val="both"/>
        <w:rPr>
          <w:noProof/>
          <w:lang w:val="es-ES"/>
        </w:rPr>
      </w:pPr>
    </w:p>
    <w:p w14:paraId="5D2F90C6" w14:textId="04D1E8E1" w:rsidR="00995933" w:rsidRDefault="00995933" w:rsidP="009E3ED4">
      <w:pPr>
        <w:tabs>
          <w:tab w:val="left" w:pos="0"/>
        </w:tabs>
        <w:spacing w:line="360" w:lineRule="auto"/>
        <w:jc w:val="both"/>
        <w:rPr>
          <w:szCs w:val="36"/>
          <w:lang w:val="es-ES"/>
        </w:rPr>
      </w:pPr>
      <w:r>
        <w:rPr>
          <w:noProof/>
        </w:rPr>
        <w:lastRenderedPageBreak/>
        <w:drawing>
          <wp:inline distT="0" distB="0" distL="0" distR="0" wp14:anchorId="03DFB744" wp14:editId="61E91B1E">
            <wp:extent cx="4626610" cy="2877185"/>
            <wp:effectExtent l="0" t="0" r="2540" b="18415"/>
            <wp:docPr id="686938391" name="Chart 1">
              <a:extLst xmlns:a="http://schemas.openxmlformats.org/drawingml/2006/main">
                <a:ext uri="{FF2B5EF4-FFF2-40B4-BE49-F238E27FC236}">
                  <a16:creationId xmlns:a16="http://schemas.microsoft.com/office/drawing/2014/main" id="{E991FCFD-28FA-5A2B-3304-F7204381DF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95EA26C" w14:textId="0BDD9CBC" w:rsidR="00690EA0" w:rsidRPr="000D3194" w:rsidRDefault="00690EA0" w:rsidP="000D3194">
      <w:pPr>
        <w:rPr>
          <w:szCs w:val="36"/>
          <w:lang w:val="es-ES"/>
        </w:rPr>
      </w:pPr>
      <w:r w:rsidRPr="000D3194">
        <w:rPr>
          <w:b/>
          <w:bCs/>
          <w:sz w:val="18"/>
          <w:lang w:val="es-ES"/>
        </w:rPr>
        <w:t xml:space="preserve">Gráfico </w:t>
      </w:r>
      <w:r w:rsidR="009E6B75">
        <w:rPr>
          <w:b/>
          <w:bCs/>
          <w:sz w:val="18"/>
          <w:lang w:val="es-ES"/>
        </w:rPr>
        <w:t>2</w:t>
      </w:r>
      <w:r w:rsidR="0024181E">
        <w:rPr>
          <w:b/>
          <w:bCs/>
          <w:sz w:val="18"/>
          <w:lang w:val="es-ES"/>
        </w:rPr>
        <w:t>4</w:t>
      </w:r>
      <w:r w:rsidRPr="000D3194">
        <w:rPr>
          <w:b/>
          <w:bCs/>
          <w:sz w:val="18"/>
          <w:lang w:val="es-ES"/>
        </w:rPr>
        <w:t>:</w:t>
      </w:r>
      <w:r w:rsidR="000716D2">
        <w:rPr>
          <w:b/>
          <w:bCs/>
          <w:sz w:val="18"/>
          <w:lang w:val="es-ES"/>
        </w:rPr>
        <w:t xml:space="preserve"> </w:t>
      </w:r>
      <w:r w:rsidRPr="000D3194">
        <w:rPr>
          <w:sz w:val="18"/>
          <w:lang w:val="es-ES"/>
        </w:rPr>
        <w:t>Quejas y Sugerencias</w:t>
      </w:r>
    </w:p>
    <w:p w14:paraId="387FCE10" w14:textId="77777777" w:rsidR="00B0637A" w:rsidRPr="00C76E53" w:rsidRDefault="00B0637A" w:rsidP="00B0637A">
      <w:pPr>
        <w:spacing w:line="360" w:lineRule="auto"/>
        <w:jc w:val="both"/>
        <w:rPr>
          <w:rFonts w:eastAsia="Calibri"/>
          <w:noProof/>
          <w:lang w:val="es-DO"/>
        </w:rPr>
      </w:pPr>
      <w:r w:rsidRPr="00C76E53">
        <w:rPr>
          <w:rFonts w:eastAsia="Calibri"/>
          <w:noProof/>
          <w:lang w:val="es-DO"/>
        </w:rPr>
        <w:t>Además, se recibió retroalimentación positiva para un total de 7, de los empleadores hacia la TSS y se registraron 45 felicitaciones para los colaboradores por el excelente servicio brindado.</w:t>
      </w:r>
    </w:p>
    <w:tbl>
      <w:tblPr>
        <w:tblW w:w="7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0"/>
        <w:gridCol w:w="1035"/>
        <w:gridCol w:w="908"/>
        <w:gridCol w:w="1388"/>
        <w:gridCol w:w="1366"/>
        <w:gridCol w:w="689"/>
      </w:tblGrid>
      <w:tr w:rsidR="00B0637A" w14:paraId="446BAEC8" w14:textId="77777777" w:rsidTr="000D0686">
        <w:trPr>
          <w:trHeight w:val="359"/>
          <w:tblHeader/>
          <w:jc w:val="center"/>
        </w:trPr>
        <w:tc>
          <w:tcPr>
            <w:tcW w:w="1675" w:type="dxa"/>
            <w:shd w:val="clear" w:color="auto" w:fill="1F3864" w:themeFill="accent1" w:themeFillShade="80"/>
            <w:noWrap/>
            <w:hideMark/>
          </w:tcPr>
          <w:p w14:paraId="1A1102C6" w14:textId="77777777" w:rsidR="00B0637A" w:rsidRPr="009F0AC3" w:rsidRDefault="00B0637A" w:rsidP="000D0686">
            <w:pPr>
              <w:jc w:val="center"/>
              <w:rPr>
                <w:b/>
                <w:bCs/>
                <w:color w:val="FFFFFF"/>
                <w:sz w:val="22"/>
                <w:szCs w:val="22"/>
              </w:rPr>
            </w:pPr>
            <w:r w:rsidRPr="009F0AC3">
              <w:rPr>
                <w:b/>
                <w:bCs/>
                <w:color w:val="FFFFFF"/>
                <w:sz w:val="22"/>
                <w:szCs w:val="22"/>
              </w:rPr>
              <w:t>Clasificación</w:t>
            </w:r>
          </w:p>
        </w:tc>
        <w:tc>
          <w:tcPr>
            <w:tcW w:w="1122" w:type="dxa"/>
            <w:shd w:val="clear" w:color="auto" w:fill="1F3864" w:themeFill="accent1" w:themeFillShade="80"/>
            <w:noWrap/>
            <w:hideMark/>
          </w:tcPr>
          <w:p w14:paraId="19A419EF" w14:textId="77777777" w:rsidR="00B0637A" w:rsidRPr="009F0AC3" w:rsidRDefault="00B0637A" w:rsidP="000D0686">
            <w:pPr>
              <w:jc w:val="center"/>
              <w:rPr>
                <w:b/>
                <w:bCs/>
                <w:color w:val="FFFFFF"/>
                <w:sz w:val="22"/>
                <w:szCs w:val="22"/>
              </w:rPr>
            </w:pPr>
            <w:r w:rsidRPr="009F0AC3">
              <w:rPr>
                <w:b/>
                <w:bCs/>
                <w:color w:val="FFFFFF"/>
                <w:sz w:val="22"/>
                <w:szCs w:val="22"/>
              </w:rPr>
              <w:t>Queja</w:t>
            </w:r>
          </w:p>
        </w:tc>
        <w:tc>
          <w:tcPr>
            <w:tcW w:w="983" w:type="dxa"/>
            <w:shd w:val="clear" w:color="auto" w:fill="1F3864" w:themeFill="accent1" w:themeFillShade="80"/>
            <w:hideMark/>
          </w:tcPr>
          <w:p w14:paraId="47839B8C" w14:textId="77777777" w:rsidR="00B0637A" w:rsidRPr="009F0AC3" w:rsidRDefault="00B0637A" w:rsidP="000D0686">
            <w:pPr>
              <w:jc w:val="center"/>
              <w:rPr>
                <w:b/>
                <w:bCs/>
                <w:color w:val="FFFFFF"/>
                <w:sz w:val="22"/>
                <w:szCs w:val="22"/>
              </w:rPr>
            </w:pPr>
            <w:r w:rsidRPr="009F0AC3">
              <w:rPr>
                <w:b/>
                <w:bCs/>
                <w:color w:val="FFFFFF"/>
                <w:sz w:val="22"/>
                <w:szCs w:val="22"/>
              </w:rPr>
              <w:t>Quejas (%)</w:t>
            </w:r>
          </w:p>
        </w:tc>
        <w:tc>
          <w:tcPr>
            <w:tcW w:w="1509" w:type="dxa"/>
            <w:shd w:val="clear" w:color="auto" w:fill="1F3864" w:themeFill="accent1" w:themeFillShade="80"/>
            <w:hideMark/>
          </w:tcPr>
          <w:p w14:paraId="1EF32CC4" w14:textId="7711175F" w:rsidR="00B0637A" w:rsidRPr="009F0AC3" w:rsidRDefault="00B0637A" w:rsidP="000D0686">
            <w:pPr>
              <w:jc w:val="center"/>
              <w:rPr>
                <w:b/>
                <w:bCs/>
                <w:color w:val="FFFFFF"/>
                <w:sz w:val="22"/>
                <w:szCs w:val="22"/>
              </w:rPr>
            </w:pPr>
            <w:r w:rsidRPr="009F0AC3">
              <w:rPr>
                <w:b/>
                <w:bCs/>
                <w:color w:val="FFFFFF"/>
                <w:sz w:val="22"/>
                <w:szCs w:val="22"/>
              </w:rPr>
              <w:t>Sugerencias</w:t>
            </w:r>
          </w:p>
        </w:tc>
        <w:tc>
          <w:tcPr>
            <w:tcW w:w="1485" w:type="dxa"/>
            <w:shd w:val="clear" w:color="auto" w:fill="1F3864" w:themeFill="accent1" w:themeFillShade="80"/>
            <w:hideMark/>
          </w:tcPr>
          <w:p w14:paraId="72092C0C" w14:textId="77777777" w:rsidR="00B0637A" w:rsidRPr="009F0AC3" w:rsidRDefault="00B0637A" w:rsidP="000D0686">
            <w:pPr>
              <w:jc w:val="center"/>
              <w:rPr>
                <w:b/>
                <w:bCs/>
                <w:color w:val="FFFFFF"/>
                <w:sz w:val="22"/>
                <w:szCs w:val="22"/>
              </w:rPr>
            </w:pPr>
            <w:r w:rsidRPr="009F0AC3">
              <w:rPr>
                <w:b/>
                <w:bCs/>
                <w:color w:val="FFFFFF"/>
                <w:sz w:val="22"/>
                <w:szCs w:val="22"/>
              </w:rPr>
              <w:t>Sugerencias (%)</w:t>
            </w:r>
          </w:p>
        </w:tc>
        <w:tc>
          <w:tcPr>
            <w:tcW w:w="742" w:type="dxa"/>
            <w:shd w:val="clear" w:color="auto" w:fill="1F3864" w:themeFill="accent1" w:themeFillShade="80"/>
            <w:noWrap/>
            <w:hideMark/>
          </w:tcPr>
          <w:p w14:paraId="64EBC82F" w14:textId="77777777" w:rsidR="00B0637A" w:rsidRPr="009F0AC3" w:rsidRDefault="00B0637A" w:rsidP="000D0686">
            <w:pPr>
              <w:jc w:val="center"/>
              <w:rPr>
                <w:b/>
                <w:bCs/>
                <w:color w:val="FFFFFF"/>
                <w:sz w:val="22"/>
                <w:szCs w:val="22"/>
              </w:rPr>
            </w:pPr>
            <w:r w:rsidRPr="009F0AC3">
              <w:rPr>
                <w:b/>
                <w:bCs/>
                <w:color w:val="FFFFFF"/>
                <w:sz w:val="22"/>
                <w:szCs w:val="22"/>
              </w:rPr>
              <w:t>Total</w:t>
            </w:r>
          </w:p>
        </w:tc>
      </w:tr>
      <w:tr w:rsidR="00B0637A" w14:paraId="248FFB16" w14:textId="77777777" w:rsidTr="000D0686">
        <w:trPr>
          <w:trHeight w:val="263"/>
          <w:jc w:val="center"/>
        </w:trPr>
        <w:tc>
          <w:tcPr>
            <w:tcW w:w="1675" w:type="dxa"/>
            <w:shd w:val="clear" w:color="auto" w:fill="auto"/>
            <w:vAlign w:val="center"/>
          </w:tcPr>
          <w:p w14:paraId="721D0439" w14:textId="77777777" w:rsidR="00B0637A" w:rsidRPr="009F0AC3" w:rsidRDefault="00B0637A" w:rsidP="000D0686">
            <w:pPr>
              <w:rPr>
                <w:rFonts w:eastAsia="Calibri"/>
                <w:noProof/>
                <w:sz w:val="22"/>
                <w:szCs w:val="22"/>
                <w:lang w:val="es-DO"/>
              </w:rPr>
            </w:pPr>
            <w:r w:rsidRPr="009F0AC3">
              <w:rPr>
                <w:rFonts w:eastAsia="Calibri"/>
                <w:noProof/>
                <w:sz w:val="22"/>
                <w:szCs w:val="22"/>
                <w:lang w:val="es-DO"/>
              </w:rPr>
              <w:t>Accesibilidad</w:t>
            </w:r>
          </w:p>
        </w:tc>
        <w:tc>
          <w:tcPr>
            <w:tcW w:w="1122" w:type="dxa"/>
            <w:shd w:val="clear" w:color="auto" w:fill="auto"/>
            <w:noWrap/>
          </w:tcPr>
          <w:p w14:paraId="5E37E92E" w14:textId="77777777"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28</w:t>
            </w:r>
          </w:p>
        </w:tc>
        <w:tc>
          <w:tcPr>
            <w:tcW w:w="983" w:type="dxa"/>
            <w:shd w:val="clear" w:color="auto" w:fill="auto"/>
            <w:noWrap/>
          </w:tcPr>
          <w:p w14:paraId="21F967E6" w14:textId="77777777"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5%</w:t>
            </w:r>
          </w:p>
        </w:tc>
        <w:tc>
          <w:tcPr>
            <w:tcW w:w="1509" w:type="dxa"/>
            <w:shd w:val="clear" w:color="auto" w:fill="auto"/>
            <w:noWrap/>
          </w:tcPr>
          <w:p w14:paraId="7813A264" w14:textId="0DD8984A"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1</w:t>
            </w:r>
            <w:r w:rsidR="00995933">
              <w:rPr>
                <w:rFonts w:eastAsia="Calibri"/>
                <w:noProof/>
                <w:sz w:val="22"/>
                <w:szCs w:val="22"/>
                <w:lang w:val="es-DO"/>
              </w:rPr>
              <w:t>4</w:t>
            </w:r>
          </w:p>
        </w:tc>
        <w:tc>
          <w:tcPr>
            <w:tcW w:w="1485" w:type="dxa"/>
            <w:shd w:val="clear" w:color="auto" w:fill="auto"/>
            <w:noWrap/>
          </w:tcPr>
          <w:p w14:paraId="2449CD3E" w14:textId="2A6CB04F" w:rsidR="00B0637A" w:rsidRPr="009F0AC3" w:rsidRDefault="00995933" w:rsidP="000D0686">
            <w:pPr>
              <w:jc w:val="center"/>
              <w:rPr>
                <w:rFonts w:eastAsia="Calibri"/>
                <w:noProof/>
                <w:sz w:val="22"/>
                <w:szCs w:val="22"/>
                <w:lang w:val="es-DO"/>
              </w:rPr>
            </w:pPr>
            <w:r>
              <w:rPr>
                <w:rFonts w:eastAsia="Calibri"/>
                <w:noProof/>
                <w:sz w:val="22"/>
                <w:szCs w:val="22"/>
                <w:lang w:val="es-DO"/>
              </w:rPr>
              <w:t>8</w:t>
            </w:r>
            <w:r w:rsidR="00B0637A" w:rsidRPr="009F0AC3">
              <w:rPr>
                <w:rFonts w:eastAsia="Calibri"/>
                <w:noProof/>
                <w:sz w:val="22"/>
                <w:szCs w:val="22"/>
                <w:lang w:val="es-DO"/>
              </w:rPr>
              <w:t>%</w:t>
            </w:r>
          </w:p>
        </w:tc>
        <w:tc>
          <w:tcPr>
            <w:tcW w:w="742" w:type="dxa"/>
            <w:shd w:val="clear" w:color="auto" w:fill="auto"/>
            <w:noWrap/>
          </w:tcPr>
          <w:p w14:paraId="3E538131" w14:textId="110F6077" w:rsidR="00B0637A" w:rsidRPr="009F0AC3" w:rsidRDefault="00995933" w:rsidP="000D0686">
            <w:pPr>
              <w:jc w:val="center"/>
              <w:rPr>
                <w:rFonts w:eastAsia="Calibri"/>
                <w:noProof/>
                <w:sz w:val="22"/>
                <w:szCs w:val="22"/>
                <w:lang w:val="es-DO"/>
              </w:rPr>
            </w:pPr>
            <w:r>
              <w:rPr>
                <w:rFonts w:eastAsia="Calibri"/>
                <w:noProof/>
                <w:sz w:val="22"/>
                <w:szCs w:val="22"/>
                <w:lang w:val="es-DO"/>
              </w:rPr>
              <w:t>42</w:t>
            </w:r>
          </w:p>
        </w:tc>
      </w:tr>
      <w:tr w:rsidR="00B0637A" w14:paraId="39D783B6" w14:textId="77777777" w:rsidTr="000D0686">
        <w:trPr>
          <w:trHeight w:val="164"/>
          <w:jc w:val="center"/>
        </w:trPr>
        <w:tc>
          <w:tcPr>
            <w:tcW w:w="1675" w:type="dxa"/>
            <w:shd w:val="clear" w:color="auto" w:fill="auto"/>
            <w:vAlign w:val="center"/>
          </w:tcPr>
          <w:p w14:paraId="42A03D01" w14:textId="1F4671B2" w:rsidR="00B0637A" w:rsidRPr="009F0AC3" w:rsidRDefault="00B0637A" w:rsidP="000D0686">
            <w:pPr>
              <w:rPr>
                <w:rFonts w:eastAsia="Calibri"/>
                <w:noProof/>
                <w:sz w:val="22"/>
                <w:szCs w:val="22"/>
                <w:lang w:val="es-DO"/>
              </w:rPr>
            </w:pPr>
            <w:r w:rsidRPr="009F0AC3">
              <w:rPr>
                <w:rFonts w:eastAsia="Calibri"/>
                <w:noProof/>
                <w:sz w:val="22"/>
                <w:szCs w:val="22"/>
                <w:lang w:val="es-DO"/>
              </w:rPr>
              <w:t>Comunicación</w:t>
            </w:r>
          </w:p>
        </w:tc>
        <w:tc>
          <w:tcPr>
            <w:tcW w:w="1122" w:type="dxa"/>
            <w:shd w:val="clear" w:color="auto" w:fill="auto"/>
            <w:noWrap/>
          </w:tcPr>
          <w:p w14:paraId="18512A2E" w14:textId="5B08C8F2"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5</w:t>
            </w:r>
            <w:r w:rsidR="00995933">
              <w:rPr>
                <w:rFonts w:eastAsia="Calibri"/>
                <w:noProof/>
                <w:sz w:val="22"/>
                <w:szCs w:val="22"/>
                <w:lang w:val="es-DO"/>
              </w:rPr>
              <w:t>9</w:t>
            </w:r>
          </w:p>
        </w:tc>
        <w:tc>
          <w:tcPr>
            <w:tcW w:w="983" w:type="dxa"/>
            <w:shd w:val="clear" w:color="auto" w:fill="auto"/>
            <w:noWrap/>
          </w:tcPr>
          <w:p w14:paraId="7CCBDFE1" w14:textId="77777777"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10%</w:t>
            </w:r>
          </w:p>
        </w:tc>
        <w:tc>
          <w:tcPr>
            <w:tcW w:w="1509" w:type="dxa"/>
            <w:shd w:val="clear" w:color="auto" w:fill="auto"/>
            <w:noWrap/>
          </w:tcPr>
          <w:p w14:paraId="3458AB48" w14:textId="732A16CD"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1</w:t>
            </w:r>
            <w:r w:rsidR="00995933">
              <w:rPr>
                <w:rFonts w:eastAsia="Calibri"/>
                <w:noProof/>
                <w:sz w:val="22"/>
                <w:szCs w:val="22"/>
                <w:lang w:val="es-DO"/>
              </w:rPr>
              <w:t>8</w:t>
            </w:r>
          </w:p>
        </w:tc>
        <w:tc>
          <w:tcPr>
            <w:tcW w:w="1485" w:type="dxa"/>
            <w:shd w:val="clear" w:color="auto" w:fill="auto"/>
            <w:noWrap/>
          </w:tcPr>
          <w:p w14:paraId="48AFBC67" w14:textId="56161F42" w:rsidR="00B0637A" w:rsidRPr="009F0AC3" w:rsidRDefault="00995933" w:rsidP="000D0686">
            <w:pPr>
              <w:jc w:val="center"/>
              <w:rPr>
                <w:rFonts w:eastAsia="Calibri"/>
                <w:noProof/>
                <w:sz w:val="22"/>
                <w:szCs w:val="22"/>
                <w:lang w:val="es-DO"/>
              </w:rPr>
            </w:pPr>
            <w:r>
              <w:rPr>
                <w:rFonts w:eastAsia="Calibri"/>
                <w:noProof/>
                <w:sz w:val="22"/>
                <w:szCs w:val="22"/>
                <w:lang w:val="es-DO"/>
              </w:rPr>
              <w:t>11</w:t>
            </w:r>
            <w:r w:rsidR="00B0637A" w:rsidRPr="009F0AC3">
              <w:rPr>
                <w:rFonts w:eastAsia="Calibri"/>
                <w:noProof/>
                <w:sz w:val="22"/>
                <w:szCs w:val="22"/>
                <w:lang w:val="es-DO"/>
              </w:rPr>
              <w:t>%</w:t>
            </w:r>
          </w:p>
        </w:tc>
        <w:tc>
          <w:tcPr>
            <w:tcW w:w="742" w:type="dxa"/>
            <w:shd w:val="clear" w:color="auto" w:fill="auto"/>
            <w:noWrap/>
          </w:tcPr>
          <w:p w14:paraId="18DB8DB1" w14:textId="5412963E" w:rsidR="00B0637A" w:rsidRPr="009F0AC3" w:rsidRDefault="00995933" w:rsidP="000D0686">
            <w:pPr>
              <w:jc w:val="center"/>
              <w:rPr>
                <w:rFonts w:eastAsia="Calibri"/>
                <w:noProof/>
                <w:sz w:val="22"/>
                <w:szCs w:val="22"/>
                <w:lang w:val="es-DO"/>
              </w:rPr>
            </w:pPr>
            <w:r>
              <w:rPr>
                <w:rFonts w:eastAsia="Calibri"/>
                <w:noProof/>
                <w:sz w:val="22"/>
                <w:szCs w:val="22"/>
                <w:lang w:val="es-DO"/>
              </w:rPr>
              <w:t>77</w:t>
            </w:r>
          </w:p>
        </w:tc>
      </w:tr>
      <w:tr w:rsidR="00B0637A" w14:paraId="1B5EA95B" w14:textId="77777777" w:rsidTr="000D0686">
        <w:trPr>
          <w:trHeight w:val="244"/>
          <w:jc w:val="center"/>
        </w:trPr>
        <w:tc>
          <w:tcPr>
            <w:tcW w:w="1675" w:type="dxa"/>
            <w:shd w:val="clear" w:color="auto" w:fill="auto"/>
            <w:vAlign w:val="center"/>
          </w:tcPr>
          <w:p w14:paraId="1BE4B0BD" w14:textId="77777777" w:rsidR="00B0637A" w:rsidRPr="009F0AC3" w:rsidRDefault="00B0637A" w:rsidP="000D0686">
            <w:pPr>
              <w:rPr>
                <w:rFonts w:eastAsia="Calibri"/>
                <w:noProof/>
                <w:sz w:val="22"/>
                <w:szCs w:val="22"/>
                <w:lang w:val="es-DO"/>
              </w:rPr>
            </w:pPr>
            <w:r w:rsidRPr="009F0AC3">
              <w:rPr>
                <w:rFonts w:eastAsia="Calibri"/>
                <w:noProof/>
                <w:sz w:val="22"/>
                <w:szCs w:val="22"/>
                <w:lang w:val="es-DO"/>
              </w:rPr>
              <w:t>Error en el sistema</w:t>
            </w:r>
          </w:p>
        </w:tc>
        <w:tc>
          <w:tcPr>
            <w:tcW w:w="1122" w:type="dxa"/>
            <w:shd w:val="clear" w:color="auto" w:fill="auto"/>
            <w:noWrap/>
          </w:tcPr>
          <w:p w14:paraId="2F5D1169" w14:textId="63DBB88A" w:rsidR="00B0637A" w:rsidRPr="009F0AC3" w:rsidRDefault="00995933" w:rsidP="000D0686">
            <w:pPr>
              <w:jc w:val="center"/>
              <w:rPr>
                <w:rFonts w:eastAsia="Calibri"/>
                <w:noProof/>
                <w:sz w:val="22"/>
                <w:szCs w:val="22"/>
                <w:lang w:val="es-DO"/>
              </w:rPr>
            </w:pPr>
            <w:r>
              <w:rPr>
                <w:rFonts w:eastAsia="Calibri"/>
                <w:noProof/>
                <w:sz w:val="22"/>
                <w:szCs w:val="22"/>
                <w:lang w:val="es-DO"/>
              </w:rPr>
              <w:t>6</w:t>
            </w:r>
          </w:p>
        </w:tc>
        <w:tc>
          <w:tcPr>
            <w:tcW w:w="983" w:type="dxa"/>
            <w:shd w:val="clear" w:color="auto" w:fill="auto"/>
            <w:noWrap/>
          </w:tcPr>
          <w:p w14:paraId="2071BF50" w14:textId="77777777"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1%</w:t>
            </w:r>
          </w:p>
        </w:tc>
        <w:tc>
          <w:tcPr>
            <w:tcW w:w="1509" w:type="dxa"/>
            <w:shd w:val="clear" w:color="auto" w:fill="auto"/>
            <w:noWrap/>
          </w:tcPr>
          <w:p w14:paraId="46C5358E" w14:textId="77777777" w:rsidR="00B0637A" w:rsidRPr="009F0AC3" w:rsidRDefault="00B0637A" w:rsidP="000D0686">
            <w:pPr>
              <w:jc w:val="center"/>
              <w:rPr>
                <w:rFonts w:eastAsia="Calibri"/>
                <w:noProof/>
                <w:sz w:val="22"/>
                <w:szCs w:val="22"/>
                <w:lang w:val="es-DO"/>
              </w:rPr>
            </w:pPr>
          </w:p>
        </w:tc>
        <w:tc>
          <w:tcPr>
            <w:tcW w:w="1485" w:type="dxa"/>
            <w:shd w:val="clear" w:color="auto" w:fill="auto"/>
            <w:noWrap/>
          </w:tcPr>
          <w:p w14:paraId="16A46C18" w14:textId="77777777" w:rsidR="00B0637A" w:rsidRPr="009F0AC3" w:rsidRDefault="00B0637A" w:rsidP="000D0686">
            <w:pPr>
              <w:jc w:val="center"/>
              <w:rPr>
                <w:rFonts w:eastAsia="Calibri"/>
                <w:noProof/>
                <w:sz w:val="22"/>
                <w:szCs w:val="22"/>
                <w:lang w:val="es-DO"/>
              </w:rPr>
            </w:pPr>
          </w:p>
        </w:tc>
        <w:tc>
          <w:tcPr>
            <w:tcW w:w="742" w:type="dxa"/>
            <w:shd w:val="clear" w:color="auto" w:fill="auto"/>
            <w:noWrap/>
          </w:tcPr>
          <w:p w14:paraId="3CD39096" w14:textId="56AEA62A" w:rsidR="00B0637A" w:rsidRPr="009F0AC3" w:rsidRDefault="00995933" w:rsidP="000D0686">
            <w:pPr>
              <w:jc w:val="center"/>
              <w:rPr>
                <w:rFonts w:eastAsia="Calibri"/>
                <w:noProof/>
                <w:sz w:val="22"/>
                <w:szCs w:val="22"/>
                <w:lang w:val="es-DO"/>
              </w:rPr>
            </w:pPr>
            <w:r>
              <w:rPr>
                <w:rFonts w:eastAsia="Calibri"/>
                <w:noProof/>
                <w:sz w:val="22"/>
                <w:szCs w:val="22"/>
                <w:lang w:val="es-DO"/>
              </w:rPr>
              <w:t>6</w:t>
            </w:r>
          </w:p>
        </w:tc>
      </w:tr>
      <w:tr w:rsidR="00B0637A" w14:paraId="3A07052C" w14:textId="77777777" w:rsidTr="000D0686">
        <w:trPr>
          <w:trHeight w:val="267"/>
          <w:jc w:val="center"/>
        </w:trPr>
        <w:tc>
          <w:tcPr>
            <w:tcW w:w="1675" w:type="dxa"/>
            <w:shd w:val="clear" w:color="auto" w:fill="auto"/>
            <w:vAlign w:val="center"/>
          </w:tcPr>
          <w:p w14:paraId="1993B9E3" w14:textId="77777777" w:rsidR="00B0637A" w:rsidRPr="009F0AC3" w:rsidRDefault="00B0637A" w:rsidP="000D0686">
            <w:pPr>
              <w:rPr>
                <w:rFonts w:eastAsia="Calibri"/>
                <w:noProof/>
                <w:sz w:val="22"/>
                <w:szCs w:val="22"/>
                <w:lang w:val="es-DO"/>
              </w:rPr>
            </w:pPr>
            <w:r w:rsidRPr="009F0AC3">
              <w:rPr>
                <w:rFonts w:eastAsia="Calibri"/>
                <w:noProof/>
                <w:sz w:val="22"/>
                <w:szCs w:val="22"/>
                <w:lang w:val="es-DO"/>
              </w:rPr>
              <w:t>Mejora de procesos</w:t>
            </w:r>
          </w:p>
        </w:tc>
        <w:tc>
          <w:tcPr>
            <w:tcW w:w="1122" w:type="dxa"/>
            <w:shd w:val="clear" w:color="auto" w:fill="auto"/>
            <w:noWrap/>
          </w:tcPr>
          <w:p w14:paraId="534F0B49" w14:textId="60DB33AD"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1</w:t>
            </w:r>
            <w:r w:rsidR="00995933">
              <w:rPr>
                <w:rFonts w:eastAsia="Calibri"/>
                <w:noProof/>
                <w:sz w:val="22"/>
                <w:szCs w:val="22"/>
                <w:lang w:val="es-DO"/>
              </w:rPr>
              <w:t>99</w:t>
            </w:r>
          </w:p>
        </w:tc>
        <w:tc>
          <w:tcPr>
            <w:tcW w:w="983" w:type="dxa"/>
            <w:shd w:val="clear" w:color="auto" w:fill="auto"/>
            <w:noWrap/>
          </w:tcPr>
          <w:p w14:paraId="1A70D6D9" w14:textId="77777777"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35%</w:t>
            </w:r>
          </w:p>
        </w:tc>
        <w:tc>
          <w:tcPr>
            <w:tcW w:w="1509" w:type="dxa"/>
            <w:shd w:val="clear" w:color="auto" w:fill="auto"/>
            <w:noWrap/>
          </w:tcPr>
          <w:p w14:paraId="75EF08D0" w14:textId="6A8BFD33" w:rsidR="00B0637A" w:rsidRPr="009F0AC3" w:rsidRDefault="00995933" w:rsidP="000D0686">
            <w:pPr>
              <w:spacing w:after="0"/>
              <w:jc w:val="center"/>
              <w:rPr>
                <w:rFonts w:eastAsia="Calibri"/>
                <w:noProof/>
                <w:sz w:val="22"/>
                <w:szCs w:val="22"/>
                <w:lang w:val="es-DO"/>
              </w:rPr>
            </w:pPr>
            <w:r>
              <w:rPr>
                <w:rFonts w:eastAsia="Calibri"/>
                <w:noProof/>
                <w:sz w:val="22"/>
                <w:szCs w:val="22"/>
                <w:lang w:val="es-DO"/>
              </w:rPr>
              <w:t>84</w:t>
            </w:r>
          </w:p>
        </w:tc>
        <w:tc>
          <w:tcPr>
            <w:tcW w:w="1485" w:type="dxa"/>
            <w:shd w:val="clear" w:color="auto" w:fill="auto"/>
            <w:noWrap/>
          </w:tcPr>
          <w:p w14:paraId="6E32066D" w14:textId="44600B60"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5</w:t>
            </w:r>
            <w:r w:rsidR="00995933">
              <w:rPr>
                <w:rFonts w:eastAsia="Calibri"/>
                <w:noProof/>
                <w:sz w:val="22"/>
                <w:szCs w:val="22"/>
                <w:lang w:val="es-DO"/>
              </w:rPr>
              <w:t>0</w:t>
            </w:r>
            <w:r w:rsidRPr="009F0AC3">
              <w:rPr>
                <w:rFonts w:eastAsia="Calibri"/>
                <w:noProof/>
                <w:sz w:val="22"/>
                <w:szCs w:val="22"/>
                <w:lang w:val="es-DO"/>
              </w:rPr>
              <w:t>%</w:t>
            </w:r>
          </w:p>
        </w:tc>
        <w:tc>
          <w:tcPr>
            <w:tcW w:w="742" w:type="dxa"/>
            <w:shd w:val="clear" w:color="auto" w:fill="auto"/>
            <w:noWrap/>
          </w:tcPr>
          <w:p w14:paraId="102D6EF9" w14:textId="1617657F"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2</w:t>
            </w:r>
            <w:r w:rsidR="00995933">
              <w:rPr>
                <w:rFonts w:eastAsia="Calibri"/>
                <w:noProof/>
                <w:sz w:val="22"/>
                <w:szCs w:val="22"/>
                <w:lang w:val="es-DO"/>
              </w:rPr>
              <w:t>83</w:t>
            </w:r>
          </w:p>
        </w:tc>
      </w:tr>
      <w:tr w:rsidR="00B0637A" w14:paraId="7D52C179" w14:textId="77777777" w:rsidTr="000D0686">
        <w:trPr>
          <w:trHeight w:val="247"/>
          <w:jc w:val="center"/>
        </w:trPr>
        <w:tc>
          <w:tcPr>
            <w:tcW w:w="1675" w:type="dxa"/>
            <w:shd w:val="clear" w:color="auto" w:fill="auto"/>
            <w:vAlign w:val="center"/>
          </w:tcPr>
          <w:p w14:paraId="3A5E4419" w14:textId="77777777" w:rsidR="00B0637A" w:rsidRPr="009F0AC3" w:rsidRDefault="00B0637A" w:rsidP="000D0686">
            <w:pPr>
              <w:rPr>
                <w:rFonts w:eastAsia="Calibri"/>
                <w:noProof/>
                <w:sz w:val="22"/>
                <w:szCs w:val="22"/>
                <w:lang w:val="es-DO"/>
              </w:rPr>
            </w:pPr>
            <w:r w:rsidRPr="009F0AC3">
              <w:rPr>
                <w:rFonts w:eastAsia="Calibri"/>
                <w:noProof/>
                <w:sz w:val="22"/>
                <w:szCs w:val="22"/>
                <w:lang w:val="es-DO"/>
              </w:rPr>
              <w:t>Mejoras en el SUIR</w:t>
            </w:r>
          </w:p>
        </w:tc>
        <w:tc>
          <w:tcPr>
            <w:tcW w:w="1122" w:type="dxa"/>
            <w:shd w:val="clear" w:color="auto" w:fill="auto"/>
            <w:noWrap/>
          </w:tcPr>
          <w:p w14:paraId="4D674820" w14:textId="24CCAFAA"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1</w:t>
            </w:r>
            <w:r w:rsidR="00995933">
              <w:rPr>
                <w:rFonts w:eastAsia="Calibri"/>
                <w:noProof/>
                <w:sz w:val="22"/>
                <w:szCs w:val="22"/>
                <w:lang w:val="es-DO"/>
              </w:rPr>
              <w:t>9</w:t>
            </w:r>
          </w:p>
        </w:tc>
        <w:tc>
          <w:tcPr>
            <w:tcW w:w="983" w:type="dxa"/>
            <w:shd w:val="clear" w:color="auto" w:fill="auto"/>
            <w:noWrap/>
          </w:tcPr>
          <w:p w14:paraId="0E46D3B0" w14:textId="77777777"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3%</w:t>
            </w:r>
          </w:p>
        </w:tc>
        <w:tc>
          <w:tcPr>
            <w:tcW w:w="1509" w:type="dxa"/>
            <w:shd w:val="clear" w:color="auto" w:fill="auto"/>
            <w:noWrap/>
          </w:tcPr>
          <w:p w14:paraId="4E33B52B" w14:textId="3A223A93"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1</w:t>
            </w:r>
            <w:r w:rsidR="00995933">
              <w:rPr>
                <w:rFonts w:eastAsia="Calibri"/>
                <w:noProof/>
                <w:sz w:val="22"/>
                <w:szCs w:val="22"/>
                <w:lang w:val="es-DO"/>
              </w:rPr>
              <w:t>1</w:t>
            </w:r>
          </w:p>
        </w:tc>
        <w:tc>
          <w:tcPr>
            <w:tcW w:w="1485" w:type="dxa"/>
            <w:shd w:val="clear" w:color="auto" w:fill="auto"/>
            <w:noWrap/>
          </w:tcPr>
          <w:p w14:paraId="30BA0F3C" w14:textId="77777777"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7%</w:t>
            </w:r>
          </w:p>
        </w:tc>
        <w:tc>
          <w:tcPr>
            <w:tcW w:w="742" w:type="dxa"/>
            <w:shd w:val="clear" w:color="auto" w:fill="auto"/>
            <w:noWrap/>
          </w:tcPr>
          <w:p w14:paraId="6CE737C0" w14:textId="0041E14A" w:rsidR="00B0637A" w:rsidRPr="009F0AC3" w:rsidRDefault="00995933" w:rsidP="000D0686">
            <w:pPr>
              <w:spacing w:after="0"/>
              <w:jc w:val="center"/>
              <w:rPr>
                <w:rFonts w:eastAsia="Calibri"/>
                <w:noProof/>
                <w:sz w:val="22"/>
                <w:szCs w:val="22"/>
                <w:lang w:val="es-DO"/>
              </w:rPr>
            </w:pPr>
            <w:r>
              <w:rPr>
                <w:rFonts w:eastAsia="Calibri"/>
                <w:noProof/>
                <w:sz w:val="22"/>
                <w:szCs w:val="22"/>
                <w:lang w:val="es-DO"/>
              </w:rPr>
              <w:t>30</w:t>
            </w:r>
          </w:p>
        </w:tc>
      </w:tr>
      <w:tr w:rsidR="00B0637A" w:rsidRPr="00A610D4" w14:paraId="0BE3A279" w14:textId="77777777" w:rsidTr="000D0686">
        <w:trPr>
          <w:trHeight w:val="701"/>
          <w:jc w:val="center"/>
        </w:trPr>
        <w:tc>
          <w:tcPr>
            <w:tcW w:w="1675" w:type="dxa"/>
            <w:shd w:val="clear" w:color="auto" w:fill="auto"/>
            <w:vAlign w:val="center"/>
          </w:tcPr>
          <w:p w14:paraId="6AD5418E" w14:textId="77777777" w:rsidR="00B0637A" w:rsidRPr="009F0AC3" w:rsidRDefault="00B0637A" w:rsidP="000D0686">
            <w:pPr>
              <w:rPr>
                <w:rFonts w:eastAsia="Calibri"/>
                <w:noProof/>
                <w:sz w:val="22"/>
                <w:szCs w:val="22"/>
                <w:lang w:val="es-DO"/>
              </w:rPr>
            </w:pPr>
            <w:r w:rsidRPr="009F0AC3">
              <w:rPr>
                <w:rFonts w:eastAsia="Calibri"/>
                <w:noProof/>
                <w:sz w:val="22"/>
                <w:szCs w:val="22"/>
                <w:lang w:val="es-DO"/>
              </w:rPr>
              <w:t>No corresponde/depende de la TS</w:t>
            </w:r>
          </w:p>
        </w:tc>
        <w:tc>
          <w:tcPr>
            <w:tcW w:w="1122" w:type="dxa"/>
            <w:shd w:val="clear" w:color="auto" w:fill="auto"/>
            <w:noWrap/>
          </w:tcPr>
          <w:p w14:paraId="1240D582" w14:textId="77777777"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6</w:t>
            </w:r>
          </w:p>
        </w:tc>
        <w:tc>
          <w:tcPr>
            <w:tcW w:w="983" w:type="dxa"/>
            <w:shd w:val="clear" w:color="auto" w:fill="auto"/>
            <w:noWrap/>
          </w:tcPr>
          <w:p w14:paraId="5C4B8583" w14:textId="77777777"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1%</w:t>
            </w:r>
          </w:p>
        </w:tc>
        <w:tc>
          <w:tcPr>
            <w:tcW w:w="1509" w:type="dxa"/>
            <w:shd w:val="clear" w:color="auto" w:fill="auto"/>
            <w:noWrap/>
          </w:tcPr>
          <w:p w14:paraId="584DCFA6" w14:textId="77777777"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2</w:t>
            </w:r>
          </w:p>
        </w:tc>
        <w:tc>
          <w:tcPr>
            <w:tcW w:w="1485" w:type="dxa"/>
            <w:shd w:val="clear" w:color="auto" w:fill="auto"/>
            <w:noWrap/>
          </w:tcPr>
          <w:p w14:paraId="3C240413" w14:textId="77777777"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1%</w:t>
            </w:r>
          </w:p>
        </w:tc>
        <w:tc>
          <w:tcPr>
            <w:tcW w:w="742" w:type="dxa"/>
            <w:shd w:val="clear" w:color="auto" w:fill="auto"/>
            <w:noWrap/>
          </w:tcPr>
          <w:p w14:paraId="4CBD0E8A" w14:textId="77777777"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8</w:t>
            </w:r>
          </w:p>
        </w:tc>
      </w:tr>
      <w:tr w:rsidR="00B0637A" w:rsidRPr="00A610D4" w14:paraId="06888139" w14:textId="77777777" w:rsidTr="000D0686">
        <w:trPr>
          <w:trHeight w:val="58"/>
          <w:jc w:val="center"/>
        </w:trPr>
        <w:tc>
          <w:tcPr>
            <w:tcW w:w="1675" w:type="dxa"/>
            <w:shd w:val="clear" w:color="auto" w:fill="auto"/>
            <w:vAlign w:val="center"/>
          </w:tcPr>
          <w:p w14:paraId="36DCA35F" w14:textId="77777777" w:rsidR="00B0637A" w:rsidRPr="009F0AC3" w:rsidRDefault="00B0637A" w:rsidP="000D0686">
            <w:pPr>
              <w:rPr>
                <w:rFonts w:eastAsia="Calibri"/>
                <w:noProof/>
                <w:sz w:val="22"/>
                <w:szCs w:val="22"/>
                <w:lang w:val="es-DO"/>
              </w:rPr>
            </w:pPr>
            <w:r w:rsidRPr="009F0AC3">
              <w:rPr>
                <w:rFonts w:eastAsia="Calibri"/>
                <w:noProof/>
                <w:sz w:val="22"/>
                <w:szCs w:val="22"/>
                <w:lang w:val="es-DO"/>
              </w:rPr>
              <w:t>No respuesta a solicitud</w:t>
            </w:r>
          </w:p>
        </w:tc>
        <w:tc>
          <w:tcPr>
            <w:tcW w:w="1122" w:type="dxa"/>
            <w:shd w:val="clear" w:color="auto" w:fill="auto"/>
            <w:noWrap/>
          </w:tcPr>
          <w:p w14:paraId="49743BD1" w14:textId="31779BC0"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3</w:t>
            </w:r>
            <w:r w:rsidR="00995933">
              <w:rPr>
                <w:rFonts w:eastAsia="Calibri"/>
                <w:noProof/>
                <w:sz w:val="22"/>
                <w:szCs w:val="22"/>
                <w:lang w:val="es-DO"/>
              </w:rPr>
              <w:t>6</w:t>
            </w:r>
          </w:p>
        </w:tc>
        <w:tc>
          <w:tcPr>
            <w:tcW w:w="983" w:type="dxa"/>
            <w:shd w:val="clear" w:color="auto" w:fill="auto"/>
            <w:noWrap/>
          </w:tcPr>
          <w:p w14:paraId="0B27A5A2" w14:textId="77777777"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6%</w:t>
            </w:r>
          </w:p>
        </w:tc>
        <w:tc>
          <w:tcPr>
            <w:tcW w:w="1509" w:type="dxa"/>
            <w:shd w:val="clear" w:color="auto" w:fill="auto"/>
            <w:noWrap/>
          </w:tcPr>
          <w:p w14:paraId="0B09F020" w14:textId="14F88865" w:rsidR="00B0637A" w:rsidRPr="009F0AC3" w:rsidRDefault="000D0686" w:rsidP="000D0686">
            <w:pPr>
              <w:spacing w:after="0"/>
              <w:jc w:val="center"/>
              <w:rPr>
                <w:rFonts w:eastAsia="Calibri"/>
                <w:noProof/>
                <w:sz w:val="22"/>
                <w:szCs w:val="22"/>
                <w:lang w:val="es-DO"/>
              </w:rPr>
            </w:pPr>
            <w:r>
              <w:rPr>
                <w:rFonts w:eastAsia="Calibri"/>
                <w:noProof/>
                <w:sz w:val="22"/>
                <w:szCs w:val="22"/>
                <w:lang w:val="es-DO"/>
              </w:rPr>
              <w:t>0</w:t>
            </w:r>
          </w:p>
        </w:tc>
        <w:tc>
          <w:tcPr>
            <w:tcW w:w="1485" w:type="dxa"/>
            <w:shd w:val="clear" w:color="auto" w:fill="auto"/>
            <w:noWrap/>
          </w:tcPr>
          <w:p w14:paraId="174DBEEA" w14:textId="425EF585" w:rsidR="00B0637A" w:rsidRPr="009F0AC3" w:rsidRDefault="000D0686" w:rsidP="000D0686">
            <w:pPr>
              <w:spacing w:after="0"/>
              <w:jc w:val="center"/>
              <w:rPr>
                <w:rFonts w:eastAsia="Calibri"/>
                <w:noProof/>
                <w:sz w:val="22"/>
                <w:szCs w:val="22"/>
                <w:lang w:val="es-DO"/>
              </w:rPr>
            </w:pPr>
            <w:r>
              <w:rPr>
                <w:rFonts w:eastAsia="Calibri"/>
                <w:noProof/>
                <w:sz w:val="22"/>
                <w:szCs w:val="22"/>
                <w:lang w:val="es-DO"/>
              </w:rPr>
              <w:t>0</w:t>
            </w:r>
            <w:r w:rsidR="000A0A5E">
              <w:rPr>
                <w:rFonts w:eastAsia="Calibri"/>
                <w:noProof/>
                <w:sz w:val="22"/>
                <w:szCs w:val="22"/>
                <w:lang w:val="es-DO"/>
              </w:rPr>
              <w:t>%</w:t>
            </w:r>
          </w:p>
        </w:tc>
        <w:tc>
          <w:tcPr>
            <w:tcW w:w="742" w:type="dxa"/>
            <w:shd w:val="clear" w:color="auto" w:fill="auto"/>
            <w:noWrap/>
          </w:tcPr>
          <w:p w14:paraId="1CA1CED5" w14:textId="6EE0B7C9" w:rsidR="00B0637A" w:rsidRPr="009F0AC3" w:rsidRDefault="00B0637A" w:rsidP="000D0686">
            <w:pPr>
              <w:spacing w:after="0"/>
              <w:jc w:val="center"/>
              <w:rPr>
                <w:rFonts w:eastAsia="Calibri"/>
                <w:noProof/>
                <w:sz w:val="22"/>
                <w:szCs w:val="22"/>
                <w:lang w:val="es-DO"/>
              </w:rPr>
            </w:pPr>
            <w:r w:rsidRPr="009F0AC3">
              <w:rPr>
                <w:rFonts w:eastAsia="Calibri"/>
                <w:noProof/>
                <w:sz w:val="22"/>
                <w:szCs w:val="22"/>
                <w:lang w:val="es-DO"/>
              </w:rPr>
              <w:t>3</w:t>
            </w:r>
            <w:r w:rsidR="00995933">
              <w:rPr>
                <w:rFonts w:eastAsia="Calibri"/>
                <w:noProof/>
                <w:sz w:val="22"/>
                <w:szCs w:val="22"/>
                <w:lang w:val="es-DO"/>
              </w:rPr>
              <w:t>6</w:t>
            </w:r>
          </w:p>
        </w:tc>
      </w:tr>
      <w:tr w:rsidR="00B0637A" w:rsidRPr="00A610D4" w14:paraId="60CBCCAE" w14:textId="77777777" w:rsidTr="000D0686">
        <w:trPr>
          <w:trHeight w:val="267"/>
          <w:jc w:val="center"/>
        </w:trPr>
        <w:tc>
          <w:tcPr>
            <w:tcW w:w="1675" w:type="dxa"/>
            <w:shd w:val="clear" w:color="auto" w:fill="auto"/>
            <w:vAlign w:val="center"/>
          </w:tcPr>
          <w:p w14:paraId="3DD211E4" w14:textId="77777777" w:rsidR="00B0637A" w:rsidRPr="009F0AC3" w:rsidRDefault="00B0637A" w:rsidP="000D0686">
            <w:pPr>
              <w:rPr>
                <w:rFonts w:eastAsia="Calibri"/>
                <w:noProof/>
                <w:sz w:val="22"/>
                <w:szCs w:val="22"/>
                <w:lang w:val="es-DO"/>
              </w:rPr>
            </w:pPr>
            <w:r w:rsidRPr="009F0AC3">
              <w:rPr>
                <w:rFonts w:eastAsia="Calibri"/>
                <w:noProof/>
                <w:sz w:val="22"/>
                <w:szCs w:val="22"/>
                <w:lang w:val="es-DO"/>
              </w:rPr>
              <w:t>Procesos</w:t>
            </w:r>
          </w:p>
        </w:tc>
        <w:tc>
          <w:tcPr>
            <w:tcW w:w="1122" w:type="dxa"/>
            <w:shd w:val="clear" w:color="auto" w:fill="auto"/>
            <w:noWrap/>
          </w:tcPr>
          <w:p w14:paraId="3F053BC8" w14:textId="5CF5E4B2"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1</w:t>
            </w:r>
            <w:r w:rsidR="00995933">
              <w:rPr>
                <w:rFonts w:eastAsia="Calibri"/>
                <w:noProof/>
                <w:sz w:val="22"/>
                <w:szCs w:val="22"/>
                <w:lang w:val="es-DO"/>
              </w:rPr>
              <w:t>4</w:t>
            </w:r>
          </w:p>
        </w:tc>
        <w:tc>
          <w:tcPr>
            <w:tcW w:w="983" w:type="dxa"/>
            <w:shd w:val="clear" w:color="auto" w:fill="auto"/>
            <w:noWrap/>
          </w:tcPr>
          <w:p w14:paraId="46D34D55" w14:textId="77777777"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2%</w:t>
            </w:r>
          </w:p>
        </w:tc>
        <w:tc>
          <w:tcPr>
            <w:tcW w:w="1509" w:type="dxa"/>
            <w:shd w:val="clear" w:color="auto" w:fill="auto"/>
            <w:noWrap/>
          </w:tcPr>
          <w:p w14:paraId="334AA260" w14:textId="6053734D" w:rsidR="00B0637A" w:rsidRPr="009F0AC3" w:rsidRDefault="00995933" w:rsidP="000D0686">
            <w:pPr>
              <w:jc w:val="center"/>
              <w:rPr>
                <w:rFonts w:eastAsia="Calibri"/>
                <w:noProof/>
                <w:sz w:val="22"/>
                <w:szCs w:val="22"/>
                <w:lang w:val="es-DO"/>
              </w:rPr>
            </w:pPr>
            <w:r>
              <w:rPr>
                <w:rFonts w:eastAsia="Calibri"/>
                <w:noProof/>
                <w:sz w:val="22"/>
                <w:szCs w:val="22"/>
                <w:lang w:val="es-DO"/>
              </w:rPr>
              <w:t>2</w:t>
            </w:r>
          </w:p>
        </w:tc>
        <w:tc>
          <w:tcPr>
            <w:tcW w:w="1485" w:type="dxa"/>
            <w:shd w:val="clear" w:color="auto" w:fill="auto"/>
            <w:noWrap/>
          </w:tcPr>
          <w:p w14:paraId="51441750" w14:textId="2161C2F8" w:rsidR="00B0637A" w:rsidRPr="009F0AC3" w:rsidRDefault="00995933" w:rsidP="000D0686">
            <w:pPr>
              <w:jc w:val="center"/>
              <w:rPr>
                <w:rFonts w:eastAsia="Calibri"/>
                <w:noProof/>
                <w:sz w:val="22"/>
                <w:szCs w:val="22"/>
                <w:lang w:val="es-DO"/>
              </w:rPr>
            </w:pPr>
            <w:r>
              <w:rPr>
                <w:rFonts w:eastAsia="Calibri"/>
                <w:noProof/>
                <w:sz w:val="22"/>
                <w:szCs w:val="22"/>
                <w:lang w:val="es-DO"/>
              </w:rPr>
              <w:t>1%</w:t>
            </w:r>
          </w:p>
        </w:tc>
        <w:tc>
          <w:tcPr>
            <w:tcW w:w="742" w:type="dxa"/>
            <w:shd w:val="clear" w:color="auto" w:fill="auto"/>
            <w:noWrap/>
          </w:tcPr>
          <w:p w14:paraId="3C3F3B1E" w14:textId="08619028"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1</w:t>
            </w:r>
            <w:r w:rsidR="00995933">
              <w:rPr>
                <w:rFonts w:eastAsia="Calibri"/>
                <w:noProof/>
                <w:sz w:val="22"/>
                <w:szCs w:val="22"/>
                <w:lang w:val="es-DO"/>
              </w:rPr>
              <w:t>6</w:t>
            </w:r>
          </w:p>
        </w:tc>
      </w:tr>
      <w:tr w:rsidR="00B0637A" w:rsidRPr="00A610D4" w14:paraId="316E183E" w14:textId="77777777" w:rsidTr="000D0686">
        <w:trPr>
          <w:trHeight w:val="267"/>
          <w:jc w:val="center"/>
        </w:trPr>
        <w:tc>
          <w:tcPr>
            <w:tcW w:w="1675" w:type="dxa"/>
            <w:shd w:val="clear" w:color="auto" w:fill="auto"/>
            <w:vAlign w:val="center"/>
          </w:tcPr>
          <w:p w14:paraId="057826CD" w14:textId="77777777" w:rsidR="00B0637A" w:rsidRPr="009F0AC3" w:rsidRDefault="00B0637A" w:rsidP="000D0686">
            <w:pPr>
              <w:rPr>
                <w:rFonts w:eastAsia="Calibri"/>
                <w:noProof/>
                <w:sz w:val="22"/>
                <w:szCs w:val="22"/>
                <w:lang w:val="es-DO"/>
              </w:rPr>
            </w:pPr>
            <w:r w:rsidRPr="009F0AC3">
              <w:rPr>
                <w:rFonts w:eastAsia="Calibri"/>
                <w:noProof/>
                <w:sz w:val="22"/>
                <w:szCs w:val="22"/>
                <w:lang w:val="es-DO"/>
              </w:rPr>
              <w:t>Reclutamiento</w:t>
            </w:r>
          </w:p>
        </w:tc>
        <w:tc>
          <w:tcPr>
            <w:tcW w:w="1122" w:type="dxa"/>
            <w:shd w:val="clear" w:color="auto" w:fill="auto"/>
            <w:noWrap/>
          </w:tcPr>
          <w:p w14:paraId="6D75360D" w14:textId="77777777" w:rsidR="00B0637A" w:rsidRPr="009F0AC3" w:rsidRDefault="00B0637A" w:rsidP="000D0686">
            <w:pPr>
              <w:jc w:val="center"/>
              <w:rPr>
                <w:rFonts w:eastAsia="Calibri"/>
                <w:noProof/>
                <w:sz w:val="22"/>
                <w:szCs w:val="22"/>
                <w:lang w:val="es-DO"/>
              </w:rPr>
            </w:pPr>
          </w:p>
        </w:tc>
        <w:tc>
          <w:tcPr>
            <w:tcW w:w="983" w:type="dxa"/>
            <w:shd w:val="clear" w:color="auto" w:fill="auto"/>
            <w:noWrap/>
          </w:tcPr>
          <w:p w14:paraId="44A777AD" w14:textId="425921F8" w:rsidR="00B0637A" w:rsidRPr="009F0AC3" w:rsidRDefault="00995933" w:rsidP="000D0686">
            <w:pPr>
              <w:jc w:val="center"/>
              <w:rPr>
                <w:rFonts w:eastAsia="Calibri"/>
                <w:noProof/>
                <w:sz w:val="22"/>
                <w:szCs w:val="22"/>
                <w:lang w:val="es-DO"/>
              </w:rPr>
            </w:pPr>
            <w:r>
              <w:rPr>
                <w:rFonts w:eastAsia="Calibri"/>
                <w:noProof/>
                <w:sz w:val="22"/>
                <w:szCs w:val="22"/>
                <w:lang w:val="es-DO"/>
              </w:rPr>
              <w:t>0%</w:t>
            </w:r>
          </w:p>
        </w:tc>
        <w:tc>
          <w:tcPr>
            <w:tcW w:w="1509" w:type="dxa"/>
            <w:shd w:val="clear" w:color="auto" w:fill="auto"/>
            <w:noWrap/>
          </w:tcPr>
          <w:p w14:paraId="67A6F180" w14:textId="77777777"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1</w:t>
            </w:r>
          </w:p>
        </w:tc>
        <w:tc>
          <w:tcPr>
            <w:tcW w:w="1485" w:type="dxa"/>
            <w:shd w:val="clear" w:color="auto" w:fill="auto"/>
            <w:noWrap/>
          </w:tcPr>
          <w:p w14:paraId="0A8BAA8C" w14:textId="77777777"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1%</w:t>
            </w:r>
          </w:p>
        </w:tc>
        <w:tc>
          <w:tcPr>
            <w:tcW w:w="742" w:type="dxa"/>
            <w:shd w:val="clear" w:color="auto" w:fill="auto"/>
            <w:noWrap/>
          </w:tcPr>
          <w:p w14:paraId="2B1A77AE" w14:textId="77777777"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1</w:t>
            </w:r>
          </w:p>
        </w:tc>
      </w:tr>
      <w:tr w:rsidR="00B0637A" w:rsidRPr="00A610D4" w14:paraId="23E9F2B3" w14:textId="77777777" w:rsidTr="000D0686">
        <w:trPr>
          <w:trHeight w:val="267"/>
          <w:jc w:val="center"/>
        </w:trPr>
        <w:tc>
          <w:tcPr>
            <w:tcW w:w="1675" w:type="dxa"/>
            <w:shd w:val="clear" w:color="auto" w:fill="auto"/>
            <w:vAlign w:val="center"/>
          </w:tcPr>
          <w:p w14:paraId="67A4C7AE" w14:textId="77777777" w:rsidR="00B0637A" w:rsidRPr="009F0AC3" w:rsidRDefault="00B0637A" w:rsidP="000D0686">
            <w:pPr>
              <w:rPr>
                <w:rFonts w:eastAsia="Calibri"/>
                <w:noProof/>
                <w:sz w:val="22"/>
                <w:szCs w:val="22"/>
                <w:lang w:val="es-DO"/>
              </w:rPr>
            </w:pPr>
            <w:r w:rsidRPr="009F0AC3">
              <w:rPr>
                <w:rFonts w:eastAsia="Calibri"/>
                <w:noProof/>
                <w:sz w:val="22"/>
                <w:szCs w:val="22"/>
                <w:lang w:val="es-DO"/>
              </w:rPr>
              <w:t>Servicio Ofrecido</w:t>
            </w:r>
          </w:p>
        </w:tc>
        <w:tc>
          <w:tcPr>
            <w:tcW w:w="1122" w:type="dxa"/>
            <w:shd w:val="clear" w:color="auto" w:fill="auto"/>
            <w:noWrap/>
          </w:tcPr>
          <w:p w14:paraId="378D5127" w14:textId="6CC9A6A2"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3</w:t>
            </w:r>
            <w:r w:rsidR="00995933">
              <w:rPr>
                <w:rFonts w:eastAsia="Calibri"/>
                <w:noProof/>
                <w:sz w:val="22"/>
                <w:szCs w:val="22"/>
                <w:lang w:val="es-DO"/>
              </w:rPr>
              <w:t>8</w:t>
            </w:r>
          </w:p>
        </w:tc>
        <w:tc>
          <w:tcPr>
            <w:tcW w:w="983" w:type="dxa"/>
            <w:shd w:val="clear" w:color="auto" w:fill="auto"/>
            <w:noWrap/>
          </w:tcPr>
          <w:p w14:paraId="436F1112" w14:textId="77777777"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7%</w:t>
            </w:r>
          </w:p>
        </w:tc>
        <w:tc>
          <w:tcPr>
            <w:tcW w:w="1509" w:type="dxa"/>
            <w:shd w:val="clear" w:color="auto" w:fill="auto"/>
            <w:noWrap/>
          </w:tcPr>
          <w:p w14:paraId="16EEB975" w14:textId="77777777"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5</w:t>
            </w:r>
          </w:p>
        </w:tc>
        <w:tc>
          <w:tcPr>
            <w:tcW w:w="1485" w:type="dxa"/>
            <w:shd w:val="clear" w:color="auto" w:fill="auto"/>
            <w:noWrap/>
          </w:tcPr>
          <w:p w14:paraId="5F4D6FC7" w14:textId="20BDB199" w:rsidR="00B0637A" w:rsidRPr="009F0AC3" w:rsidRDefault="00995933" w:rsidP="000D0686">
            <w:pPr>
              <w:jc w:val="center"/>
              <w:rPr>
                <w:rFonts w:eastAsia="Calibri"/>
                <w:noProof/>
                <w:sz w:val="22"/>
                <w:szCs w:val="22"/>
                <w:lang w:val="es-DO"/>
              </w:rPr>
            </w:pPr>
            <w:r>
              <w:rPr>
                <w:rFonts w:eastAsia="Calibri"/>
                <w:noProof/>
                <w:sz w:val="22"/>
                <w:szCs w:val="22"/>
                <w:lang w:val="es-DO"/>
              </w:rPr>
              <w:t>3</w:t>
            </w:r>
            <w:r w:rsidR="00B0637A" w:rsidRPr="009F0AC3">
              <w:rPr>
                <w:rFonts w:eastAsia="Calibri"/>
                <w:noProof/>
                <w:sz w:val="22"/>
                <w:szCs w:val="22"/>
                <w:lang w:val="es-DO"/>
              </w:rPr>
              <w:t>%</w:t>
            </w:r>
          </w:p>
        </w:tc>
        <w:tc>
          <w:tcPr>
            <w:tcW w:w="742" w:type="dxa"/>
            <w:shd w:val="clear" w:color="auto" w:fill="auto"/>
            <w:noWrap/>
          </w:tcPr>
          <w:p w14:paraId="38C620ED" w14:textId="139A038F"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4</w:t>
            </w:r>
            <w:r w:rsidR="00995933">
              <w:rPr>
                <w:rFonts w:eastAsia="Calibri"/>
                <w:noProof/>
                <w:sz w:val="22"/>
                <w:szCs w:val="22"/>
                <w:lang w:val="es-DO"/>
              </w:rPr>
              <w:t>3</w:t>
            </w:r>
          </w:p>
        </w:tc>
      </w:tr>
      <w:tr w:rsidR="00B0637A" w:rsidRPr="00A610D4" w14:paraId="5C990963" w14:textId="77777777" w:rsidTr="000D0686">
        <w:trPr>
          <w:trHeight w:val="267"/>
          <w:jc w:val="center"/>
        </w:trPr>
        <w:tc>
          <w:tcPr>
            <w:tcW w:w="1675" w:type="dxa"/>
            <w:shd w:val="clear" w:color="auto" w:fill="auto"/>
            <w:vAlign w:val="center"/>
          </w:tcPr>
          <w:p w14:paraId="61108542" w14:textId="77777777" w:rsidR="00B0637A" w:rsidRPr="009F0AC3" w:rsidRDefault="00B0637A" w:rsidP="000D0686">
            <w:pPr>
              <w:rPr>
                <w:rFonts w:eastAsia="Calibri"/>
                <w:noProof/>
                <w:sz w:val="22"/>
                <w:szCs w:val="22"/>
                <w:lang w:val="es-DO"/>
              </w:rPr>
            </w:pPr>
            <w:r w:rsidRPr="009F0AC3">
              <w:rPr>
                <w:rFonts w:eastAsia="Calibri"/>
                <w:noProof/>
                <w:sz w:val="22"/>
                <w:szCs w:val="22"/>
                <w:lang w:val="es-DO"/>
              </w:rPr>
              <w:lastRenderedPageBreak/>
              <w:t>Servicios</w:t>
            </w:r>
          </w:p>
        </w:tc>
        <w:tc>
          <w:tcPr>
            <w:tcW w:w="1122" w:type="dxa"/>
            <w:shd w:val="clear" w:color="auto" w:fill="auto"/>
            <w:noWrap/>
          </w:tcPr>
          <w:p w14:paraId="51D512B6" w14:textId="5F1EC1A7"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1</w:t>
            </w:r>
            <w:r w:rsidR="00995933">
              <w:rPr>
                <w:rFonts w:eastAsia="Calibri"/>
                <w:noProof/>
                <w:sz w:val="22"/>
                <w:szCs w:val="22"/>
                <w:lang w:val="es-DO"/>
              </w:rPr>
              <w:t>7</w:t>
            </w:r>
          </w:p>
        </w:tc>
        <w:tc>
          <w:tcPr>
            <w:tcW w:w="983" w:type="dxa"/>
            <w:shd w:val="clear" w:color="auto" w:fill="auto"/>
            <w:noWrap/>
          </w:tcPr>
          <w:p w14:paraId="763BB2DF" w14:textId="77777777"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3%</w:t>
            </w:r>
          </w:p>
        </w:tc>
        <w:tc>
          <w:tcPr>
            <w:tcW w:w="1509" w:type="dxa"/>
            <w:shd w:val="clear" w:color="auto" w:fill="auto"/>
            <w:noWrap/>
          </w:tcPr>
          <w:p w14:paraId="6B49FE49" w14:textId="7C013C29" w:rsidR="00B0637A" w:rsidRPr="009F0AC3" w:rsidRDefault="00995933" w:rsidP="000D0686">
            <w:pPr>
              <w:jc w:val="center"/>
              <w:rPr>
                <w:rFonts w:eastAsia="Calibri"/>
                <w:noProof/>
                <w:sz w:val="22"/>
                <w:szCs w:val="22"/>
                <w:lang w:val="es-DO"/>
              </w:rPr>
            </w:pPr>
            <w:r>
              <w:rPr>
                <w:rFonts w:eastAsia="Calibri"/>
                <w:noProof/>
                <w:sz w:val="22"/>
                <w:szCs w:val="22"/>
                <w:lang w:val="es-DO"/>
              </w:rPr>
              <w:t>9</w:t>
            </w:r>
          </w:p>
        </w:tc>
        <w:tc>
          <w:tcPr>
            <w:tcW w:w="1485" w:type="dxa"/>
            <w:shd w:val="clear" w:color="auto" w:fill="auto"/>
            <w:noWrap/>
          </w:tcPr>
          <w:p w14:paraId="10AD184E" w14:textId="508B177D" w:rsidR="00B0637A" w:rsidRPr="009F0AC3" w:rsidRDefault="00995933" w:rsidP="000D0686">
            <w:pPr>
              <w:jc w:val="center"/>
              <w:rPr>
                <w:rFonts w:eastAsia="Calibri"/>
                <w:noProof/>
                <w:sz w:val="22"/>
                <w:szCs w:val="22"/>
                <w:lang w:val="es-DO"/>
              </w:rPr>
            </w:pPr>
            <w:r>
              <w:rPr>
                <w:rFonts w:eastAsia="Calibri"/>
                <w:noProof/>
                <w:sz w:val="22"/>
                <w:szCs w:val="22"/>
                <w:lang w:val="es-DO"/>
              </w:rPr>
              <w:t>5</w:t>
            </w:r>
            <w:r w:rsidR="00B0637A" w:rsidRPr="009F0AC3">
              <w:rPr>
                <w:rFonts w:eastAsia="Calibri"/>
                <w:noProof/>
                <w:sz w:val="22"/>
                <w:szCs w:val="22"/>
                <w:lang w:val="es-DO"/>
              </w:rPr>
              <w:t>%</w:t>
            </w:r>
          </w:p>
        </w:tc>
        <w:tc>
          <w:tcPr>
            <w:tcW w:w="742" w:type="dxa"/>
            <w:shd w:val="clear" w:color="auto" w:fill="auto"/>
            <w:noWrap/>
          </w:tcPr>
          <w:p w14:paraId="5B8A1D75" w14:textId="3DF720BD"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2</w:t>
            </w:r>
            <w:r w:rsidR="00995933">
              <w:rPr>
                <w:rFonts w:eastAsia="Calibri"/>
                <w:noProof/>
                <w:sz w:val="22"/>
                <w:szCs w:val="22"/>
                <w:lang w:val="es-DO"/>
              </w:rPr>
              <w:t>6</w:t>
            </w:r>
          </w:p>
        </w:tc>
      </w:tr>
      <w:tr w:rsidR="00B0637A" w:rsidRPr="00A610D4" w14:paraId="0B3D408D" w14:textId="77777777" w:rsidTr="000D0686">
        <w:trPr>
          <w:trHeight w:val="267"/>
          <w:jc w:val="center"/>
        </w:trPr>
        <w:tc>
          <w:tcPr>
            <w:tcW w:w="1675" w:type="dxa"/>
            <w:shd w:val="clear" w:color="auto" w:fill="auto"/>
            <w:vAlign w:val="center"/>
          </w:tcPr>
          <w:p w14:paraId="760A0CC7" w14:textId="77777777" w:rsidR="00B0637A" w:rsidRPr="009F0AC3" w:rsidRDefault="00B0637A" w:rsidP="000D0686">
            <w:pPr>
              <w:rPr>
                <w:rFonts w:eastAsia="Calibri"/>
                <w:noProof/>
                <w:sz w:val="22"/>
                <w:szCs w:val="22"/>
                <w:lang w:val="es-DO"/>
              </w:rPr>
            </w:pPr>
            <w:r w:rsidRPr="009F0AC3">
              <w:rPr>
                <w:rFonts w:eastAsia="Calibri"/>
                <w:noProof/>
                <w:sz w:val="22"/>
                <w:szCs w:val="22"/>
                <w:lang w:val="es-DO"/>
              </w:rPr>
              <w:t>Tardanza en respuesta</w:t>
            </w:r>
          </w:p>
        </w:tc>
        <w:tc>
          <w:tcPr>
            <w:tcW w:w="1122" w:type="dxa"/>
            <w:shd w:val="clear" w:color="auto" w:fill="auto"/>
            <w:noWrap/>
          </w:tcPr>
          <w:p w14:paraId="7A992B1F" w14:textId="74C1FD3E" w:rsidR="00B0637A" w:rsidRPr="009F0AC3" w:rsidRDefault="00995933" w:rsidP="000D0686">
            <w:pPr>
              <w:jc w:val="center"/>
              <w:rPr>
                <w:rFonts w:eastAsia="Calibri"/>
                <w:noProof/>
                <w:sz w:val="22"/>
                <w:szCs w:val="22"/>
                <w:lang w:val="es-DO"/>
              </w:rPr>
            </w:pPr>
            <w:r>
              <w:rPr>
                <w:rFonts w:eastAsia="Calibri"/>
                <w:noProof/>
                <w:sz w:val="22"/>
                <w:szCs w:val="22"/>
                <w:lang w:val="es-DO"/>
              </w:rPr>
              <w:t>13</w:t>
            </w:r>
          </w:p>
        </w:tc>
        <w:tc>
          <w:tcPr>
            <w:tcW w:w="983" w:type="dxa"/>
            <w:shd w:val="clear" w:color="auto" w:fill="auto"/>
            <w:noWrap/>
          </w:tcPr>
          <w:p w14:paraId="611835C7" w14:textId="77777777"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2%</w:t>
            </w:r>
          </w:p>
        </w:tc>
        <w:tc>
          <w:tcPr>
            <w:tcW w:w="1509" w:type="dxa"/>
            <w:shd w:val="clear" w:color="auto" w:fill="auto"/>
            <w:noWrap/>
          </w:tcPr>
          <w:p w14:paraId="78D3F452" w14:textId="156B1E48" w:rsidR="00B0637A" w:rsidRPr="009F0AC3" w:rsidRDefault="00380CAE" w:rsidP="000D0686">
            <w:pPr>
              <w:jc w:val="center"/>
              <w:rPr>
                <w:rFonts w:eastAsia="Calibri"/>
                <w:noProof/>
                <w:sz w:val="22"/>
                <w:szCs w:val="22"/>
                <w:lang w:val="es-DO"/>
              </w:rPr>
            </w:pPr>
            <w:r>
              <w:rPr>
                <w:rFonts w:eastAsia="Calibri"/>
                <w:noProof/>
                <w:sz w:val="22"/>
                <w:szCs w:val="22"/>
                <w:lang w:val="es-DO"/>
              </w:rPr>
              <w:t>0</w:t>
            </w:r>
          </w:p>
        </w:tc>
        <w:tc>
          <w:tcPr>
            <w:tcW w:w="1485" w:type="dxa"/>
            <w:shd w:val="clear" w:color="auto" w:fill="auto"/>
            <w:noWrap/>
          </w:tcPr>
          <w:p w14:paraId="7650F69B" w14:textId="77A80E89" w:rsidR="00B0637A" w:rsidRPr="009F0AC3" w:rsidRDefault="00380CAE" w:rsidP="000D0686">
            <w:pPr>
              <w:jc w:val="center"/>
              <w:rPr>
                <w:rFonts w:eastAsia="Calibri"/>
                <w:noProof/>
                <w:sz w:val="22"/>
                <w:szCs w:val="22"/>
                <w:lang w:val="es-DO"/>
              </w:rPr>
            </w:pPr>
            <w:r>
              <w:rPr>
                <w:rFonts w:eastAsia="Calibri"/>
                <w:noProof/>
                <w:sz w:val="22"/>
                <w:szCs w:val="22"/>
                <w:lang w:val="es-DO"/>
              </w:rPr>
              <w:t>0</w:t>
            </w:r>
            <w:r w:rsidR="000A0A5E">
              <w:rPr>
                <w:rFonts w:eastAsia="Calibri"/>
                <w:noProof/>
                <w:sz w:val="22"/>
                <w:szCs w:val="22"/>
                <w:lang w:val="es-DO"/>
              </w:rPr>
              <w:t>%</w:t>
            </w:r>
          </w:p>
        </w:tc>
        <w:tc>
          <w:tcPr>
            <w:tcW w:w="742" w:type="dxa"/>
            <w:shd w:val="clear" w:color="auto" w:fill="auto"/>
            <w:noWrap/>
          </w:tcPr>
          <w:p w14:paraId="1B118C3A" w14:textId="7BCD398E" w:rsidR="00B0637A" w:rsidRPr="009F0AC3" w:rsidRDefault="00995933" w:rsidP="000D0686">
            <w:pPr>
              <w:jc w:val="center"/>
              <w:rPr>
                <w:rFonts w:eastAsia="Calibri"/>
                <w:noProof/>
                <w:sz w:val="22"/>
                <w:szCs w:val="22"/>
                <w:lang w:val="es-DO"/>
              </w:rPr>
            </w:pPr>
            <w:r>
              <w:rPr>
                <w:rFonts w:eastAsia="Calibri"/>
                <w:noProof/>
                <w:sz w:val="22"/>
                <w:szCs w:val="22"/>
                <w:lang w:val="es-DO"/>
              </w:rPr>
              <w:t>13</w:t>
            </w:r>
          </w:p>
        </w:tc>
      </w:tr>
      <w:tr w:rsidR="00B0637A" w:rsidRPr="00A610D4" w14:paraId="5EE1ACE3" w14:textId="77777777" w:rsidTr="000D0686">
        <w:trPr>
          <w:trHeight w:val="267"/>
          <w:jc w:val="center"/>
        </w:trPr>
        <w:tc>
          <w:tcPr>
            <w:tcW w:w="1675" w:type="dxa"/>
            <w:shd w:val="clear" w:color="auto" w:fill="auto"/>
            <w:vAlign w:val="center"/>
          </w:tcPr>
          <w:p w14:paraId="47E20C88" w14:textId="77777777" w:rsidR="00B0637A" w:rsidRPr="009F0AC3" w:rsidRDefault="00B0637A" w:rsidP="000D0686">
            <w:pPr>
              <w:rPr>
                <w:rFonts w:eastAsia="Calibri"/>
                <w:noProof/>
                <w:sz w:val="22"/>
                <w:szCs w:val="22"/>
                <w:lang w:val="es-DO"/>
              </w:rPr>
            </w:pPr>
            <w:r w:rsidRPr="009F0AC3">
              <w:rPr>
                <w:rFonts w:eastAsia="Calibri"/>
                <w:noProof/>
                <w:sz w:val="22"/>
                <w:szCs w:val="22"/>
                <w:lang w:val="es-DO"/>
              </w:rPr>
              <w:t>Tiempo de respuesta</w:t>
            </w:r>
          </w:p>
        </w:tc>
        <w:tc>
          <w:tcPr>
            <w:tcW w:w="1122" w:type="dxa"/>
            <w:shd w:val="clear" w:color="auto" w:fill="auto"/>
            <w:noWrap/>
          </w:tcPr>
          <w:p w14:paraId="460796CC" w14:textId="4A3A7052"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1</w:t>
            </w:r>
            <w:r w:rsidR="00995933">
              <w:rPr>
                <w:rFonts w:eastAsia="Calibri"/>
                <w:noProof/>
                <w:sz w:val="22"/>
                <w:szCs w:val="22"/>
                <w:lang w:val="es-DO"/>
              </w:rPr>
              <w:t>7</w:t>
            </w:r>
          </w:p>
        </w:tc>
        <w:tc>
          <w:tcPr>
            <w:tcW w:w="983" w:type="dxa"/>
            <w:shd w:val="clear" w:color="auto" w:fill="auto"/>
            <w:noWrap/>
          </w:tcPr>
          <w:p w14:paraId="2C30DE56" w14:textId="77777777"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3%</w:t>
            </w:r>
          </w:p>
        </w:tc>
        <w:tc>
          <w:tcPr>
            <w:tcW w:w="1509" w:type="dxa"/>
            <w:shd w:val="clear" w:color="auto" w:fill="auto"/>
            <w:noWrap/>
          </w:tcPr>
          <w:p w14:paraId="69CE54FE" w14:textId="5083762D" w:rsidR="00B0637A" w:rsidRPr="009F0AC3" w:rsidRDefault="00995933" w:rsidP="000D0686">
            <w:pPr>
              <w:jc w:val="center"/>
              <w:rPr>
                <w:rFonts w:eastAsia="Calibri"/>
                <w:noProof/>
                <w:sz w:val="22"/>
                <w:szCs w:val="22"/>
                <w:lang w:val="es-DO"/>
              </w:rPr>
            </w:pPr>
            <w:r>
              <w:rPr>
                <w:rFonts w:eastAsia="Calibri"/>
                <w:noProof/>
                <w:sz w:val="22"/>
                <w:szCs w:val="22"/>
                <w:lang w:val="es-DO"/>
              </w:rPr>
              <w:t>11</w:t>
            </w:r>
          </w:p>
        </w:tc>
        <w:tc>
          <w:tcPr>
            <w:tcW w:w="1485" w:type="dxa"/>
            <w:shd w:val="clear" w:color="auto" w:fill="auto"/>
            <w:noWrap/>
          </w:tcPr>
          <w:p w14:paraId="2B9F869E" w14:textId="2B008B20" w:rsidR="00B0637A" w:rsidRPr="009F0AC3" w:rsidRDefault="00995933" w:rsidP="000D0686">
            <w:pPr>
              <w:jc w:val="center"/>
              <w:rPr>
                <w:rFonts w:eastAsia="Calibri"/>
                <w:noProof/>
                <w:sz w:val="22"/>
                <w:szCs w:val="22"/>
                <w:lang w:val="es-DO"/>
              </w:rPr>
            </w:pPr>
            <w:r>
              <w:rPr>
                <w:rFonts w:eastAsia="Calibri"/>
                <w:noProof/>
                <w:sz w:val="22"/>
                <w:szCs w:val="22"/>
                <w:lang w:val="es-DO"/>
              </w:rPr>
              <w:t>7</w:t>
            </w:r>
            <w:r w:rsidR="00B0637A" w:rsidRPr="009F0AC3">
              <w:rPr>
                <w:rFonts w:eastAsia="Calibri"/>
                <w:noProof/>
                <w:sz w:val="22"/>
                <w:szCs w:val="22"/>
                <w:lang w:val="es-DO"/>
              </w:rPr>
              <w:t>%</w:t>
            </w:r>
          </w:p>
        </w:tc>
        <w:tc>
          <w:tcPr>
            <w:tcW w:w="742" w:type="dxa"/>
            <w:shd w:val="clear" w:color="auto" w:fill="auto"/>
            <w:noWrap/>
          </w:tcPr>
          <w:p w14:paraId="21FC15EB" w14:textId="6C7F4D01"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2</w:t>
            </w:r>
            <w:r w:rsidR="00995933">
              <w:rPr>
                <w:rFonts w:eastAsia="Calibri"/>
                <w:noProof/>
                <w:sz w:val="22"/>
                <w:szCs w:val="22"/>
                <w:lang w:val="es-DO"/>
              </w:rPr>
              <w:t>8</w:t>
            </w:r>
          </w:p>
        </w:tc>
      </w:tr>
      <w:tr w:rsidR="00B0637A" w:rsidRPr="00A610D4" w14:paraId="38198BC3" w14:textId="77777777" w:rsidTr="000D0686">
        <w:trPr>
          <w:trHeight w:val="267"/>
          <w:jc w:val="center"/>
        </w:trPr>
        <w:tc>
          <w:tcPr>
            <w:tcW w:w="1675" w:type="dxa"/>
            <w:shd w:val="clear" w:color="auto" w:fill="auto"/>
            <w:vAlign w:val="center"/>
          </w:tcPr>
          <w:p w14:paraId="12B27C79" w14:textId="77777777" w:rsidR="00B0637A" w:rsidRPr="009F0AC3" w:rsidRDefault="00B0637A" w:rsidP="000D0686">
            <w:pPr>
              <w:rPr>
                <w:rFonts w:eastAsia="Calibri"/>
                <w:noProof/>
                <w:sz w:val="22"/>
                <w:szCs w:val="22"/>
                <w:lang w:val="es-DO"/>
              </w:rPr>
            </w:pPr>
            <w:r w:rsidRPr="009F0AC3">
              <w:rPr>
                <w:rFonts w:eastAsia="Calibri"/>
                <w:noProof/>
                <w:sz w:val="22"/>
                <w:szCs w:val="22"/>
                <w:lang w:val="es-DO"/>
              </w:rPr>
              <w:t>Tiempo en espera</w:t>
            </w:r>
          </w:p>
        </w:tc>
        <w:tc>
          <w:tcPr>
            <w:tcW w:w="1122" w:type="dxa"/>
            <w:shd w:val="clear" w:color="auto" w:fill="auto"/>
            <w:noWrap/>
          </w:tcPr>
          <w:p w14:paraId="645DF909" w14:textId="01820D9E"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11</w:t>
            </w:r>
            <w:r w:rsidR="00995933">
              <w:rPr>
                <w:rFonts w:eastAsia="Calibri"/>
                <w:noProof/>
                <w:sz w:val="22"/>
                <w:szCs w:val="22"/>
                <w:lang w:val="es-DO"/>
              </w:rPr>
              <w:t>8</w:t>
            </w:r>
          </w:p>
        </w:tc>
        <w:tc>
          <w:tcPr>
            <w:tcW w:w="983" w:type="dxa"/>
            <w:shd w:val="clear" w:color="auto" w:fill="auto"/>
            <w:noWrap/>
          </w:tcPr>
          <w:p w14:paraId="0427A843" w14:textId="416EEE2A"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2</w:t>
            </w:r>
            <w:r w:rsidR="00995933">
              <w:rPr>
                <w:rFonts w:eastAsia="Calibri"/>
                <w:noProof/>
                <w:sz w:val="22"/>
                <w:szCs w:val="22"/>
                <w:lang w:val="es-DO"/>
              </w:rPr>
              <w:t>1</w:t>
            </w:r>
            <w:r w:rsidRPr="009F0AC3">
              <w:rPr>
                <w:rFonts w:eastAsia="Calibri"/>
                <w:noProof/>
                <w:sz w:val="22"/>
                <w:szCs w:val="22"/>
                <w:lang w:val="es-DO"/>
              </w:rPr>
              <w:t>%</w:t>
            </w:r>
          </w:p>
        </w:tc>
        <w:tc>
          <w:tcPr>
            <w:tcW w:w="1509" w:type="dxa"/>
            <w:shd w:val="clear" w:color="auto" w:fill="auto"/>
            <w:noWrap/>
          </w:tcPr>
          <w:p w14:paraId="006ECB97" w14:textId="0C25CF88" w:rsidR="00B0637A" w:rsidRPr="009F0AC3" w:rsidRDefault="00995933" w:rsidP="000D0686">
            <w:pPr>
              <w:jc w:val="center"/>
              <w:rPr>
                <w:rFonts w:eastAsia="Calibri"/>
                <w:noProof/>
                <w:sz w:val="22"/>
                <w:szCs w:val="22"/>
                <w:lang w:val="es-DO"/>
              </w:rPr>
            </w:pPr>
            <w:r>
              <w:rPr>
                <w:rFonts w:eastAsia="Calibri"/>
                <w:noProof/>
                <w:sz w:val="22"/>
                <w:szCs w:val="22"/>
                <w:lang w:val="es-DO"/>
              </w:rPr>
              <w:t>10</w:t>
            </w:r>
          </w:p>
        </w:tc>
        <w:tc>
          <w:tcPr>
            <w:tcW w:w="1485" w:type="dxa"/>
            <w:shd w:val="clear" w:color="auto" w:fill="auto"/>
            <w:noWrap/>
          </w:tcPr>
          <w:p w14:paraId="35850AA4" w14:textId="43AA9AE7" w:rsidR="00B0637A" w:rsidRPr="009F0AC3" w:rsidRDefault="00995933" w:rsidP="000D0686">
            <w:pPr>
              <w:jc w:val="center"/>
              <w:rPr>
                <w:rFonts w:eastAsia="Calibri"/>
                <w:noProof/>
                <w:sz w:val="22"/>
                <w:szCs w:val="22"/>
                <w:lang w:val="es-DO"/>
              </w:rPr>
            </w:pPr>
            <w:r>
              <w:rPr>
                <w:rFonts w:eastAsia="Calibri"/>
                <w:noProof/>
                <w:sz w:val="22"/>
                <w:szCs w:val="22"/>
                <w:lang w:val="es-DO"/>
              </w:rPr>
              <w:t>6</w:t>
            </w:r>
            <w:r w:rsidR="00B0637A" w:rsidRPr="009F0AC3">
              <w:rPr>
                <w:rFonts w:eastAsia="Calibri"/>
                <w:noProof/>
                <w:sz w:val="22"/>
                <w:szCs w:val="22"/>
                <w:lang w:val="es-DO"/>
              </w:rPr>
              <w:t>%</w:t>
            </w:r>
          </w:p>
        </w:tc>
        <w:tc>
          <w:tcPr>
            <w:tcW w:w="742" w:type="dxa"/>
            <w:shd w:val="clear" w:color="auto" w:fill="auto"/>
            <w:noWrap/>
          </w:tcPr>
          <w:p w14:paraId="4BF6048E" w14:textId="0243E2D1" w:rsidR="00B0637A" w:rsidRPr="009F0AC3" w:rsidRDefault="00B0637A" w:rsidP="000D0686">
            <w:pPr>
              <w:jc w:val="center"/>
              <w:rPr>
                <w:rFonts w:eastAsia="Calibri"/>
                <w:noProof/>
                <w:sz w:val="22"/>
                <w:szCs w:val="22"/>
                <w:lang w:val="es-DO"/>
              </w:rPr>
            </w:pPr>
            <w:r w:rsidRPr="009F0AC3">
              <w:rPr>
                <w:rFonts w:eastAsia="Calibri"/>
                <w:noProof/>
                <w:sz w:val="22"/>
                <w:szCs w:val="22"/>
                <w:lang w:val="es-DO"/>
              </w:rPr>
              <w:t>12</w:t>
            </w:r>
            <w:r w:rsidR="00995933">
              <w:rPr>
                <w:rFonts w:eastAsia="Calibri"/>
                <w:noProof/>
                <w:sz w:val="22"/>
                <w:szCs w:val="22"/>
                <w:lang w:val="es-DO"/>
              </w:rPr>
              <w:t>8</w:t>
            </w:r>
          </w:p>
        </w:tc>
      </w:tr>
      <w:tr w:rsidR="00B0637A" w14:paraId="31C2CF24" w14:textId="77777777" w:rsidTr="00380CAE">
        <w:trPr>
          <w:trHeight w:val="530"/>
          <w:jc w:val="center"/>
        </w:trPr>
        <w:tc>
          <w:tcPr>
            <w:tcW w:w="1675" w:type="dxa"/>
            <w:shd w:val="clear" w:color="auto" w:fill="FFFFFF" w:themeFill="background1"/>
            <w:noWrap/>
            <w:vAlign w:val="center"/>
            <w:hideMark/>
          </w:tcPr>
          <w:p w14:paraId="471378F4" w14:textId="67C1C574" w:rsidR="00B0637A" w:rsidRPr="000A0A5E" w:rsidRDefault="000D0686" w:rsidP="00380CAE">
            <w:pPr>
              <w:spacing w:after="0"/>
              <w:jc w:val="center"/>
              <w:rPr>
                <w:b/>
                <w:bCs/>
                <w:color w:val="595959" w:themeColor="text1" w:themeTint="A6"/>
                <w:sz w:val="22"/>
                <w:szCs w:val="22"/>
              </w:rPr>
            </w:pPr>
            <w:r w:rsidRPr="000A0A5E">
              <w:rPr>
                <w:b/>
                <w:bCs/>
                <w:color w:val="595959" w:themeColor="text1" w:themeTint="A6"/>
                <w:sz w:val="22"/>
                <w:szCs w:val="22"/>
              </w:rPr>
              <w:t>TOTAL</w:t>
            </w:r>
          </w:p>
        </w:tc>
        <w:tc>
          <w:tcPr>
            <w:tcW w:w="1122" w:type="dxa"/>
            <w:shd w:val="clear" w:color="auto" w:fill="FFFFFF" w:themeFill="background1"/>
            <w:noWrap/>
            <w:vAlign w:val="center"/>
          </w:tcPr>
          <w:p w14:paraId="5113FC8F" w14:textId="5A04C555" w:rsidR="00B0637A" w:rsidRPr="000A0A5E" w:rsidRDefault="000D0686" w:rsidP="00380CAE">
            <w:pPr>
              <w:spacing w:after="0"/>
              <w:jc w:val="center"/>
              <w:rPr>
                <w:b/>
                <w:bCs/>
                <w:color w:val="595959" w:themeColor="text1" w:themeTint="A6"/>
                <w:sz w:val="22"/>
                <w:szCs w:val="22"/>
              </w:rPr>
            </w:pPr>
            <w:r w:rsidRPr="000A0A5E">
              <w:rPr>
                <w:b/>
                <w:bCs/>
                <w:color w:val="595959" w:themeColor="text1" w:themeTint="A6"/>
                <w:sz w:val="22"/>
                <w:szCs w:val="22"/>
              </w:rPr>
              <w:t>5</w:t>
            </w:r>
            <w:r w:rsidR="00995933">
              <w:rPr>
                <w:b/>
                <w:bCs/>
                <w:color w:val="595959" w:themeColor="text1" w:themeTint="A6"/>
                <w:sz w:val="22"/>
                <w:szCs w:val="22"/>
              </w:rPr>
              <w:t>70</w:t>
            </w:r>
          </w:p>
        </w:tc>
        <w:tc>
          <w:tcPr>
            <w:tcW w:w="983" w:type="dxa"/>
            <w:shd w:val="clear" w:color="auto" w:fill="FFFFFF" w:themeFill="background1"/>
            <w:noWrap/>
            <w:vAlign w:val="center"/>
          </w:tcPr>
          <w:p w14:paraId="06CCE493" w14:textId="25DFBDFB" w:rsidR="00B0637A" w:rsidRPr="000A0A5E" w:rsidRDefault="000D0686" w:rsidP="00380CAE">
            <w:pPr>
              <w:spacing w:after="0"/>
              <w:jc w:val="center"/>
              <w:rPr>
                <w:b/>
                <w:bCs/>
                <w:color w:val="595959" w:themeColor="text1" w:themeTint="A6"/>
                <w:sz w:val="22"/>
                <w:szCs w:val="22"/>
              </w:rPr>
            </w:pPr>
            <w:r w:rsidRPr="000A0A5E">
              <w:rPr>
                <w:b/>
                <w:bCs/>
                <w:color w:val="595959" w:themeColor="text1" w:themeTint="A6"/>
                <w:sz w:val="22"/>
                <w:szCs w:val="22"/>
              </w:rPr>
              <w:t>100%</w:t>
            </w:r>
          </w:p>
        </w:tc>
        <w:tc>
          <w:tcPr>
            <w:tcW w:w="1509" w:type="dxa"/>
            <w:shd w:val="clear" w:color="auto" w:fill="FFFFFF" w:themeFill="background1"/>
            <w:noWrap/>
            <w:vAlign w:val="center"/>
          </w:tcPr>
          <w:p w14:paraId="7D69A115" w14:textId="1471E6B7" w:rsidR="00B0637A" w:rsidRPr="000A0A5E" w:rsidRDefault="000D0686" w:rsidP="00380CAE">
            <w:pPr>
              <w:spacing w:after="0"/>
              <w:jc w:val="center"/>
              <w:rPr>
                <w:b/>
                <w:bCs/>
                <w:color w:val="595959" w:themeColor="text1" w:themeTint="A6"/>
                <w:sz w:val="22"/>
                <w:szCs w:val="22"/>
              </w:rPr>
            </w:pPr>
            <w:r w:rsidRPr="000A0A5E">
              <w:rPr>
                <w:b/>
                <w:bCs/>
                <w:color w:val="595959" w:themeColor="text1" w:themeTint="A6"/>
                <w:sz w:val="22"/>
                <w:szCs w:val="22"/>
              </w:rPr>
              <w:t>1</w:t>
            </w:r>
            <w:r w:rsidR="00995933">
              <w:rPr>
                <w:b/>
                <w:bCs/>
                <w:color w:val="595959" w:themeColor="text1" w:themeTint="A6"/>
                <w:sz w:val="22"/>
                <w:szCs w:val="22"/>
              </w:rPr>
              <w:t>67</w:t>
            </w:r>
          </w:p>
        </w:tc>
        <w:tc>
          <w:tcPr>
            <w:tcW w:w="1485" w:type="dxa"/>
            <w:shd w:val="clear" w:color="auto" w:fill="FFFFFF" w:themeFill="background1"/>
            <w:noWrap/>
            <w:vAlign w:val="center"/>
          </w:tcPr>
          <w:p w14:paraId="58559FFC" w14:textId="7F4DD086" w:rsidR="00B0637A" w:rsidRPr="000A0A5E" w:rsidRDefault="000D0686" w:rsidP="00380CAE">
            <w:pPr>
              <w:spacing w:after="0"/>
              <w:jc w:val="center"/>
              <w:rPr>
                <w:b/>
                <w:bCs/>
                <w:color w:val="595959" w:themeColor="text1" w:themeTint="A6"/>
                <w:sz w:val="22"/>
                <w:szCs w:val="22"/>
                <w:highlight w:val="yellow"/>
              </w:rPr>
            </w:pPr>
            <w:r w:rsidRPr="000A0A5E">
              <w:rPr>
                <w:b/>
                <w:bCs/>
                <w:color w:val="595959" w:themeColor="text1" w:themeTint="A6"/>
                <w:sz w:val="22"/>
                <w:szCs w:val="22"/>
              </w:rPr>
              <w:t>100%</w:t>
            </w:r>
          </w:p>
        </w:tc>
        <w:tc>
          <w:tcPr>
            <w:tcW w:w="742" w:type="dxa"/>
            <w:shd w:val="clear" w:color="auto" w:fill="FFFFFF" w:themeFill="background1"/>
            <w:noWrap/>
            <w:vAlign w:val="center"/>
          </w:tcPr>
          <w:p w14:paraId="67E75C0A" w14:textId="1854BBF7" w:rsidR="00B0637A" w:rsidRPr="000A0A5E" w:rsidRDefault="00995933" w:rsidP="00380CAE">
            <w:pPr>
              <w:spacing w:after="0"/>
              <w:jc w:val="center"/>
              <w:rPr>
                <w:b/>
                <w:bCs/>
                <w:color w:val="595959" w:themeColor="text1" w:themeTint="A6"/>
                <w:sz w:val="22"/>
                <w:szCs w:val="22"/>
                <w:highlight w:val="yellow"/>
              </w:rPr>
            </w:pPr>
            <w:r w:rsidRPr="00995933">
              <w:rPr>
                <w:b/>
                <w:bCs/>
                <w:color w:val="595959" w:themeColor="text1" w:themeTint="A6"/>
                <w:sz w:val="22"/>
                <w:szCs w:val="22"/>
              </w:rPr>
              <w:t>737</w:t>
            </w:r>
          </w:p>
        </w:tc>
      </w:tr>
    </w:tbl>
    <w:p w14:paraId="199153F3" w14:textId="6225E234" w:rsidR="00B0637A" w:rsidRPr="000D3194" w:rsidRDefault="000D3194" w:rsidP="00B0637A">
      <w:pPr>
        <w:jc w:val="both"/>
        <w:rPr>
          <w:sz w:val="18"/>
          <w:lang w:val="es-ES"/>
        </w:rPr>
      </w:pPr>
      <w:r w:rsidRPr="000D3194">
        <w:rPr>
          <w:b/>
          <w:bCs/>
          <w:sz w:val="18"/>
          <w:lang w:val="es-ES"/>
        </w:rPr>
        <w:t xml:space="preserve">Tabla </w:t>
      </w:r>
      <w:r w:rsidR="00C50277">
        <w:rPr>
          <w:b/>
          <w:bCs/>
          <w:sz w:val="18"/>
          <w:lang w:val="es-ES"/>
        </w:rPr>
        <w:t>31</w:t>
      </w:r>
      <w:r w:rsidRPr="000D3194">
        <w:rPr>
          <w:b/>
          <w:bCs/>
          <w:sz w:val="18"/>
          <w:lang w:val="es-ES"/>
        </w:rPr>
        <w:t>:</w:t>
      </w:r>
      <w:r w:rsidRPr="000D3194">
        <w:rPr>
          <w:sz w:val="18"/>
          <w:lang w:val="es-ES"/>
        </w:rPr>
        <w:t xml:space="preserve"> Cantidad de </w:t>
      </w:r>
      <w:r w:rsidR="000A0A5E">
        <w:rPr>
          <w:sz w:val="18"/>
          <w:lang w:val="es-ES"/>
        </w:rPr>
        <w:t>Quejas, Sugerencias recibidas.</w:t>
      </w:r>
    </w:p>
    <w:p w14:paraId="1262982C" w14:textId="4670F99F" w:rsidR="00E77853" w:rsidRPr="00A538C8" w:rsidRDefault="00B0637A" w:rsidP="000141D7">
      <w:pPr>
        <w:spacing w:line="360" w:lineRule="auto"/>
        <w:jc w:val="both"/>
        <w:rPr>
          <w:rFonts w:eastAsia="Calibri"/>
          <w:noProof/>
          <w:sz w:val="18"/>
          <w:szCs w:val="18"/>
          <w:lang w:val="es-DO"/>
        </w:rPr>
      </w:pPr>
      <w:r w:rsidRPr="00C76E53">
        <w:rPr>
          <w:rFonts w:eastAsia="Calibri"/>
          <w:noProof/>
          <w:lang w:val="es-DO"/>
        </w:rPr>
        <w:t>Las quejas más recurrentes son la mejora de procesos con un 35% del total, tiempo en espera con 2</w:t>
      </w:r>
      <w:r w:rsidR="00995933">
        <w:rPr>
          <w:rFonts w:eastAsia="Calibri"/>
          <w:noProof/>
          <w:lang w:val="es-DO"/>
        </w:rPr>
        <w:t>1</w:t>
      </w:r>
      <w:r w:rsidRPr="00C76E53">
        <w:rPr>
          <w:rFonts w:eastAsia="Calibri"/>
          <w:noProof/>
          <w:lang w:val="es-DO"/>
        </w:rPr>
        <w:t>%, comunicación con un 10% y servicio ofrecido de 7%, En esta categoría representa el 7</w:t>
      </w:r>
      <w:r w:rsidR="00995933">
        <w:rPr>
          <w:rFonts w:eastAsia="Calibri"/>
          <w:noProof/>
          <w:lang w:val="es-DO"/>
        </w:rPr>
        <w:t>3</w:t>
      </w:r>
      <w:r w:rsidRPr="00C76E53">
        <w:rPr>
          <w:rFonts w:eastAsia="Calibri"/>
          <w:noProof/>
          <w:lang w:val="es-DO"/>
        </w:rPr>
        <w:t>% del total de las quejas recibidas. En cuanto a las sugerencias, la más recurrentes es la mejora de procesos con un 5</w:t>
      </w:r>
      <w:r w:rsidR="00995933">
        <w:rPr>
          <w:rFonts w:eastAsia="Calibri"/>
          <w:noProof/>
          <w:lang w:val="es-DO"/>
        </w:rPr>
        <w:t>0</w:t>
      </w:r>
      <w:r w:rsidRPr="00C76E53">
        <w:rPr>
          <w:rFonts w:eastAsia="Calibri"/>
          <w:noProof/>
          <w:lang w:val="es-DO"/>
        </w:rPr>
        <w:t xml:space="preserve">%, comunicación con un </w:t>
      </w:r>
      <w:r w:rsidR="00995933">
        <w:rPr>
          <w:rFonts w:eastAsia="Calibri"/>
          <w:noProof/>
          <w:lang w:val="es-DO"/>
        </w:rPr>
        <w:t>11</w:t>
      </w:r>
      <w:r w:rsidRPr="00C76E53">
        <w:rPr>
          <w:rFonts w:eastAsia="Calibri"/>
          <w:noProof/>
          <w:lang w:val="es-DO"/>
        </w:rPr>
        <w:t xml:space="preserve">%, accesibilidad con un </w:t>
      </w:r>
      <w:r w:rsidR="00995933">
        <w:rPr>
          <w:rFonts w:eastAsia="Calibri"/>
          <w:noProof/>
          <w:lang w:val="es-DO"/>
        </w:rPr>
        <w:t>8</w:t>
      </w:r>
      <w:r w:rsidRPr="00C76E53">
        <w:rPr>
          <w:rFonts w:eastAsia="Calibri"/>
          <w:noProof/>
          <w:lang w:val="es-DO"/>
        </w:rPr>
        <w:t>% y mejoras en el SUIR con un 7% en esta categoría constituye el 7</w:t>
      </w:r>
      <w:r w:rsidR="00995933">
        <w:rPr>
          <w:rFonts w:eastAsia="Calibri"/>
          <w:noProof/>
          <w:lang w:val="es-DO"/>
        </w:rPr>
        <w:t>6</w:t>
      </w:r>
      <w:r w:rsidRPr="00C76E53">
        <w:rPr>
          <w:rFonts w:eastAsia="Calibri"/>
          <w:noProof/>
          <w:lang w:val="es-DO"/>
        </w:rPr>
        <w:t>% del total de las sugerencias recibidas.</w:t>
      </w:r>
      <w:bookmarkEnd w:id="263"/>
    </w:p>
    <w:p w14:paraId="11710920" w14:textId="77777777" w:rsidR="00B0637A" w:rsidRPr="005E6195" w:rsidRDefault="00B0637A" w:rsidP="005E6195">
      <w:pPr>
        <w:spacing w:before="240"/>
        <w:rPr>
          <w:b/>
          <w:bCs/>
          <w:lang w:val="es-DO"/>
        </w:rPr>
      </w:pPr>
      <w:r w:rsidRPr="005E6195">
        <w:rPr>
          <w:b/>
          <w:bCs/>
          <w:lang w:val="es-DO"/>
        </w:rPr>
        <w:t xml:space="preserve">Optimización de la Gestión de Quejas y Sugerencias </w:t>
      </w:r>
    </w:p>
    <w:p w14:paraId="3877BC29" w14:textId="77777777" w:rsidR="00B0637A" w:rsidRDefault="00B0637A" w:rsidP="004E34C4">
      <w:pPr>
        <w:spacing w:before="240" w:line="360" w:lineRule="auto"/>
        <w:jc w:val="both"/>
        <w:rPr>
          <w:rFonts w:eastAsia="Calibri"/>
          <w:noProof/>
          <w:lang w:val="es-DO"/>
        </w:rPr>
      </w:pPr>
      <w:r w:rsidRPr="005863FD">
        <w:rPr>
          <w:rFonts w:eastAsia="Calibri"/>
          <w:noProof/>
          <w:lang w:val="es-DO"/>
        </w:rPr>
        <w:t xml:space="preserve">En el marco de la mejora continua y alineados con la implementación de nuestro Sistema de Gestión Integrado, hemos optimizado </w:t>
      </w:r>
      <w:r>
        <w:rPr>
          <w:rFonts w:eastAsia="Calibri"/>
          <w:noProof/>
          <w:lang w:val="es-DO"/>
        </w:rPr>
        <w:t xml:space="preserve">a través de la automatización </w:t>
      </w:r>
      <w:r w:rsidRPr="005863FD">
        <w:rPr>
          <w:rFonts w:eastAsia="Calibri"/>
          <w:noProof/>
          <w:lang w:val="es-DO"/>
        </w:rPr>
        <w:t xml:space="preserve">el proceso de gestión de quejas, sugerencias y felicitaciones mediante un desarrollo interno en Power Apps. </w:t>
      </w:r>
      <w:r>
        <w:rPr>
          <w:rFonts w:eastAsia="Calibri"/>
          <w:noProof/>
          <w:lang w:val="es-DO"/>
        </w:rPr>
        <w:t>Esta aplicación</w:t>
      </w:r>
      <w:r w:rsidRPr="005863FD">
        <w:rPr>
          <w:rFonts w:eastAsia="Calibri"/>
          <w:noProof/>
          <w:lang w:val="es-DO"/>
        </w:rPr>
        <w:t xml:space="preserve"> permite registrar</w:t>
      </w:r>
      <w:r>
        <w:rPr>
          <w:rFonts w:eastAsia="Calibri"/>
          <w:noProof/>
          <w:lang w:val="es-DO"/>
        </w:rPr>
        <w:t xml:space="preserve"> </w:t>
      </w:r>
      <w:r w:rsidRPr="005863FD">
        <w:rPr>
          <w:rFonts w:eastAsia="Calibri"/>
          <w:noProof/>
          <w:lang w:val="es-DO"/>
        </w:rPr>
        <w:t xml:space="preserve">todas las asistencias realizadas por nuestra Dirección de Servicios, </w:t>
      </w:r>
      <w:r>
        <w:rPr>
          <w:rFonts w:eastAsia="Calibri"/>
          <w:noProof/>
          <w:lang w:val="es-DO"/>
        </w:rPr>
        <w:t xml:space="preserve">Dirección Jurídica, Oficina de Acceso a la Información y Departamento de Comunicaciones </w:t>
      </w:r>
      <w:r w:rsidRPr="005863FD">
        <w:rPr>
          <w:rFonts w:eastAsia="Calibri"/>
          <w:noProof/>
          <w:lang w:val="es-DO"/>
        </w:rPr>
        <w:t>incluyendo las correspondientes a los Puntos GOB y Oficinas Regionales. A partir de estos registros, se genera una muestra diaria</w:t>
      </w:r>
      <w:r>
        <w:rPr>
          <w:rFonts w:eastAsia="Calibri"/>
          <w:noProof/>
          <w:lang w:val="es-DO"/>
        </w:rPr>
        <w:t xml:space="preserve"> para la aplicación  de la encuesta de satisfacción y se completa directamente el formulario de la misma</w:t>
      </w:r>
      <w:r w:rsidRPr="005863FD">
        <w:rPr>
          <w:rFonts w:eastAsia="Calibri"/>
          <w:noProof/>
          <w:lang w:val="es-DO"/>
        </w:rPr>
        <w:t xml:space="preserve">, generando un correo automático con los </w:t>
      </w:r>
      <w:r>
        <w:rPr>
          <w:rFonts w:eastAsia="Calibri"/>
          <w:noProof/>
          <w:lang w:val="es-DO"/>
        </w:rPr>
        <w:t xml:space="preserve">datos </w:t>
      </w:r>
      <w:r>
        <w:rPr>
          <w:rFonts w:eastAsia="Calibri"/>
          <w:noProof/>
          <w:lang w:val="es-DO"/>
        </w:rPr>
        <w:lastRenderedPageBreak/>
        <w:t>obtenidos en la encuesta aplicada</w:t>
      </w:r>
      <w:r w:rsidRPr="005863FD">
        <w:rPr>
          <w:rFonts w:eastAsia="Calibri"/>
          <w:noProof/>
          <w:lang w:val="es-DO"/>
        </w:rPr>
        <w:t xml:space="preserve">. Estos datos </w:t>
      </w:r>
      <w:r>
        <w:rPr>
          <w:rFonts w:eastAsia="Calibri"/>
          <w:noProof/>
          <w:lang w:val="es-DO"/>
        </w:rPr>
        <w:t xml:space="preserve">nos permiten </w:t>
      </w:r>
      <w:r w:rsidRPr="005863FD">
        <w:rPr>
          <w:rFonts w:eastAsia="Calibri"/>
          <w:noProof/>
          <w:lang w:val="es-DO"/>
        </w:rPr>
        <w:t>alimenta</w:t>
      </w:r>
      <w:r>
        <w:rPr>
          <w:rFonts w:eastAsia="Calibri"/>
          <w:noProof/>
          <w:lang w:val="es-DO"/>
        </w:rPr>
        <w:t>r</w:t>
      </w:r>
      <w:r w:rsidRPr="005863FD">
        <w:rPr>
          <w:rFonts w:eastAsia="Calibri"/>
          <w:noProof/>
          <w:lang w:val="es-DO"/>
        </w:rPr>
        <w:t xml:space="preserve"> una matriz de seguimiento que asegura la respuesta a las quejas, sugerencias y felicitaciones en un plazo de 7 días.</w:t>
      </w:r>
    </w:p>
    <w:p w14:paraId="3FE2DEE1" w14:textId="77777777" w:rsidR="00B0637A" w:rsidRDefault="00B0637A" w:rsidP="004E34C4">
      <w:pPr>
        <w:spacing w:before="240" w:line="360" w:lineRule="auto"/>
        <w:jc w:val="both"/>
        <w:rPr>
          <w:rFonts w:eastAsia="Calibri"/>
          <w:noProof/>
          <w:lang w:val="es-DO"/>
        </w:rPr>
      </w:pPr>
      <w:r w:rsidRPr="005863FD">
        <w:rPr>
          <w:rFonts w:eastAsia="Calibri"/>
          <w:noProof/>
          <w:lang w:val="es-DO"/>
        </w:rPr>
        <w:t xml:space="preserve">Adicionalmente, la </w:t>
      </w:r>
      <w:r>
        <w:rPr>
          <w:rFonts w:eastAsia="Calibri"/>
          <w:noProof/>
          <w:lang w:val="es-DO"/>
        </w:rPr>
        <w:t>aplicación nos</w:t>
      </w:r>
      <w:r w:rsidRPr="005863FD">
        <w:rPr>
          <w:rFonts w:eastAsia="Calibri"/>
          <w:noProof/>
          <w:lang w:val="es-DO"/>
        </w:rPr>
        <w:t xml:space="preserve"> permite enviar </w:t>
      </w:r>
      <w:r>
        <w:rPr>
          <w:rFonts w:eastAsia="Calibri"/>
          <w:noProof/>
          <w:lang w:val="es-DO"/>
        </w:rPr>
        <w:t xml:space="preserve">la </w:t>
      </w:r>
      <w:r w:rsidRPr="005863FD">
        <w:rPr>
          <w:rFonts w:eastAsia="Calibri"/>
          <w:noProof/>
          <w:lang w:val="es-DO"/>
        </w:rPr>
        <w:t>encuesta electrónica a los empleadores cuyas asistencias se registran con correos electrónicos, eliminando la necesidad de llamadas telefónicas. Este avance no solo mejora la experiencia del usuario, sino que también refuerza el compromiso del área en la actualización de todos los procedimientos relacionados, consolidando así nuestra visión de servicio eficiente y orientado a la calidad.</w:t>
      </w:r>
    </w:p>
    <w:p w14:paraId="0EEC3278" w14:textId="695298D7" w:rsidR="00A83076" w:rsidRPr="00A83076" w:rsidRDefault="00A8614C" w:rsidP="004E34C4">
      <w:pPr>
        <w:pStyle w:val="Heading1"/>
        <w:spacing w:after="240" w:line="259" w:lineRule="auto"/>
        <w:jc w:val="both"/>
        <w:rPr>
          <w:spacing w:val="0"/>
          <w:lang w:val="es-DO"/>
        </w:rPr>
      </w:pPr>
      <w:bookmarkStart w:id="264" w:name="_Toc154736752"/>
      <w:bookmarkStart w:id="265" w:name="_Toc185245118"/>
      <w:r>
        <w:rPr>
          <w:spacing w:val="0"/>
          <w:lang w:val="es-DO"/>
        </w:rPr>
        <w:t xml:space="preserve">5.4 </w:t>
      </w:r>
      <w:r w:rsidR="00A83076" w:rsidRPr="00A83076">
        <w:rPr>
          <w:spacing w:val="0"/>
          <w:lang w:val="es-DO"/>
        </w:rPr>
        <w:t>Resultados, Mediciones del Portal de Transparencia</w:t>
      </w:r>
      <w:bookmarkEnd w:id="264"/>
      <w:bookmarkEnd w:id="265"/>
    </w:p>
    <w:p w14:paraId="1FE2D709" w14:textId="77777777" w:rsidR="00E77853" w:rsidRPr="00B92B50" w:rsidRDefault="00E77853" w:rsidP="00B92B50">
      <w:pPr>
        <w:spacing w:line="360" w:lineRule="auto"/>
        <w:jc w:val="both"/>
        <w:rPr>
          <w:rFonts w:eastAsia="Calibri"/>
          <w:noProof/>
          <w:lang w:val="es-DO"/>
        </w:rPr>
      </w:pPr>
      <w:r w:rsidRPr="00B92B50">
        <w:rPr>
          <w:rFonts w:eastAsia="Calibri"/>
          <w:noProof/>
          <w:lang w:val="es-DO"/>
        </w:rPr>
        <w:t>En cumplimiento a la Ley General de Libre Acceso a la Información Pública No. 200-04 de fecha 28 de julio de 2004, y al Decreto No. 130-05, que aprueba su Reglamento de Aplicación, la Tesorería de la Seguridad Social (TSS) ha puesto a disposición de la ciudadanía los contenidos que, según los artículos 3 y 5 de la referida ley, establecen deben publicarse en las páginas Web de los organismos del Estado.</w:t>
      </w:r>
    </w:p>
    <w:p w14:paraId="5C602532" w14:textId="77777777" w:rsidR="00E77853" w:rsidRPr="00B92B50" w:rsidRDefault="00E77853" w:rsidP="00B92B50">
      <w:pPr>
        <w:spacing w:line="360" w:lineRule="auto"/>
        <w:jc w:val="both"/>
        <w:rPr>
          <w:rFonts w:eastAsia="Calibri"/>
          <w:noProof/>
          <w:lang w:val="es-DO"/>
        </w:rPr>
      </w:pPr>
      <w:r w:rsidRPr="00B92B50">
        <w:rPr>
          <w:rFonts w:eastAsia="Calibri"/>
          <w:noProof/>
          <w:lang w:val="es-DO"/>
        </w:rPr>
        <w:t>En consonancia con lo establecido en la Resolución DIGEIG no. 002-2021, hemos coordinado la solicitud y carga de las informaciones publicadas en el Portal, obteniendo en las evaluaciones realizadas por la Dirección de Ética e Integridad Gubernamental (DIGEIG), presentando la calificación siguiente.</w:t>
      </w:r>
    </w:p>
    <w:tbl>
      <w:tblPr>
        <w:tblW w:w="7650" w:type="dxa"/>
        <w:jc w:val="center"/>
        <w:tblLook w:val="04A0" w:firstRow="1" w:lastRow="0" w:firstColumn="1" w:lastColumn="0" w:noHBand="0" w:noVBand="1"/>
      </w:tblPr>
      <w:tblGrid>
        <w:gridCol w:w="3295"/>
        <w:gridCol w:w="4355"/>
      </w:tblGrid>
      <w:tr w:rsidR="00E77853" w:rsidRPr="00E77853" w14:paraId="6983A05E" w14:textId="77777777" w:rsidTr="00B92B50">
        <w:trPr>
          <w:trHeight w:val="315"/>
          <w:tblHeader/>
          <w:jc w:val="center"/>
        </w:trPr>
        <w:tc>
          <w:tcPr>
            <w:tcW w:w="329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F04789C" w14:textId="57FDAF57" w:rsidR="00E77853" w:rsidRPr="00E77853" w:rsidRDefault="00E77853" w:rsidP="00E77853">
            <w:pPr>
              <w:spacing w:after="0" w:line="240" w:lineRule="auto"/>
              <w:jc w:val="center"/>
              <w:rPr>
                <w:rFonts w:eastAsia="Times New Roman"/>
                <w:b/>
                <w:bCs/>
                <w:color w:val="FFFFFF"/>
                <w:spacing w:val="0"/>
              </w:rPr>
            </w:pPr>
            <w:r w:rsidRPr="00E77853">
              <w:rPr>
                <w:rFonts w:eastAsia="Calibri"/>
                <w:b/>
                <w:bCs/>
                <w:noProof/>
                <w:color w:val="FFFFFF"/>
                <w:spacing w:val="0"/>
                <w:lang w:val="es-DO"/>
              </w:rPr>
              <w:t xml:space="preserve">Meses </w:t>
            </w:r>
          </w:p>
        </w:tc>
        <w:tc>
          <w:tcPr>
            <w:tcW w:w="4355" w:type="dxa"/>
            <w:tcBorders>
              <w:top w:val="single" w:sz="4" w:space="0" w:color="auto"/>
              <w:left w:val="nil"/>
              <w:bottom w:val="single" w:sz="4" w:space="0" w:color="auto"/>
              <w:right w:val="single" w:sz="4" w:space="0" w:color="auto"/>
            </w:tcBorders>
            <w:shd w:val="clear" w:color="000000" w:fill="002060"/>
            <w:vAlign w:val="center"/>
            <w:hideMark/>
          </w:tcPr>
          <w:p w14:paraId="6993E34B" w14:textId="77777777" w:rsidR="00E77853" w:rsidRPr="00E77853" w:rsidRDefault="00E77853" w:rsidP="00E77853">
            <w:pPr>
              <w:spacing w:after="0" w:line="240" w:lineRule="auto"/>
              <w:jc w:val="center"/>
              <w:rPr>
                <w:rFonts w:eastAsia="Times New Roman"/>
                <w:b/>
                <w:bCs/>
                <w:color w:val="FFFFFF"/>
                <w:spacing w:val="0"/>
              </w:rPr>
            </w:pPr>
            <w:r w:rsidRPr="00E77853">
              <w:rPr>
                <w:rFonts w:eastAsia="Calibri"/>
                <w:b/>
                <w:bCs/>
                <w:noProof/>
                <w:color w:val="FFFFFF"/>
                <w:spacing w:val="0"/>
                <w:lang w:val="es-DO"/>
              </w:rPr>
              <w:t xml:space="preserve">Calificación </w:t>
            </w:r>
          </w:p>
        </w:tc>
      </w:tr>
      <w:tr w:rsidR="00E77853" w:rsidRPr="00E77853" w14:paraId="759EA394" w14:textId="77777777" w:rsidTr="00B92B50">
        <w:trPr>
          <w:trHeight w:val="330"/>
          <w:jc w:val="center"/>
        </w:trPr>
        <w:tc>
          <w:tcPr>
            <w:tcW w:w="3295" w:type="dxa"/>
            <w:tcBorders>
              <w:top w:val="nil"/>
              <w:left w:val="single" w:sz="8" w:space="0" w:color="auto"/>
              <w:bottom w:val="single" w:sz="8" w:space="0" w:color="auto"/>
              <w:right w:val="single" w:sz="8" w:space="0" w:color="auto"/>
            </w:tcBorders>
            <w:shd w:val="clear" w:color="auto" w:fill="auto"/>
            <w:noWrap/>
            <w:vAlign w:val="center"/>
            <w:hideMark/>
          </w:tcPr>
          <w:p w14:paraId="79AC141B"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Enero</w:t>
            </w:r>
          </w:p>
        </w:tc>
        <w:tc>
          <w:tcPr>
            <w:tcW w:w="4355" w:type="dxa"/>
            <w:tcBorders>
              <w:top w:val="nil"/>
              <w:left w:val="nil"/>
              <w:bottom w:val="single" w:sz="8" w:space="0" w:color="auto"/>
              <w:right w:val="single" w:sz="8" w:space="0" w:color="auto"/>
            </w:tcBorders>
            <w:shd w:val="clear" w:color="auto" w:fill="auto"/>
            <w:noWrap/>
            <w:vAlign w:val="center"/>
            <w:hideMark/>
          </w:tcPr>
          <w:p w14:paraId="598C4778"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100</w:t>
            </w:r>
          </w:p>
        </w:tc>
      </w:tr>
      <w:tr w:rsidR="00E77853" w:rsidRPr="00E77853" w14:paraId="099F3E4A" w14:textId="77777777" w:rsidTr="00B92B50">
        <w:trPr>
          <w:trHeight w:val="330"/>
          <w:jc w:val="center"/>
        </w:trPr>
        <w:tc>
          <w:tcPr>
            <w:tcW w:w="3295" w:type="dxa"/>
            <w:tcBorders>
              <w:top w:val="nil"/>
              <w:left w:val="single" w:sz="8" w:space="0" w:color="auto"/>
              <w:bottom w:val="single" w:sz="8" w:space="0" w:color="auto"/>
              <w:right w:val="single" w:sz="8" w:space="0" w:color="auto"/>
            </w:tcBorders>
            <w:shd w:val="clear" w:color="auto" w:fill="auto"/>
            <w:noWrap/>
            <w:vAlign w:val="center"/>
            <w:hideMark/>
          </w:tcPr>
          <w:p w14:paraId="61F64E90"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Febrero</w:t>
            </w:r>
          </w:p>
        </w:tc>
        <w:tc>
          <w:tcPr>
            <w:tcW w:w="4355" w:type="dxa"/>
            <w:tcBorders>
              <w:top w:val="nil"/>
              <w:left w:val="nil"/>
              <w:bottom w:val="single" w:sz="8" w:space="0" w:color="auto"/>
              <w:right w:val="single" w:sz="8" w:space="0" w:color="auto"/>
            </w:tcBorders>
            <w:shd w:val="clear" w:color="auto" w:fill="auto"/>
            <w:noWrap/>
            <w:vAlign w:val="center"/>
            <w:hideMark/>
          </w:tcPr>
          <w:p w14:paraId="4130D66F"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99.64</w:t>
            </w:r>
          </w:p>
        </w:tc>
      </w:tr>
      <w:tr w:rsidR="00E77853" w:rsidRPr="00E77853" w14:paraId="09BD6994" w14:textId="77777777" w:rsidTr="00B92B50">
        <w:trPr>
          <w:trHeight w:val="330"/>
          <w:jc w:val="center"/>
        </w:trPr>
        <w:tc>
          <w:tcPr>
            <w:tcW w:w="3295" w:type="dxa"/>
            <w:tcBorders>
              <w:top w:val="nil"/>
              <w:left w:val="single" w:sz="8" w:space="0" w:color="auto"/>
              <w:bottom w:val="single" w:sz="8" w:space="0" w:color="auto"/>
              <w:right w:val="single" w:sz="8" w:space="0" w:color="auto"/>
            </w:tcBorders>
            <w:shd w:val="clear" w:color="auto" w:fill="auto"/>
            <w:noWrap/>
            <w:vAlign w:val="center"/>
            <w:hideMark/>
          </w:tcPr>
          <w:p w14:paraId="3D2547D1"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Marzo</w:t>
            </w:r>
          </w:p>
        </w:tc>
        <w:tc>
          <w:tcPr>
            <w:tcW w:w="4355" w:type="dxa"/>
            <w:tcBorders>
              <w:top w:val="nil"/>
              <w:left w:val="nil"/>
              <w:bottom w:val="single" w:sz="8" w:space="0" w:color="auto"/>
              <w:right w:val="single" w:sz="8" w:space="0" w:color="auto"/>
            </w:tcBorders>
            <w:shd w:val="clear" w:color="auto" w:fill="auto"/>
            <w:noWrap/>
            <w:vAlign w:val="center"/>
            <w:hideMark/>
          </w:tcPr>
          <w:p w14:paraId="5A40F9D6"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100</w:t>
            </w:r>
          </w:p>
        </w:tc>
      </w:tr>
      <w:tr w:rsidR="00E77853" w:rsidRPr="00E77853" w14:paraId="1CE91ED8" w14:textId="77777777" w:rsidTr="00B92B50">
        <w:trPr>
          <w:trHeight w:val="330"/>
          <w:jc w:val="center"/>
        </w:trPr>
        <w:tc>
          <w:tcPr>
            <w:tcW w:w="3295" w:type="dxa"/>
            <w:tcBorders>
              <w:top w:val="nil"/>
              <w:left w:val="single" w:sz="8" w:space="0" w:color="auto"/>
              <w:bottom w:val="single" w:sz="8" w:space="0" w:color="auto"/>
              <w:right w:val="single" w:sz="8" w:space="0" w:color="auto"/>
            </w:tcBorders>
            <w:shd w:val="clear" w:color="auto" w:fill="auto"/>
            <w:noWrap/>
            <w:vAlign w:val="center"/>
            <w:hideMark/>
          </w:tcPr>
          <w:p w14:paraId="4287F648"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Abril</w:t>
            </w:r>
          </w:p>
        </w:tc>
        <w:tc>
          <w:tcPr>
            <w:tcW w:w="4355" w:type="dxa"/>
            <w:tcBorders>
              <w:top w:val="nil"/>
              <w:left w:val="nil"/>
              <w:bottom w:val="single" w:sz="8" w:space="0" w:color="auto"/>
              <w:right w:val="single" w:sz="8" w:space="0" w:color="auto"/>
            </w:tcBorders>
            <w:shd w:val="clear" w:color="auto" w:fill="auto"/>
            <w:noWrap/>
            <w:vAlign w:val="center"/>
            <w:hideMark/>
          </w:tcPr>
          <w:p w14:paraId="750005BD"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100</w:t>
            </w:r>
          </w:p>
        </w:tc>
      </w:tr>
      <w:tr w:rsidR="00E77853" w:rsidRPr="00E77853" w14:paraId="18ED9955" w14:textId="77777777" w:rsidTr="00B92B50">
        <w:trPr>
          <w:trHeight w:val="330"/>
          <w:jc w:val="center"/>
        </w:trPr>
        <w:tc>
          <w:tcPr>
            <w:tcW w:w="3295" w:type="dxa"/>
            <w:tcBorders>
              <w:top w:val="nil"/>
              <w:left w:val="single" w:sz="8" w:space="0" w:color="auto"/>
              <w:bottom w:val="single" w:sz="8" w:space="0" w:color="auto"/>
              <w:right w:val="single" w:sz="8" w:space="0" w:color="auto"/>
            </w:tcBorders>
            <w:shd w:val="clear" w:color="auto" w:fill="auto"/>
            <w:noWrap/>
            <w:vAlign w:val="center"/>
            <w:hideMark/>
          </w:tcPr>
          <w:p w14:paraId="36510F9F"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Mayo</w:t>
            </w:r>
          </w:p>
        </w:tc>
        <w:tc>
          <w:tcPr>
            <w:tcW w:w="4355" w:type="dxa"/>
            <w:tcBorders>
              <w:top w:val="nil"/>
              <w:left w:val="nil"/>
              <w:bottom w:val="single" w:sz="8" w:space="0" w:color="auto"/>
              <w:right w:val="single" w:sz="8" w:space="0" w:color="auto"/>
            </w:tcBorders>
            <w:shd w:val="clear" w:color="auto" w:fill="auto"/>
            <w:vAlign w:val="center"/>
            <w:hideMark/>
          </w:tcPr>
          <w:p w14:paraId="5ED127B8"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100</w:t>
            </w:r>
          </w:p>
        </w:tc>
      </w:tr>
      <w:tr w:rsidR="00E77853" w:rsidRPr="00E77853" w14:paraId="731DCE8D" w14:textId="77777777" w:rsidTr="00B92B50">
        <w:trPr>
          <w:trHeight w:val="330"/>
          <w:jc w:val="center"/>
        </w:trPr>
        <w:tc>
          <w:tcPr>
            <w:tcW w:w="3295" w:type="dxa"/>
            <w:tcBorders>
              <w:top w:val="nil"/>
              <w:left w:val="single" w:sz="8" w:space="0" w:color="auto"/>
              <w:bottom w:val="single" w:sz="8" w:space="0" w:color="auto"/>
              <w:right w:val="single" w:sz="8" w:space="0" w:color="auto"/>
            </w:tcBorders>
            <w:shd w:val="clear" w:color="auto" w:fill="auto"/>
            <w:noWrap/>
            <w:vAlign w:val="center"/>
            <w:hideMark/>
          </w:tcPr>
          <w:p w14:paraId="6E202366"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lastRenderedPageBreak/>
              <w:t>Junio</w:t>
            </w:r>
          </w:p>
        </w:tc>
        <w:tc>
          <w:tcPr>
            <w:tcW w:w="4355" w:type="dxa"/>
            <w:tcBorders>
              <w:top w:val="nil"/>
              <w:left w:val="nil"/>
              <w:bottom w:val="single" w:sz="8" w:space="0" w:color="auto"/>
              <w:right w:val="single" w:sz="8" w:space="0" w:color="auto"/>
            </w:tcBorders>
            <w:shd w:val="clear" w:color="auto" w:fill="auto"/>
            <w:vAlign w:val="center"/>
            <w:hideMark/>
          </w:tcPr>
          <w:p w14:paraId="61FAF1DE"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100</w:t>
            </w:r>
          </w:p>
        </w:tc>
      </w:tr>
      <w:tr w:rsidR="00E77853" w:rsidRPr="00E77853" w14:paraId="7F4A9BAD" w14:textId="77777777" w:rsidTr="00B92B50">
        <w:trPr>
          <w:trHeight w:val="330"/>
          <w:jc w:val="center"/>
        </w:trPr>
        <w:tc>
          <w:tcPr>
            <w:tcW w:w="3295" w:type="dxa"/>
            <w:tcBorders>
              <w:top w:val="nil"/>
              <w:left w:val="single" w:sz="8" w:space="0" w:color="auto"/>
              <w:bottom w:val="single" w:sz="8" w:space="0" w:color="auto"/>
              <w:right w:val="single" w:sz="8" w:space="0" w:color="auto"/>
            </w:tcBorders>
            <w:shd w:val="clear" w:color="auto" w:fill="auto"/>
            <w:noWrap/>
            <w:vAlign w:val="center"/>
            <w:hideMark/>
          </w:tcPr>
          <w:p w14:paraId="5989EF8E"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Julio</w:t>
            </w:r>
          </w:p>
        </w:tc>
        <w:tc>
          <w:tcPr>
            <w:tcW w:w="4355" w:type="dxa"/>
            <w:tcBorders>
              <w:top w:val="nil"/>
              <w:left w:val="nil"/>
              <w:bottom w:val="single" w:sz="8" w:space="0" w:color="auto"/>
              <w:right w:val="single" w:sz="8" w:space="0" w:color="auto"/>
            </w:tcBorders>
            <w:shd w:val="clear" w:color="auto" w:fill="auto"/>
            <w:vAlign w:val="center"/>
            <w:hideMark/>
          </w:tcPr>
          <w:p w14:paraId="1BB81000"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100</w:t>
            </w:r>
          </w:p>
        </w:tc>
      </w:tr>
      <w:tr w:rsidR="00E77853" w:rsidRPr="00E77853" w14:paraId="48332E6C" w14:textId="77777777" w:rsidTr="00B92B50">
        <w:trPr>
          <w:trHeight w:val="330"/>
          <w:jc w:val="center"/>
        </w:trPr>
        <w:tc>
          <w:tcPr>
            <w:tcW w:w="3295" w:type="dxa"/>
            <w:tcBorders>
              <w:top w:val="nil"/>
              <w:left w:val="single" w:sz="8" w:space="0" w:color="auto"/>
              <w:bottom w:val="single" w:sz="8" w:space="0" w:color="auto"/>
              <w:right w:val="single" w:sz="8" w:space="0" w:color="auto"/>
            </w:tcBorders>
            <w:shd w:val="clear" w:color="auto" w:fill="auto"/>
            <w:noWrap/>
            <w:vAlign w:val="center"/>
            <w:hideMark/>
          </w:tcPr>
          <w:p w14:paraId="6C432738"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Agosto</w:t>
            </w:r>
          </w:p>
        </w:tc>
        <w:tc>
          <w:tcPr>
            <w:tcW w:w="4355" w:type="dxa"/>
            <w:tcBorders>
              <w:top w:val="nil"/>
              <w:left w:val="nil"/>
              <w:bottom w:val="single" w:sz="8" w:space="0" w:color="auto"/>
              <w:right w:val="single" w:sz="8" w:space="0" w:color="auto"/>
            </w:tcBorders>
            <w:shd w:val="clear" w:color="auto" w:fill="auto"/>
            <w:vAlign w:val="center"/>
            <w:hideMark/>
          </w:tcPr>
          <w:p w14:paraId="6744746C"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100</w:t>
            </w:r>
          </w:p>
        </w:tc>
      </w:tr>
      <w:tr w:rsidR="00E77853" w:rsidRPr="00E77853" w14:paraId="006A98B3" w14:textId="77777777" w:rsidTr="00B92B50">
        <w:trPr>
          <w:trHeight w:val="330"/>
          <w:jc w:val="center"/>
        </w:trPr>
        <w:tc>
          <w:tcPr>
            <w:tcW w:w="3295" w:type="dxa"/>
            <w:tcBorders>
              <w:top w:val="nil"/>
              <w:left w:val="single" w:sz="8" w:space="0" w:color="auto"/>
              <w:bottom w:val="single" w:sz="8" w:space="0" w:color="auto"/>
              <w:right w:val="single" w:sz="8" w:space="0" w:color="auto"/>
            </w:tcBorders>
            <w:shd w:val="clear" w:color="auto" w:fill="auto"/>
            <w:noWrap/>
            <w:vAlign w:val="center"/>
            <w:hideMark/>
          </w:tcPr>
          <w:p w14:paraId="6E88C13E"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Septiembre</w:t>
            </w:r>
          </w:p>
        </w:tc>
        <w:tc>
          <w:tcPr>
            <w:tcW w:w="4355" w:type="dxa"/>
            <w:tcBorders>
              <w:top w:val="nil"/>
              <w:left w:val="nil"/>
              <w:bottom w:val="single" w:sz="8" w:space="0" w:color="auto"/>
              <w:right w:val="single" w:sz="8" w:space="0" w:color="auto"/>
            </w:tcBorders>
            <w:shd w:val="clear" w:color="auto" w:fill="auto"/>
            <w:vAlign w:val="center"/>
            <w:hideMark/>
          </w:tcPr>
          <w:p w14:paraId="0F6A69D4"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100</w:t>
            </w:r>
          </w:p>
        </w:tc>
      </w:tr>
      <w:tr w:rsidR="00E77853" w:rsidRPr="009E3ED4" w14:paraId="0712BD97" w14:textId="77777777" w:rsidTr="00E327EE">
        <w:trPr>
          <w:trHeight w:val="385"/>
          <w:jc w:val="center"/>
        </w:trPr>
        <w:tc>
          <w:tcPr>
            <w:tcW w:w="3295" w:type="dxa"/>
            <w:tcBorders>
              <w:top w:val="nil"/>
              <w:left w:val="single" w:sz="8" w:space="0" w:color="auto"/>
              <w:bottom w:val="single" w:sz="8" w:space="0" w:color="auto"/>
              <w:right w:val="single" w:sz="8" w:space="0" w:color="auto"/>
            </w:tcBorders>
            <w:shd w:val="clear" w:color="auto" w:fill="auto"/>
            <w:noWrap/>
            <w:vAlign w:val="center"/>
            <w:hideMark/>
          </w:tcPr>
          <w:p w14:paraId="1470C4BA" w14:textId="77777777" w:rsidR="00E77853" w:rsidRPr="00E77853" w:rsidRDefault="00E77853" w:rsidP="00E77853">
            <w:pPr>
              <w:spacing w:after="0" w:line="240" w:lineRule="auto"/>
              <w:jc w:val="center"/>
              <w:rPr>
                <w:rFonts w:eastAsia="Times New Roman"/>
                <w:spacing w:val="0"/>
              </w:rPr>
            </w:pPr>
            <w:r w:rsidRPr="00E77853">
              <w:rPr>
                <w:rFonts w:eastAsia="Calibri"/>
                <w:noProof/>
                <w:spacing w:val="0"/>
                <w:lang w:val="es-DO"/>
              </w:rPr>
              <w:t>Octubre</w:t>
            </w:r>
          </w:p>
        </w:tc>
        <w:tc>
          <w:tcPr>
            <w:tcW w:w="4355" w:type="dxa"/>
            <w:tcBorders>
              <w:top w:val="nil"/>
              <w:left w:val="nil"/>
              <w:bottom w:val="single" w:sz="8" w:space="0" w:color="auto"/>
              <w:right w:val="single" w:sz="8" w:space="0" w:color="auto"/>
            </w:tcBorders>
            <w:shd w:val="clear" w:color="auto" w:fill="auto"/>
            <w:vAlign w:val="center"/>
            <w:hideMark/>
          </w:tcPr>
          <w:p w14:paraId="4537C1CD" w14:textId="5403427E" w:rsidR="00E77853" w:rsidRPr="00E77853" w:rsidRDefault="00F973CE" w:rsidP="00E77853">
            <w:pPr>
              <w:spacing w:after="0" w:line="240" w:lineRule="auto"/>
              <w:jc w:val="center"/>
              <w:rPr>
                <w:rFonts w:eastAsia="Times New Roman"/>
                <w:spacing w:val="0"/>
                <w:lang w:val="es-ES"/>
              </w:rPr>
            </w:pPr>
            <w:r>
              <w:rPr>
                <w:rFonts w:eastAsia="Calibri"/>
                <w:noProof/>
                <w:spacing w:val="0"/>
                <w:lang w:val="es-DO"/>
              </w:rPr>
              <w:t>100</w:t>
            </w:r>
          </w:p>
        </w:tc>
      </w:tr>
      <w:tr w:rsidR="00E77853" w:rsidRPr="004B1D7E" w14:paraId="4E97A1EB" w14:textId="77777777" w:rsidTr="00F973CE">
        <w:trPr>
          <w:trHeight w:val="250"/>
          <w:jc w:val="center"/>
        </w:trPr>
        <w:tc>
          <w:tcPr>
            <w:tcW w:w="3295" w:type="dxa"/>
            <w:tcBorders>
              <w:top w:val="nil"/>
              <w:left w:val="single" w:sz="8" w:space="0" w:color="auto"/>
              <w:bottom w:val="single" w:sz="4" w:space="0" w:color="auto"/>
              <w:right w:val="single" w:sz="8" w:space="0" w:color="auto"/>
            </w:tcBorders>
            <w:shd w:val="clear" w:color="auto" w:fill="auto"/>
            <w:noWrap/>
            <w:vAlign w:val="center"/>
            <w:hideMark/>
          </w:tcPr>
          <w:p w14:paraId="74FFF90F" w14:textId="77777777" w:rsidR="00E77853" w:rsidRPr="00F973CE" w:rsidRDefault="00E77853" w:rsidP="00E77853">
            <w:pPr>
              <w:spacing w:after="0" w:line="240" w:lineRule="auto"/>
              <w:jc w:val="center"/>
              <w:rPr>
                <w:rFonts w:eastAsia="Calibri"/>
                <w:noProof/>
                <w:spacing w:val="0"/>
                <w:lang w:val="es-DO"/>
              </w:rPr>
            </w:pPr>
            <w:r w:rsidRPr="00F973CE">
              <w:rPr>
                <w:rFonts w:eastAsia="Calibri"/>
                <w:noProof/>
                <w:spacing w:val="0"/>
                <w:lang w:val="es-DO"/>
              </w:rPr>
              <w:t>Noviembre</w:t>
            </w:r>
          </w:p>
        </w:tc>
        <w:tc>
          <w:tcPr>
            <w:tcW w:w="4355" w:type="dxa"/>
            <w:tcBorders>
              <w:top w:val="nil"/>
              <w:left w:val="nil"/>
              <w:bottom w:val="single" w:sz="4" w:space="0" w:color="auto"/>
              <w:right w:val="single" w:sz="8" w:space="0" w:color="auto"/>
            </w:tcBorders>
            <w:shd w:val="clear" w:color="auto" w:fill="auto"/>
            <w:vAlign w:val="center"/>
            <w:hideMark/>
          </w:tcPr>
          <w:p w14:paraId="1B029EED" w14:textId="3D50C891" w:rsidR="00E77853" w:rsidRPr="00F973CE" w:rsidRDefault="00E77853" w:rsidP="00E77853">
            <w:pPr>
              <w:spacing w:after="0" w:line="240" w:lineRule="auto"/>
              <w:jc w:val="center"/>
              <w:rPr>
                <w:rFonts w:eastAsia="Times New Roman"/>
                <w:spacing w:val="0"/>
                <w:lang w:val="es-ES"/>
              </w:rPr>
            </w:pPr>
            <w:r w:rsidRPr="00F973CE">
              <w:rPr>
                <w:rFonts w:eastAsia="Calibri"/>
                <w:noProof/>
                <w:spacing w:val="0"/>
                <w:lang w:val="es-DO"/>
              </w:rPr>
              <w:t>Pendiente de calificar por la DIGE</w:t>
            </w:r>
            <w:r w:rsidR="00E327EE" w:rsidRPr="00F973CE">
              <w:rPr>
                <w:rFonts w:eastAsia="Calibri"/>
                <w:noProof/>
                <w:spacing w:val="0"/>
                <w:lang w:val="es-DO"/>
              </w:rPr>
              <w:t>I</w:t>
            </w:r>
            <w:r w:rsidRPr="00F973CE">
              <w:rPr>
                <w:rFonts w:eastAsia="Calibri"/>
                <w:noProof/>
                <w:spacing w:val="0"/>
                <w:lang w:val="es-DO"/>
              </w:rPr>
              <w:t>G</w:t>
            </w:r>
          </w:p>
        </w:tc>
      </w:tr>
      <w:tr w:rsidR="00F973CE" w:rsidRPr="004B1D7E" w14:paraId="2F032593" w14:textId="77777777" w:rsidTr="00F973CE">
        <w:trPr>
          <w:trHeight w:val="250"/>
          <w:jc w:val="center"/>
        </w:trPr>
        <w:tc>
          <w:tcPr>
            <w:tcW w:w="3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BB387" w14:textId="2B4EE447" w:rsidR="00F973CE" w:rsidRPr="00E77853" w:rsidRDefault="00F973CE" w:rsidP="00F973CE">
            <w:pPr>
              <w:spacing w:after="0" w:line="240" w:lineRule="auto"/>
              <w:jc w:val="center"/>
              <w:rPr>
                <w:rFonts w:eastAsia="Calibri"/>
                <w:noProof/>
                <w:spacing w:val="0"/>
                <w:lang w:val="es-DO"/>
              </w:rPr>
            </w:pPr>
            <w:r>
              <w:rPr>
                <w:rFonts w:eastAsia="Calibri"/>
                <w:noProof/>
                <w:spacing w:val="0"/>
                <w:lang w:val="es-DO"/>
              </w:rPr>
              <w:t>Dic</w:t>
            </w:r>
            <w:r w:rsidRPr="00F973CE">
              <w:rPr>
                <w:rFonts w:eastAsia="Calibri"/>
                <w:noProof/>
                <w:spacing w:val="0"/>
                <w:lang w:val="es-DO"/>
              </w:rPr>
              <w:t>iembre</w:t>
            </w:r>
          </w:p>
        </w:tc>
        <w:tc>
          <w:tcPr>
            <w:tcW w:w="4355" w:type="dxa"/>
            <w:tcBorders>
              <w:top w:val="single" w:sz="4" w:space="0" w:color="auto"/>
              <w:left w:val="single" w:sz="4" w:space="0" w:color="auto"/>
              <w:bottom w:val="single" w:sz="4" w:space="0" w:color="auto"/>
              <w:right w:val="single" w:sz="4" w:space="0" w:color="auto"/>
            </w:tcBorders>
            <w:shd w:val="clear" w:color="auto" w:fill="auto"/>
            <w:vAlign w:val="center"/>
          </w:tcPr>
          <w:p w14:paraId="7F530566" w14:textId="7FBF2431" w:rsidR="00F973CE" w:rsidRPr="00E77853" w:rsidRDefault="00F973CE" w:rsidP="00F973CE">
            <w:pPr>
              <w:spacing w:after="0" w:line="240" w:lineRule="auto"/>
              <w:jc w:val="center"/>
              <w:rPr>
                <w:rFonts w:eastAsia="Calibri"/>
                <w:noProof/>
                <w:spacing w:val="0"/>
                <w:lang w:val="es-DO"/>
              </w:rPr>
            </w:pPr>
            <w:r w:rsidRPr="00F973CE">
              <w:rPr>
                <w:rFonts w:eastAsia="Calibri"/>
                <w:noProof/>
                <w:spacing w:val="0"/>
                <w:lang w:val="es-DO"/>
              </w:rPr>
              <w:t>Pendiente de calificar por la DIGEIG</w:t>
            </w:r>
          </w:p>
        </w:tc>
      </w:tr>
    </w:tbl>
    <w:p w14:paraId="557E3B88" w14:textId="3D9FAECC" w:rsidR="00F973CE" w:rsidRDefault="00915C6B" w:rsidP="00F973CE">
      <w:pPr>
        <w:spacing w:before="240" w:after="0" w:line="360" w:lineRule="auto"/>
        <w:rPr>
          <w:sz w:val="18"/>
          <w:lang w:val="es-ES"/>
        </w:rPr>
      </w:pPr>
      <w:r w:rsidRPr="00FD2849">
        <w:rPr>
          <w:rFonts w:eastAsia="Calibri"/>
          <w:noProof/>
          <w:lang w:val="es-DO"/>
        </w:rPr>
        <w:drawing>
          <wp:anchor distT="0" distB="0" distL="114300" distR="114300" simplePos="0" relativeHeight="251678756" behindDoc="0" locked="0" layoutInCell="1" allowOverlap="1" wp14:anchorId="022F27DC" wp14:editId="53252CC6">
            <wp:simplePos x="0" y="0"/>
            <wp:positionH relativeFrom="margin">
              <wp:align>right</wp:align>
            </wp:positionH>
            <wp:positionV relativeFrom="margin">
              <wp:posOffset>2194505</wp:posOffset>
            </wp:positionV>
            <wp:extent cx="4786630" cy="2343150"/>
            <wp:effectExtent l="0" t="0" r="13970" b="0"/>
            <wp:wrapSquare wrapText="bothSides"/>
            <wp:docPr id="38014465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00F973CE">
        <w:rPr>
          <w:b/>
          <w:bCs/>
          <w:sz w:val="18"/>
          <w:lang w:val="es-ES"/>
        </w:rPr>
        <w:t>T</w:t>
      </w:r>
      <w:r w:rsidR="00F973CE" w:rsidRPr="0069196B">
        <w:rPr>
          <w:b/>
          <w:bCs/>
          <w:sz w:val="18"/>
          <w:lang w:val="es-ES"/>
        </w:rPr>
        <w:t xml:space="preserve">abla </w:t>
      </w:r>
      <w:r w:rsidR="00C50277">
        <w:rPr>
          <w:b/>
          <w:bCs/>
          <w:sz w:val="18"/>
          <w:lang w:val="es-ES"/>
        </w:rPr>
        <w:t>32</w:t>
      </w:r>
      <w:r w:rsidR="00F973CE" w:rsidRPr="0069196B">
        <w:rPr>
          <w:b/>
          <w:bCs/>
          <w:sz w:val="18"/>
          <w:lang w:val="es-ES"/>
        </w:rPr>
        <w:t>:</w:t>
      </w:r>
      <w:r w:rsidR="00F973CE" w:rsidRPr="0069196B">
        <w:rPr>
          <w:sz w:val="18"/>
          <w:lang w:val="es-ES"/>
        </w:rPr>
        <w:t xml:space="preserve"> </w:t>
      </w:r>
      <w:r w:rsidR="00F973CE">
        <w:rPr>
          <w:sz w:val="18"/>
          <w:lang w:val="es-ES"/>
        </w:rPr>
        <w:t xml:space="preserve">Calificación portal de </w:t>
      </w:r>
      <w:r w:rsidR="00F973CE" w:rsidRPr="001243CC">
        <w:rPr>
          <w:sz w:val="18"/>
          <w:lang w:val="es-ES"/>
        </w:rPr>
        <w:t>transparencia enero-</w:t>
      </w:r>
      <w:r w:rsidR="00F973CE">
        <w:rPr>
          <w:sz w:val="18"/>
          <w:lang w:val="es-ES"/>
        </w:rPr>
        <w:t>dic</w:t>
      </w:r>
      <w:r w:rsidR="00F973CE" w:rsidRPr="001243CC">
        <w:rPr>
          <w:sz w:val="18"/>
          <w:lang w:val="es-ES"/>
        </w:rPr>
        <w:t>iembre 2024</w:t>
      </w:r>
    </w:p>
    <w:p w14:paraId="54B1177A" w14:textId="6B643126" w:rsidR="00B92B50" w:rsidRPr="00B92B50" w:rsidRDefault="00B92B50" w:rsidP="00F973CE">
      <w:pPr>
        <w:spacing w:before="240" w:after="0" w:line="360" w:lineRule="auto"/>
        <w:rPr>
          <w:noProof/>
          <w:sz w:val="18"/>
          <w:szCs w:val="18"/>
          <w:lang w:val="es-ES"/>
        </w:rPr>
      </w:pPr>
      <w:r w:rsidRPr="00B92B50">
        <w:rPr>
          <w:b/>
          <w:bCs/>
          <w:noProof/>
          <w:sz w:val="18"/>
          <w:szCs w:val="18"/>
          <w:lang w:val="es-ES"/>
        </w:rPr>
        <w:t>Gráfico 2</w:t>
      </w:r>
      <w:r w:rsidR="0024181E">
        <w:rPr>
          <w:b/>
          <w:bCs/>
          <w:noProof/>
          <w:sz w:val="18"/>
          <w:szCs w:val="18"/>
          <w:lang w:val="es-ES"/>
        </w:rPr>
        <w:t>5</w:t>
      </w:r>
      <w:r w:rsidRPr="00B92B50">
        <w:rPr>
          <w:b/>
          <w:bCs/>
          <w:noProof/>
          <w:sz w:val="18"/>
          <w:szCs w:val="18"/>
          <w:lang w:val="es-ES"/>
        </w:rPr>
        <w:t>:</w:t>
      </w:r>
      <w:r w:rsidRPr="00B92B50">
        <w:rPr>
          <w:noProof/>
          <w:sz w:val="18"/>
          <w:szCs w:val="18"/>
          <w:lang w:val="es-ES"/>
        </w:rPr>
        <w:t xml:space="preserve"> Calificación Portal Tra</w:t>
      </w:r>
      <w:r>
        <w:rPr>
          <w:noProof/>
          <w:sz w:val="18"/>
          <w:szCs w:val="18"/>
          <w:lang w:val="es-ES"/>
        </w:rPr>
        <w:t>n</w:t>
      </w:r>
      <w:r w:rsidRPr="00B92B50">
        <w:rPr>
          <w:noProof/>
          <w:sz w:val="18"/>
          <w:szCs w:val="18"/>
          <w:lang w:val="es-ES"/>
        </w:rPr>
        <w:t>sp</w:t>
      </w:r>
      <w:r>
        <w:rPr>
          <w:noProof/>
          <w:sz w:val="18"/>
          <w:szCs w:val="18"/>
          <w:lang w:val="es-ES"/>
        </w:rPr>
        <w:t>arencia.</w:t>
      </w:r>
    </w:p>
    <w:p w14:paraId="3E6B219B" w14:textId="0F46CD65" w:rsidR="00A77001" w:rsidRPr="00E327EE" w:rsidRDefault="00A77001" w:rsidP="005E6195">
      <w:pPr>
        <w:pStyle w:val="Heading1"/>
        <w:jc w:val="both"/>
        <w:rPr>
          <w:spacing w:val="0"/>
          <w:sz w:val="24"/>
          <w:szCs w:val="24"/>
          <w:lang w:val="es-DO"/>
        </w:rPr>
      </w:pPr>
      <w:bookmarkStart w:id="266" w:name="_Toc171677898"/>
      <w:bookmarkStart w:id="267" w:name="_Toc172119896"/>
      <w:bookmarkStart w:id="268" w:name="_Toc172120229"/>
      <w:bookmarkStart w:id="269" w:name="_Toc172121447"/>
      <w:bookmarkStart w:id="270" w:name="_Toc184981217"/>
      <w:bookmarkStart w:id="271" w:name="_Toc185245119"/>
      <w:r w:rsidRPr="00E327EE">
        <w:rPr>
          <w:spacing w:val="0"/>
          <w:sz w:val="24"/>
          <w:szCs w:val="24"/>
          <w:lang w:val="es-DO"/>
        </w:rPr>
        <w:t xml:space="preserve">Participación en </w:t>
      </w:r>
      <w:r w:rsidR="00E327EE" w:rsidRPr="00E327EE">
        <w:rPr>
          <w:spacing w:val="0"/>
          <w:sz w:val="24"/>
          <w:szCs w:val="24"/>
          <w:lang w:val="es-DO"/>
        </w:rPr>
        <w:t>A</w:t>
      </w:r>
      <w:r w:rsidRPr="00E327EE">
        <w:rPr>
          <w:spacing w:val="0"/>
          <w:sz w:val="24"/>
          <w:szCs w:val="24"/>
          <w:lang w:val="es-DO"/>
        </w:rPr>
        <w:t xml:space="preserve">ctividades </w:t>
      </w:r>
      <w:r w:rsidR="00E327EE" w:rsidRPr="00E327EE">
        <w:rPr>
          <w:spacing w:val="0"/>
          <w:sz w:val="24"/>
          <w:szCs w:val="24"/>
          <w:lang w:val="es-DO"/>
        </w:rPr>
        <w:t>E</w:t>
      </w:r>
      <w:r w:rsidRPr="00E327EE">
        <w:rPr>
          <w:spacing w:val="0"/>
          <w:sz w:val="24"/>
          <w:szCs w:val="24"/>
          <w:lang w:val="es-DO"/>
        </w:rPr>
        <w:t>xternas</w:t>
      </w:r>
      <w:bookmarkEnd w:id="266"/>
      <w:bookmarkEnd w:id="267"/>
      <w:bookmarkEnd w:id="268"/>
      <w:bookmarkEnd w:id="269"/>
      <w:bookmarkEnd w:id="270"/>
      <w:bookmarkEnd w:id="271"/>
    </w:p>
    <w:p w14:paraId="2EF514F8" w14:textId="351102CE" w:rsidR="00A77001" w:rsidRPr="00715A0C" w:rsidRDefault="00A77001" w:rsidP="00E327EE">
      <w:pPr>
        <w:spacing w:before="240" w:after="0" w:line="360" w:lineRule="auto"/>
        <w:jc w:val="both"/>
        <w:rPr>
          <w:rFonts w:eastAsia="Calibri"/>
          <w:noProof/>
          <w:lang w:val="es-DO"/>
        </w:rPr>
      </w:pPr>
      <w:r w:rsidRPr="00715A0C">
        <w:rPr>
          <w:rFonts w:eastAsia="Calibri"/>
          <w:noProof/>
          <w:lang w:val="es-DO"/>
        </w:rPr>
        <w:t>Participamos en las actividades programas por la Dirección General de Ética a Integridad Gubernamental</w:t>
      </w:r>
      <w:r>
        <w:rPr>
          <w:rFonts w:eastAsia="Calibri"/>
          <w:noProof/>
          <w:lang w:val="es-DO"/>
        </w:rPr>
        <w:t xml:space="preserve"> (</w:t>
      </w:r>
      <w:r w:rsidRPr="00715A0C">
        <w:rPr>
          <w:rFonts w:eastAsia="Calibri"/>
          <w:noProof/>
          <w:lang w:val="es-DO"/>
        </w:rPr>
        <w:t>DIGEIG</w:t>
      </w:r>
      <w:r>
        <w:rPr>
          <w:rFonts w:eastAsia="Calibri"/>
          <w:noProof/>
          <w:lang w:val="es-DO"/>
        </w:rPr>
        <w:t>)</w:t>
      </w:r>
      <w:r w:rsidRPr="00715A0C">
        <w:rPr>
          <w:rFonts w:eastAsia="Calibri"/>
          <w:noProof/>
          <w:lang w:val="es-DO"/>
        </w:rPr>
        <w:t>, para enero-</w:t>
      </w:r>
      <w:r w:rsidR="001762C7">
        <w:rPr>
          <w:rFonts w:eastAsia="Calibri"/>
          <w:noProof/>
          <w:lang w:val="es-DO"/>
        </w:rPr>
        <w:t>dic</w:t>
      </w:r>
      <w:r>
        <w:rPr>
          <w:rFonts w:eastAsia="Calibri"/>
          <w:noProof/>
          <w:lang w:val="es-DO"/>
        </w:rPr>
        <w:t>iembre</w:t>
      </w:r>
      <w:r w:rsidRPr="00715A0C">
        <w:rPr>
          <w:rFonts w:eastAsia="Calibri"/>
          <w:noProof/>
          <w:lang w:val="es-DO"/>
        </w:rPr>
        <w:t xml:space="preserve"> 2024.</w:t>
      </w:r>
    </w:p>
    <w:p w14:paraId="0B3249E2" w14:textId="5860D2B8" w:rsidR="00A77001" w:rsidRPr="00E54882" w:rsidRDefault="00A77001" w:rsidP="00A00521">
      <w:pPr>
        <w:pStyle w:val="ListParagraph"/>
        <w:numPr>
          <w:ilvl w:val="0"/>
          <w:numId w:val="23"/>
        </w:numPr>
        <w:spacing w:after="0" w:line="360" w:lineRule="auto"/>
        <w:rPr>
          <w:rFonts w:ascii="Times New Roman" w:hAnsi="Times New Roman"/>
          <w:noProof/>
          <w:color w:val="767171"/>
          <w:spacing w:val="20"/>
          <w:sz w:val="24"/>
          <w:szCs w:val="24"/>
        </w:rPr>
      </w:pPr>
      <w:r w:rsidRPr="00E54882">
        <w:rPr>
          <w:rFonts w:ascii="Times New Roman" w:hAnsi="Times New Roman"/>
          <w:noProof/>
          <w:color w:val="767171"/>
          <w:spacing w:val="20"/>
          <w:sz w:val="24"/>
          <w:szCs w:val="24"/>
        </w:rPr>
        <w:t>Celebración de los Datos Abiertos</w:t>
      </w:r>
      <w:r>
        <w:rPr>
          <w:rFonts w:ascii="Times New Roman" w:hAnsi="Times New Roman"/>
          <w:noProof/>
          <w:color w:val="767171"/>
          <w:spacing w:val="20"/>
          <w:sz w:val="24"/>
          <w:szCs w:val="24"/>
        </w:rPr>
        <w:t>.</w:t>
      </w:r>
    </w:p>
    <w:p w14:paraId="23492A23" w14:textId="77777777" w:rsidR="00A77001" w:rsidRPr="00E54882" w:rsidRDefault="00A77001" w:rsidP="00A00521">
      <w:pPr>
        <w:pStyle w:val="ListParagraph"/>
        <w:numPr>
          <w:ilvl w:val="0"/>
          <w:numId w:val="23"/>
        </w:numPr>
        <w:spacing w:after="0" w:line="360" w:lineRule="auto"/>
        <w:rPr>
          <w:rFonts w:ascii="Times New Roman" w:hAnsi="Times New Roman"/>
          <w:noProof/>
          <w:color w:val="767171"/>
          <w:spacing w:val="20"/>
          <w:sz w:val="24"/>
          <w:szCs w:val="24"/>
        </w:rPr>
      </w:pPr>
      <w:r w:rsidRPr="00E54882">
        <w:rPr>
          <w:rFonts w:ascii="Times New Roman" w:hAnsi="Times New Roman"/>
          <w:noProof/>
          <w:color w:val="767171"/>
          <w:spacing w:val="20"/>
          <w:sz w:val="24"/>
          <w:szCs w:val="24"/>
        </w:rPr>
        <w:t>Socialización del Sistema Nacional de Monitoreo de la Calidad de los Servicios Públicos</w:t>
      </w:r>
      <w:r>
        <w:rPr>
          <w:rFonts w:ascii="Times New Roman" w:hAnsi="Times New Roman"/>
          <w:noProof/>
          <w:color w:val="767171"/>
          <w:spacing w:val="20"/>
          <w:sz w:val="24"/>
          <w:szCs w:val="24"/>
        </w:rPr>
        <w:t>.</w:t>
      </w:r>
    </w:p>
    <w:p w14:paraId="48E23BAF" w14:textId="77777777" w:rsidR="00A77001" w:rsidRPr="00E54882" w:rsidRDefault="00A77001" w:rsidP="00A00521">
      <w:pPr>
        <w:pStyle w:val="ListParagraph"/>
        <w:numPr>
          <w:ilvl w:val="0"/>
          <w:numId w:val="23"/>
        </w:numPr>
        <w:spacing w:after="0" w:line="360" w:lineRule="auto"/>
        <w:rPr>
          <w:rFonts w:ascii="Times New Roman" w:hAnsi="Times New Roman"/>
          <w:noProof/>
          <w:color w:val="767171"/>
          <w:spacing w:val="20"/>
          <w:sz w:val="24"/>
          <w:szCs w:val="24"/>
        </w:rPr>
      </w:pPr>
      <w:r w:rsidRPr="00E54882">
        <w:rPr>
          <w:rFonts w:ascii="Times New Roman" w:hAnsi="Times New Roman"/>
          <w:noProof/>
          <w:color w:val="767171"/>
          <w:spacing w:val="20"/>
          <w:sz w:val="24"/>
          <w:szCs w:val="24"/>
        </w:rPr>
        <w:t>Día Nacional de La Ética 2024</w:t>
      </w:r>
      <w:r>
        <w:rPr>
          <w:rFonts w:ascii="Times New Roman" w:hAnsi="Times New Roman"/>
          <w:noProof/>
          <w:color w:val="767171"/>
          <w:spacing w:val="20"/>
          <w:sz w:val="24"/>
          <w:szCs w:val="24"/>
        </w:rPr>
        <w:t>.</w:t>
      </w:r>
    </w:p>
    <w:p w14:paraId="2A18808B" w14:textId="41FB2B58" w:rsidR="00A77001" w:rsidRDefault="00A77001" w:rsidP="00A00521">
      <w:pPr>
        <w:pStyle w:val="ListParagraph"/>
        <w:numPr>
          <w:ilvl w:val="0"/>
          <w:numId w:val="23"/>
        </w:numPr>
        <w:spacing w:after="0" w:line="360" w:lineRule="auto"/>
        <w:rPr>
          <w:rFonts w:ascii="Times New Roman" w:hAnsi="Times New Roman"/>
          <w:noProof/>
          <w:color w:val="767171"/>
          <w:spacing w:val="20"/>
          <w:sz w:val="24"/>
          <w:szCs w:val="24"/>
        </w:rPr>
      </w:pPr>
      <w:r w:rsidRPr="00E54882">
        <w:rPr>
          <w:rFonts w:ascii="Times New Roman" w:hAnsi="Times New Roman"/>
          <w:noProof/>
          <w:color w:val="767171"/>
          <w:spacing w:val="20"/>
          <w:sz w:val="24"/>
          <w:szCs w:val="24"/>
        </w:rPr>
        <w:t xml:space="preserve">Lanzamiento del programa de </w:t>
      </w:r>
      <w:r w:rsidR="00E2462C">
        <w:rPr>
          <w:rFonts w:ascii="Times New Roman" w:hAnsi="Times New Roman"/>
          <w:noProof/>
          <w:color w:val="767171"/>
          <w:spacing w:val="20"/>
          <w:sz w:val="24"/>
          <w:szCs w:val="24"/>
        </w:rPr>
        <w:t>“</w:t>
      </w:r>
      <w:r w:rsidRPr="00E54882">
        <w:rPr>
          <w:rFonts w:ascii="Times New Roman" w:hAnsi="Times New Roman"/>
          <w:noProof/>
          <w:color w:val="767171"/>
          <w:spacing w:val="20"/>
          <w:sz w:val="24"/>
          <w:szCs w:val="24"/>
        </w:rPr>
        <w:t xml:space="preserve"> Maestría en Gestión Pública y Gobernanza</w:t>
      </w:r>
      <w:r w:rsidR="00E2462C">
        <w:rPr>
          <w:rFonts w:ascii="Times New Roman" w:hAnsi="Times New Roman"/>
          <w:noProof/>
          <w:color w:val="767171"/>
          <w:spacing w:val="20"/>
          <w:sz w:val="24"/>
          <w:szCs w:val="24"/>
        </w:rPr>
        <w:t>”</w:t>
      </w:r>
      <w:r>
        <w:rPr>
          <w:rFonts w:ascii="Times New Roman" w:hAnsi="Times New Roman"/>
          <w:noProof/>
          <w:color w:val="767171"/>
          <w:spacing w:val="20"/>
          <w:sz w:val="24"/>
          <w:szCs w:val="24"/>
        </w:rPr>
        <w:t>.</w:t>
      </w:r>
    </w:p>
    <w:p w14:paraId="25233530" w14:textId="0B3CD2D0" w:rsidR="001243CC" w:rsidRPr="005E148C" w:rsidRDefault="00A77001" w:rsidP="00A00521">
      <w:pPr>
        <w:pStyle w:val="ListParagraph"/>
        <w:numPr>
          <w:ilvl w:val="0"/>
          <w:numId w:val="23"/>
        </w:numPr>
        <w:spacing w:after="0" w:line="360" w:lineRule="auto"/>
        <w:rPr>
          <w:rFonts w:ascii="Times New Roman" w:hAnsi="Times New Roman"/>
          <w:noProof/>
          <w:color w:val="767171"/>
          <w:spacing w:val="20"/>
          <w:sz w:val="24"/>
          <w:szCs w:val="24"/>
        </w:rPr>
      </w:pPr>
      <w:r>
        <w:rPr>
          <w:rFonts w:ascii="Times New Roman" w:hAnsi="Times New Roman"/>
          <w:noProof/>
          <w:color w:val="767171"/>
          <w:spacing w:val="20"/>
          <w:sz w:val="24"/>
          <w:szCs w:val="24"/>
        </w:rPr>
        <w:t xml:space="preserve">Participación como panelista en el </w:t>
      </w:r>
      <w:r w:rsidRPr="00A26402">
        <w:rPr>
          <w:rFonts w:ascii="Times New Roman" w:hAnsi="Times New Roman"/>
          <w:noProof/>
          <w:color w:val="767171"/>
          <w:spacing w:val="20"/>
          <w:sz w:val="24"/>
          <w:szCs w:val="24"/>
          <w:lang w:val="es-ES"/>
        </w:rPr>
        <w:t xml:space="preserve">Tercer Congreso Internacional de la Comisión de Integridad Gubernamental </w:t>
      </w:r>
      <w:r w:rsidRPr="00A26402">
        <w:rPr>
          <w:rFonts w:ascii="Times New Roman" w:hAnsi="Times New Roman"/>
          <w:noProof/>
          <w:color w:val="767171"/>
          <w:spacing w:val="20"/>
          <w:sz w:val="24"/>
          <w:szCs w:val="24"/>
          <w:lang w:val="es-ES"/>
        </w:rPr>
        <w:lastRenderedPageBreak/>
        <w:t>y Cumplimiento Normativo (CIGCN),</w:t>
      </w:r>
      <w:r>
        <w:rPr>
          <w:rFonts w:ascii="Times New Roman" w:hAnsi="Times New Roman"/>
          <w:noProof/>
          <w:color w:val="767171"/>
          <w:spacing w:val="20"/>
          <w:sz w:val="24"/>
          <w:szCs w:val="24"/>
          <w:lang w:val="es-ES"/>
        </w:rPr>
        <w:t xml:space="preserve"> </w:t>
      </w:r>
      <w:r w:rsidRPr="00A26402">
        <w:rPr>
          <w:rFonts w:ascii="Times New Roman" w:hAnsi="Times New Roman"/>
          <w:noProof/>
          <w:color w:val="767171"/>
          <w:spacing w:val="20"/>
          <w:sz w:val="24"/>
          <w:szCs w:val="24"/>
          <w:lang w:val="es-ES"/>
        </w:rPr>
        <w:t>en el panel de Mejores Prácticas CIGCN de las instituciones del SDSS</w:t>
      </w:r>
      <w:r>
        <w:rPr>
          <w:rFonts w:ascii="Times New Roman" w:hAnsi="Times New Roman"/>
          <w:noProof/>
          <w:color w:val="767171"/>
          <w:spacing w:val="20"/>
          <w:sz w:val="24"/>
          <w:szCs w:val="24"/>
          <w:lang w:val="es-ES"/>
        </w:rPr>
        <w:t xml:space="preserve">. </w:t>
      </w:r>
    </w:p>
    <w:p w14:paraId="15062F4E" w14:textId="77777777" w:rsidR="00E327EE" w:rsidRDefault="005E148C" w:rsidP="00A00521">
      <w:pPr>
        <w:numPr>
          <w:ilvl w:val="0"/>
          <w:numId w:val="23"/>
        </w:numPr>
        <w:spacing w:after="0" w:line="360" w:lineRule="auto"/>
        <w:jc w:val="both"/>
        <w:rPr>
          <w:rFonts w:ascii="Century Gothic" w:eastAsia="Times New Roman" w:hAnsi="Century Gothic"/>
          <w:b/>
          <w:bCs/>
          <w:sz w:val="20"/>
          <w:szCs w:val="20"/>
          <w:lang w:val="es-ES"/>
        </w:rPr>
      </w:pPr>
      <w:r>
        <w:rPr>
          <w:rFonts w:eastAsia="Calibri"/>
          <w:noProof/>
          <w:lang w:val="es-DO"/>
        </w:rPr>
        <w:t>Panel</w:t>
      </w:r>
      <w:r w:rsidRPr="00A27472">
        <w:rPr>
          <w:rFonts w:eastAsia="Calibri"/>
          <w:noProof/>
          <w:lang w:val="es-ES"/>
        </w:rPr>
        <w:t xml:space="preserve"> </w:t>
      </w:r>
      <w:r>
        <w:rPr>
          <w:rFonts w:eastAsia="Calibri"/>
          <w:noProof/>
          <w:lang w:val="es-ES"/>
        </w:rPr>
        <w:t>“</w:t>
      </w:r>
      <w:r w:rsidRPr="00A27472">
        <w:rPr>
          <w:rFonts w:eastAsia="Calibri"/>
          <w:noProof/>
          <w:lang w:val="es-ES"/>
        </w:rPr>
        <w:t>Gobierno Abierto y Transparencia- instrumentos de transformación del estado</w:t>
      </w:r>
      <w:r>
        <w:rPr>
          <w:rFonts w:eastAsia="Calibri"/>
          <w:noProof/>
          <w:lang w:val="es-ES"/>
        </w:rPr>
        <w:t>”</w:t>
      </w:r>
      <w:r>
        <w:rPr>
          <w:rFonts w:ascii="Century Gothic" w:eastAsia="Times New Roman" w:hAnsi="Century Gothic"/>
          <w:b/>
          <w:bCs/>
          <w:sz w:val="20"/>
          <w:szCs w:val="20"/>
          <w:lang w:val="es-ES"/>
        </w:rPr>
        <w:t>.</w:t>
      </w:r>
    </w:p>
    <w:p w14:paraId="6CFF3AD0" w14:textId="77777777" w:rsidR="00E327EE" w:rsidRDefault="005E148C" w:rsidP="00A00521">
      <w:pPr>
        <w:numPr>
          <w:ilvl w:val="0"/>
          <w:numId w:val="23"/>
        </w:numPr>
        <w:spacing w:after="0" w:line="360" w:lineRule="auto"/>
        <w:jc w:val="both"/>
        <w:rPr>
          <w:rFonts w:ascii="Century Gothic" w:eastAsia="Times New Roman" w:hAnsi="Century Gothic"/>
          <w:b/>
          <w:bCs/>
          <w:sz w:val="20"/>
          <w:szCs w:val="20"/>
          <w:lang w:val="es-ES"/>
        </w:rPr>
      </w:pPr>
      <w:r w:rsidRPr="00E327EE">
        <w:rPr>
          <w:noProof/>
          <w:lang w:val="es-ES"/>
        </w:rPr>
        <w:t>Panel “Transparencia en Proceso: Perspectivas Globales”.</w:t>
      </w:r>
    </w:p>
    <w:p w14:paraId="1943AA90" w14:textId="09A729E7" w:rsidR="005E148C" w:rsidRPr="00A00521" w:rsidRDefault="005E148C" w:rsidP="00A00521">
      <w:pPr>
        <w:numPr>
          <w:ilvl w:val="0"/>
          <w:numId w:val="23"/>
        </w:numPr>
        <w:spacing w:line="360" w:lineRule="auto"/>
        <w:jc w:val="both"/>
        <w:rPr>
          <w:rFonts w:ascii="Century Gothic" w:eastAsia="Times New Roman" w:hAnsi="Century Gothic"/>
          <w:b/>
          <w:bCs/>
          <w:sz w:val="20"/>
          <w:szCs w:val="20"/>
          <w:lang w:val="es-ES"/>
        </w:rPr>
      </w:pPr>
      <w:r w:rsidRPr="00E327EE">
        <w:rPr>
          <w:noProof/>
          <w:lang w:val="es-ES"/>
        </w:rPr>
        <w:t>Panel “La Historia de una Alianza entre Gobierno y Sociedad”.</w:t>
      </w:r>
    </w:p>
    <w:p w14:paraId="0AC01190" w14:textId="22BDF3DE" w:rsidR="009F0AC3" w:rsidRPr="009F0AC3" w:rsidRDefault="009F0AC3" w:rsidP="00A00521">
      <w:pPr>
        <w:jc w:val="both"/>
        <w:rPr>
          <w:b/>
          <w:bCs/>
          <w:lang w:val="es-DO"/>
        </w:rPr>
      </w:pPr>
      <w:r w:rsidRPr="009F0AC3">
        <w:rPr>
          <w:b/>
          <w:bCs/>
          <w:lang w:val="es-DO"/>
        </w:rPr>
        <w:t>Reconocimiento Rankin</w:t>
      </w:r>
      <w:r w:rsidR="00A00521">
        <w:rPr>
          <w:b/>
          <w:bCs/>
          <w:lang w:val="es-DO"/>
        </w:rPr>
        <w:t>g</w:t>
      </w:r>
      <w:r w:rsidRPr="009F0AC3">
        <w:rPr>
          <w:b/>
          <w:bCs/>
          <w:lang w:val="es-DO"/>
        </w:rPr>
        <w:t xml:space="preserve"> de Transparencia </w:t>
      </w:r>
    </w:p>
    <w:p w14:paraId="056E8401" w14:textId="490D3564" w:rsidR="009F0AC3" w:rsidRPr="009F0AC3" w:rsidRDefault="009F0AC3" w:rsidP="00A00521">
      <w:pPr>
        <w:spacing w:before="240" w:line="360" w:lineRule="auto"/>
        <w:jc w:val="both"/>
        <w:rPr>
          <w:rFonts w:eastAsia="Calibri"/>
          <w:noProof/>
          <w:lang w:val="es-DO"/>
        </w:rPr>
      </w:pPr>
      <w:r w:rsidRPr="009F0AC3">
        <w:rPr>
          <w:rFonts w:eastAsia="Calibri"/>
          <w:noProof/>
          <w:lang w:val="es-DO"/>
        </w:rPr>
        <w:t>En el marco de las actividades conmemorativas de la  Semana   del Derecho a Saber 2024, organizada por la Dirección General de Ética e Integridad Gubernamental (DIGEIG), nuestra institución fue reconocida tras obtener una calificación promedio de 99.97% en las evaluaciones del ranking de transparencia institucional en los meses comprendidos entre junio 2023 a junio 2024.</w:t>
      </w:r>
    </w:p>
    <w:p w14:paraId="2C535948" w14:textId="77777777" w:rsidR="009F0AC3" w:rsidRPr="009F0AC3" w:rsidRDefault="009F0AC3" w:rsidP="00A00521">
      <w:pPr>
        <w:spacing w:before="240" w:line="360" w:lineRule="auto"/>
        <w:jc w:val="both"/>
        <w:rPr>
          <w:rFonts w:eastAsia="Calibri"/>
          <w:b/>
          <w:bCs/>
          <w:noProof/>
          <w:lang w:val="es-DO"/>
        </w:rPr>
      </w:pPr>
      <w:r w:rsidRPr="009F0AC3">
        <w:rPr>
          <w:rFonts w:eastAsia="Calibri"/>
          <w:b/>
          <w:bCs/>
          <w:noProof/>
          <w:lang w:val="es-DO"/>
        </w:rPr>
        <w:t>Implementacion FirmaGob</w:t>
      </w:r>
    </w:p>
    <w:p w14:paraId="1494ECB6" w14:textId="77777777" w:rsidR="009F0AC3" w:rsidRPr="009F0AC3" w:rsidRDefault="009F0AC3" w:rsidP="00A00521">
      <w:pPr>
        <w:spacing w:line="360" w:lineRule="auto"/>
        <w:jc w:val="both"/>
        <w:rPr>
          <w:rFonts w:eastAsia="Calibri"/>
          <w:noProof/>
          <w:lang w:val="es-DO"/>
        </w:rPr>
      </w:pPr>
      <w:r w:rsidRPr="009F0AC3">
        <w:rPr>
          <w:rFonts w:eastAsia="Calibri"/>
          <w:noProof/>
          <w:lang w:val="es-DO"/>
        </w:rPr>
        <w:t xml:space="preserve">Nuestra institución se ha integrado al proyecto de “Expansión del uso de la Firma Digital en el Estado Dominicano”, mediante la implementación del buzón gubernamental FIRMAGOB, una iniciativa priorizada por la Agenda Digital 2030. Este proyecto busca, a través de las tecnologías digitales, mejorar la calidad de vida de nuestra gente, acelerar la reactivación económica y social, y elevar los niveles de productividad y competitividad nacional. </w:t>
      </w:r>
    </w:p>
    <w:p w14:paraId="16C57A06" w14:textId="77777777" w:rsidR="009F0AC3" w:rsidRPr="00A00521" w:rsidRDefault="009F0AC3" w:rsidP="00A00521">
      <w:pPr>
        <w:spacing w:line="360" w:lineRule="auto"/>
        <w:jc w:val="both"/>
        <w:rPr>
          <w:rFonts w:eastAsia="Calibri"/>
          <w:noProof/>
          <w:lang w:val="es-DO"/>
        </w:rPr>
      </w:pPr>
      <w:r w:rsidRPr="00A00521">
        <w:rPr>
          <w:rFonts w:eastAsia="Calibri"/>
          <w:noProof/>
          <w:lang w:val="es-DO"/>
        </w:rPr>
        <w:t xml:space="preserve">Desde septiembre 2023, se inició la implementación piloto con las actas de los procesos de compras y contrataciones, a la fecha se han gestionado mas de seis (6) mil peticiones por la plataforma. </w:t>
      </w:r>
    </w:p>
    <w:p w14:paraId="6F8186E2" w14:textId="160F33EB" w:rsidR="004B1D7E" w:rsidRDefault="004B1D7E">
      <w:pPr>
        <w:rPr>
          <w:rFonts w:eastAsia="Calibri"/>
          <w:noProof/>
          <w:lang w:val="es-ES"/>
        </w:rPr>
      </w:pPr>
      <w:r>
        <w:rPr>
          <w:rFonts w:eastAsia="Calibri"/>
          <w:noProof/>
          <w:lang w:val="es-ES"/>
        </w:rPr>
        <w:br w:type="page"/>
      </w:r>
    </w:p>
    <w:p w14:paraId="14C7D420" w14:textId="77777777" w:rsidR="009F0AC3" w:rsidRDefault="009F0AC3" w:rsidP="009F0AC3">
      <w:pPr>
        <w:autoSpaceDE w:val="0"/>
        <w:autoSpaceDN w:val="0"/>
        <w:adjustRightInd w:val="0"/>
        <w:spacing w:after="0" w:line="360" w:lineRule="auto"/>
        <w:jc w:val="both"/>
        <w:rPr>
          <w:rFonts w:eastAsia="Calibri"/>
          <w:noProof/>
          <w:lang w:val="es-ES"/>
        </w:rPr>
      </w:pPr>
    </w:p>
    <w:p w14:paraId="30FF63ED" w14:textId="67141D83" w:rsidR="00DD7615" w:rsidRPr="001243CC" w:rsidRDefault="000F57D8" w:rsidP="008B1084">
      <w:pPr>
        <w:pStyle w:val="Heading1"/>
        <w:spacing w:after="240" w:line="259" w:lineRule="auto"/>
        <w:ind w:left="270" w:hanging="375"/>
        <w:rPr>
          <w:spacing w:val="0"/>
          <w:lang w:val="es-DO"/>
        </w:rPr>
      </w:pPr>
      <w:bookmarkStart w:id="272" w:name="_Toc185245120"/>
      <w:r>
        <w:rPr>
          <w:spacing w:val="0"/>
          <w:lang w:val="es-DO"/>
        </w:rPr>
        <w:t xml:space="preserve">VI. </w:t>
      </w:r>
      <w:r w:rsidR="00DD7615" w:rsidRPr="001243CC">
        <w:rPr>
          <w:spacing w:val="0"/>
          <w:lang w:val="es-DO"/>
        </w:rPr>
        <w:t>PROYECCIONES AL PRÓXIMO AÑO</w:t>
      </w:r>
      <w:bookmarkEnd w:id="272"/>
    </w:p>
    <w:p w14:paraId="50A93A1D" w14:textId="77777777" w:rsidR="00DD7615" w:rsidRPr="0052297B" w:rsidRDefault="00DD7615" w:rsidP="00DD7615">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658257" behindDoc="0" locked="0" layoutInCell="1" allowOverlap="1" wp14:anchorId="456CF742" wp14:editId="7F07B1C2">
                <wp:simplePos x="0" y="0"/>
                <wp:positionH relativeFrom="margin">
                  <wp:align>center</wp:align>
                </wp:positionH>
                <wp:positionV relativeFrom="paragraph">
                  <wp:posOffset>19863</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xmlns:arto="http://schemas.microsoft.com/office/word/2006/arto">
            <w:pict w14:anchorId="475EE50C">
              <v:line id="Straight Connector 11" style="position:absolute;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ee2a24" strokeweight="2.25pt" from="0,1.55pt" to="36.5pt,1.55pt" w14:anchorId="16BDEA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GzeKr2AAAAAMBAAAP&#10;AAAAZHJzL2Rvd25yZXYueG1sTI/LTsMwEEX3SPyDNUjsqFOKWghxKoSExAYopYsup/HkAfE4it0k&#10;/D1DN7A8uqN7z2TrybVqoD40ng3MZwko4sLbhisDu4+nq1tQISJbbD2TgW8KsM7PzzJMrR/5nYZt&#10;rJSUcEjRQB1jl2odipochpnviCUrfe8wCvaVtj2OUu5afZ0kS+2wYVmosaPHmoqv7dHJ7tuLX5XD&#10;8/Imbj73aO/G5rXcGHN5MT3cg4o0xb9j+NUXdcjF6eCPbINqDcgj0cBiDkrC1UL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xs3iq9gAAAADAQAADwAAAAAAAAAAAAAA&#10;AAAgBAAAZHJzL2Rvd25yZXYueG1sUEsFBgAAAAAEAAQA8wAAACUFAAAAAA==&#10;">
                <v:stroke joinstyle="miter"/>
                <w10:wrap anchorx="margin"/>
              </v:line>
            </w:pict>
          </mc:Fallback>
        </mc:AlternateContent>
      </w:r>
    </w:p>
    <w:p w14:paraId="07273B29" w14:textId="70E1974D" w:rsidR="00DD7615" w:rsidRPr="003303DE" w:rsidRDefault="00DD7615" w:rsidP="003303DE">
      <w:pPr>
        <w:pStyle w:val="Heading1"/>
        <w:spacing w:after="240" w:line="259" w:lineRule="auto"/>
        <w:ind w:left="270" w:hanging="375"/>
        <w:rPr>
          <w:b w:val="0"/>
          <w:bCs/>
          <w:spacing w:val="0"/>
          <w:sz w:val="24"/>
          <w:szCs w:val="28"/>
          <w:lang w:val="es-DO"/>
        </w:rPr>
      </w:pPr>
      <w:bookmarkStart w:id="273" w:name="_Toc184981220"/>
      <w:bookmarkStart w:id="274" w:name="_Toc185245121"/>
      <w:r w:rsidRPr="003303DE">
        <w:rPr>
          <w:b w:val="0"/>
          <w:bCs/>
          <w:spacing w:val="0"/>
          <w:sz w:val="24"/>
          <w:szCs w:val="28"/>
          <w:lang w:val="es-DO"/>
        </w:rPr>
        <w:t xml:space="preserve">Memoria </w:t>
      </w:r>
      <w:r w:rsidR="00F05DF4" w:rsidRPr="003303DE">
        <w:rPr>
          <w:b w:val="0"/>
          <w:bCs/>
          <w:spacing w:val="0"/>
          <w:sz w:val="24"/>
          <w:szCs w:val="28"/>
          <w:lang w:val="es-DO"/>
        </w:rPr>
        <w:t>I</w:t>
      </w:r>
      <w:r w:rsidRPr="003303DE">
        <w:rPr>
          <w:b w:val="0"/>
          <w:bCs/>
          <w:spacing w:val="0"/>
          <w:sz w:val="24"/>
          <w:szCs w:val="28"/>
          <w:lang w:val="es-DO"/>
        </w:rPr>
        <w:t xml:space="preserve">nstitucional </w:t>
      </w:r>
      <w:r w:rsidR="000025D4" w:rsidRPr="003303DE">
        <w:rPr>
          <w:b w:val="0"/>
          <w:bCs/>
          <w:spacing w:val="0"/>
          <w:sz w:val="24"/>
          <w:szCs w:val="28"/>
          <w:lang w:val="es-DO"/>
        </w:rPr>
        <w:t>2024</w:t>
      </w:r>
      <w:bookmarkEnd w:id="273"/>
      <w:bookmarkEnd w:id="274"/>
    </w:p>
    <w:p w14:paraId="1997FC59" w14:textId="77777777" w:rsidR="00D34AE1" w:rsidRPr="00D34AE1" w:rsidRDefault="00D34AE1" w:rsidP="00E47554">
      <w:pPr>
        <w:spacing w:line="360" w:lineRule="auto"/>
        <w:jc w:val="both"/>
        <w:rPr>
          <w:rFonts w:eastAsia="Calibri"/>
          <w:noProof/>
          <w:lang w:val="es-DO"/>
        </w:rPr>
      </w:pPr>
      <w:r w:rsidRPr="00D34AE1">
        <w:rPr>
          <w:rFonts w:eastAsia="Calibri"/>
          <w:noProof/>
          <w:lang w:val="es-DO"/>
        </w:rPr>
        <w:t>Proyectamos un total de recaudación para el cierre del año 2024 superior a los $200MM, lo que representa un crecimiento del 10.4%. Este cierre anual se espera con la participación de más de 100,000 empleadores.</w:t>
      </w:r>
    </w:p>
    <w:p w14:paraId="65E59180" w14:textId="77777777" w:rsidR="001243CC" w:rsidRPr="001243CC" w:rsidRDefault="001243CC" w:rsidP="00E47554">
      <w:pPr>
        <w:spacing w:line="360" w:lineRule="auto"/>
        <w:jc w:val="both"/>
        <w:rPr>
          <w:rFonts w:eastAsia="Calibri"/>
          <w:noProof/>
          <w:lang w:val="es-DO"/>
        </w:rPr>
      </w:pPr>
      <w:r w:rsidRPr="001243CC">
        <w:rPr>
          <w:rFonts w:eastAsia="Calibri"/>
          <w:noProof/>
          <w:lang w:val="es-DO"/>
        </w:rPr>
        <w:t>Para el  año 2025, comprometidos con el desarrollo del objetivo estratégico de gestión sostenible y responsabilidad ambiental, continuaremos con la implementación de las políticas de compras verdes, buscando minimizar nuestro impacto sobre el medioambiente y maximixar el costo/beneficio en todo el ciclo de vida de lo contratado.</w:t>
      </w:r>
    </w:p>
    <w:p w14:paraId="330BBEEE" w14:textId="77777777" w:rsidR="001243CC" w:rsidRPr="001243CC" w:rsidRDefault="001243CC" w:rsidP="00E47554">
      <w:pPr>
        <w:spacing w:line="360" w:lineRule="auto"/>
        <w:jc w:val="both"/>
        <w:rPr>
          <w:rFonts w:eastAsia="Calibri"/>
          <w:noProof/>
          <w:lang w:val="es-DO"/>
        </w:rPr>
      </w:pPr>
      <w:r w:rsidRPr="001243CC">
        <w:rPr>
          <w:rFonts w:eastAsia="Calibri"/>
          <w:noProof/>
          <w:lang w:val="es-DO"/>
        </w:rPr>
        <w:t xml:space="preserve">Alineados con el crecimiento y desarrollo de nuestra institución, mejora de los espacios y eficiencia operativa, iniciaremos los trabajos de adecuación del segundo y tercer nivel de las oficinas ubicadas en la Torre de la Seguridad Social, en el cual se alojará la Dirección de Finanzas, Dirección de Gestión Integral de Normas, Cumplimiento y Ciberseguridad,  como para las demás áreas. </w:t>
      </w:r>
    </w:p>
    <w:p w14:paraId="64A88BB9" w14:textId="77777777" w:rsidR="001243CC" w:rsidRPr="001243CC" w:rsidRDefault="001243CC" w:rsidP="00E47554">
      <w:pPr>
        <w:spacing w:line="360" w:lineRule="auto"/>
        <w:jc w:val="both"/>
        <w:rPr>
          <w:rFonts w:eastAsia="Calibri"/>
          <w:noProof/>
          <w:lang w:val="es-DO"/>
        </w:rPr>
      </w:pPr>
      <w:r w:rsidRPr="001243CC">
        <w:rPr>
          <w:rFonts w:eastAsia="Calibri"/>
          <w:noProof/>
          <w:lang w:val="es-DO"/>
        </w:rPr>
        <w:t xml:space="preserve">Adecuación de nuestro almacén ubicado en la Avenida Gustavo Mejía Ricart, esto con la finalidad de ampliar el espacio y de esta manera poder atender a la necesidad de contar con mayor espacio físico para esta unidad. </w:t>
      </w:r>
    </w:p>
    <w:p w14:paraId="2EB7FAAF" w14:textId="21142104" w:rsidR="001243CC" w:rsidRDefault="001243CC" w:rsidP="00E47554">
      <w:pPr>
        <w:spacing w:line="360" w:lineRule="auto"/>
        <w:jc w:val="both"/>
        <w:rPr>
          <w:rFonts w:eastAsia="Calibri"/>
          <w:noProof/>
          <w:lang w:val="es-DO"/>
        </w:rPr>
      </w:pPr>
      <w:r w:rsidRPr="001243CC">
        <w:rPr>
          <w:rFonts w:eastAsia="Calibri"/>
          <w:noProof/>
          <w:lang w:val="es-DO"/>
        </w:rPr>
        <w:t xml:space="preserve">Alineados con nuestros objetivos de tranformación digital y optimización de procesos, continuaremos </w:t>
      </w:r>
      <w:r w:rsidR="00CC2620">
        <w:rPr>
          <w:rFonts w:eastAsia="Calibri"/>
          <w:noProof/>
          <w:lang w:val="es-DO"/>
        </w:rPr>
        <w:t>con la automatización de los procesos misionales que actualmente se realizan manual.</w:t>
      </w:r>
    </w:p>
    <w:p w14:paraId="46B116DC" w14:textId="11B7A69E" w:rsidR="00CC2620" w:rsidRDefault="00CC2620" w:rsidP="00E47554">
      <w:pPr>
        <w:spacing w:line="360" w:lineRule="auto"/>
        <w:jc w:val="both"/>
        <w:rPr>
          <w:rFonts w:eastAsia="Calibri"/>
          <w:noProof/>
          <w:lang w:val="es-DO"/>
        </w:rPr>
      </w:pPr>
      <w:r>
        <w:rPr>
          <w:rFonts w:eastAsia="Calibri"/>
          <w:noProof/>
          <w:lang w:val="es-DO"/>
        </w:rPr>
        <w:lastRenderedPageBreak/>
        <w:t xml:space="preserve">Para promover una cultura que fomente y promueva la creatividad y la experimentación, estaremos implementando el programa de innovación que </w:t>
      </w:r>
      <w:r w:rsidRPr="00CC2620">
        <w:rPr>
          <w:rFonts w:eastAsia="Calibri"/>
          <w:noProof/>
          <w:lang w:val="es-DO"/>
        </w:rPr>
        <w:t>busca revitalizar la capacidad de la organización para adaptarse y prosperar en un entorno en constante cambio</w:t>
      </w:r>
      <w:r>
        <w:rPr>
          <w:rFonts w:eastAsia="Calibri"/>
          <w:noProof/>
          <w:lang w:val="es-DO"/>
        </w:rPr>
        <w:t>.</w:t>
      </w:r>
    </w:p>
    <w:p w14:paraId="3CACBD36" w14:textId="3C84C65A" w:rsidR="00B778CF" w:rsidRDefault="00B778CF" w:rsidP="00E47554">
      <w:pPr>
        <w:spacing w:line="360" w:lineRule="auto"/>
        <w:jc w:val="both"/>
        <w:rPr>
          <w:rFonts w:eastAsia="Calibri"/>
          <w:noProof/>
          <w:lang w:val="es-DO"/>
        </w:rPr>
      </w:pPr>
      <w:r w:rsidRPr="00B778CF">
        <w:rPr>
          <w:rFonts w:eastAsia="Calibri"/>
          <w:noProof/>
          <w:lang w:val="es-DO"/>
        </w:rPr>
        <w:t>Optimización de la atención al cliente mediante la automatización de servicios con seguimiento del cliente en línea y la disminución de interacción con agentes</w:t>
      </w:r>
      <w:r>
        <w:rPr>
          <w:rFonts w:eastAsia="Calibri"/>
          <w:noProof/>
          <w:lang w:val="es-DO"/>
        </w:rPr>
        <w:t xml:space="preserve"> con el objetivo de </w:t>
      </w:r>
      <w:r w:rsidRPr="00B778CF">
        <w:rPr>
          <w:rFonts w:eastAsia="Calibri"/>
          <w:noProof/>
          <w:lang w:val="es-DO"/>
        </w:rPr>
        <w:t>transformar la forma en que los usuarios interactúan con la organización, haciendo el proceso más eficiente y accesible.</w:t>
      </w:r>
    </w:p>
    <w:p w14:paraId="2114EB3F" w14:textId="6239B0EC" w:rsidR="00B778CF" w:rsidRDefault="00B778CF" w:rsidP="00E47554">
      <w:pPr>
        <w:spacing w:line="360" w:lineRule="auto"/>
        <w:jc w:val="both"/>
        <w:rPr>
          <w:rFonts w:eastAsia="Calibri"/>
          <w:noProof/>
          <w:lang w:val="es-DO"/>
        </w:rPr>
      </w:pPr>
      <w:r w:rsidRPr="00B778CF">
        <w:rPr>
          <w:rFonts w:eastAsia="Calibri"/>
          <w:noProof/>
          <w:lang w:val="es-DO"/>
        </w:rPr>
        <w:t>Plan de inclusividad y desarrollo</w:t>
      </w:r>
      <w:r>
        <w:rPr>
          <w:rFonts w:eastAsia="Calibri"/>
          <w:noProof/>
          <w:lang w:val="es-DO"/>
        </w:rPr>
        <w:t>, e</w:t>
      </w:r>
      <w:r w:rsidRPr="00B778CF">
        <w:rPr>
          <w:rFonts w:eastAsia="Calibri"/>
          <w:noProof/>
          <w:lang w:val="es-DO"/>
        </w:rPr>
        <w:t>ste producto busca identificar y eliminar barreras que impiden a los empleadores acceder a los servicios ofrecidos, promoviendo un entorno más inclusivo y accesible.</w:t>
      </w:r>
    </w:p>
    <w:p w14:paraId="2AE95A1E" w14:textId="09ED38F3" w:rsidR="00B778CF" w:rsidRDefault="00B778CF" w:rsidP="00E47554">
      <w:pPr>
        <w:spacing w:line="360" w:lineRule="auto"/>
        <w:jc w:val="both"/>
        <w:rPr>
          <w:rFonts w:eastAsia="Calibri"/>
          <w:noProof/>
          <w:lang w:val="es-DO"/>
        </w:rPr>
      </w:pPr>
      <w:r w:rsidRPr="00B778CF">
        <w:rPr>
          <w:rFonts w:eastAsia="Calibri"/>
          <w:noProof/>
          <w:lang w:val="es-DO"/>
        </w:rPr>
        <w:t>Fortalecimiento y entrenamiento especializado en Seguridad Social para entidades relacionada</w:t>
      </w:r>
      <w:r>
        <w:rPr>
          <w:rFonts w:eastAsia="Calibri"/>
          <w:noProof/>
          <w:lang w:val="es-DO"/>
        </w:rPr>
        <w:t xml:space="preserve">s para </w:t>
      </w:r>
      <w:r w:rsidRPr="00B778CF">
        <w:rPr>
          <w:rFonts w:eastAsia="Calibri"/>
          <w:noProof/>
          <w:lang w:val="es-DO"/>
        </w:rPr>
        <w:t>mejorar las capacidades y conocimientos de las entidades vinculadas a la Seguridad Social mediante programas de formación especializados</w:t>
      </w:r>
      <w:r>
        <w:rPr>
          <w:rFonts w:eastAsia="Calibri"/>
          <w:noProof/>
          <w:lang w:val="es-DO"/>
        </w:rPr>
        <w:t>.</w:t>
      </w:r>
    </w:p>
    <w:p w14:paraId="4FE5AB1D" w14:textId="119B2BFC" w:rsidR="004D5382" w:rsidRDefault="00B778CF" w:rsidP="00E47554">
      <w:pPr>
        <w:spacing w:line="360" w:lineRule="auto"/>
        <w:jc w:val="both"/>
        <w:rPr>
          <w:rFonts w:eastAsia="Calibri"/>
          <w:noProof/>
          <w:lang w:val="es-DO"/>
        </w:rPr>
      </w:pPr>
      <w:r w:rsidRPr="00B778CF">
        <w:rPr>
          <w:rFonts w:eastAsia="Calibri"/>
          <w:noProof/>
          <w:lang w:val="es-DO"/>
        </w:rPr>
        <w:t>Sistema de monitoreo de base de datos, análisis predictivo y de riesgo basado en inteligencia artificial</w:t>
      </w:r>
      <w:r>
        <w:rPr>
          <w:rFonts w:eastAsia="Calibri"/>
          <w:noProof/>
          <w:lang w:val="es-DO"/>
        </w:rPr>
        <w:t>, es</w:t>
      </w:r>
      <w:r w:rsidRPr="00B778CF">
        <w:rPr>
          <w:rFonts w:eastAsia="Calibri"/>
          <w:noProof/>
          <w:lang w:val="es-DO"/>
        </w:rPr>
        <w:t xml:space="preserve"> un sistema avanzado de monitoreo y análisis de riesgos en la protección de la información sensible para la detección de patrones de comportamientos inusuales en el acceso y uso de datos, permitiendo identificar de manera temprana los posibles riesgos de fuga de información</w:t>
      </w:r>
      <w:r>
        <w:rPr>
          <w:rFonts w:eastAsia="Calibri"/>
          <w:noProof/>
          <w:lang w:val="es-DO"/>
        </w:rPr>
        <w:t>.</w:t>
      </w:r>
    </w:p>
    <w:p w14:paraId="31051B30" w14:textId="4A863F36" w:rsidR="00924F77" w:rsidRPr="001243CC" w:rsidRDefault="00924F77" w:rsidP="001243CC">
      <w:pPr>
        <w:spacing w:after="0" w:line="360" w:lineRule="auto"/>
        <w:jc w:val="both"/>
        <w:rPr>
          <w:rFonts w:eastAsia="Calibri"/>
          <w:noProof/>
          <w:lang w:val="es-DO"/>
        </w:rPr>
        <w:sectPr w:rsidR="00924F77" w:rsidRPr="001243CC" w:rsidSect="009F54E3">
          <w:footerReference w:type="default" r:id="rId53"/>
          <w:pgSz w:w="11906" w:h="16838"/>
          <w:pgMar w:top="1440" w:right="2160" w:bottom="1440" w:left="2160" w:header="720" w:footer="720" w:gutter="0"/>
          <w:cols w:space="708"/>
          <w:docGrid w:linePitch="360"/>
        </w:sectPr>
      </w:pPr>
    </w:p>
    <w:bookmarkStart w:id="275" w:name="_Toc154736755"/>
    <w:bookmarkStart w:id="276" w:name="_Toc185245122"/>
    <w:p w14:paraId="6B1B56FE" w14:textId="6D2CC7EE" w:rsidR="00B47C98" w:rsidRPr="00B47C98" w:rsidRDefault="00B47C98" w:rsidP="000F57D8">
      <w:pPr>
        <w:pStyle w:val="Heading1"/>
        <w:spacing w:after="240" w:line="259" w:lineRule="auto"/>
        <w:ind w:left="360"/>
        <w:rPr>
          <w:rFonts w:cs="Times New Roman"/>
          <w:spacing w:val="0"/>
          <w:lang w:val="es-DO"/>
        </w:rPr>
      </w:pPr>
      <w:r w:rsidRPr="00B47C98">
        <w:rPr>
          <w:rFonts w:cs="Times New Roman"/>
          <w:noProof/>
          <w:spacing w:val="0"/>
          <w:lang w:val="es-DO"/>
        </w:rPr>
        <w:lastRenderedPageBreak/>
        <mc:AlternateContent>
          <mc:Choice Requires="wps">
            <w:drawing>
              <wp:anchor distT="4294967295" distB="4294967295" distL="114300" distR="114300" simplePos="0" relativeHeight="251666468" behindDoc="0" locked="0" layoutInCell="1" allowOverlap="1" wp14:anchorId="0F57597C" wp14:editId="32A6ABDA">
                <wp:simplePos x="0" y="0"/>
                <wp:positionH relativeFrom="margin">
                  <wp:posOffset>3988206</wp:posOffset>
                </wp:positionH>
                <wp:positionV relativeFrom="paragraph">
                  <wp:posOffset>431393</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763F7" id="Straight Connector 26" o:spid="_x0000_s1026" style="position:absolute;z-index:2516664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14.05pt,33.95pt" to="350.5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" strokecolor="#ee2a24" strokeweight="2.25pt">
                <v:stroke joinstyle="miter"/>
                <w10:wrap anchorx="margin"/>
              </v:line>
            </w:pict>
          </mc:Fallback>
        </mc:AlternateContent>
      </w:r>
      <w:r w:rsidR="009A7266">
        <w:rPr>
          <w:rFonts w:cs="Times New Roman"/>
          <w:spacing w:val="0"/>
          <w:lang w:val="es-DO"/>
        </w:rPr>
        <w:t xml:space="preserve">VII. </w:t>
      </w:r>
      <w:r w:rsidRPr="00B47C98">
        <w:rPr>
          <w:rFonts w:cs="Times New Roman"/>
          <w:spacing w:val="0"/>
          <w:lang w:val="es-DO"/>
        </w:rPr>
        <w:t>ANEXOS</w:t>
      </w:r>
      <w:bookmarkEnd w:id="275"/>
      <w:bookmarkEnd w:id="276"/>
    </w:p>
    <w:p w14:paraId="12E54723" w14:textId="7FE1E820" w:rsidR="00B47C98" w:rsidRPr="00B47C98" w:rsidRDefault="00B47C98" w:rsidP="00B47C98">
      <w:pPr>
        <w:spacing w:before="240" w:after="240"/>
        <w:jc w:val="center"/>
        <w:rPr>
          <w:sz w:val="22"/>
          <w:szCs w:val="36"/>
          <w:lang w:val="es-DO"/>
        </w:rPr>
      </w:pPr>
      <w:r w:rsidRPr="00B47C98">
        <w:rPr>
          <w:sz w:val="22"/>
          <w:szCs w:val="36"/>
          <w:lang w:val="es-DO"/>
        </w:rPr>
        <w:t>Memoria Institucional 202</w:t>
      </w:r>
      <w:r>
        <w:rPr>
          <w:sz w:val="22"/>
          <w:szCs w:val="36"/>
          <w:lang w:val="es-DO"/>
        </w:rPr>
        <w:t>4</w:t>
      </w:r>
    </w:p>
    <w:p w14:paraId="00E6BCBF" w14:textId="1DEA0926" w:rsidR="00B47C98" w:rsidRDefault="009A7266" w:rsidP="00E47554">
      <w:pPr>
        <w:keepNext/>
        <w:keepLines/>
        <w:spacing w:before="240" w:after="240"/>
        <w:ind w:left="-2160"/>
        <w:jc w:val="center"/>
        <w:outlineLvl w:val="0"/>
        <w:rPr>
          <w:rFonts w:eastAsiaTheme="majorEastAsia" w:cstheme="majorBidi"/>
          <w:b/>
          <w:color w:val="767171" w:themeColor="background2" w:themeShade="80"/>
          <w:spacing w:val="0"/>
          <w:sz w:val="28"/>
          <w:szCs w:val="32"/>
          <w:lang w:val="es-DO"/>
        </w:rPr>
      </w:pPr>
      <w:bookmarkStart w:id="277" w:name="_Toc154736756"/>
      <w:bookmarkStart w:id="278" w:name="_Toc185245123"/>
      <w:r>
        <w:rPr>
          <w:rFonts w:eastAsiaTheme="majorEastAsia" w:cstheme="majorBidi"/>
          <w:b/>
          <w:color w:val="767171" w:themeColor="background2" w:themeShade="80"/>
          <w:spacing w:val="0"/>
          <w:sz w:val="28"/>
          <w:szCs w:val="32"/>
          <w:lang w:val="es-DO"/>
        </w:rPr>
        <w:t>7.1 Anexo</w:t>
      </w:r>
      <w:r w:rsidR="00B47C98" w:rsidRPr="00B47C98">
        <w:rPr>
          <w:rFonts w:eastAsiaTheme="majorEastAsia" w:cstheme="majorBidi"/>
          <w:b/>
          <w:color w:val="767171" w:themeColor="background2" w:themeShade="80"/>
          <w:spacing w:val="0"/>
          <w:sz w:val="28"/>
          <w:szCs w:val="32"/>
          <w:lang w:val="es-DO"/>
        </w:rPr>
        <w:t xml:space="preserve"> 1: Matriz Logros Relevantes – Datos Cuantitativos (RD$)</w:t>
      </w:r>
      <w:bookmarkEnd w:id="277"/>
      <w:bookmarkEnd w:id="278"/>
    </w:p>
    <w:tbl>
      <w:tblPr>
        <w:tblW w:w="10732" w:type="dxa"/>
        <w:tblInd w:w="620" w:type="dxa"/>
        <w:tblCellMar>
          <w:top w:w="15" w:type="dxa"/>
        </w:tblCellMar>
        <w:tblLook w:val="04A0" w:firstRow="1" w:lastRow="0" w:firstColumn="1" w:lastColumn="0" w:noHBand="0" w:noVBand="1"/>
      </w:tblPr>
      <w:tblGrid>
        <w:gridCol w:w="1615"/>
        <w:gridCol w:w="1195"/>
        <w:gridCol w:w="1158"/>
        <w:gridCol w:w="1101"/>
        <w:gridCol w:w="1101"/>
        <w:gridCol w:w="1101"/>
        <w:gridCol w:w="1185"/>
        <w:gridCol w:w="2189"/>
        <w:gridCol w:w="235"/>
      </w:tblGrid>
      <w:tr w:rsidR="00E2462C" w:rsidRPr="00E2462C" w14:paraId="06AD7729" w14:textId="77777777" w:rsidTr="0024181E">
        <w:trPr>
          <w:gridAfter w:val="1"/>
          <w:wAfter w:w="236" w:type="dxa"/>
          <w:trHeight w:val="568"/>
        </w:trPr>
        <w:tc>
          <w:tcPr>
            <w:tcW w:w="2975"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633E683F" w14:textId="77777777" w:rsidR="00E2462C" w:rsidRPr="00E2462C" w:rsidRDefault="00E2462C" w:rsidP="00E2462C">
            <w:pPr>
              <w:spacing w:after="0" w:line="240" w:lineRule="auto"/>
              <w:jc w:val="center"/>
              <w:rPr>
                <w:rFonts w:eastAsia="Times New Roman"/>
                <w:b/>
                <w:bCs/>
                <w:color w:val="FFFFFF"/>
                <w:spacing w:val="0"/>
                <w:sz w:val="18"/>
                <w:szCs w:val="18"/>
              </w:rPr>
            </w:pPr>
            <w:r w:rsidRPr="00E2462C">
              <w:rPr>
                <w:rFonts w:eastAsia="Calibri"/>
                <w:b/>
                <w:bCs/>
                <w:color w:val="FFFFFF" w:themeColor="background1"/>
                <w:spacing w:val="0"/>
                <w:sz w:val="18"/>
                <w:szCs w:val="18"/>
              </w:rPr>
              <w:t>PRODUCTO / SERVICIO</w:t>
            </w:r>
          </w:p>
        </w:tc>
        <w:tc>
          <w:tcPr>
            <w:tcW w:w="1222" w:type="dxa"/>
            <w:tcBorders>
              <w:top w:val="single" w:sz="8" w:space="0" w:color="auto"/>
              <w:left w:val="nil"/>
              <w:bottom w:val="single" w:sz="8" w:space="0" w:color="auto"/>
              <w:right w:val="single" w:sz="8" w:space="0" w:color="auto"/>
            </w:tcBorders>
            <w:shd w:val="clear" w:color="000000" w:fill="002060"/>
            <w:noWrap/>
            <w:vAlign w:val="center"/>
            <w:hideMark/>
          </w:tcPr>
          <w:p w14:paraId="6C321FC3" w14:textId="77777777" w:rsidR="00E2462C" w:rsidRPr="00E2462C" w:rsidRDefault="00E2462C" w:rsidP="00E2462C">
            <w:pPr>
              <w:spacing w:after="0" w:line="240" w:lineRule="auto"/>
              <w:jc w:val="center"/>
              <w:rPr>
                <w:rFonts w:eastAsia="Times New Roman"/>
                <w:b/>
                <w:bCs/>
                <w:color w:val="FFFFFF"/>
                <w:spacing w:val="0"/>
                <w:sz w:val="18"/>
                <w:szCs w:val="18"/>
              </w:rPr>
            </w:pPr>
            <w:r w:rsidRPr="00E2462C">
              <w:rPr>
                <w:rFonts w:eastAsia="Calibri"/>
                <w:b/>
                <w:bCs/>
                <w:color w:val="FFFFFF" w:themeColor="background1"/>
                <w:spacing w:val="0"/>
                <w:sz w:val="18"/>
                <w:szCs w:val="18"/>
              </w:rPr>
              <w:t>ENERO</w:t>
            </w:r>
          </w:p>
        </w:tc>
        <w:tc>
          <w:tcPr>
            <w:tcW w:w="977" w:type="dxa"/>
            <w:tcBorders>
              <w:top w:val="single" w:sz="8" w:space="0" w:color="auto"/>
              <w:left w:val="nil"/>
              <w:bottom w:val="single" w:sz="8" w:space="0" w:color="auto"/>
              <w:right w:val="single" w:sz="8" w:space="0" w:color="auto"/>
            </w:tcBorders>
            <w:shd w:val="clear" w:color="000000" w:fill="002060"/>
            <w:noWrap/>
            <w:vAlign w:val="center"/>
            <w:hideMark/>
          </w:tcPr>
          <w:p w14:paraId="59F964BD" w14:textId="77777777" w:rsidR="00E2462C" w:rsidRPr="00E2462C" w:rsidRDefault="00E2462C" w:rsidP="00E2462C">
            <w:pPr>
              <w:spacing w:after="0" w:line="240" w:lineRule="auto"/>
              <w:jc w:val="center"/>
              <w:rPr>
                <w:rFonts w:eastAsia="Times New Roman"/>
                <w:b/>
                <w:bCs/>
                <w:color w:val="FFFFFF"/>
                <w:spacing w:val="0"/>
                <w:sz w:val="18"/>
                <w:szCs w:val="18"/>
              </w:rPr>
            </w:pPr>
            <w:r w:rsidRPr="00E2462C">
              <w:rPr>
                <w:rFonts w:eastAsia="Calibri"/>
                <w:b/>
                <w:bCs/>
                <w:color w:val="FFFFFF" w:themeColor="background1"/>
                <w:spacing w:val="0"/>
                <w:sz w:val="18"/>
                <w:szCs w:val="18"/>
              </w:rPr>
              <w:t>FEBRERO</w:t>
            </w:r>
          </w:p>
        </w:tc>
        <w:tc>
          <w:tcPr>
            <w:tcW w:w="981" w:type="dxa"/>
            <w:tcBorders>
              <w:top w:val="single" w:sz="8" w:space="0" w:color="auto"/>
              <w:left w:val="nil"/>
              <w:bottom w:val="single" w:sz="8" w:space="0" w:color="auto"/>
              <w:right w:val="single" w:sz="8" w:space="0" w:color="auto"/>
            </w:tcBorders>
            <w:shd w:val="clear" w:color="000000" w:fill="002060"/>
            <w:noWrap/>
            <w:vAlign w:val="center"/>
            <w:hideMark/>
          </w:tcPr>
          <w:p w14:paraId="4F9A8BE3" w14:textId="77777777" w:rsidR="00E2462C" w:rsidRPr="00E2462C" w:rsidRDefault="00E2462C" w:rsidP="00E2462C">
            <w:pPr>
              <w:spacing w:after="0" w:line="240" w:lineRule="auto"/>
              <w:jc w:val="center"/>
              <w:rPr>
                <w:rFonts w:eastAsia="Times New Roman"/>
                <w:b/>
                <w:bCs/>
                <w:color w:val="FFFFFF"/>
                <w:spacing w:val="0"/>
                <w:sz w:val="18"/>
                <w:szCs w:val="18"/>
              </w:rPr>
            </w:pPr>
            <w:r w:rsidRPr="00E2462C">
              <w:rPr>
                <w:rFonts w:eastAsia="Calibri"/>
                <w:b/>
                <w:bCs/>
                <w:color w:val="FFFFFF" w:themeColor="background1"/>
                <w:spacing w:val="0"/>
                <w:sz w:val="18"/>
                <w:szCs w:val="18"/>
              </w:rPr>
              <w:t>MARZO</w:t>
            </w:r>
          </w:p>
        </w:tc>
        <w:tc>
          <w:tcPr>
            <w:tcW w:w="977" w:type="dxa"/>
            <w:tcBorders>
              <w:top w:val="single" w:sz="8" w:space="0" w:color="auto"/>
              <w:left w:val="nil"/>
              <w:bottom w:val="single" w:sz="8" w:space="0" w:color="auto"/>
              <w:right w:val="single" w:sz="8" w:space="0" w:color="auto"/>
            </w:tcBorders>
            <w:shd w:val="clear" w:color="000000" w:fill="002060"/>
            <w:noWrap/>
            <w:vAlign w:val="center"/>
            <w:hideMark/>
          </w:tcPr>
          <w:p w14:paraId="76F56C83" w14:textId="77777777" w:rsidR="00E2462C" w:rsidRPr="00E2462C" w:rsidRDefault="00E2462C" w:rsidP="00E2462C">
            <w:pPr>
              <w:spacing w:after="0" w:line="240" w:lineRule="auto"/>
              <w:jc w:val="center"/>
              <w:rPr>
                <w:rFonts w:eastAsia="Times New Roman"/>
                <w:b/>
                <w:bCs/>
                <w:color w:val="FFFFFF"/>
                <w:spacing w:val="0"/>
                <w:sz w:val="18"/>
                <w:szCs w:val="18"/>
              </w:rPr>
            </w:pPr>
            <w:r w:rsidRPr="00E2462C">
              <w:rPr>
                <w:rFonts w:eastAsia="Calibri"/>
                <w:b/>
                <w:bCs/>
                <w:color w:val="FFFFFF" w:themeColor="background1"/>
                <w:spacing w:val="0"/>
                <w:sz w:val="18"/>
                <w:szCs w:val="18"/>
              </w:rPr>
              <w:t>ABRIL</w:t>
            </w:r>
          </w:p>
        </w:tc>
        <w:tc>
          <w:tcPr>
            <w:tcW w:w="1040" w:type="dxa"/>
            <w:tcBorders>
              <w:top w:val="single" w:sz="8" w:space="0" w:color="auto"/>
              <w:left w:val="nil"/>
              <w:bottom w:val="single" w:sz="8" w:space="0" w:color="auto"/>
              <w:right w:val="single" w:sz="8" w:space="0" w:color="auto"/>
            </w:tcBorders>
            <w:shd w:val="clear" w:color="000000" w:fill="002060"/>
            <w:noWrap/>
            <w:vAlign w:val="center"/>
            <w:hideMark/>
          </w:tcPr>
          <w:p w14:paraId="4050D0C1" w14:textId="77777777" w:rsidR="00E2462C" w:rsidRPr="00E2462C" w:rsidRDefault="00E2462C" w:rsidP="00E2462C">
            <w:pPr>
              <w:spacing w:after="0" w:line="240" w:lineRule="auto"/>
              <w:jc w:val="center"/>
              <w:rPr>
                <w:rFonts w:eastAsia="Times New Roman"/>
                <w:b/>
                <w:bCs/>
                <w:color w:val="FFFFFF"/>
                <w:spacing w:val="0"/>
                <w:sz w:val="18"/>
                <w:szCs w:val="18"/>
              </w:rPr>
            </w:pPr>
            <w:r w:rsidRPr="00E2462C">
              <w:rPr>
                <w:rFonts w:eastAsia="Calibri"/>
                <w:b/>
                <w:bCs/>
                <w:color w:val="FFFFFF" w:themeColor="background1"/>
                <w:spacing w:val="0"/>
                <w:sz w:val="18"/>
                <w:szCs w:val="18"/>
              </w:rPr>
              <w:t>MAYO</w:t>
            </w:r>
          </w:p>
        </w:tc>
        <w:tc>
          <w:tcPr>
            <w:tcW w:w="2324" w:type="dxa"/>
            <w:tcBorders>
              <w:top w:val="single" w:sz="8" w:space="0" w:color="auto"/>
              <w:left w:val="nil"/>
              <w:bottom w:val="single" w:sz="8" w:space="0" w:color="auto"/>
              <w:right w:val="single" w:sz="8" w:space="0" w:color="auto"/>
            </w:tcBorders>
            <w:shd w:val="clear" w:color="000000" w:fill="002060"/>
            <w:noWrap/>
            <w:vAlign w:val="center"/>
            <w:hideMark/>
          </w:tcPr>
          <w:p w14:paraId="77655CFE" w14:textId="77777777" w:rsidR="00E2462C" w:rsidRPr="00E2462C" w:rsidRDefault="00E2462C" w:rsidP="00E2462C">
            <w:pPr>
              <w:spacing w:after="0" w:line="240" w:lineRule="auto"/>
              <w:jc w:val="center"/>
              <w:rPr>
                <w:rFonts w:eastAsia="Times New Roman"/>
                <w:b/>
                <w:bCs/>
                <w:color w:val="FFFFFF"/>
                <w:spacing w:val="0"/>
                <w:sz w:val="18"/>
                <w:szCs w:val="18"/>
              </w:rPr>
            </w:pPr>
            <w:r w:rsidRPr="00E2462C">
              <w:rPr>
                <w:rFonts w:eastAsia="Calibri"/>
                <w:b/>
                <w:bCs/>
                <w:color w:val="FFFFFF" w:themeColor="background1"/>
                <w:spacing w:val="0"/>
                <w:sz w:val="18"/>
                <w:szCs w:val="18"/>
              </w:rPr>
              <w:t>JUNIO</w:t>
            </w:r>
          </w:p>
        </w:tc>
      </w:tr>
      <w:tr w:rsidR="00E2462C" w:rsidRPr="00E2462C" w14:paraId="73F13B97" w14:textId="77777777" w:rsidTr="0024181E">
        <w:trPr>
          <w:gridAfter w:val="1"/>
          <w:wAfter w:w="236" w:type="dxa"/>
          <w:trHeight w:val="568"/>
        </w:trPr>
        <w:tc>
          <w:tcPr>
            <w:tcW w:w="17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7C10F2D" w14:textId="77777777" w:rsidR="00E2462C" w:rsidRPr="00E2462C" w:rsidRDefault="00E2462C" w:rsidP="00E2462C">
            <w:pPr>
              <w:spacing w:after="0" w:line="240" w:lineRule="auto"/>
              <w:jc w:val="both"/>
              <w:rPr>
                <w:rFonts w:eastAsia="Times New Roman"/>
                <w:b/>
                <w:bCs/>
                <w:spacing w:val="0"/>
                <w:sz w:val="18"/>
                <w:szCs w:val="18"/>
                <w:lang w:val="es-ES"/>
              </w:rPr>
            </w:pPr>
            <w:r w:rsidRPr="00E2462C">
              <w:rPr>
                <w:rFonts w:eastAsia="Calibri"/>
                <w:b/>
                <w:bCs/>
                <w:spacing w:val="0"/>
                <w:sz w:val="18"/>
                <w:szCs w:val="18"/>
                <w:lang w:val="es-DO"/>
              </w:rPr>
              <w:t>Producto 7333:</w:t>
            </w:r>
            <w:r w:rsidRPr="00E2462C">
              <w:rPr>
                <w:rFonts w:eastAsia="Calibri"/>
                <w:spacing w:val="0"/>
                <w:sz w:val="18"/>
                <w:szCs w:val="18"/>
                <w:lang w:val="es-DO"/>
              </w:rPr>
              <w:t xml:space="preserve"> Fiscalización de Registro del Sistema Único de Información y Recaudo</w:t>
            </w:r>
          </w:p>
        </w:tc>
        <w:tc>
          <w:tcPr>
            <w:tcW w:w="1263" w:type="dxa"/>
            <w:tcBorders>
              <w:top w:val="nil"/>
              <w:left w:val="nil"/>
              <w:bottom w:val="single" w:sz="8" w:space="0" w:color="auto"/>
              <w:right w:val="single" w:sz="8" w:space="0" w:color="auto"/>
            </w:tcBorders>
            <w:shd w:val="clear" w:color="000000" w:fill="FFFFFF"/>
            <w:vAlign w:val="center"/>
            <w:hideMark/>
          </w:tcPr>
          <w:p w14:paraId="546FFC6D"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Logro</w:t>
            </w:r>
          </w:p>
        </w:tc>
        <w:tc>
          <w:tcPr>
            <w:tcW w:w="318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6733BB96"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169</w:t>
            </w:r>
          </w:p>
        </w:tc>
        <w:tc>
          <w:tcPr>
            <w:tcW w:w="4341"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46B0491A"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609</w:t>
            </w:r>
          </w:p>
        </w:tc>
      </w:tr>
      <w:tr w:rsidR="00E2462C" w:rsidRPr="00E2462C" w14:paraId="48E776C3" w14:textId="77777777" w:rsidTr="0024181E">
        <w:trPr>
          <w:gridAfter w:val="1"/>
          <w:wAfter w:w="236" w:type="dxa"/>
          <w:trHeight w:val="731"/>
        </w:trPr>
        <w:tc>
          <w:tcPr>
            <w:tcW w:w="1712" w:type="dxa"/>
            <w:vMerge/>
            <w:tcBorders>
              <w:top w:val="nil"/>
              <w:left w:val="single" w:sz="8" w:space="0" w:color="auto"/>
              <w:bottom w:val="single" w:sz="8" w:space="0" w:color="000000"/>
              <w:right w:val="single" w:sz="8" w:space="0" w:color="auto"/>
            </w:tcBorders>
            <w:vAlign w:val="center"/>
            <w:hideMark/>
          </w:tcPr>
          <w:p w14:paraId="08880532" w14:textId="77777777" w:rsidR="00E2462C" w:rsidRPr="00E2462C" w:rsidRDefault="00E2462C" w:rsidP="00E2462C">
            <w:pPr>
              <w:spacing w:after="0" w:line="240" w:lineRule="auto"/>
              <w:rPr>
                <w:rFonts w:eastAsia="Times New Roman"/>
                <w:b/>
                <w:bCs/>
                <w:spacing w:val="0"/>
                <w:sz w:val="18"/>
                <w:szCs w:val="18"/>
              </w:rPr>
            </w:pPr>
          </w:p>
        </w:tc>
        <w:tc>
          <w:tcPr>
            <w:tcW w:w="1263" w:type="dxa"/>
            <w:tcBorders>
              <w:top w:val="nil"/>
              <w:left w:val="nil"/>
              <w:bottom w:val="single" w:sz="8" w:space="0" w:color="auto"/>
              <w:right w:val="single" w:sz="8" w:space="0" w:color="auto"/>
            </w:tcBorders>
            <w:shd w:val="clear" w:color="000000" w:fill="FFFFFF"/>
            <w:vAlign w:val="center"/>
            <w:hideMark/>
          </w:tcPr>
          <w:p w14:paraId="653C1405"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Inver-sión</w:t>
            </w:r>
          </w:p>
        </w:tc>
        <w:tc>
          <w:tcPr>
            <w:tcW w:w="1222" w:type="dxa"/>
            <w:tcBorders>
              <w:top w:val="nil"/>
              <w:left w:val="nil"/>
              <w:bottom w:val="single" w:sz="8" w:space="0" w:color="auto"/>
              <w:right w:val="single" w:sz="8" w:space="0" w:color="auto"/>
            </w:tcBorders>
            <w:shd w:val="clear" w:color="000000" w:fill="FFFFFF"/>
            <w:noWrap/>
            <w:vAlign w:val="center"/>
            <w:hideMark/>
          </w:tcPr>
          <w:p w14:paraId="4CD9013F"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6,214,430.02</w:t>
            </w:r>
          </w:p>
        </w:tc>
        <w:tc>
          <w:tcPr>
            <w:tcW w:w="977" w:type="dxa"/>
            <w:tcBorders>
              <w:top w:val="nil"/>
              <w:left w:val="nil"/>
              <w:bottom w:val="single" w:sz="8" w:space="0" w:color="auto"/>
              <w:right w:val="single" w:sz="8" w:space="0" w:color="auto"/>
            </w:tcBorders>
            <w:shd w:val="clear" w:color="000000" w:fill="FFFFFF"/>
            <w:noWrap/>
            <w:vAlign w:val="center"/>
            <w:hideMark/>
          </w:tcPr>
          <w:p w14:paraId="3C11AA46"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6,221,033.16</w:t>
            </w:r>
          </w:p>
        </w:tc>
        <w:tc>
          <w:tcPr>
            <w:tcW w:w="981" w:type="dxa"/>
            <w:tcBorders>
              <w:top w:val="nil"/>
              <w:left w:val="nil"/>
              <w:bottom w:val="single" w:sz="8" w:space="0" w:color="auto"/>
              <w:right w:val="single" w:sz="8" w:space="0" w:color="auto"/>
            </w:tcBorders>
            <w:shd w:val="clear" w:color="000000" w:fill="FFFFFF"/>
            <w:noWrap/>
            <w:vAlign w:val="center"/>
            <w:hideMark/>
          </w:tcPr>
          <w:p w14:paraId="0CBE17D9"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6,233,183.17</w:t>
            </w:r>
          </w:p>
        </w:tc>
        <w:tc>
          <w:tcPr>
            <w:tcW w:w="977" w:type="dxa"/>
            <w:tcBorders>
              <w:top w:val="nil"/>
              <w:left w:val="nil"/>
              <w:bottom w:val="single" w:sz="8" w:space="0" w:color="auto"/>
              <w:right w:val="single" w:sz="8" w:space="0" w:color="auto"/>
            </w:tcBorders>
            <w:shd w:val="clear" w:color="000000" w:fill="FFFFFF"/>
            <w:noWrap/>
            <w:vAlign w:val="center"/>
            <w:hideMark/>
          </w:tcPr>
          <w:p w14:paraId="73A5A031"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6,312,898.22</w:t>
            </w:r>
          </w:p>
        </w:tc>
        <w:tc>
          <w:tcPr>
            <w:tcW w:w="1040" w:type="dxa"/>
            <w:tcBorders>
              <w:top w:val="nil"/>
              <w:left w:val="nil"/>
              <w:bottom w:val="single" w:sz="8" w:space="0" w:color="auto"/>
              <w:right w:val="single" w:sz="8" w:space="0" w:color="auto"/>
            </w:tcBorders>
            <w:shd w:val="clear" w:color="000000" w:fill="FFFFFF"/>
            <w:noWrap/>
            <w:vAlign w:val="center"/>
            <w:hideMark/>
          </w:tcPr>
          <w:p w14:paraId="33FF7921"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11,370,677.66</w:t>
            </w:r>
          </w:p>
        </w:tc>
        <w:tc>
          <w:tcPr>
            <w:tcW w:w="2324" w:type="dxa"/>
            <w:tcBorders>
              <w:top w:val="nil"/>
              <w:left w:val="nil"/>
              <w:bottom w:val="single" w:sz="8" w:space="0" w:color="auto"/>
              <w:right w:val="single" w:sz="8" w:space="0" w:color="auto"/>
            </w:tcBorders>
            <w:shd w:val="clear" w:color="000000" w:fill="FFFFFF"/>
            <w:noWrap/>
            <w:vAlign w:val="center"/>
            <w:hideMark/>
          </w:tcPr>
          <w:p w14:paraId="6AD6AE3E"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8,226,153.22</w:t>
            </w:r>
          </w:p>
        </w:tc>
      </w:tr>
      <w:tr w:rsidR="00E2462C" w:rsidRPr="00E2462C" w14:paraId="63507929" w14:textId="77777777" w:rsidTr="0024181E">
        <w:trPr>
          <w:gridAfter w:val="1"/>
          <w:wAfter w:w="236" w:type="dxa"/>
          <w:trHeight w:val="577"/>
        </w:trPr>
        <w:tc>
          <w:tcPr>
            <w:tcW w:w="17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C3E297" w14:textId="77777777" w:rsidR="00E2462C" w:rsidRPr="00E2462C" w:rsidRDefault="00E2462C" w:rsidP="00E2462C">
            <w:pPr>
              <w:spacing w:after="0" w:line="240" w:lineRule="auto"/>
              <w:jc w:val="both"/>
              <w:rPr>
                <w:rFonts w:eastAsia="Times New Roman"/>
                <w:b/>
                <w:bCs/>
                <w:spacing w:val="0"/>
                <w:sz w:val="18"/>
                <w:szCs w:val="18"/>
                <w:lang w:val="es-ES"/>
              </w:rPr>
            </w:pPr>
            <w:r w:rsidRPr="00E2462C">
              <w:rPr>
                <w:rFonts w:eastAsia="Calibri"/>
                <w:b/>
                <w:bCs/>
                <w:spacing w:val="0"/>
                <w:sz w:val="18"/>
                <w:szCs w:val="18"/>
                <w:lang w:val="es-DO"/>
              </w:rPr>
              <w:t>Producto 7334:</w:t>
            </w:r>
            <w:r w:rsidRPr="00E2462C">
              <w:rPr>
                <w:rFonts w:eastAsia="Calibri"/>
                <w:spacing w:val="0"/>
                <w:sz w:val="18"/>
                <w:szCs w:val="18"/>
                <w:lang w:val="es-DO"/>
              </w:rPr>
              <w:t xml:space="preserve"> Sistema Único de Información y Recaudo con disponibilidad 24/7</w:t>
            </w:r>
          </w:p>
        </w:tc>
        <w:tc>
          <w:tcPr>
            <w:tcW w:w="1263" w:type="dxa"/>
            <w:tcBorders>
              <w:top w:val="nil"/>
              <w:left w:val="nil"/>
              <w:bottom w:val="single" w:sz="8" w:space="0" w:color="auto"/>
              <w:right w:val="single" w:sz="8" w:space="0" w:color="auto"/>
            </w:tcBorders>
            <w:shd w:val="clear" w:color="000000" w:fill="FFFFFF"/>
            <w:vAlign w:val="center"/>
            <w:hideMark/>
          </w:tcPr>
          <w:p w14:paraId="5FD8AD32"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Logro</w:t>
            </w:r>
          </w:p>
        </w:tc>
        <w:tc>
          <w:tcPr>
            <w:tcW w:w="318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16793833"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98.77%</w:t>
            </w:r>
          </w:p>
        </w:tc>
        <w:tc>
          <w:tcPr>
            <w:tcW w:w="4341"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436DB89F"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99%</w:t>
            </w:r>
          </w:p>
        </w:tc>
      </w:tr>
      <w:tr w:rsidR="00E2462C" w:rsidRPr="00E2462C" w14:paraId="0726EFC5" w14:textId="77777777" w:rsidTr="0024181E">
        <w:trPr>
          <w:gridAfter w:val="1"/>
          <w:wAfter w:w="236" w:type="dxa"/>
          <w:trHeight w:val="975"/>
        </w:trPr>
        <w:tc>
          <w:tcPr>
            <w:tcW w:w="1712" w:type="dxa"/>
            <w:vMerge/>
            <w:tcBorders>
              <w:top w:val="nil"/>
              <w:left w:val="single" w:sz="8" w:space="0" w:color="auto"/>
              <w:bottom w:val="single" w:sz="8" w:space="0" w:color="000000"/>
              <w:right w:val="single" w:sz="8" w:space="0" w:color="auto"/>
            </w:tcBorders>
            <w:vAlign w:val="center"/>
            <w:hideMark/>
          </w:tcPr>
          <w:p w14:paraId="21450C16" w14:textId="77777777" w:rsidR="00E2462C" w:rsidRPr="00E2462C" w:rsidRDefault="00E2462C" w:rsidP="00E2462C">
            <w:pPr>
              <w:spacing w:after="0" w:line="240" w:lineRule="auto"/>
              <w:rPr>
                <w:rFonts w:eastAsia="Times New Roman"/>
                <w:b/>
                <w:bCs/>
                <w:spacing w:val="0"/>
                <w:sz w:val="18"/>
                <w:szCs w:val="18"/>
              </w:rPr>
            </w:pPr>
          </w:p>
        </w:tc>
        <w:tc>
          <w:tcPr>
            <w:tcW w:w="1263" w:type="dxa"/>
            <w:tcBorders>
              <w:top w:val="nil"/>
              <w:left w:val="nil"/>
              <w:bottom w:val="single" w:sz="8" w:space="0" w:color="auto"/>
              <w:right w:val="single" w:sz="8" w:space="0" w:color="auto"/>
            </w:tcBorders>
            <w:shd w:val="clear" w:color="000000" w:fill="FFFFFF"/>
            <w:vAlign w:val="center"/>
            <w:hideMark/>
          </w:tcPr>
          <w:p w14:paraId="70ED7AEF"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Inver-sión</w:t>
            </w:r>
          </w:p>
        </w:tc>
        <w:tc>
          <w:tcPr>
            <w:tcW w:w="1222" w:type="dxa"/>
            <w:tcBorders>
              <w:top w:val="nil"/>
              <w:left w:val="nil"/>
              <w:bottom w:val="single" w:sz="8" w:space="0" w:color="auto"/>
              <w:right w:val="single" w:sz="8" w:space="0" w:color="auto"/>
            </w:tcBorders>
            <w:shd w:val="clear" w:color="000000" w:fill="FFFFFF"/>
            <w:noWrap/>
            <w:vAlign w:val="center"/>
            <w:hideMark/>
          </w:tcPr>
          <w:p w14:paraId="619225F2"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7,843,633.76</w:t>
            </w:r>
          </w:p>
        </w:tc>
        <w:tc>
          <w:tcPr>
            <w:tcW w:w="977" w:type="dxa"/>
            <w:tcBorders>
              <w:top w:val="nil"/>
              <w:left w:val="nil"/>
              <w:bottom w:val="single" w:sz="8" w:space="0" w:color="auto"/>
              <w:right w:val="single" w:sz="8" w:space="0" w:color="auto"/>
            </w:tcBorders>
            <w:shd w:val="clear" w:color="000000" w:fill="FFFFFF"/>
            <w:noWrap/>
            <w:vAlign w:val="center"/>
            <w:hideMark/>
          </w:tcPr>
          <w:p w14:paraId="3EC6B052"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7,854,506.66</w:t>
            </w:r>
          </w:p>
        </w:tc>
        <w:tc>
          <w:tcPr>
            <w:tcW w:w="981" w:type="dxa"/>
            <w:tcBorders>
              <w:top w:val="nil"/>
              <w:left w:val="nil"/>
              <w:bottom w:val="single" w:sz="8" w:space="0" w:color="auto"/>
              <w:right w:val="single" w:sz="8" w:space="0" w:color="auto"/>
            </w:tcBorders>
            <w:shd w:val="clear" w:color="000000" w:fill="FFFFFF"/>
            <w:noWrap/>
            <w:vAlign w:val="center"/>
            <w:hideMark/>
          </w:tcPr>
          <w:p w14:paraId="676719D8"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8,031,360.05</w:t>
            </w:r>
          </w:p>
        </w:tc>
        <w:tc>
          <w:tcPr>
            <w:tcW w:w="977" w:type="dxa"/>
            <w:tcBorders>
              <w:top w:val="nil"/>
              <w:left w:val="nil"/>
              <w:bottom w:val="single" w:sz="8" w:space="0" w:color="auto"/>
              <w:right w:val="single" w:sz="8" w:space="0" w:color="auto"/>
            </w:tcBorders>
            <w:shd w:val="clear" w:color="000000" w:fill="FFFFFF"/>
            <w:noWrap/>
            <w:vAlign w:val="center"/>
            <w:hideMark/>
          </w:tcPr>
          <w:p w14:paraId="79576E6C"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8,081,129.44</w:t>
            </w:r>
          </w:p>
        </w:tc>
        <w:tc>
          <w:tcPr>
            <w:tcW w:w="1040" w:type="dxa"/>
            <w:tcBorders>
              <w:top w:val="nil"/>
              <w:left w:val="nil"/>
              <w:bottom w:val="single" w:sz="8" w:space="0" w:color="auto"/>
              <w:right w:val="single" w:sz="8" w:space="0" w:color="auto"/>
            </w:tcBorders>
            <w:shd w:val="clear" w:color="000000" w:fill="FFFFFF"/>
            <w:noWrap/>
            <w:vAlign w:val="center"/>
            <w:hideMark/>
          </w:tcPr>
          <w:p w14:paraId="2A342836"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14,094,044.65</w:t>
            </w:r>
          </w:p>
        </w:tc>
        <w:tc>
          <w:tcPr>
            <w:tcW w:w="2324" w:type="dxa"/>
            <w:tcBorders>
              <w:top w:val="nil"/>
              <w:left w:val="nil"/>
              <w:bottom w:val="single" w:sz="8" w:space="0" w:color="auto"/>
              <w:right w:val="single" w:sz="8" w:space="0" w:color="auto"/>
            </w:tcBorders>
            <w:shd w:val="clear" w:color="000000" w:fill="FFFFFF"/>
            <w:noWrap/>
            <w:vAlign w:val="center"/>
            <w:hideMark/>
          </w:tcPr>
          <w:p w14:paraId="2DF76693"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9,151,110.06</w:t>
            </w:r>
          </w:p>
        </w:tc>
      </w:tr>
      <w:tr w:rsidR="00E2462C" w:rsidRPr="00E2462C" w14:paraId="690BAD9E" w14:textId="77777777" w:rsidTr="0024181E">
        <w:trPr>
          <w:gridAfter w:val="1"/>
          <w:wAfter w:w="236" w:type="dxa"/>
          <w:trHeight w:val="397"/>
        </w:trPr>
        <w:tc>
          <w:tcPr>
            <w:tcW w:w="17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C90E49" w14:textId="77777777" w:rsidR="00E2462C" w:rsidRPr="00E2462C" w:rsidRDefault="00E2462C" w:rsidP="00E2462C">
            <w:pPr>
              <w:spacing w:after="0" w:line="240" w:lineRule="auto"/>
              <w:jc w:val="both"/>
              <w:rPr>
                <w:rFonts w:eastAsia="Times New Roman"/>
                <w:b/>
                <w:bCs/>
                <w:spacing w:val="0"/>
                <w:sz w:val="18"/>
                <w:szCs w:val="18"/>
                <w:lang w:val="es-ES"/>
              </w:rPr>
            </w:pPr>
            <w:r w:rsidRPr="00E2462C">
              <w:rPr>
                <w:rFonts w:eastAsia="Calibri"/>
                <w:b/>
                <w:bCs/>
                <w:spacing w:val="0"/>
                <w:sz w:val="18"/>
                <w:szCs w:val="18"/>
                <w:lang w:val="es-DO"/>
              </w:rPr>
              <w:t>Producto 7335:</w:t>
            </w:r>
            <w:r w:rsidRPr="00E2462C">
              <w:rPr>
                <w:rFonts w:eastAsia="Calibri"/>
                <w:spacing w:val="0"/>
                <w:sz w:val="18"/>
                <w:szCs w:val="18"/>
                <w:lang w:val="es-DO"/>
              </w:rPr>
              <w:t xml:space="preserve"> Estado Dominicano con Gestión Oportuna de los Aportes a la Seguridad Social</w:t>
            </w:r>
          </w:p>
        </w:tc>
        <w:tc>
          <w:tcPr>
            <w:tcW w:w="1263" w:type="dxa"/>
            <w:tcBorders>
              <w:top w:val="nil"/>
              <w:left w:val="nil"/>
              <w:bottom w:val="single" w:sz="8" w:space="0" w:color="auto"/>
              <w:right w:val="single" w:sz="8" w:space="0" w:color="auto"/>
            </w:tcBorders>
            <w:shd w:val="clear" w:color="000000" w:fill="FFFFFF"/>
            <w:vAlign w:val="center"/>
            <w:hideMark/>
          </w:tcPr>
          <w:p w14:paraId="6B360FC9"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Logro</w:t>
            </w:r>
          </w:p>
        </w:tc>
        <w:tc>
          <w:tcPr>
            <w:tcW w:w="318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1408893C"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98.89%</w:t>
            </w:r>
          </w:p>
        </w:tc>
        <w:tc>
          <w:tcPr>
            <w:tcW w:w="4341"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268575FA"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98.80%</w:t>
            </w:r>
          </w:p>
        </w:tc>
      </w:tr>
      <w:tr w:rsidR="00E2462C" w:rsidRPr="00E2462C" w14:paraId="088CC762" w14:textId="77777777" w:rsidTr="0024181E">
        <w:trPr>
          <w:gridAfter w:val="1"/>
          <w:wAfter w:w="236" w:type="dxa"/>
          <w:trHeight w:val="737"/>
        </w:trPr>
        <w:tc>
          <w:tcPr>
            <w:tcW w:w="1712" w:type="dxa"/>
            <w:vMerge/>
            <w:tcBorders>
              <w:top w:val="nil"/>
              <w:left w:val="single" w:sz="8" w:space="0" w:color="auto"/>
              <w:bottom w:val="single" w:sz="8" w:space="0" w:color="000000"/>
              <w:right w:val="single" w:sz="8" w:space="0" w:color="auto"/>
            </w:tcBorders>
            <w:vAlign w:val="center"/>
            <w:hideMark/>
          </w:tcPr>
          <w:p w14:paraId="00107047" w14:textId="77777777" w:rsidR="00E2462C" w:rsidRPr="00E2462C" w:rsidRDefault="00E2462C" w:rsidP="00E2462C">
            <w:pPr>
              <w:spacing w:after="0" w:line="240" w:lineRule="auto"/>
              <w:rPr>
                <w:rFonts w:eastAsia="Times New Roman"/>
                <w:b/>
                <w:bCs/>
                <w:spacing w:val="0"/>
                <w:sz w:val="18"/>
                <w:szCs w:val="18"/>
              </w:rPr>
            </w:pPr>
          </w:p>
        </w:tc>
        <w:tc>
          <w:tcPr>
            <w:tcW w:w="126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1AFFA29"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Inver-sión</w:t>
            </w:r>
          </w:p>
        </w:tc>
        <w:tc>
          <w:tcPr>
            <w:tcW w:w="12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71CAA60"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1,994,475</w:t>
            </w:r>
          </w:p>
        </w:tc>
        <w:tc>
          <w:tcPr>
            <w:tcW w:w="97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1C0DDD8"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2,781,791.95</w:t>
            </w:r>
          </w:p>
        </w:tc>
        <w:tc>
          <w:tcPr>
            <w:tcW w:w="9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F0B54E0"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2,781,590.95</w:t>
            </w:r>
          </w:p>
        </w:tc>
        <w:tc>
          <w:tcPr>
            <w:tcW w:w="97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0C3F20F"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2,676,818.44</w:t>
            </w:r>
          </w:p>
        </w:tc>
        <w:tc>
          <w:tcPr>
            <w:tcW w:w="104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82A1DBD"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4,839,004.80</w:t>
            </w:r>
          </w:p>
        </w:tc>
        <w:tc>
          <w:tcPr>
            <w:tcW w:w="232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2C3B1E7"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4,644,217.63</w:t>
            </w:r>
          </w:p>
        </w:tc>
      </w:tr>
      <w:tr w:rsidR="00E2462C" w:rsidRPr="00E2462C" w14:paraId="5A594F9F" w14:textId="77777777" w:rsidTr="0024181E">
        <w:trPr>
          <w:trHeight w:val="568"/>
        </w:trPr>
        <w:tc>
          <w:tcPr>
            <w:tcW w:w="1712" w:type="dxa"/>
            <w:vMerge/>
            <w:tcBorders>
              <w:top w:val="nil"/>
              <w:left w:val="single" w:sz="8" w:space="0" w:color="auto"/>
              <w:bottom w:val="single" w:sz="8" w:space="0" w:color="000000"/>
              <w:right w:val="single" w:sz="8" w:space="0" w:color="auto"/>
            </w:tcBorders>
            <w:vAlign w:val="center"/>
            <w:hideMark/>
          </w:tcPr>
          <w:p w14:paraId="1BC9B3A0" w14:textId="77777777" w:rsidR="00E2462C" w:rsidRPr="00E2462C" w:rsidRDefault="00E2462C" w:rsidP="00E2462C">
            <w:pPr>
              <w:spacing w:after="0" w:line="240" w:lineRule="auto"/>
              <w:rPr>
                <w:rFonts w:eastAsia="Times New Roman"/>
                <w:b/>
                <w:bCs/>
                <w:spacing w:val="0"/>
                <w:sz w:val="14"/>
                <w:szCs w:val="14"/>
              </w:rPr>
            </w:pPr>
          </w:p>
        </w:tc>
        <w:tc>
          <w:tcPr>
            <w:tcW w:w="1263" w:type="dxa"/>
            <w:vMerge/>
            <w:tcBorders>
              <w:top w:val="nil"/>
              <w:left w:val="single" w:sz="8" w:space="0" w:color="auto"/>
              <w:bottom w:val="single" w:sz="8" w:space="0" w:color="000000"/>
              <w:right w:val="single" w:sz="8" w:space="0" w:color="auto"/>
            </w:tcBorders>
            <w:vAlign w:val="center"/>
            <w:hideMark/>
          </w:tcPr>
          <w:p w14:paraId="23FCBD5F" w14:textId="77777777" w:rsidR="00E2462C" w:rsidRPr="00E2462C" w:rsidRDefault="00E2462C" w:rsidP="00E2462C">
            <w:pPr>
              <w:spacing w:after="0" w:line="240" w:lineRule="auto"/>
              <w:rPr>
                <w:rFonts w:eastAsia="Times New Roman"/>
                <w:spacing w:val="0"/>
                <w:sz w:val="14"/>
                <w:szCs w:val="14"/>
              </w:rPr>
            </w:pPr>
          </w:p>
        </w:tc>
        <w:tc>
          <w:tcPr>
            <w:tcW w:w="1222" w:type="dxa"/>
            <w:vMerge/>
            <w:tcBorders>
              <w:top w:val="nil"/>
              <w:left w:val="single" w:sz="8" w:space="0" w:color="auto"/>
              <w:bottom w:val="single" w:sz="8" w:space="0" w:color="000000"/>
              <w:right w:val="single" w:sz="8" w:space="0" w:color="auto"/>
            </w:tcBorders>
            <w:vAlign w:val="center"/>
            <w:hideMark/>
          </w:tcPr>
          <w:p w14:paraId="31F99A7D" w14:textId="77777777" w:rsidR="00E2462C" w:rsidRPr="00E2462C" w:rsidRDefault="00E2462C" w:rsidP="00E2462C">
            <w:pPr>
              <w:spacing w:after="0" w:line="240" w:lineRule="auto"/>
              <w:rPr>
                <w:rFonts w:eastAsia="Times New Roman"/>
                <w:spacing w:val="0"/>
                <w:sz w:val="14"/>
                <w:szCs w:val="14"/>
              </w:rPr>
            </w:pPr>
          </w:p>
        </w:tc>
        <w:tc>
          <w:tcPr>
            <w:tcW w:w="977" w:type="dxa"/>
            <w:vMerge/>
            <w:tcBorders>
              <w:top w:val="nil"/>
              <w:left w:val="single" w:sz="8" w:space="0" w:color="auto"/>
              <w:bottom w:val="single" w:sz="8" w:space="0" w:color="000000"/>
              <w:right w:val="single" w:sz="8" w:space="0" w:color="auto"/>
            </w:tcBorders>
            <w:vAlign w:val="center"/>
            <w:hideMark/>
          </w:tcPr>
          <w:p w14:paraId="4FA870FF" w14:textId="77777777" w:rsidR="00E2462C" w:rsidRPr="00E2462C" w:rsidRDefault="00E2462C" w:rsidP="00E2462C">
            <w:pPr>
              <w:spacing w:after="0" w:line="240" w:lineRule="auto"/>
              <w:rPr>
                <w:rFonts w:eastAsia="Times New Roman"/>
                <w:spacing w:val="0"/>
                <w:sz w:val="14"/>
                <w:szCs w:val="14"/>
              </w:rPr>
            </w:pPr>
          </w:p>
        </w:tc>
        <w:tc>
          <w:tcPr>
            <w:tcW w:w="981" w:type="dxa"/>
            <w:vMerge/>
            <w:tcBorders>
              <w:top w:val="nil"/>
              <w:left w:val="single" w:sz="8" w:space="0" w:color="auto"/>
              <w:bottom w:val="single" w:sz="8" w:space="0" w:color="000000"/>
              <w:right w:val="single" w:sz="8" w:space="0" w:color="auto"/>
            </w:tcBorders>
            <w:vAlign w:val="center"/>
            <w:hideMark/>
          </w:tcPr>
          <w:p w14:paraId="0C03BA56" w14:textId="77777777" w:rsidR="00E2462C" w:rsidRPr="00E2462C" w:rsidRDefault="00E2462C" w:rsidP="00E2462C">
            <w:pPr>
              <w:spacing w:after="0" w:line="240" w:lineRule="auto"/>
              <w:rPr>
                <w:rFonts w:eastAsia="Times New Roman"/>
                <w:spacing w:val="0"/>
                <w:sz w:val="14"/>
                <w:szCs w:val="14"/>
              </w:rPr>
            </w:pPr>
          </w:p>
        </w:tc>
        <w:tc>
          <w:tcPr>
            <w:tcW w:w="977" w:type="dxa"/>
            <w:vMerge/>
            <w:tcBorders>
              <w:top w:val="nil"/>
              <w:left w:val="single" w:sz="8" w:space="0" w:color="auto"/>
              <w:bottom w:val="single" w:sz="8" w:space="0" w:color="000000"/>
              <w:right w:val="single" w:sz="8" w:space="0" w:color="auto"/>
            </w:tcBorders>
            <w:vAlign w:val="center"/>
            <w:hideMark/>
          </w:tcPr>
          <w:p w14:paraId="0610249A" w14:textId="77777777" w:rsidR="00E2462C" w:rsidRPr="00E2462C" w:rsidRDefault="00E2462C" w:rsidP="00E2462C">
            <w:pPr>
              <w:spacing w:after="0" w:line="240" w:lineRule="auto"/>
              <w:rPr>
                <w:rFonts w:eastAsia="Times New Roman"/>
                <w:spacing w:val="0"/>
                <w:sz w:val="14"/>
                <w:szCs w:val="14"/>
              </w:rPr>
            </w:pPr>
          </w:p>
        </w:tc>
        <w:tc>
          <w:tcPr>
            <w:tcW w:w="1040" w:type="dxa"/>
            <w:vMerge/>
            <w:tcBorders>
              <w:top w:val="nil"/>
              <w:left w:val="single" w:sz="8" w:space="0" w:color="auto"/>
              <w:bottom w:val="single" w:sz="8" w:space="0" w:color="000000"/>
              <w:right w:val="single" w:sz="8" w:space="0" w:color="auto"/>
            </w:tcBorders>
            <w:vAlign w:val="center"/>
            <w:hideMark/>
          </w:tcPr>
          <w:p w14:paraId="3458D3A1" w14:textId="77777777" w:rsidR="00E2462C" w:rsidRPr="00E2462C" w:rsidRDefault="00E2462C" w:rsidP="00E2462C">
            <w:pPr>
              <w:spacing w:after="0" w:line="240" w:lineRule="auto"/>
              <w:rPr>
                <w:rFonts w:eastAsia="Times New Roman"/>
                <w:spacing w:val="0"/>
                <w:sz w:val="14"/>
                <w:szCs w:val="14"/>
              </w:rPr>
            </w:pPr>
          </w:p>
        </w:tc>
        <w:tc>
          <w:tcPr>
            <w:tcW w:w="2324" w:type="dxa"/>
            <w:vMerge/>
            <w:tcBorders>
              <w:top w:val="nil"/>
              <w:left w:val="single" w:sz="8" w:space="0" w:color="auto"/>
              <w:bottom w:val="single" w:sz="8" w:space="0" w:color="000000"/>
              <w:right w:val="single" w:sz="8" w:space="0" w:color="auto"/>
            </w:tcBorders>
            <w:vAlign w:val="center"/>
            <w:hideMark/>
          </w:tcPr>
          <w:p w14:paraId="4EBB9D5B" w14:textId="77777777" w:rsidR="00E2462C" w:rsidRPr="00E2462C" w:rsidRDefault="00E2462C" w:rsidP="00E2462C">
            <w:pPr>
              <w:spacing w:after="0" w:line="240" w:lineRule="auto"/>
              <w:rPr>
                <w:rFonts w:eastAsia="Times New Roman"/>
                <w:spacing w:val="0"/>
                <w:sz w:val="14"/>
                <w:szCs w:val="14"/>
              </w:rPr>
            </w:pPr>
          </w:p>
        </w:tc>
        <w:tc>
          <w:tcPr>
            <w:tcW w:w="236" w:type="dxa"/>
            <w:tcBorders>
              <w:top w:val="nil"/>
              <w:left w:val="nil"/>
              <w:bottom w:val="nil"/>
              <w:right w:val="nil"/>
            </w:tcBorders>
            <w:shd w:val="clear" w:color="auto" w:fill="auto"/>
            <w:noWrap/>
            <w:vAlign w:val="bottom"/>
            <w:hideMark/>
          </w:tcPr>
          <w:p w14:paraId="0E908C0C" w14:textId="77777777" w:rsidR="00E2462C" w:rsidRPr="00E2462C" w:rsidRDefault="00E2462C" w:rsidP="00E2462C">
            <w:pPr>
              <w:spacing w:after="0" w:line="240" w:lineRule="auto"/>
              <w:jc w:val="center"/>
              <w:rPr>
                <w:rFonts w:eastAsia="Times New Roman"/>
                <w:spacing w:val="0"/>
                <w:sz w:val="14"/>
                <w:szCs w:val="14"/>
              </w:rPr>
            </w:pPr>
          </w:p>
        </w:tc>
      </w:tr>
    </w:tbl>
    <w:p w14:paraId="54D4EB51" w14:textId="77777777" w:rsidR="00E2462C" w:rsidRDefault="00E2462C" w:rsidP="00B47C98">
      <w:pPr>
        <w:ind w:left="-1710"/>
        <w:rPr>
          <w:rFonts w:eastAsia="Calibri"/>
          <w:b/>
          <w:bCs/>
          <w:sz w:val="18"/>
          <w:szCs w:val="18"/>
          <w:lang w:val="es-DO"/>
        </w:rPr>
      </w:pPr>
    </w:p>
    <w:p w14:paraId="21ABCD3A" w14:textId="77777777" w:rsidR="00E2462C" w:rsidRDefault="00E2462C" w:rsidP="00B47C98">
      <w:pPr>
        <w:ind w:left="-1710"/>
        <w:rPr>
          <w:rFonts w:eastAsia="Calibri"/>
          <w:b/>
          <w:bCs/>
          <w:sz w:val="18"/>
          <w:szCs w:val="18"/>
          <w:lang w:val="es-DO"/>
        </w:rPr>
      </w:pPr>
    </w:p>
    <w:p w14:paraId="5D3A7922" w14:textId="77777777" w:rsidR="00E2462C" w:rsidRDefault="00E2462C" w:rsidP="00B47C98">
      <w:pPr>
        <w:ind w:left="-1710"/>
        <w:rPr>
          <w:rFonts w:eastAsia="Calibri"/>
          <w:b/>
          <w:bCs/>
          <w:sz w:val="18"/>
          <w:szCs w:val="18"/>
          <w:lang w:val="es-DO"/>
        </w:rPr>
      </w:pPr>
    </w:p>
    <w:p w14:paraId="447D3E07" w14:textId="77777777" w:rsidR="00E2462C" w:rsidRDefault="00E2462C" w:rsidP="00B47C98">
      <w:pPr>
        <w:ind w:left="-1710"/>
        <w:rPr>
          <w:rFonts w:eastAsia="Calibri"/>
          <w:b/>
          <w:bCs/>
          <w:sz w:val="18"/>
          <w:szCs w:val="18"/>
          <w:lang w:val="es-DO"/>
        </w:rPr>
      </w:pPr>
    </w:p>
    <w:p w14:paraId="65252549" w14:textId="77777777" w:rsidR="00E2462C" w:rsidRDefault="00E2462C" w:rsidP="00E2462C">
      <w:pPr>
        <w:keepNext/>
        <w:keepLines/>
        <w:spacing w:before="240" w:after="240"/>
        <w:ind w:left="-2160"/>
        <w:jc w:val="center"/>
        <w:outlineLvl w:val="0"/>
        <w:rPr>
          <w:rFonts w:eastAsiaTheme="majorEastAsia" w:cstheme="majorBidi"/>
          <w:b/>
          <w:color w:val="767171" w:themeColor="background2" w:themeShade="80"/>
          <w:spacing w:val="0"/>
          <w:sz w:val="28"/>
          <w:szCs w:val="32"/>
          <w:lang w:val="es-DO"/>
        </w:rPr>
      </w:pPr>
      <w:bookmarkStart w:id="279" w:name="_Toc185245124"/>
      <w:r>
        <w:rPr>
          <w:rFonts w:eastAsiaTheme="majorEastAsia" w:cstheme="majorBidi"/>
          <w:b/>
          <w:color w:val="767171" w:themeColor="background2" w:themeShade="80"/>
          <w:spacing w:val="0"/>
          <w:sz w:val="28"/>
          <w:szCs w:val="32"/>
          <w:lang w:val="es-DO"/>
        </w:rPr>
        <w:lastRenderedPageBreak/>
        <w:t>7.1 Anexo</w:t>
      </w:r>
      <w:r w:rsidRPr="00B47C98">
        <w:rPr>
          <w:rFonts w:eastAsiaTheme="majorEastAsia" w:cstheme="majorBidi"/>
          <w:b/>
          <w:color w:val="767171" w:themeColor="background2" w:themeShade="80"/>
          <w:spacing w:val="0"/>
          <w:sz w:val="28"/>
          <w:szCs w:val="32"/>
          <w:lang w:val="es-DO"/>
        </w:rPr>
        <w:t xml:space="preserve"> 1: Matriz Logros Relevantes – Datos Cuantitativos (RD$)</w:t>
      </w:r>
      <w:bookmarkEnd w:id="279"/>
    </w:p>
    <w:p w14:paraId="44C56E4C" w14:textId="77777777" w:rsidR="00E2462C" w:rsidRDefault="00E2462C" w:rsidP="00B47C98">
      <w:pPr>
        <w:ind w:left="-1710"/>
        <w:rPr>
          <w:rFonts w:eastAsia="Calibri"/>
          <w:b/>
          <w:bCs/>
          <w:sz w:val="18"/>
          <w:szCs w:val="18"/>
          <w:lang w:val="es-DO"/>
        </w:rPr>
      </w:pPr>
    </w:p>
    <w:tbl>
      <w:tblPr>
        <w:tblW w:w="10447" w:type="dxa"/>
        <w:tblInd w:w="620" w:type="dxa"/>
        <w:tblLook w:val="04A0" w:firstRow="1" w:lastRow="0" w:firstColumn="1" w:lastColumn="0" w:noHBand="0" w:noVBand="1"/>
      </w:tblPr>
      <w:tblGrid>
        <w:gridCol w:w="1549"/>
        <w:gridCol w:w="1204"/>
        <w:gridCol w:w="1397"/>
        <w:gridCol w:w="1306"/>
        <w:gridCol w:w="1347"/>
        <w:gridCol w:w="1277"/>
        <w:gridCol w:w="2300"/>
        <w:gridCol w:w="246"/>
      </w:tblGrid>
      <w:tr w:rsidR="0024181E" w:rsidRPr="00E2462C" w14:paraId="15027737" w14:textId="77777777" w:rsidTr="0024181E">
        <w:trPr>
          <w:gridAfter w:val="1"/>
          <w:wAfter w:w="248" w:type="dxa"/>
          <w:trHeight w:val="870"/>
        </w:trPr>
        <w:tc>
          <w:tcPr>
            <w:tcW w:w="1549"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32C00071" w14:textId="77777777" w:rsidR="00E2462C" w:rsidRPr="00E2462C" w:rsidRDefault="00E2462C" w:rsidP="00E2462C">
            <w:pPr>
              <w:spacing w:after="0" w:line="240" w:lineRule="auto"/>
              <w:jc w:val="center"/>
              <w:rPr>
                <w:rFonts w:eastAsia="Times New Roman"/>
                <w:b/>
                <w:bCs/>
                <w:color w:val="FFFFFF"/>
                <w:spacing w:val="0"/>
                <w:sz w:val="18"/>
                <w:szCs w:val="18"/>
              </w:rPr>
            </w:pPr>
            <w:r w:rsidRPr="00E2462C">
              <w:rPr>
                <w:rFonts w:eastAsia="Calibri"/>
                <w:b/>
                <w:bCs/>
                <w:color w:val="FFFFFF" w:themeColor="background1"/>
                <w:spacing w:val="0"/>
                <w:sz w:val="18"/>
                <w:szCs w:val="18"/>
              </w:rPr>
              <w:t>JULIO</w:t>
            </w:r>
          </w:p>
        </w:tc>
        <w:tc>
          <w:tcPr>
            <w:tcW w:w="1204"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0ADDB4D0" w14:textId="77777777" w:rsidR="00E2462C" w:rsidRPr="00E2462C" w:rsidRDefault="00E2462C" w:rsidP="00E2462C">
            <w:pPr>
              <w:spacing w:after="0" w:line="240" w:lineRule="auto"/>
              <w:jc w:val="center"/>
              <w:rPr>
                <w:rFonts w:eastAsia="Times New Roman"/>
                <w:b/>
                <w:bCs/>
                <w:color w:val="FFFFFF"/>
                <w:spacing w:val="0"/>
                <w:sz w:val="18"/>
                <w:szCs w:val="18"/>
              </w:rPr>
            </w:pPr>
            <w:r w:rsidRPr="00E2462C">
              <w:rPr>
                <w:rFonts w:eastAsia="Calibri"/>
                <w:b/>
                <w:bCs/>
                <w:color w:val="FFFFFF" w:themeColor="background1"/>
                <w:spacing w:val="0"/>
                <w:sz w:val="18"/>
                <w:szCs w:val="18"/>
              </w:rPr>
              <w:t xml:space="preserve">AGOSTO </w:t>
            </w:r>
          </w:p>
        </w:tc>
        <w:tc>
          <w:tcPr>
            <w:tcW w:w="1334"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766E4728" w14:textId="77777777" w:rsidR="00E2462C" w:rsidRPr="00E2462C" w:rsidRDefault="00E2462C" w:rsidP="00E2462C">
            <w:pPr>
              <w:spacing w:after="0" w:line="240" w:lineRule="auto"/>
              <w:jc w:val="center"/>
              <w:rPr>
                <w:rFonts w:eastAsia="Times New Roman"/>
                <w:b/>
                <w:bCs/>
                <w:color w:val="FFFFFF"/>
                <w:spacing w:val="0"/>
                <w:sz w:val="18"/>
                <w:szCs w:val="18"/>
              </w:rPr>
            </w:pPr>
            <w:r w:rsidRPr="00E2462C">
              <w:rPr>
                <w:rFonts w:eastAsia="Calibri"/>
                <w:b/>
                <w:bCs/>
                <w:color w:val="FFFFFF" w:themeColor="background1"/>
                <w:spacing w:val="0"/>
                <w:sz w:val="18"/>
                <w:szCs w:val="18"/>
              </w:rPr>
              <w:t>SEPTIEMBRE</w:t>
            </w:r>
          </w:p>
        </w:tc>
        <w:tc>
          <w:tcPr>
            <w:tcW w:w="1306"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7FACC130" w14:textId="77777777" w:rsidR="00E2462C" w:rsidRPr="00E2462C" w:rsidRDefault="00E2462C" w:rsidP="00E2462C">
            <w:pPr>
              <w:spacing w:after="0" w:line="240" w:lineRule="auto"/>
              <w:jc w:val="center"/>
              <w:rPr>
                <w:rFonts w:eastAsia="Times New Roman"/>
                <w:b/>
                <w:bCs/>
                <w:color w:val="FFFFFF"/>
                <w:spacing w:val="0"/>
                <w:sz w:val="18"/>
                <w:szCs w:val="18"/>
              </w:rPr>
            </w:pPr>
            <w:r w:rsidRPr="00E2462C">
              <w:rPr>
                <w:rFonts w:eastAsia="Calibri"/>
                <w:b/>
                <w:bCs/>
                <w:color w:val="FFFFFF" w:themeColor="background1"/>
                <w:spacing w:val="0"/>
                <w:sz w:val="18"/>
                <w:szCs w:val="18"/>
              </w:rPr>
              <w:t>OCTUBRE</w:t>
            </w:r>
          </w:p>
        </w:tc>
        <w:tc>
          <w:tcPr>
            <w:tcW w:w="1286"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217C51CA" w14:textId="77777777" w:rsidR="00E2462C" w:rsidRPr="00E2462C" w:rsidRDefault="00E2462C" w:rsidP="00E2462C">
            <w:pPr>
              <w:spacing w:after="0" w:line="240" w:lineRule="auto"/>
              <w:jc w:val="center"/>
              <w:rPr>
                <w:rFonts w:eastAsia="Times New Roman"/>
                <w:b/>
                <w:bCs/>
                <w:color w:val="FFFFFF"/>
                <w:spacing w:val="0"/>
                <w:sz w:val="18"/>
                <w:szCs w:val="18"/>
              </w:rPr>
            </w:pPr>
            <w:r w:rsidRPr="00E2462C">
              <w:rPr>
                <w:rFonts w:eastAsia="Calibri"/>
                <w:b/>
                <w:bCs/>
                <w:color w:val="FFFFFF" w:themeColor="background1"/>
                <w:spacing w:val="0"/>
                <w:sz w:val="18"/>
                <w:szCs w:val="18"/>
              </w:rPr>
              <w:t>NOVIEMBRE</w:t>
            </w:r>
          </w:p>
        </w:tc>
        <w:tc>
          <w:tcPr>
            <w:tcW w:w="1220"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395A75E5" w14:textId="77777777" w:rsidR="00E2462C" w:rsidRPr="00E2462C" w:rsidRDefault="00E2462C" w:rsidP="00E2462C">
            <w:pPr>
              <w:spacing w:after="0" w:line="240" w:lineRule="auto"/>
              <w:jc w:val="center"/>
              <w:rPr>
                <w:rFonts w:eastAsia="Times New Roman"/>
                <w:b/>
                <w:bCs/>
                <w:color w:val="FFFFFF"/>
                <w:spacing w:val="0"/>
                <w:sz w:val="18"/>
                <w:szCs w:val="18"/>
              </w:rPr>
            </w:pPr>
            <w:r w:rsidRPr="00E2462C">
              <w:rPr>
                <w:rFonts w:eastAsia="Calibri"/>
                <w:b/>
                <w:bCs/>
                <w:color w:val="FFFFFF" w:themeColor="background1"/>
                <w:spacing w:val="0"/>
                <w:sz w:val="18"/>
                <w:szCs w:val="18"/>
              </w:rPr>
              <w:t>DICIEMBRE</w:t>
            </w:r>
          </w:p>
        </w:tc>
        <w:tc>
          <w:tcPr>
            <w:tcW w:w="2300"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5E699EEB" w14:textId="77777777" w:rsidR="00E2462C" w:rsidRPr="00E2462C" w:rsidRDefault="00E2462C" w:rsidP="00E2462C">
            <w:pPr>
              <w:spacing w:after="0" w:line="240" w:lineRule="auto"/>
              <w:jc w:val="center"/>
              <w:rPr>
                <w:rFonts w:eastAsia="Times New Roman"/>
                <w:b/>
                <w:bCs/>
                <w:color w:val="FFFFFF"/>
                <w:spacing w:val="0"/>
                <w:sz w:val="18"/>
                <w:szCs w:val="18"/>
              </w:rPr>
            </w:pPr>
            <w:r w:rsidRPr="00E2462C">
              <w:rPr>
                <w:rFonts w:eastAsia="Calibri"/>
                <w:b/>
                <w:bCs/>
                <w:color w:val="FFFFFF" w:themeColor="background1"/>
                <w:spacing w:val="0"/>
                <w:sz w:val="18"/>
                <w:szCs w:val="18"/>
              </w:rPr>
              <w:t>TOTAL AÑO 2024</w:t>
            </w:r>
          </w:p>
        </w:tc>
      </w:tr>
      <w:tr w:rsidR="0024181E" w:rsidRPr="00E2462C" w14:paraId="7B8D7169" w14:textId="77777777" w:rsidTr="0024181E">
        <w:trPr>
          <w:trHeight w:val="870"/>
        </w:trPr>
        <w:tc>
          <w:tcPr>
            <w:tcW w:w="1549" w:type="dxa"/>
            <w:vMerge/>
            <w:tcBorders>
              <w:top w:val="single" w:sz="8" w:space="0" w:color="auto"/>
              <w:left w:val="single" w:sz="8" w:space="0" w:color="auto"/>
              <w:bottom w:val="single" w:sz="8" w:space="0" w:color="000000"/>
              <w:right w:val="single" w:sz="8" w:space="0" w:color="auto"/>
            </w:tcBorders>
            <w:vAlign w:val="center"/>
            <w:hideMark/>
          </w:tcPr>
          <w:p w14:paraId="1AA4244B" w14:textId="77777777" w:rsidR="00E2462C" w:rsidRPr="00E2462C" w:rsidRDefault="00E2462C" w:rsidP="00E2462C">
            <w:pPr>
              <w:spacing w:after="0" w:line="240" w:lineRule="auto"/>
              <w:rPr>
                <w:rFonts w:eastAsia="Times New Roman"/>
                <w:b/>
                <w:bCs/>
                <w:color w:val="FFFFFF"/>
                <w:spacing w:val="0"/>
                <w:sz w:val="18"/>
                <w:szCs w:val="18"/>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26110446" w14:textId="77777777" w:rsidR="00E2462C" w:rsidRPr="00E2462C" w:rsidRDefault="00E2462C" w:rsidP="00E2462C">
            <w:pPr>
              <w:spacing w:after="0" w:line="240" w:lineRule="auto"/>
              <w:rPr>
                <w:rFonts w:eastAsia="Times New Roman"/>
                <w:b/>
                <w:bCs/>
                <w:color w:val="FFFFFF"/>
                <w:spacing w:val="0"/>
                <w:sz w:val="18"/>
                <w:szCs w:val="18"/>
              </w:rPr>
            </w:pPr>
          </w:p>
        </w:tc>
        <w:tc>
          <w:tcPr>
            <w:tcW w:w="1334" w:type="dxa"/>
            <w:vMerge/>
            <w:tcBorders>
              <w:top w:val="single" w:sz="8" w:space="0" w:color="auto"/>
              <w:left w:val="single" w:sz="8" w:space="0" w:color="auto"/>
              <w:bottom w:val="single" w:sz="8" w:space="0" w:color="000000"/>
              <w:right w:val="single" w:sz="8" w:space="0" w:color="auto"/>
            </w:tcBorders>
            <w:vAlign w:val="center"/>
            <w:hideMark/>
          </w:tcPr>
          <w:p w14:paraId="75DDBFA7" w14:textId="77777777" w:rsidR="00E2462C" w:rsidRPr="00E2462C" w:rsidRDefault="00E2462C" w:rsidP="00E2462C">
            <w:pPr>
              <w:spacing w:after="0" w:line="240" w:lineRule="auto"/>
              <w:rPr>
                <w:rFonts w:eastAsia="Times New Roman"/>
                <w:b/>
                <w:bCs/>
                <w:color w:val="FFFFFF"/>
                <w:spacing w:val="0"/>
                <w:sz w:val="18"/>
                <w:szCs w:val="18"/>
              </w:rPr>
            </w:pPr>
          </w:p>
        </w:tc>
        <w:tc>
          <w:tcPr>
            <w:tcW w:w="1306" w:type="dxa"/>
            <w:vMerge/>
            <w:tcBorders>
              <w:top w:val="single" w:sz="8" w:space="0" w:color="auto"/>
              <w:left w:val="single" w:sz="8" w:space="0" w:color="auto"/>
              <w:bottom w:val="single" w:sz="8" w:space="0" w:color="000000"/>
              <w:right w:val="single" w:sz="8" w:space="0" w:color="auto"/>
            </w:tcBorders>
            <w:vAlign w:val="center"/>
            <w:hideMark/>
          </w:tcPr>
          <w:p w14:paraId="570E5BC8" w14:textId="77777777" w:rsidR="00E2462C" w:rsidRPr="00E2462C" w:rsidRDefault="00E2462C" w:rsidP="00E2462C">
            <w:pPr>
              <w:spacing w:after="0" w:line="240" w:lineRule="auto"/>
              <w:rPr>
                <w:rFonts w:eastAsia="Times New Roman"/>
                <w:b/>
                <w:bCs/>
                <w:color w:val="FFFFFF"/>
                <w:spacing w:val="0"/>
                <w:sz w:val="18"/>
                <w:szCs w:val="18"/>
              </w:rPr>
            </w:pPr>
          </w:p>
        </w:tc>
        <w:tc>
          <w:tcPr>
            <w:tcW w:w="1286" w:type="dxa"/>
            <w:vMerge/>
            <w:tcBorders>
              <w:top w:val="single" w:sz="8" w:space="0" w:color="auto"/>
              <w:left w:val="single" w:sz="8" w:space="0" w:color="auto"/>
              <w:bottom w:val="single" w:sz="8" w:space="0" w:color="000000"/>
              <w:right w:val="single" w:sz="8" w:space="0" w:color="auto"/>
            </w:tcBorders>
            <w:vAlign w:val="center"/>
            <w:hideMark/>
          </w:tcPr>
          <w:p w14:paraId="5CE3FA12" w14:textId="77777777" w:rsidR="00E2462C" w:rsidRPr="00E2462C" w:rsidRDefault="00E2462C" w:rsidP="00E2462C">
            <w:pPr>
              <w:spacing w:after="0" w:line="240" w:lineRule="auto"/>
              <w:rPr>
                <w:rFonts w:eastAsia="Times New Roman"/>
                <w:b/>
                <w:bCs/>
                <w:color w:val="FFFFFF"/>
                <w:spacing w:val="0"/>
                <w:sz w:val="18"/>
                <w:szCs w:val="18"/>
              </w:rPr>
            </w:pPr>
          </w:p>
        </w:tc>
        <w:tc>
          <w:tcPr>
            <w:tcW w:w="1220" w:type="dxa"/>
            <w:vMerge/>
            <w:tcBorders>
              <w:top w:val="single" w:sz="8" w:space="0" w:color="auto"/>
              <w:left w:val="single" w:sz="8" w:space="0" w:color="auto"/>
              <w:bottom w:val="single" w:sz="8" w:space="0" w:color="000000"/>
              <w:right w:val="single" w:sz="8" w:space="0" w:color="auto"/>
            </w:tcBorders>
            <w:vAlign w:val="center"/>
            <w:hideMark/>
          </w:tcPr>
          <w:p w14:paraId="30FD6C64" w14:textId="77777777" w:rsidR="00E2462C" w:rsidRPr="00E2462C" w:rsidRDefault="00E2462C" w:rsidP="00E2462C">
            <w:pPr>
              <w:spacing w:after="0" w:line="240" w:lineRule="auto"/>
              <w:rPr>
                <w:rFonts w:eastAsia="Times New Roman"/>
                <w:b/>
                <w:bCs/>
                <w:color w:val="FFFFFF"/>
                <w:spacing w:val="0"/>
                <w:sz w:val="18"/>
                <w:szCs w:val="18"/>
              </w:rPr>
            </w:pPr>
          </w:p>
        </w:tc>
        <w:tc>
          <w:tcPr>
            <w:tcW w:w="2300" w:type="dxa"/>
            <w:vMerge/>
            <w:tcBorders>
              <w:top w:val="single" w:sz="8" w:space="0" w:color="auto"/>
              <w:left w:val="single" w:sz="8" w:space="0" w:color="auto"/>
              <w:bottom w:val="single" w:sz="8" w:space="0" w:color="000000"/>
              <w:right w:val="single" w:sz="8" w:space="0" w:color="auto"/>
            </w:tcBorders>
            <w:vAlign w:val="center"/>
            <w:hideMark/>
          </w:tcPr>
          <w:p w14:paraId="053408BB" w14:textId="77777777" w:rsidR="00E2462C" w:rsidRPr="00E2462C" w:rsidRDefault="00E2462C" w:rsidP="00E2462C">
            <w:pPr>
              <w:spacing w:after="0" w:line="240" w:lineRule="auto"/>
              <w:rPr>
                <w:rFonts w:eastAsia="Times New Roman"/>
                <w:b/>
                <w:bCs/>
                <w:color w:val="FFFFFF"/>
                <w:spacing w:val="0"/>
                <w:sz w:val="18"/>
                <w:szCs w:val="18"/>
              </w:rPr>
            </w:pPr>
          </w:p>
        </w:tc>
        <w:tc>
          <w:tcPr>
            <w:tcW w:w="246" w:type="dxa"/>
            <w:tcBorders>
              <w:top w:val="nil"/>
              <w:left w:val="nil"/>
              <w:bottom w:val="nil"/>
              <w:right w:val="nil"/>
            </w:tcBorders>
            <w:shd w:val="clear" w:color="auto" w:fill="auto"/>
            <w:noWrap/>
            <w:vAlign w:val="bottom"/>
            <w:hideMark/>
          </w:tcPr>
          <w:p w14:paraId="383F9D97" w14:textId="77777777" w:rsidR="00E2462C" w:rsidRPr="00E2462C" w:rsidRDefault="00E2462C" w:rsidP="00E2462C">
            <w:pPr>
              <w:spacing w:after="0" w:line="240" w:lineRule="auto"/>
              <w:jc w:val="center"/>
              <w:rPr>
                <w:rFonts w:eastAsia="Times New Roman"/>
                <w:b/>
                <w:bCs/>
                <w:color w:val="FFFFFF"/>
                <w:spacing w:val="0"/>
                <w:sz w:val="12"/>
                <w:szCs w:val="12"/>
              </w:rPr>
            </w:pPr>
          </w:p>
        </w:tc>
      </w:tr>
      <w:tr w:rsidR="00E2462C" w:rsidRPr="00E2462C" w14:paraId="547BBDCA" w14:textId="77777777" w:rsidTr="0024181E">
        <w:trPr>
          <w:trHeight w:val="639"/>
        </w:trPr>
        <w:tc>
          <w:tcPr>
            <w:tcW w:w="4088"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7C44B4E3"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168</w:t>
            </w:r>
          </w:p>
        </w:tc>
        <w:tc>
          <w:tcPr>
            <w:tcW w:w="3813"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72DC7075"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176</w:t>
            </w:r>
          </w:p>
        </w:tc>
        <w:tc>
          <w:tcPr>
            <w:tcW w:w="2300" w:type="dxa"/>
            <w:tcBorders>
              <w:top w:val="nil"/>
              <w:left w:val="nil"/>
              <w:bottom w:val="single" w:sz="8" w:space="0" w:color="auto"/>
              <w:right w:val="single" w:sz="8" w:space="0" w:color="auto"/>
            </w:tcBorders>
            <w:shd w:val="clear" w:color="000000" w:fill="FFFFFF"/>
            <w:noWrap/>
            <w:vAlign w:val="center"/>
            <w:hideMark/>
          </w:tcPr>
          <w:p w14:paraId="0DD32C6C"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1,122</w:t>
            </w:r>
          </w:p>
        </w:tc>
        <w:tc>
          <w:tcPr>
            <w:tcW w:w="246" w:type="dxa"/>
            <w:vAlign w:val="center"/>
            <w:hideMark/>
          </w:tcPr>
          <w:p w14:paraId="795BDEB5" w14:textId="77777777" w:rsidR="00E2462C" w:rsidRPr="00E2462C" w:rsidRDefault="00E2462C" w:rsidP="00E2462C">
            <w:pPr>
              <w:spacing w:after="0" w:line="240" w:lineRule="auto"/>
              <w:rPr>
                <w:rFonts w:eastAsia="Times New Roman"/>
                <w:color w:val="auto"/>
                <w:spacing w:val="0"/>
                <w:sz w:val="20"/>
                <w:szCs w:val="20"/>
              </w:rPr>
            </w:pPr>
          </w:p>
        </w:tc>
      </w:tr>
      <w:tr w:rsidR="0024181E" w:rsidRPr="00E2462C" w14:paraId="3B0F04DD" w14:textId="77777777" w:rsidTr="0024181E">
        <w:trPr>
          <w:trHeight w:val="870"/>
        </w:trPr>
        <w:tc>
          <w:tcPr>
            <w:tcW w:w="1549" w:type="dxa"/>
            <w:tcBorders>
              <w:top w:val="nil"/>
              <w:left w:val="single" w:sz="8" w:space="0" w:color="auto"/>
              <w:bottom w:val="single" w:sz="8" w:space="0" w:color="auto"/>
              <w:right w:val="single" w:sz="8" w:space="0" w:color="auto"/>
            </w:tcBorders>
            <w:shd w:val="clear" w:color="000000" w:fill="FFFFFF"/>
            <w:noWrap/>
            <w:vAlign w:val="center"/>
            <w:hideMark/>
          </w:tcPr>
          <w:p w14:paraId="2A2CC7EC"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6,669,441.75</w:t>
            </w:r>
          </w:p>
        </w:tc>
        <w:tc>
          <w:tcPr>
            <w:tcW w:w="1204" w:type="dxa"/>
            <w:tcBorders>
              <w:top w:val="nil"/>
              <w:left w:val="nil"/>
              <w:bottom w:val="single" w:sz="8" w:space="0" w:color="auto"/>
              <w:right w:val="single" w:sz="8" w:space="0" w:color="auto"/>
            </w:tcBorders>
            <w:shd w:val="clear" w:color="000000" w:fill="FFFFFF"/>
            <w:noWrap/>
            <w:vAlign w:val="center"/>
            <w:hideMark/>
          </w:tcPr>
          <w:p w14:paraId="12FE84E6"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6,613,282.76</w:t>
            </w:r>
          </w:p>
        </w:tc>
        <w:tc>
          <w:tcPr>
            <w:tcW w:w="1334" w:type="dxa"/>
            <w:tcBorders>
              <w:top w:val="nil"/>
              <w:left w:val="nil"/>
              <w:bottom w:val="single" w:sz="8" w:space="0" w:color="auto"/>
              <w:right w:val="single" w:sz="8" w:space="0" w:color="auto"/>
            </w:tcBorders>
            <w:shd w:val="clear" w:color="000000" w:fill="FFFFFF"/>
            <w:noWrap/>
            <w:vAlign w:val="center"/>
            <w:hideMark/>
          </w:tcPr>
          <w:p w14:paraId="493D2F11"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6,496,481.14</w:t>
            </w:r>
          </w:p>
        </w:tc>
        <w:tc>
          <w:tcPr>
            <w:tcW w:w="1306" w:type="dxa"/>
            <w:tcBorders>
              <w:top w:val="nil"/>
              <w:left w:val="nil"/>
              <w:bottom w:val="single" w:sz="8" w:space="0" w:color="auto"/>
              <w:right w:val="single" w:sz="8" w:space="0" w:color="auto"/>
            </w:tcBorders>
            <w:shd w:val="clear" w:color="000000" w:fill="FFFFFF"/>
            <w:noWrap/>
            <w:vAlign w:val="center"/>
            <w:hideMark/>
          </w:tcPr>
          <w:p w14:paraId="4B436BE7"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12,554,597.26</w:t>
            </w:r>
          </w:p>
        </w:tc>
        <w:tc>
          <w:tcPr>
            <w:tcW w:w="1286" w:type="dxa"/>
            <w:tcBorders>
              <w:top w:val="nil"/>
              <w:left w:val="nil"/>
              <w:bottom w:val="single" w:sz="8" w:space="0" w:color="auto"/>
              <w:right w:val="single" w:sz="8" w:space="0" w:color="auto"/>
            </w:tcBorders>
            <w:shd w:val="clear" w:color="000000" w:fill="FFFFFF"/>
            <w:noWrap/>
            <w:vAlign w:val="center"/>
            <w:hideMark/>
          </w:tcPr>
          <w:p w14:paraId="748F56C1"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12,487,730.67</w:t>
            </w:r>
          </w:p>
        </w:tc>
        <w:tc>
          <w:tcPr>
            <w:tcW w:w="1220" w:type="dxa"/>
            <w:tcBorders>
              <w:top w:val="nil"/>
              <w:left w:val="nil"/>
              <w:bottom w:val="single" w:sz="8" w:space="0" w:color="auto"/>
              <w:right w:val="single" w:sz="8" w:space="0" w:color="auto"/>
            </w:tcBorders>
            <w:shd w:val="clear" w:color="000000" w:fill="FFFFFF"/>
            <w:vAlign w:val="center"/>
            <w:hideMark/>
          </w:tcPr>
          <w:p w14:paraId="3A002226"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0</w:t>
            </w:r>
          </w:p>
        </w:tc>
        <w:tc>
          <w:tcPr>
            <w:tcW w:w="2300" w:type="dxa"/>
            <w:tcBorders>
              <w:top w:val="nil"/>
              <w:left w:val="nil"/>
              <w:bottom w:val="single" w:sz="8" w:space="0" w:color="auto"/>
              <w:right w:val="single" w:sz="8" w:space="0" w:color="auto"/>
            </w:tcBorders>
            <w:shd w:val="clear" w:color="000000" w:fill="FFFFFF"/>
            <w:noWrap/>
            <w:vAlign w:val="center"/>
            <w:hideMark/>
          </w:tcPr>
          <w:p w14:paraId="322AE558"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89,399,909.04</w:t>
            </w:r>
          </w:p>
        </w:tc>
        <w:tc>
          <w:tcPr>
            <w:tcW w:w="246" w:type="dxa"/>
            <w:vAlign w:val="center"/>
            <w:hideMark/>
          </w:tcPr>
          <w:p w14:paraId="32AD3D22" w14:textId="77777777" w:rsidR="00E2462C" w:rsidRPr="00E2462C" w:rsidRDefault="00E2462C" w:rsidP="00E2462C">
            <w:pPr>
              <w:spacing w:after="0" w:line="240" w:lineRule="auto"/>
              <w:rPr>
                <w:rFonts w:eastAsia="Times New Roman"/>
                <w:color w:val="auto"/>
                <w:spacing w:val="0"/>
                <w:sz w:val="20"/>
                <w:szCs w:val="20"/>
              </w:rPr>
            </w:pPr>
          </w:p>
        </w:tc>
      </w:tr>
      <w:tr w:rsidR="00E2462C" w:rsidRPr="00E2462C" w14:paraId="47943B40" w14:textId="77777777" w:rsidTr="0024181E">
        <w:trPr>
          <w:trHeight w:val="608"/>
        </w:trPr>
        <w:tc>
          <w:tcPr>
            <w:tcW w:w="4088"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4A3A5F03"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98.18%</w:t>
            </w:r>
          </w:p>
        </w:tc>
        <w:tc>
          <w:tcPr>
            <w:tcW w:w="3813"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3C5BCFEE"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98%</w:t>
            </w:r>
          </w:p>
        </w:tc>
        <w:tc>
          <w:tcPr>
            <w:tcW w:w="2300" w:type="dxa"/>
            <w:tcBorders>
              <w:top w:val="nil"/>
              <w:left w:val="nil"/>
              <w:bottom w:val="single" w:sz="8" w:space="0" w:color="auto"/>
              <w:right w:val="single" w:sz="8" w:space="0" w:color="auto"/>
            </w:tcBorders>
            <w:shd w:val="clear" w:color="000000" w:fill="FFFFFF"/>
            <w:noWrap/>
            <w:vAlign w:val="center"/>
            <w:hideMark/>
          </w:tcPr>
          <w:p w14:paraId="2944AF22"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98.48%</w:t>
            </w:r>
          </w:p>
        </w:tc>
        <w:tc>
          <w:tcPr>
            <w:tcW w:w="246" w:type="dxa"/>
            <w:vAlign w:val="center"/>
            <w:hideMark/>
          </w:tcPr>
          <w:p w14:paraId="4AFF84BE" w14:textId="77777777" w:rsidR="00E2462C" w:rsidRPr="00E2462C" w:rsidRDefault="00E2462C" w:rsidP="00E2462C">
            <w:pPr>
              <w:spacing w:after="0" w:line="240" w:lineRule="auto"/>
              <w:rPr>
                <w:rFonts w:eastAsia="Times New Roman"/>
                <w:color w:val="auto"/>
                <w:spacing w:val="0"/>
                <w:sz w:val="20"/>
                <w:szCs w:val="20"/>
              </w:rPr>
            </w:pPr>
          </w:p>
        </w:tc>
      </w:tr>
      <w:tr w:rsidR="0024181E" w:rsidRPr="00E2462C" w14:paraId="1271E591" w14:textId="77777777" w:rsidTr="0024181E">
        <w:trPr>
          <w:trHeight w:val="870"/>
        </w:trPr>
        <w:tc>
          <w:tcPr>
            <w:tcW w:w="1549" w:type="dxa"/>
            <w:tcBorders>
              <w:top w:val="nil"/>
              <w:left w:val="single" w:sz="8" w:space="0" w:color="auto"/>
              <w:bottom w:val="single" w:sz="8" w:space="0" w:color="auto"/>
              <w:right w:val="single" w:sz="8" w:space="0" w:color="auto"/>
            </w:tcBorders>
            <w:shd w:val="clear" w:color="000000" w:fill="FFFFFF"/>
            <w:noWrap/>
            <w:vAlign w:val="center"/>
            <w:hideMark/>
          </w:tcPr>
          <w:p w14:paraId="1CB1D201"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6,767,137.03</w:t>
            </w:r>
          </w:p>
        </w:tc>
        <w:tc>
          <w:tcPr>
            <w:tcW w:w="1204" w:type="dxa"/>
            <w:tcBorders>
              <w:top w:val="nil"/>
              <w:left w:val="nil"/>
              <w:bottom w:val="single" w:sz="8" w:space="0" w:color="auto"/>
              <w:right w:val="single" w:sz="8" w:space="0" w:color="auto"/>
            </w:tcBorders>
            <w:shd w:val="clear" w:color="000000" w:fill="FFFFFF"/>
            <w:noWrap/>
            <w:vAlign w:val="center"/>
            <w:hideMark/>
          </w:tcPr>
          <w:p w14:paraId="6CD23C57"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7,021,707.34</w:t>
            </w:r>
          </w:p>
        </w:tc>
        <w:tc>
          <w:tcPr>
            <w:tcW w:w="1334" w:type="dxa"/>
            <w:tcBorders>
              <w:top w:val="nil"/>
              <w:left w:val="nil"/>
              <w:bottom w:val="single" w:sz="8" w:space="0" w:color="auto"/>
              <w:right w:val="single" w:sz="8" w:space="0" w:color="auto"/>
            </w:tcBorders>
            <w:shd w:val="clear" w:color="000000" w:fill="FFFFFF"/>
            <w:noWrap/>
            <w:vAlign w:val="center"/>
            <w:hideMark/>
          </w:tcPr>
          <w:p w14:paraId="5861B67D"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6,733,649.83</w:t>
            </w:r>
          </w:p>
        </w:tc>
        <w:tc>
          <w:tcPr>
            <w:tcW w:w="1306" w:type="dxa"/>
            <w:tcBorders>
              <w:top w:val="nil"/>
              <w:left w:val="nil"/>
              <w:bottom w:val="single" w:sz="8" w:space="0" w:color="auto"/>
              <w:right w:val="single" w:sz="8" w:space="0" w:color="auto"/>
            </w:tcBorders>
            <w:shd w:val="clear" w:color="000000" w:fill="FFFFFF"/>
            <w:noWrap/>
            <w:vAlign w:val="center"/>
            <w:hideMark/>
          </w:tcPr>
          <w:p w14:paraId="37A2AE01"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12,862,786.57</w:t>
            </w:r>
          </w:p>
        </w:tc>
        <w:tc>
          <w:tcPr>
            <w:tcW w:w="1286" w:type="dxa"/>
            <w:tcBorders>
              <w:top w:val="nil"/>
              <w:left w:val="nil"/>
              <w:bottom w:val="single" w:sz="8" w:space="0" w:color="auto"/>
              <w:right w:val="single" w:sz="8" w:space="0" w:color="auto"/>
            </w:tcBorders>
            <w:shd w:val="clear" w:color="000000" w:fill="FFFFFF"/>
            <w:noWrap/>
            <w:vAlign w:val="center"/>
            <w:hideMark/>
          </w:tcPr>
          <w:p w14:paraId="76FA38F9"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12,846,363.46</w:t>
            </w:r>
          </w:p>
        </w:tc>
        <w:tc>
          <w:tcPr>
            <w:tcW w:w="1220" w:type="dxa"/>
            <w:tcBorders>
              <w:top w:val="nil"/>
              <w:left w:val="nil"/>
              <w:bottom w:val="single" w:sz="8" w:space="0" w:color="auto"/>
              <w:right w:val="single" w:sz="8" w:space="0" w:color="auto"/>
            </w:tcBorders>
            <w:shd w:val="clear" w:color="000000" w:fill="FFFFFF"/>
            <w:vAlign w:val="center"/>
            <w:hideMark/>
          </w:tcPr>
          <w:p w14:paraId="786895C6"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0</w:t>
            </w:r>
          </w:p>
        </w:tc>
        <w:tc>
          <w:tcPr>
            <w:tcW w:w="2300" w:type="dxa"/>
            <w:tcBorders>
              <w:top w:val="nil"/>
              <w:left w:val="nil"/>
              <w:bottom w:val="single" w:sz="8" w:space="0" w:color="auto"/>
              <w:right w:val="single" w:sz="8" w:space="0" w:color="auto"/>
            </w:tcBorders>
            <w:shd w:val="clear" w:color="000000" w:fill="FFFFFF"/>
            <w:noWrap/>
            <w:vAlign w:val="center"/>
            <w:hideMark/>
          </w:tcPr>
          <w:p w14:paraId="5F46CDBB"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101,287,428.85</w:t>
            </w:r>
          </w:p>
        </w:tc>
        <w:tc>
          <w:tcPr>
            <w:tcW w:w="246" w:type="dxa"/>
            <w:vAlign w:val="center"/>
            <w:hideMark/>
          </w:tcPr>
          <w:p w14:paraId="3A4F6210" w14:textId="77777777" w:rsidR="00E2462C" w:rsidRPr="00E2462C" w:rsidRDefault="00E2462C" w:rsidP="00E2462C">
            <w:pPr>
              <w:spacing w:after="0" w:line="240" w:lineRule="auto"/>
              <w:rPr>
                <w:rFonts w:eastAsia="Times New Roman"/>
                <w:color w:val="auto"/>
                <w:spacing w:val="0"/>
                <w:sz w:val="20"/>
                <w:szCs w:val="20"/>
              </w:rPr>
            </w:pPr>
          </w:p>
        </w:tc>
      </w:tr>
      <w:tr w:rsidR="00E2462C" w:rsidRPr="00E2462C" w14:paraId="5A9EBDBC" w14:textId="77777777" w:rsidTr="0024181E">
        <w:trPr>
          <w:trHeight w:val="710"/>
        </w:trPr>
        <w:tc>
          <w:tcPr>
            <w:tcW w:w="4088"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3680B8C7"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98.86%</w:t>
            </w:r>
          </w:p>
        </w:tc>
        <w:tc>
          <w:tcPr>
            <w:tcW w:w="3813"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033D809D"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98%</w:t>
            </w:r>
          </w:p>
        </w:tc>
        <w:tc>
          <w:tcPr>
            <w:tcW w:w="2300" w:type="dxa"/>
            <w:tcBorders>
              <w:top w:val="nil"/>
              <w:left w:val="nil"/>
              <w:bottom w:val="single" w:sz="8" w:space="0" w:color="auto"/>
              <w:right w:val="single" w:sz="8" w:space="0" w:color="auto"/>
            </w:tcBorders>
            <w:shd w:val="clear" w:color="000000" w:fill="FFFFFF"/>
            <w:noWrap/>
            <w:vAlign w:val="center"/>
            <w:hideMark/>
          </w:tcPr>
          <w:p w14:paraId="697BC419"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98.63%</w:t>
            </w:r>
          </w:p>
        </w:tc>
        <w:tc>
          <w:tcPr>
            <w:tcW w:w="246" w:type="dxa"/>
            <w:vAlign w:val="center"/>
            <w:hideMark/>
          </w:tcPr>
          <w:p w14:paraId="4C1EF4B6" w14:textId="77777777" w:rsidR="00E2462C" w:rsidRPr="00E2462C" w:rsidRDefault="00E2462C" w:rsidP="00E2462C">
            <w:pPr>
              <w:spacing w:after="0" w:line="240" w:lineRule="auto"/>
              <w:rPr>
                <w:rFonts w:eastAsia="Times New Roman"/>
                <w:color w:val="auto"/>
                <w:spacing w:val="0"/>
                <w:sz w:val="20"/>
                <w:szCs w:val="20"/>
              </w:rPr>
            </w:pPr>
          </w:p>
        </w:tc>
      </w:tr>
      <w:tr w:rsidR="0024181E" w:rsidRPr="00E2462C" w14:paraId="4A6772C0" w14:textId="77777777" w:rsidTr="0024181E">
        <w:trPr>
          <w:trHeight w:val="870"/>
        </w:trPr>
        <w:tc>
          <w:tcPr>
            <w:tcW w:w="1549" w:type="dxa"/>
            <w:tcBorders>
              <w:top w:val="nil"/>
              <w:left w:val="single" w:sz="8" w:space="0" w:color="auto"/>
              <w:bottom w:val="single" w:sz="8" w:space="0" w:color="auto"/>
              <w:right w:val="single" w:sz="8" w:space="0" w:color="auto"/>
            </w:tcBorders>
            <w:shd w:val="clear" w:color="000000" w:fill="FFFFFF"/>
            <w:noWrap/>
            <w:vAlign w:val="center"/>
            <w:hideMark/>
          </w:tcPr>
          <w:p w14:paraId="16E1CA6A"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2,803,087.44</w:t>
            </w:r>
          </w:p>
        </w:tc>
        <w:tc>
          <w:tcPr>
            <w:tcW w:w="1204" w:type="dxa"/>
            <w:tcBorders>
              <w:top w:val="nil"/>
              <w:left w:val="nil"/>
              <w:bottom w:val="single" w:sz="8" w:space="0" w:color="auto"/>
              <w:right w:val="single" w:sz="8" w:space="0" w:color="auto"/>
            </w:tcBorders>
            <w:shd w:val="clear" w:color="000000" w:fill="FFFFFF"/>
            <w:noWrap/>
            <w:vAlign w:val="center"/>
            <w:hideMark/>
          </w:tcPr>
          <w:p w14:paraId="6F1EF44F"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2,804,237.44</w:t>
            </w:r>
          </w:p>
        </w:tc>
        <w:tc>
          <w:tcPr>
            <w:tcW w:w="1334" w:type="dxa"/>
            <w:tcBorders>
              <w:top w:val="nil"/>
              <w:left w:val="nil"/>
              <w:bottom w:val="single" w:sz="8" w:space="0" w:color="auto"/>
              <w:right w:val="single" w:sz="8" w:space="0" w:color="auto"/>
            </w:tcBorders>
            <w:shd w:val="clear" w:color="000000" w:fill="FFFFFF"/>
            <w:noWrap/>
            <w:vAlign w:val="center"/>
            <w:hideMark/>
          </w:tcPr>
          <w:p w14:paraId="118F768F"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5,099,413.44</w:t>
            </w:r>
          </w:p>
        </w:tc>
        <w:tc>
          <w:tcPr>
            <w:tcW w:w="1306" w:type="dxa"/>
            <w:tcBorders>
              <w:top w:val="nil"/>
              <w:left w:val="nil"/>
              <w:bottom w:val="single" w:sz="8" w:space="0" w:color="auto"/>
              <w:right w:val="single" w:sz="8" w:space="0" w:color="auto"/>
            </w:tcBorders>
            <w:shd w:val="clear" w:color="000000" w:fill="FFFFFF"/>
            <w:noWrap/>
            <w:vAlign w:val="center"/>
            <w:hideMark/>
          </w:tcPr>
          <w:p w14:paraId="47C4092A"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5,099,413.44</w:t>
            </w:r>
          </w:p>
        </w:tc>
        <w:tc>
          <w:tcPr>
            <w:tcW w:w="1286" w:type="dxa"/>
            <w:tcBorders>
              <w:top w:val="nil"/>
              <w:left w:val="nil"/>
              <w:bottom w:val="single" w:sz="8" w:space="0" w:color="auto"/>
              <w:right w:val="single" w:sz="8" w:space="0" w:color="auto"/>
            </w:tcBorders>
            <w:shd w:val="clear" w:color="000000" w:fill="FFFFFF"/>
            <w:noWrap/>
            <w:vAlign w:val="center"/>
            <w:hideMark/>
          </w:tcPr>
          <w:p w14:paraId="46A07975"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5,271,952.59</w:t>
            </w:r>
          </w:p>
        </w:tc>
        <w:tc>
          <w:tcPr>
            <w:tcW w:w="1220" w:type="dxa"/>
            <w:tcBorders>
              <w:top w:val="nil"/>
              <w:left w:val="nil"/>
              <w:bottom w:val="single" w:sz="8" w:space="0" w:color="auto"/>
              <w:right w:val="single" w:sz="8" w:space="0" w:color="auto"/>
            </w:tcBorders>
            <w:shd w:val="clear" w:color="000000" w:fill="FFFFFF"/>
            <w:vAlign w:val="center"/>
            <w:hideMark/>
          </w:tcPr>
          <w:p w14:paraId="1560583F"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0</w:t>
            </w:r>
          </w:p>
        </w:tc>
        <w:tc>
          <w:tcPr>
            <w:tcW w:w="2300" w:type="dxa"/>
            <w:tcBorders>
              <w:top w:val="nil"/>
              <w:left w:val="nil"/>
              <w:bottom w:val="single" w:sz="8" w:space="0" w:color="auto"/>
              <w:right w:val="single" w:sz="8" w:space="0" w:color="auto"/>
            </w:tcBorders>
            <w:shd w:val="clear" w:color="000000" w:fill="FFFFFF"/>
            <w:noWrap/>
            <w:vAlign w:val="center"/>
            <w:hideMark/>
          </w:tcPr>
          <w:p w14:paraId="2C261B17" w14:textId="77777777" w:rsidR="00E2462C" w:rsidRPr="00E2462C" w:rsidRDefault="00E2462C" w:rsidP="00E2462C">
            <w:pPr>
              <w:spacing w:after="0" w:line="240" w:lineRule="auto"/>
              <w:jc w:val="center"/>
              <w:rPr>
                <w:rFonts w:eastAsia="Times New Roman"/>
                <w:spacing w:val="0"/>
                <w:sz w:val="18"/>
                <w:szCs w:val="18"/>
              </w:rPr>
            </w:pPr>
            <w:r w:rsidRPr="00E2462C">
              <w:rPr>
                <w:rFonts w:eastAsia="Calibri"/>
                <w:spacing w:val="0"/>
                <w:sz w:val="18"/>
                <w:szCs w:val="18"/>
              </w:rPr>
              <w:t>39,373,775.20</w:t>
            </w:r>
          </w:p>
        </w:tc>
        <w:tc>
          <w:tcPr>
            <w:tcW w:w="246" w:type="dxa"/>
            <w:vAlign w:val="center"/>
            <w:hideMark/>
          </w:tcPr>
          <w:p w14:paraId="4CEA0FA8" w14:textId="77777777" w:rsidR="00E2462C" w:rsidRPr="00E2462C" w:rsidRDefault="00E2462C" w:rsidP="00E2462C">
            <w:pPr>
              <w:spacing w:after="0" w:line="240" w:lineRule="auto"/>
              <w:rPr>
                <w:rFonts w:eastAsia="Times New Roman"/>
                <w:color w:val="auto"/>
                <w:spacing w:val="0"/>
                <w:sz w:val="20"/>
                <w:szCs w:val="20"/>
              </w:rPr>
            </w:pPr>
          </w:p>
        </w:tc>
      </w:tr>
    </w:tbl>
    <w:p w14:paraId="01BB0BD2" w14:textId="77777777" w:rsidR="000A65D8" w:rsidRPr="00B47C98" w:rsidRDefault="000A65D8" w:rsidP="000A65D8">
      <w:pPr>
        <w:ind w:left="-1710"/>
        <w:rPr>
          <w:rFonts w:eastAsia="Calibri"/>
          <w:b/>
          <w:bCs/>
          <w:sz w:val="18"/>
          <w:szCs w:val="18"/>
          <w:lang w:val="es-DO"/>
        </w:rPr>
      </w:pPr>
    </w:p>
    <w:p w14:paraId="7FC138A0" w14:textId="4DE57C70" w:rsidR="000A65D8" w:rsidRPr="00B47C98" w:rsidRDefault="000A65D8" w:rsidP="000A65D8">
      <w:pPr>
        <w:ind w:left="-990"/>
        <w:rPr>
          <w:rFonts w:eastAsia="Calibri"/>
          <w:sz w:val="18"/>
          <w:szCs w:val="18"/>
          <w:lang w:val="es-DO"/>
        </w:rPr>
      </w:pPr>
      <w:r w:rsidRPr="00B47C98">
        <w:rPr>
          <w:rFonts w:eastAsia="Calibri"/>
          <w:b/>
          <w:bCs/>
          <w:sz w:val="18"/>
          <w:szCs w:val="18"/>
          <w:lang w:val="es-DO"/>
        </w:rPr>
        <w:t xml:space="preserve"> </w:t>
      </w:r>
      <w:r>
        <w:rPr>
          <w:rFonts w:eastAsia="Calibri"/>
          <w:b/>
          <w:bCs/>
          <w:sz w:val="18"/>
          <w:szCs w:val="18"/>
          <w:lang w:val="es-DO"/>
        </w:rPr>
        <w:t xml:space="preserve">                       </w:t>
      </w:r>
      <w:r w:rsidRPr="00B47C98">
        <w:rPr>
          <w:rFonts w:eastAsia="Calibri"/>
          <w:b/>
          <w:bCs/>
          <w:sz w:val="18"/>
          <w:szCs w:val="18"/>
          <w:lang w:val="es-DO"/>
        </w:rPr>
        <w:t>Fuente:</w:t>
      </w:r>
      <w:r w:rsidRPr="00B47C98">
        <w:rPr>
          <w:rFonts w:eastAsia="Calibri"/>
          <w:sz w:val="18"/>
          <w:szCs w:val="18"/>
          <w:lang w:val="es-DO"/>
        </w:rPr>
        <w:t xml:space="preserve"> Datos Internos Tesorería de la Seguridad Social. Ejecución Devengado al </w:t>
      </w:r>
      <w:r w:rsidRPr="00C3293D">
        <w:rPr>
          <w:rFonts w:eastAsia="Calibri"/>
          <w:sz w:val="18"/>
          <w:szCs w:val="18"/>
          <w:lang w:val="es-DO"/>
        </w:rPr>
        <w:t>30</w:t>
      </w:r>
      <w:r w:rsidRPr="00B47C98">
        <w:rPr>
          <w:rFonts w:eastAsia="Calibri"/>
          <w:sz w:val="18"/>
          <w:szCs w:val="18"/>
          <w:lang w:val="es-DO"/>
        </w:rPr>
        <w:t xml:space="preserve"> de </w:t>
      </w:r>
      <w:r w:rsidRPr="00C3293D">
        <w:rPr>
          <w:rFonts w:eastAsia="Calibri"/>
          <w:sz w:val="18"/>
          <w:szCs w:val="18"/>
          <w:lang w:val="es-DO"/>
        </w:rPr>
        <w:t>novi</w:t>
      </w:r>
      <w:r w:rsidRPr="00B47C98">
        <w:rPr>
          <w:rFonts w:eastAsia="Calibri"/>
          <w:sz w:val="18"/>
          <w:szCs w:val="18"/>
          <w:lang w:val="es-DO"/>
        </w:rPr>
        <w:t>embre del 202</w:t>
      </w:r>
      <w:r w:rsidRPr="00C3293D">
        <w:rPr>
          <w:rFonts w:eastAsia="Calibri"/>
          <w:sz w:val="18"/>
          <w:szCs w:val="18"/>
          <w:lang w:val="es-DO"/>
        </w:rPr>
        <w:t>4</w:t>
      </w:r>
      <w:r w:rsidRPr="00B47C98">
        <w:rPr>
          <w:rFonts w:eastAsia="Calibri"/>
          <w:sz w:val="18"/>
          <w:szCs w:val="18"/>
          <w:lang w:val="es-DO"/>
        </w:rPr>
        <w:t>.</w:t>
      </w:r>
    </w:p>
    <w:p w14:paraId="074BA40E" w14:textId="77777777" w:rsidR="00E2462C" w:rsidRDefault="00E2462C" w:rsidP="0024181E">
      <w:pPr>
        <w:rPr>
          <w:rFonts w:eastAsia="Calibri"/>
          <w:b/>
          <w:bCs/>
          <w:sz w:val="18"/>
          <w:szCs w:val="18"/>
          <w:lang w:val="es-DO"/>
        </w:rPr>
      </w:pPr>
    </w:p>
    <w:p w14:paraId="11D793C1" w14:textId="7BA7A989" w:rsidR="00E2462C" w:rsidRPr="000A65D8" w:rsidRDefault="000A65D8" w:rsidP="000A65D8">
      <w:pPr>
        <w:keepNext/>
        <w:keepLines/>
        <w:spacing w:before="240" w:after="240"/>
        <w:ind w:left="-2160"/>
        <w:jc w:val="center"/>
        <w:outlineLvl w:val="0"/>
        <w:rPr>
          <w:rFonts w:eastAsiaTheme="majorEastAsia" w:cstheme="majorBidi"/>
          <w:b/>
          <w:color w:val="767171" w:themeColor="background2" w:themeShade="80"/>
          <w:spacing w:val="0"/>
          <w:sz w:val="28"/>
          <w:szCs w:val="32"/>
          <w:lang w:val="es-DO"/>
        </w:rPr>
      </w:pPr>
      <w:r w:rsidRPr="000A65D8">
        <w:rPr>
          <w:rFonts w:eastAsiaTheme="majorEastAsia" w:cstheme="majorBidi"/>
          <w:b/>
          <w:color w:val="767171" w:themeColor="background2" w:themeShade="80"/>
          <w:spacing w:val="0"/>
          <w:sz w:val="28"/>
          <w:szCs w:val="32"/>
          <w:lang w:val="es-DO"/>
        </w:rPr>
        <w:lastRenderedPageBreak/>
        <w:t xml:space="preserve">                                           </w:t>
      </w:r>
      <w:bookmarkStart w:id="280" w:name="_Toc185245125"/>
      <w:r w:rsidRPr="000A65D8">
        <w:rPr>
          <w:rFonts w:eastAsiaTheme="majorEastAsia" w:cstheme="majorBidi"/>
          <w:b/>
          <w:color w:val="767171" w:themeColor="background2" w:themeShade="80"/>
          <w:spacing w:val="0"/>
          <w:sz w:val="28"/>
          <w:szCs w:val="32"/>
          <w:lang w:val="es-DO"/>
        </w:rPr>
        <w:t>7.2 Anexo 2: Matriz de los Principales Indicadores de la Gestión por Procesos</w:t>
      </w:r>
      <w:bookmarkEnd w:id="280"/>
    </w:p>
    <w:p w14:paraId="17D48B7B" w14:textId="01664504" w:rsidR="009A7266" w:rsidRDefault="009A7266" w:rsidP="00EE3355">
      <w:pPr>
        <w:pStyle w:val="Heading1"/>
        <w:spacing w:line="259" w:lineRule="auto"/>
        <w:ind w:left="-1800" w:hanging="90"/>
        <w:rPr>
          <w:spacing w:val="0"/>
          <w:lang w:val="es-DO"/>
        </w:rPr>
      </w:pPr>
    </w:p>
    <w:tbl>
      <w:tblPr>
        <w:tblStyle w:val="TableGrid"/>
        <w:tblpPr w:leftFromText="141" w:rightFromText="141" w:vertAnchor="page" w:horzAnchor="margin" w:tblpY="2455"/>
        <w:tblW w:w="11245" w:type="dxa"/>
        <w:tblLook w:val="04A0" w:firstRow="1" w:lastRow="0" w:firstColumn="1" w:lastColumn="0" w:noHBand="0" w:noVBand="1"/>
      </w:tblPr>
      <w:tblGrid>
        <w:gridCol w:w="514"/>
        <w:gridCol w:w="1807"/>
        <w:gridCol w:w="1599"/>
        <w:gridCol w:w="1860"/>
        <w:gridCol w:w="1491"/>
        <w:gridCol w:w="862"/>
        <w:gridCol w:w="1112"/>
        <w:gridCol w:w="2000"/>
      </w:tblGrid>
      <w:tr w:rsidR="009A7266" w:rsidRPr="009A7266" w14:paraId="1086DB21" w14:textId="77777777" w:rsidTr="0024181E">
        <w:trPr>
          <w:trHeight w:val="684"/>
          <w:tblHeader/>
        </w:trPr>
        <w:tc>
          <w:tcPr>
            <w:tcW w:w="514" w:type="dxa"/>
            <w:shd w:val="clear" w:color="auto" w:fill="1F3864" w:themeFill="accent1" w:themeFillShade="80"/>
            <w:vAlign w:val="center"/>
            <w:hideMark/>
          </w:tcPr>
          <w:p w14:paraId="5F1B146C" w14:textId="77777777" w:rsidR="009A7266" w:rsidRPr="009A7266" w:rsidRDefault="009A7266" w:rsidP="009A7266">
            <w:pPr>
              <w:jc w:val="center"/>
              <w:rPr>
                <w:b/>
                <w:bCs/>
                <w:lang w:val="es-DO" w:eastAsia="es-DO"/>
              </w:rPr>
            </w:pPr>
            <w:r w:rsidRPr="009A7266">
              <w:rPr>
                <w:b/>
                <w:bCs/>
                <w:color w:val="FFFFFF"/>
                <w:sz w:val="18"/>
                <w:szCs w:val="18"/>
                <w:lang w:val="es-DO" w:eastAsia="es-DO"/>
              </w:rPr>
              <w:t>NO.</w:t>
            </w:r>
          </w:p>
        </w:tc>
        <w:tc>
          <w:tcPr>
            <w:tcW w:w="1807" w:type="dxa"/>
            <w:shd w:val="clear" w:color="auto" w:fill="1F3864" w:themeFill="accent1" w:themeFillShade="80"/>
            <w:vAlign w:val="center"/>
            <w:hideMark/>
          </w:tcPr>
          <w:p w14:paraId="2CEB5F6F" w14:textId="77777777" w:rsidR="009A7266" w:rsidRPr="009A7266" w:rsidRDefault="009A7266" w:rsidP="009A7266">
            <w:pPr>
              <w:jc w:val="center"/>
              <w:rPr>
                <w:b/>
                <w:bCs/>
                <w:lang w:val="es-DO" w:eastAsia="es-DO"/>
              </w:rPr>
            </w:pPr>
            <w:r w:rsidRPr="009A7266">
              <w:rPr>
                <w:b/>
                <w:bCs/>
                <w:color w:val="FFFFFF"/>
                <w:sz w:val="18"/>
                <w:szCs w:val="18"/>
                <w:lang w:val="es-DO" w:eastAsia="es-DO"/>
              </w:rPr>
              <w:t>ÁREA</w:t>
            </w:r>
          </w:p>
        </w:tc>
        <w:tc>
          <w:tcPr>
            <w:tcW w:w="1599" w:type="dxa"/>
            <w:shd w:val="clear" w:color="auto" w:fill="1F3864" w:themeFill="accent1" w:themeFillShade="80"/>
            <w:vAlign w:val="center"/>
            <w:hideMark/>
          </w:tcPr>
          <w:p w14:paraId="5CB8E3E3" w14:textId="77777777" w:rsidR="009A7266" w:rsidRPr="009A7266" w:rsidRDefault="009A7266" w:rsidP="009A7266">
            <w:pPr>
              <w:jc w:val="center"/>
              <w:rPr>
                <w:b/>
                <w:bCs/>
                <w:lang w:val="es-DO" w:eastAsia="es-DO"/>
              </w:rPr>
            </w:pPr>
            <w:r w:rsidRPr="009A7266">
              <w:rPr>
                <w:b/>
                <w:bCs/>
                <w:color w:val="FFFFFF"/>
                <w:sz w:val="18"/>
                <w:szCs w:val="18"/>
                <w:lang w:val="es-DO" w:eastAsia="es-DO"/>
              </w:rPr>
              <w:t>PROCESO</w:t>
            </w:r>
          </w:p>
        </w:tc>
        <w:tc>
          <w:tcPr>
            <w:tcW w:w="1860" w:type="dxa"/>
            <w:shd w:val="clear" w:color="auto" w:fill="1F3864" w:themeFill="accent1" w:themeFillShade="80"/>
            <w:vAlign w:val="center"/>
          </w:tcPr>
          <w:p w14:paraId="3C0B6F01" w14:textId="77777777" w:rsidR="009A7266" w:rsidRPr="009A7266" w:rsidRDefault="009A7266" w:rsidP="009A7266">
            <w:pPr>
              <w:jc w:val="center"/>
              <w:rPr>
                <w:b/>
                <w:bCs/>
                <w:color w:val="FFFFFF"/>
                <w:sz w:val="18"/>
                <w:szCs w:val="18"/>
                <w:lang w:val="es-DO" w:eastAsia="es-DO"/>
              </w:rPr>
            </w:pPr>
            <w:r w:rsidRPr="009A7266">
              <w:rPr>
                <w:b/>
                <w:bCs/>
                <w:color w:val="FFFFFF"/>
                <w:sz w:val="18"/>
                <w:szCs w:val="18"/>
                <w:lang w:val="es-DO" w:eastAsia="es-DO"/>
              </w:rPr>
              <w:t>NOMBRE DEL INDICADOR</w:t>
            </w:r>
          </w:p>
        </w:tc>
        <w:tc>
          <w:tcPr>
            <w:tcW w:w="1491" w:type="dxa"/>
            <w:shd w:val="clear" w:color="auto" w:fill="1F3864" w:themeFill="accent1" w:themeFillShade="80"/>
            <w:vAlign w:val="center"/>
            <w:hideMark/>
          </w:tcPr>
          <w:p w14:paraId="1DAE56A7" w14:textId="77777777" w:rsidR="009A7266" w:rsidRPr="009A7266" w:rsidRDefault="009A7266" w:rsidP="009A7266">
            <w:pPr>
              <w:jc w:val="center"/>
              <w:rPr>
                <w:b/>
                <w:bCs/>
                <w:lang w:val="es-DO" w:eastAsia="es-DO"/>
              </w:rPr>
            </w:pPr>
            <w:r w:rsidRPr="009A7266">
              <w:rPr>
                <w:b/>
                <w:bCs/>
                <w:color w:val="FFFFFF"/>
                <w:sz w:val="18"/>
                <w:szCs w:val="18"/>
                <w:lang w:val="es-DO" w:eastAsia="es-DO"/>
              </w:rPr>
              <w:t>FRECUENCIA</w:t>
            </w:r>
          </w:p>
        </w:tc>
        <w:tc>
          <w:tcPr>
            <w:tcW w:w="862" w:type="dxa"/>
            <w:shd w:val="clear" w:color="auto" w:fill="1F3864" w:themeFill="accent1" w:themeFillShade="80"/>
            <w:vAlign w:val="center"/>
            <w:hideMark/>
          </w:tcPr>
          <w:p w14:paraId="443EFD9D" w14:textId="77777777" w:rsidR="009A7266" w:rsidRPr="009A7266" w:rsidRDefault="009A7266" w:rsidP="009A7266">
            <w:pPr>
              <w:jc w:val="center"/>
              <w:rPr>
                <w:b/>
                <w:bCs/>
                <w:color w:val="FFFFFF"/>
                <w:sz w:val="18"/>
                <w:szCs w:val="18"/>
                <w:lang w:val="es-DO" w:eastAsia="es-DO"/>
              </w:rPr>
            </w:pPr>
            <w:r w:rsidRPr="009A7266">
              <w:rPr>
                <w:b/>
                <w:bCs/>
                <w:color w:val="FFFFFF"/>
                <w:sz w:val="18"/>
                <w:szCs w:val="18"/>
                <w:lang w:val="es-DO" w:eastAsia="es-DO"/>
              </w:rPr>
              <w:t>META</w:t>
            </w:r>
          </w:p>
        </w:tc>
        <w:tc>
          <w:tcPr>
            <w:tcW w:w="1112" w:type="dxa"/>
            <w:shd w:val="clear" w:color="auto" w:fill="1F3864" w:themeFill="accent1" w:themeFillShade="80"/>
            <w:vAlign w:val="center"/>
            <w:hideMark/>
          </w:tcPr>
          <w:p w14:paraId="3F944BAC" w14:textId="77777777" w:rsidR="009A7266" w:rsidRPr="009A7266" w:rsidRDefault="009A7266" w:rsidP="009A7266">
            <w:pPr>
              <w:jc w:val="center"/>
              <w:rPr>
                <w:b/>
                <w:bCs/>
                <w:lang w:val="es-DO" w:eastAsia="es-DO"/>
              </w:rPr>
            </w:pPr>
            <w:r w:rsidRPr="009A7266">
              <w:rPr>
                <w:b/>
                <w:bCs/>
                <w:color w:val="FFFFFF"/>
                <w:sz w:val="18"/>
                <w:szCs w:val="18"/>
                <w:lang w:val="es-DO" w:eastAsia="es-DO"/>
              </w:rPr>
              <w:t>LOGRO</w:t>
            </w:r>
          </w:p>
        </w:tc>
        <w:tc>
          <w:tcPr>
            <w:tcW w:w="2000" w:type="dxa"/>
            <w:shd w:val="clear" w:color="auto" w:fill="1F3864" w:themeFill="accent1" w:themeFillShade="80"/>
            <w:vAlign w:val="center"/>
            <w:hideMark/>
          </w:tcPr>
          <w:p w14:paraId="3727E4F2" w14:textId="77777777" w:rsidR="009A7266" w:rsidRPr="009A7266" w:rsidRDefault="009A7266" w:rsidP="009A7266">
            <w:pPr>
              <w:jc w:val="center"/>
              <w:rPr>
                <w:b/>
                <w:bCs/>
                <w:lang w:val="es-DO" w:eastAsia="es-DO"/>
              </w:rPr>
            </w:pPr>
            <w:r w:rsidRPr="009A7266">
              <w:rPr>
                <w:b/>
                <w:bCs/>
                <w:color w:val="FFFFFF"/>
                <w:sz w:val="18"/>
                <w:szCs w:val="18"/>
                <w:lang w:val="es-DO" w:eastAsia="es-DO"/>
              </w:rPr>
              <w:t>RESULTADO</w:t>
            </w:r>
          </w:p>
        </w:tc>
      </w:tr>
      <w:tr w:rsidR="009A7266" w:rsidRPr="004B1D7E" w14:paraId="447E1D0B" w14:textId="77777777" w:rsidTr="0024181E">
        <w:trPr>
          <w:trHeight w:val="516"/>
        </w:trPr>
        <w:tc>
          <w:tcPr>
            <w:tcW w:w="514" w:type="dxa"/>
            <w:noWrap/>
          </w:tcPr>
          <w:p w14:paraId="209131D8" w14:textId="77777777" w:rsidR="009A7266" w:rsidRPr="009A7266" w:rsidRDefault="009A7266" w:rsidP="009A7266">
            <w:pPr>
              <w:rPr>
                <w:rFonts w:ascii="Times New Roman" w:eastAsia="Calibri" w:hAnsi="Times New Roman" w:cs="Times New Roman"/>
                <w:color w:val="767171"/>
                <w:spacing w:val="20"/>
                <w:sz w:val="18"/>
                <w:szCs w:val="18"/>
                <w:lang w:val="es-DO" w:eastAsia="es-DO"/>
              </w:rPr>
            </w:pPr>
            <w:r w:rsidRPr="009A7266">
              <w:rPr>
                <w:rFonts w:ascii="Times New Roman" w:eastAsia="Calibri" w:hAnsi="Times New Roman" w:cs="Times New Roman"/>
                <w:color w:val="767171"/>
                <w:spacing w:val="20"/>
                <w:sz w:val="18"/>
                <w:szCs w:val="18"/>
                <w:lang w:val="es-DO" w:eastAsia="es-DO"/>
              </w:rPr>
              <w:t>1</w:t>
            </w:r>
          </w:p>
        </w:tc>
        <w:tc>
          <w:tcPr>
            <w:tcW w:w="1807" w:type="dxa"/>
            <w:vAlign w:val="center"/>
          </w:tcPr>
          <w:p w14:paraId="7D31EF6D"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Dirección de Fiscalización Externa</w:t>
            </w:r>
          </w:p>
        </w:tc>
        <w:tc>
          <w:tcPr>
            <w:tcW w:w="1599" w:type="dxa"/>
            <w:noWrap/>
            <w:vAlign w:val="center"/>
          </w:tcPr>
          <w:p w14:paraId="7FBB1F21"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48A642FA"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2D6452C1"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Prestación de servicios</w:t>
            </w:r>
          </w:p>
        </w:tc>
        <w:tc>
          <w:tcPr>
            <w:tcW w:w="1860" w:type="dxa"/>
            <w:vAlign w:val="center"/>
          </w:tcPr>
          <w:p w14:paraId="7CC77919"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0B7D9CC3"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6CF38EDF"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Índice de evasión/omisión</w:t>
            </w:r>
          </w:p>
        </w:tc>
        <w:tc>
          <w:tcPr>
            <w:tcW w:w="1491" w:type="dxa"/>
            <w:noWrap/>
            <w:vAlign w:val="center"/>
          </w:tcPr>
          <w:p w14:paraId="56BCFD64"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2B51D340"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7D2203A1"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Trimestral</w:t>
            </w:r>
          </w:p>
        </w:tc>
        <w:tc>
          <w:tcPr>
            <w:tcW w:w="862" w:type="dxa"/>
            <w:noWrap/>
            <w:vAlign w:val="center"/>
          </w:tcPr>
          <w:p w14:paraId="1CF23F56"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N/A</w:t>
            </w:r>
          </w:p>
        </w:tc>
        <w:tc>
          <w:tcPr>
            <w:tcW w:w="1112" w:type="dxa"/>
            <w:noWrap/>
            <w:vAlign w:val="center"/>
          </w:tcPr>
          <w:p w14:paraId="147485DC"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Estudio realizado</w:t>
            </w:r>
          </w:p>
        </w:tc>
        <w:tc>
          <w:tcPr>
            <w:tcW w:w="2000" w:type="dxa"/>
            <w:noWrap/>
            <w:vAlign w:val="center"/>
          </w:tcPr>
          <w:p w14:paraId="55400490"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13FBF8A2"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Disminuido los índices de evasión y omisión para el fortalecimiento del SDSS.</w:t>
            </w:r>
          </w:p>
        </w:tc>
      </w:tr>
      <w:tr w:rsidR="009A7266" w:rsidRPr="004B1D7E" w14:paraId="52265918" w14:textId="77777777" w:rsidTr="0024181E">
        <w:trPr>
          <w:trHeight w:val="931"/>
        </w:trPr>
        <w:tc>
          <w:tcPr>
            <w:tcW w:w="514" w:type="dxa"/>
            <w:noWrap/>
          </w:tcPr>
          <w:p w14:paraId="352CFFB2" w14:textId="77777777" w:rsidR="009A7266" w:rsidRPr="009A7266" w:rsidRDefault="009A7266" w:rsidP="009A7266">
            <w:pPr>
              <w:rPr>
                <w:rFonts w:ascii="Times New Roman" w:eastAsia="Calibri" w:hAnsi="Times New Roman" w:cs="Times New Roman"/>
                <w:color w:val="767171"/>
                <w:spacing w:val="20"/>
                <w:sz w:val="18"/>
                <w:szCs w:val="18"/>
                <w:lang w:val="es-DO" w:eastAsia="es-DO"/>
              </w:rPr>
            </w:pPr>
            <w:r w:rsidRPr="009A7266">
              <w:rPr>
                <w:rFonts w:ascii="Times New Roman" w:eastAsia="Calibri" w:hAnsi="Times New Roman" w:cs="Times New Roman"/>
                <w:color w:val="767171"/>
                <w:spacing w:val="20"/>
                <w:sz w:val="18"/>
                <w:szCs w:val="18"/>
                <w:lang w:val="es-DO" w:eastAsia="es-DO"/>
              </w:rPr>
              <w:t>2</w:t>
            </w:r>
          </w:p>
        </w:tc>
        <w:tc>
          <w:tcPr>
            <w:tcW w:w="1807" w:type="dxa"/>
            <w:vAlign w:val="center"/>
          </w:tcPr>
          <w:p w14:paraId="1A5A1B32"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0DD2043D"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4CF95F0B"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Dirección de Fiscalización Externa</w:t>
            </w:r>
          </w:p>
        </w:tc>
        <w:tc>
          <w:tcPr>
            <w:tcW w:w="1599" w:type="dxa"/>
            <w:noWrap/>
            <w:vAlign w:val="center"/>
          </w:tcPr>
          <w:p w14:paraId="15BFFC65"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0142688A"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6BB1324C"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Prestación de servicios</w:t>
            </w:r>
          </w:p>
        </w:tc>
        <w:tc>
          <w:tcPr>
            <w:tcW w:w="1860" w:type="dxa"/>
            <w:vAlign w:val="center"/>
          </w:tcPr>
          <w:p w14:paraId="07E38859"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Cantidad de auditorías realizadas a empleadores y unidades receptoras de fondos</w:t>
            </w:r>
          </w:p>
        </w:tc>
        <w:tc>
          <w:tcPr>
            <w:tcW w:w="1491" w:type="dxa"/>
            <w:noWrap/>
            <w:vAlign w:val="center"/>
          </w:tcPr>
          <w:p w14:paraId="3EF26B37"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Trimestral</w:t>
            </w:r>
          </w:p>
        </w:tc>
        <w:tc>
          <w:tcPr>
            <w:tcW w:w="862" w:type="dxa"/>
            <w:noWrap/>
            <w:vAlign w:val="center"/>
          </w:tcPr>
          <w:p w14:paraId="7507EF40" w14:textId="4D788D55" w:rsidR="009A7266" w:rsidRPr="009A7266" w:rsidRDefault="001F00BD" w:rsidP="009A7266">
            <w:pPr>
              <w:pStyle w:val="xxmsonormal"/>
              <w:jc w:val="center"/>
              <w:rPr>
                <w:rFonts w:ascii="Times New Roman" w:eastAsia="Calibri" w:hAnsi="Times New Roman" w:cs="Times New Roman"/>
                <w:color w:val="767171"/>
                <w:spacing w:val="20"/>
                <w:sz w:val="18"/>
                <w:szCs w:val="18"/>
              </w:rPr>
            </w:pPr>
            <w:r>
              <w:rPr>
                <w:rFonts w:ascii="Times New Roman" w:eastAsia="Calibri" w:hAnsi="Times New Roman" w:cs="Times New Roman"/>
                <w:color w:val="767171"/>
                <w:spacing w:val="20"/>
                <w:sz w:val="18"/>
                <w:szCs w:val="18"/>
              </w:rPr>
              <w:t>1975</w:t>
            </w:r>
          </w:p>
        </w:tc>
        <w:tc>
          <w:tcPr>
            <w:tcW w:w="1112" w:type="dxa"/>
            <w:noWrap/>
            <w:vAlign w:val="center"/>
          </w:tcPr>
          <w:p w14:paraId="4C725506" w14:textId="7BFAC16B" w:rsidR="009A7266" w:rsidRPr="009A7266" w:rsidRDefault="001F00BD" w:rsidP="009A7266">
            <w:pPr>
              <w:pStyle w:val="xxmsonormal"/>
              <w:jc w:val="center"/>
              <w:rPr>
                <w:rFonts w:ascii="Times New Roman" w:eastAsia="Calibri" w:hAnsi="Times New Roman" w:cs="Times New Roman"/>
                <w:color w:val="767171"/>
                <w:spacing w:val="20"/>
                <w:sz w:val="18"/>
                <w:szCs w:val="18"/>
              </w:rPr>
            </w:pPr>
            <w:r>
              <w:rPr>
                <w:rFonts w:ascii="Times New Roman" w:eastAsia="Calibri" w:hAnsi="Times New Roman" w:cs="Times New Roman"/>
                <w:color w:val="767171"/>
                <w:spacing w:val="20"/>
                <w:sz w:val="18"/>
                <w:szCs w:val="18"/>
              </w:rPr>
              <w:t>946</w:t>
            </w:r>
          </w:p>
        </w:tc>
        <w:tc>
          <w:tcPr>
            <w:tcW w:w="2000" w:type="dxa"/>
            <w:noWrap/>
            <w:vAlign w:val="center"/>
          </w:tcPr>
          <w:p w14:paraId="59349AE0"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Disminuido los índices de evasión y omisión para el fortalecimiento del SDSS.</w:t>
            </w:r>
          </w:p>
        </w:tc>
      </w:tr>
      <w:tr w:rsidR="009A7266" w:rsidRPr="004B1D7E" w14:paraId="05A44FCA" w14:textId="77777777" w:rsidTr="0024181E">
        <w:trPr>
          <w:trHeight w:val="798"/>
        </w:trPr>
        <w:tc>
          <w:tcPr>
            <w:tcW w:w="514" w:type="dxa"/>
            <w:noWrap/>
          </w:tcPr>
          <w:p w14:paraId="2434BFC4" w14:textId="77777777" w:rsidR="009A7266" w:rsidRPr="009A7266" w:rsidRDefault="009A7266" w:rsidP="009A7266">
            <w:pPr>
              <w:rPr>
                <w:rFonts w:ascii="Times New Roman" w:eastAsia="Calibri" w:hAnsi="Times New Roman" w:cs="Times New Roman"/>
                <w:color w:val="767171"/>
                <w:spacing w:val="20"/>
                <w:sz w:val="18"/>
                <w:szCs w:val="18"/>
                <w:lang w:val="es-DO" w:eastAsia="es-DO"/>
              </w:rPr>
            </w:pPr>
            <w:r w:rsidRPr="009A7266">
              <w:rPr>
                <w:rFonts w:ascii="Times New Roman" w:eastAsia="Calibri" w:hAnsi="Times New Roman" w:cs="Times New Roman"/>
                <w:color w:val="767171"/>
                <w:spacing w:val="20"/>
                <w:sz w:val="18"/>
                <w:szCs w:val="18"/>
                <w:lang w:val="es-DO" w:eastAsia="es-DO"/>
              </w:rPr>
              <w:t>3</w:t>
            </w:r>
          </w:p>
        </w:tc>
        <w:tc>
          <w:tcPr>
            <w:tcW w:w="1807" w:type="dxa"/>
            <w:vAlign w:val="center"/>
          </w:tcPr>
          <w:p w14:paraId="16AD9813"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1CAFCA86"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Dirección Jurídica</w:t>
            </w:r>
          </w:p>
        </w:tc>
        <w:tc>
          <w:tcPr>
            <w:tcW w:w="1599" w:type="dxa"/>
            <w:noWrap/>
            <w:vAlign w:val="center"/>
          </w:tcPr>
          <w:p w14:paraId="1EF9444F"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5BBE4511"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2D6C8A1F"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Prestación de servicios</w:t>
            </w:r>
          </w:p>
        </w:tc>
        <w:tc>
          <w:tcPr>
            <w:tcW w:w="1860" w:type="dxa"/>
            <w:vAlign w:val="center"/>
          </w:tcPr>
          <w:p w14:paraId="37FBA526"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4BFB6D22"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07969263"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Índice de recaudo</w:t>
            </w:r>
          </w:p>
        </w:tc>
        <w:tc>
          <w:tcPr>
            <w:tcW w:w="1491" w:type="dxa"/>
            <w:noWrap/>
            <w:vAlign w:val="center"/>
          </w:tcPr>
          <w:p w14:paraId="367A9C0F"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18C1B8DA"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5ADD4F05"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Trimestral</w:t>
            </w:r>
          </w:p>
        </w:tc>
        <w:tc>
          <w:tcPr>
            <w:tcW w:w="862" w:type="dxa"/>
            <w:noWrap/>
            <w:vAlign w:val="center"/>
          </w:tcPr>
          <w:p w14:paraId="772D6C1F" w14:textId="05AFFB9A" w:rsidR="009A7266" w:rsidRPr="009A7266" w:rsidRDefault="001F00BD" w:rsidP="009A7266">
            <w:pPr>
              <w:pStyle w:val="xxmsonormal"/>
              <w:jc w:val="center"/>
              <w:rPr>
                <w:rFonts w:ascii="Times New Roman" w:eastAsia="Calibri" w:hAnsi="Times New Roman" w:cs="Times New Roman"/>
                <w:color w:val="767171"/>
                <w:spacing w:val="20"/>
                <w:sz w:val="18"/>
                <w:szCs w:val="18"/>
              </w:rPr>
            </w:pPr>
            <w:r>
              <w:rPr>
                <w:rFonts w:ascii="Times New Roman" w:eastAsia="Calibri" w:hAnsi="Times New Roman" w:cs="Times New Roman"/>
                <w:color w:val="767171"/>
                <w:spacing w:val="20"/>
                <w:sz w:val="18"/>
                <w:szCs w:val="18"/>
              </w:rPr>
              <w:t>90</w:t>
            </w:r>
          </w:p>
        </w:tc>
        <w:tc>
          <w:tcPr>
            <w:tcW w:w="1112" w:type="dxa"/>
            <w:noWrap/>
            <w:vAlign w:val="center"/>
          </w:tcPr>
          <w:p w14:paraId="2499E463" w14:textId="05D70C89"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5E6195">
              <w:rPr>
                <w:rFonts w:ascii="Times New Roman" w:eastAsia="Calibri" w:hAnsi="Times New Roman" w:cs="Times New Roman"/>
                <w:color w:val="767171"/>
                <w:spacing w:val="20"/>
                <w:sz w:val="18"/>
                <w:szCs w:val="18"/>
              </w:rPr>
              <w:t>98.</w:t>
            </w:r>
            <w:r w:rsidR="005E6195" w:rsidRPr="005E6195">
              <w:rPr>
                <w:rFonts w:ascii="Times New Roman" w:eastAsia="Calibri" w:hAnsi="Times New Roman" w:cs="Times New Roman"/>
                <w:color w:val="767171"/>
                <w:spacing w:val="20"/>
                <w:sz w:val="18"/>
                <w:szCs w:val="18"/>
              </w:rPr>
              <w:t>86</w:t>
            </w:r>
            <w:r w:rsidRPr="009A7266">
              <w:rPr>
                <w:rFonts w:ascii="Times New Roman" w:eastAsia="Calibri" w:hAnsi="Times New Roman" w:cs="Times New Roman"/>
                <w:color w:val="767171"/>
                <w:spacing w:val="20"/>
                <w:sz w:val="18"/>
                <w:szCs w:val="18"/>
              </w:rPr>
              <w:t>%</w:t>
            </w:r>
          </w:p>
        </w:tc>
        <w:tc>
          <w:tcPr>
            <w:tcW w:w="2000" w:type="dxa"/>
            <w:noWrap/>
            <w:vAlign w:val="center"/>
          </w:tcPr>
          <w:p w14:paraId="3EDB7F02"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Incrementados los pagos oportunos entre los empleadores</w:t>
            </w:r>
          </w:p>
        </w:tc>
      </w:tr>
      <w:tr w:rsidR="009A7266" w:rsidRPr="004B1D7E" w14:paraId="45BE45A4" w14:textId="77777777" w:rsidTr="0024181E">
        <w:trPr>
          <w:trHeight w:val="941"/>
        </w:trPr>
        <w:tc>
          <w:tcPr>
            <w:tcW w:w="514" w:type="dxa"/>
            <w:noWrap/>
          </w:tcPr>
          <w:p w14:paraId="0B95A69E" w14:textId="77777777" w:rsidR="009A7266" w:rsidRPr="009A7266" w:rsidRDefault="009A7266" w:rsidP="009A7266">
            <w:pPr>
              <w:rPr>
                <w:rFonts w:ascii="Times New Roman" w:eastAsia="Calibri" w:hAnsi="Times New Roman" w:cs="Times New Roman"/>
                <w:color w:val="767171"/>
                <w:spacing w:val="20"/>
                <w:sz w:val="18"/>
                <w:szCs w:val="18"/>
                <w:lang w:val="es-DO" w:eastAsia="es-DO"/>
              </w:rPr>
            </w:pPr>
            <w:r w:rsidRPr="009A7266">
              <w:rPr>
                <w:rFonts w:ascii="Times New Roman" w:eastAsia="Calibri" w:hAnsi="Times New Roman" w:cs="Times New Roman"/>
                <w:color w:val="767171"/>
                <w:spacing w:val="20"/>
                <w:sz w:val="18"/>
                <w:szCs w:val="18"/>
                <w:lang w:val="es-DO" w:eastAsia="es-DO"/>
              </w:rPr>
              <w:t>4</w:t>
            </w:r>
          </w:p>
        </w:tc>
        <w:tc>
          <w:tcPr>
            <w:tcW w:w="1807" w:type="dxa"/>
            <w:vAlign w:val="center"/>
          </w:tcPr>
          <w:p w14:paraId="0725B1A6"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Dirección de Tecnologías de la Información y Comunicaciones</w:t>
            </w:r>
          </w:p>
        </w:tc>
        <w:tc>
          <w:tcPr>
            <w:tcW w:w="1599" w:type="dxa"/>
            <w:noWrap/>
            <w:vAlign w:val="center"/>
          </w:tcPr>
          <w:p w14:paraId="4C1CF443"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0DD388B5"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De apoyo</w:t>
            </w:r>
          </w:p>
        </w:tc>
        <w:tc>
          <w:tcPr>
            <w:tcW w:w="1860" w:type="dxa"/>
            <w:vAlign w:val="center"/>
          </w:tcPr>
          <w:p w14:paraId="07303D7B"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Cantidad de documentos publicados</w:t>
            </w:r>
          </w:p>
        </w:tc>
        <w:tc>
          <w:tcPr>
            <w:tcW w:w="1491" w:type="dxa"/>
            <w:noWrap/>
            <w:vAlign w:val="center"/>
          </w:tcPr>
          <w:p w14:paraId="60B35439"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5AB305EB"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Semestral</w:t>
            </w:r>
          </w:p>
        </w:tc>
        <w:tc>
          <w:tcPr>
            <w:tcW w:w="862" w:type="dxa"/>
            <w:noWrap/>
            <w:vAlign w:val="center"/>
          </w:tcPr>
          <w:p w14:paraId="20F6E1D6"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12</w:t>
            </w:r>
          </w:p>
        </w:tc>
        <w:tc>
          <w:tcPr>
            <w:tcW w:w="1112" w:type="dxa"/>
            <w:noWrap/>
            <w:vAlign w:val="center"/>
          </w:tcPr>
          <w:p w14:paraId="3A42A3F0"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12</w:t>
            </w:r>
          </w:p>
        </w:tc>
        <w:tc>
          <w:tcPr>
            <w:tcW w:w="2000" w:type="dxa"/>
            <w:noWrap/>
            <w:vAlign w:val="center"/>
          </w:tcPr>
          <w:p w14:paraId="2997F5D2"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Incrementada la difusión de datos y la producción de análisis estadístico respecto al SDSS y el mercado laboral</w:t>
            </w:r>
          </w:p>
        </w:tc>
      </w:tr>
      <w:tr w:rsidR="009A7266" w:rsidRPr="004B1D7E" w14:paraId="08C36109" w14:textId="77777777" w:rsidTr="0024181E">
        <w:trPr>
          <w:trHeight w:val="553"/>
        </w:trPr>
        <w:tc>
          <w:tcPr>
            <w:tcW w:w="514" w:type="dxa"/>
            <w:noWrap/>
          </w:tcPr>
          <w:p w14:paraId="2F8281F1" w14:textId="77777777" w:rsidR="009A7266" w:rsidRPr="009A7266" w:rsidRDefault="009A7266" w:rsidP="009A7266">
            <w:pPr>
              <w:rPr>
                <w:rFonts w:ascii="Times New Roman" w:eastAsia="Calibri" w:hAnsi="Times New Roman" w:cs="Times New Roman"/>
                <w:color w:val="767171"/>
                <w:spacing w:val="20"/>
                <w:sz w:val="18"/>
                <w:szCs w:val="18"/>
                <w:lang w:val="es-DO" w:eastAsia="es-DO"/>
              </w:rPr>
            </w:pPr>
            <w:r w:rsidRPr="009A7266">
              <w:rPr>
                <w:rFonts w:ascii="Times New Roman" w:eastAsia="Calibri" w:hAnsi="Times New Roman" w:cs="Times New Roman"/>
                <w:color w:val="767171"/>
                <w:spacing w:val="20"/>
                <w:sz w:val="18"/>
                <w:szCs w:val="18"/>
                <w:lang w:val="es-DO" w:eastAsia="es-DO"/>
              </w:rPr>
              <w:t>5</w:t>
            </w:r>
          </w:p>
        </w:tc>
        <w:tc>
          <w:tcPr>
            <w:tcW w:w="1807" w:type="dxa"/>
            <w:vAlign w:val="center"/>
          </w:tcPr>
          <w:p w14:paraId="3CBFBA77" w14:textId="77777777" w:rsidR="009A7266" w:rsidRPr="009A7266" w:rsidRDefault="009A7266" w:rsidP="009A7266">
            <w:pPr>
              <w:jc w:val="center"/>
              <w:rPr>
                <w:rFonts w:ascii="Times New Roman" w:eastAsia="Calibri" w:hAnsi="Times New Roman" w:cs="Times New Roman"/>
                <w:color w:val="767171"/>
                <w:spacing w:val="20"/>
                <w:sz w:val="18"/>
                <w:szCs w:val="18"/>
                <w:lang w:val="es-DO" w:eastAsia="es-DO"/>
              </w:rPr>
            </w:pPr>
          </w:p>
          <w:p w14:paraId="22613EC0" w14:textId="77777777" w:rsidR="009A7266" w:rsidRPr="009A7266" w:rsidRDefault="009A7266" w:rsidP="009A7266">
            <w:pPr>
              <w:jc w:val="center"/>
              <w:rPr>
                <w:rFonts w:ascii="Times New Roman" w:eastAsia="Calibri" w:hAnsi="Times New Roman" w:cs="Times New Roman"/>
                <w:color w:val="767171"/>
                <w:spacing w:val="20"/>
                <w:sz w:val="18"/>
                <w:szCs w:val="18"/>
                <w:lang w:val="es-DO" w:eastAsia="es-DO"/>
              </w:rPr>
            </w:pPr>
            <w:r w:rsidRPr="009A7266">
              <w:rPr>
                <w:rFonts w:ascii="Times New Roman" w:eastAsia="Calibri" w:hAnsi="Times New Roman" w:cs="Times New Roman"/>
                <w:color w:val="767171"/>
                <w:spacing w:val="20"/>
                <w:sz w:val="18"/>
                <w:szCs w:val="18"/>
                <w:lang w:val="es-DO" w:eastAsia="es-DO"/>
              </w:rPr>
              <w:t>Dirección de tecnologías de la información y Comunicaciones</w:t>
            </w:r>
          </w:p>
        </w:tc>
        <w:tc>
          <w:tcPr>
            <w:tcW w:w="1599" w:type="dxa"/>
            <w:noWrap/>
            <w:vAlign w:val="center"/>
          </w:tcPr>
          <w:p w14:paraId="07B10539"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2D221B66"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De apoyo</w:t>
            </w:r>
          </w:p>
        </w:tc>
        <w:tc>
          <w:tcPr>
            <w:tcW w:w="1860" w:type="dxa"/>
            <w:vAlign w:val="center"/>
          </w:tcPr>
          <w:p w14:paraId="1081DAAB"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60AE97F4"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Cantidad de publicaciones realizadas</w:t>
            </w:r>
          </w:p>
        </w:tc>
        <w:tc>
          <w:tcPr>
            <w:tcW w:w="1491" w:type="dxa"/>
            <w:noWrap/>
            <w:vAlign w:val="center"/>
          </w:tcPr>
          <w:p w14:paraId="25085092"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p>
          <w:p w14:paraId="4B07BE37"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Semestral</w:t>
            </w:r>
          </w:p>
        </w:tc>
        <w:tc>
          <w:tcPr>
            <w:tcW w:w="862" w:type="dxa"/>
            <w:noWrap/>
            <w:vAlign w:val="center"/>
          </w:tcPr>
          <w:p w14:paraId="03192145"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2</w:t>
            </w:r>
          </w:p>
        </w:tc>
        <w:tc>
          <w:tcPr>
            <w:tcW w:w="1112" w:type="dxa"/>
            <w:noWrap/>
            <w:vAlign w:val="center"/>
          </w:tcPr>
          <w:p w14:paraId="761E0D02"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2</w:t>
            </w:r>
          </w:p>
        </w:tc>
        <w:tc>
          <w:tcPr>
            <w:tcW w:w="2000" w:type="dxa"/>
            <w:noWrap/>
            <w:vAlign w:val="center"/>
          </w:tcPr>
          <w:p w14:paraId="79E607BA" w14:textId="77777777" w:rsidR="009A7266" w:rsidRPr="009A7266" w:rsidRDefault="009A7266" w:rsidP="009A7266">
            <w:pPr>
              <w:pStyle w:val="xxmsonormal"/>
              <w:jc w:val="center"/>
              <w:rPr>
                <w:rFonts w:ascii="Times New Roman" w:eastAsia="Calibri" w:hAnsi="Times New Roman" w:cs="Times New Roman"/>
                <w:color w:val="767171"/>
                <w:spacing w:val="20"/>
                <w:sz w:val="18"/>
                <w:szCs w:val="18"/>
              </w:rPr>
            </w:pPr>
            <w:r w:rsidRPr="009A7266">
              <w:rPr>
                <w:rFonts w:ascii="Times New Roman" w:eastAsia="Calibri" w:hAnsi="Times New Roman" w:cs="Times New Roman"/>
                <w:color w:val="767171"/>
                <w:spacing w:val="20"/>
                <w:sz w:val="18"/>
                <w:szCs w:val="18"/>
              </w:rPr>
              <w:t>Diseño y elaboración de publicación sistemática de datos respecto al primer empleo</w:t>
            </w:r>
          </w:p>
        </w:tc>
      </w:tr>
    </w:tbl>
    <w:p w14:paraId="7E01136E" w14:textId="22931471" w:rsidR="000F57D8" w:rsidRDefault="009A7266" w:rsidP="005E73B9">
      <w:pPr>
        <w:rPr>
          <w:rFonts w:eastAsia="Calibri"/>
          <w:sz w:val="18"/>
          <w:szCs w:val="18"/>
          <w:lang w:val="es-DO"/>
        </w:rPr>
      </w:pPr>
      <w:r w:rsidRPr="009A7266">
        <w:rPr>
          <w:rFonts w:eastAsia="Calibri"/>
          <w:b/>
          <w:bCs/>
          <w:sz w:val="18"/>
          <w:szCs w:val="18"/>
          <w:lang w:val="es-DO"/>
        </w:rPr>
        <w:t>Fuente</w:t>
      </w:r>
      <w:r w:rsidRPr="009A7266">
        <w:rPr>
          <w:rFonts w:eastAsia="Calibri"/>
          <w:sz w:val="18"/>
          <w:szCs w:val="18"/>
          <w:lang w:val="es-DO"/>
        </w:rPr>
        <w:t>: Dirección de Planificación y Desarrollo Tesorería de la Seguridad Social</w:t>
      </w:r>
    </w:p>
    <w:p w14:paraId="3CB3200E" w14:textId="77777777" w:rsidR="00EE3355" w:rsidRDefault="00EE3355" w:rsidP="005E73B9">
      <w:pPr>
        <w:rPr>
          <w:rFonts w:eastAsia="Calibri"/>
          <w:sz w:val="18"/>
          <w:szCs w:val="18"/>
          <w:lang w:val="es-DO"/>
        </w:rPr>
      </w:pPr>
    </w:p>
    <w:p w14:paraId="12139C7B" w14:textId="77777777" w:rsidR="00EE3355" w:rsidRDefault="00EE3355" w:rsidP="005E73B9">
      <w:pPr>
        <w:rPr>
          <w:rFonts w:eastAsia="Calibri"/>
          <w:b/>
          <w:bCs/>
          <w:sz w:val="18"/>
          <w:szCs w:val="18"/>
          <w:lang w:val="es-DO"/>
        </w:rPr>
      </w:pPr>
    </w:p>
    <w:p w14:paraId="69557E01" w14:textId="652F1EAB" w:rsidR="000F57D8" w:rsidRPr="00B778CF" w:rsidRDefault="00B778CF" w:rsidP="00EE3355">
      <w:pPr>
        <w:pStyle w:val="Heading1"/>
        <w:spacing w:line="259" w:lineRule="auto"/>
        <w:ind w:left="-1800" w:hanging="90"/>
        <w:rPr>
          <w:rFonts w:eastAsia="Calibri"/>
          <w:sz w:val="18"/>
          <w:szCs w:val="18"/>
          <w:lang w:val="es-DO"/>
        </w:rPr>
      </w:pPr>
      <w:bookmarkStart w:id="281" w:name="_Toc154736758"/>
      <w:bookmarkStart w:id="282" w:name="_Toc185245126"/>
      <w:r w:rsidRPr="00B778CF">
        <w:rPr>
          <w:lang w:val="es-DO"/>
        </w:rPr>
        <w:t>7.3 Anexo 3: Matriz Índice de Gestión Presupuestaria Anual (IGP)</w:t>
      </w:r>
      <w:bookmarkEnd w:id="281"/>
      <w:bookmarkEnd w:id="282"/>
    </w:p>
    <w:p w14:paraId="57A17BDB" w14:textId="77777777" w:rsidR="000F57D8" w:rsidRDefault="000F57D8" w:rsidP="00B778CF">
      <w:pPr>
        <w:spacing w:line="360" w:lineRule="auto"/>
        <w:rPr>
          <w:rFonts w:eastAsia="Calibri"/>
          <w:b/>
          <w:bCs/>
          <w:sz w:val="18"/>
          <w:szCs w:val="18"/>
          <w:lang w:val="es-DO"/>
        </w:rPr>
      </w:pPr>
    </w:p>
    <w:p w14:paraId="2956495C" w14:textId="77777777" w:rsidR="00EE3355" w:rsidRDefault="00EE3355" w:rsidP="00B778CF">
      <w:pPr>
        <w:spacing w:line="360" w:lineRule="auto"/>
        <w:rPr>
          <w:rFonts w:eastAsia="Calibri"/>
          <w:b/>
          <w:bCs/>
          <w:sz w:val="18"/>
          <w:szCs w:val="18"/>
          <w:lang w:val="es-DO"/>
        </w:rPr>
      </w:pPr>
    </w:p>
    <w:tbl>
      <w:tblPr>
        <w:tblStyle w:val="TableGrid"/>
        <w:tblpPr w:leftFromText="141" w:rightFromText="141" w:vertAnchor="page" w:horzAnchor="margin" w:tblpY="2506"/>
        <w:tblW w:w="11901" w:type="dxa"/>
        <w:tblLook w:val="04A0" w:firstRow="1" w:lastRow="0" w:firstColumn="1" w:lastColumn="0" w:noHBand="0" w:noVBand="1"/>
      </w:tblPr>
      <w:tblGrid>
        <w:gridCol w:w="1688"/>
        <w:gridCol w:w="2041"/>
        <w:gridCol w:w="2416"/>
        <w:gridCol w:w="2416"/>
        <w:gridCol w:w="1579"/>
        <w:gridCol w:w="1761"/>
      </w:tblGrid>
      <w:tr w:rsidR="00B778CF" w:rsidRPr="00DF1742" w14:paraId="08D999E0" w14:textId="77777777" w:rsidTr="00B778CF">
        <w:trPr>
          <w:trHeight w:val="870"/>
          <w:tblHeader/>
        </w:trPr>
        <w:tc>
          <w:tcPr>
            <w:tcW w:w="1688" w:type="dxa"/>
            <w:shd w:val="clear" w:color="auto" w:fill="1F3864" w:themeFill="accent1" w:themeFillShade="80"/>
            <w:vAlign w:val="center"/>
            <w:hideMark/>
          </w:tcPr>
          <w:p w14:paraId="42B2722D" w14:textId="77777777" w:rsidR="00B778CF" w:rsidRPr="005E73B9" w:rsidRDefault="00B778CF" w:rsidP="00B778CF">
            <w:pPr>
              <w:pStyle w:val="xxmsonormal"/>
              <w:spacing w:line="360" w:lineRule="auto"/>
              <w:jc w:val="center"/>
              <w:rPr>
                <w:rFonts w:ascii="Times New Roman" w:hAnsi="Times New Roman" w:cs="Times New Roman"/>
                <w:sz w:val="16"/>
                <w:szCs w:val="16"/>
              </w:rPr>
            </w:pPr>
            <w:bookmarkStart w:id="283" w:name="_Hlk153457498"/>
            <w:r w:rsidRPr="005E73B9">
              <w:rPr>
                <w:rFonts w:ascii="Times New Roman" w:hAnsi="Times New Roman" w:cs="Times New Roman"/>
                <w:b/>
                <w:bCs/>
                <w:color w:val="FFFFFF"/>
                <w:sz w:val="16"/>
                <w:szCs w:val="16"/>
              </w:rPr>
              <w:t>CÓDIGO PROGRAMA / SUBPROGRAMA</w:t>
            </w:r>
          </w:p>
        </w:tc>
        <w:tc>
          <w:tcPr>
            <w:tcW w:w="2041" w:type="dxa"/>
            <w:shd w:val="clear" w:color="auto" w:fill="1F3864" w:themeFill="accent1" w:themeFillShade="80"/>
            <w:vAlign w:val="center"/>
            <w:hideMark/>
          </w:tcPr>
          <w:p w14:paraId="52D2F945" w14:textId="77777777" w:rsidR="00B778CF" w:rsidRPr="005E73B9" w:rsidRDefault="00B778CF" w:rsidP="00B778CF">
            <w:pPr>
              <w:pStyle w:val="xxmsonormal"/>
              <w:spacing w:line="360" w:lineRule="auto"/>
              <w:jc w:val="center"/>
              <w:rPr>
                <w:rFonts w:ascii="Times New Roman" w:hAnsi="Times New Roman" w:cs="Times New Roman"/>
                <w:sz w:val="16"/>
                <w:szCs w:val="16"/>
              </w:rPr>
            </w:pPr>
            <w:r w:rsidRPr="005E73B9">
              <w:rPr>
                <w:rFonts w:ascii="Times New Roman" w:hAnsi="Times New Roman" w:cs="Times New Roman"/>
                <w:b/>
                <w:bCs/>
                <w:color w:val="FFFFFF"/>
                <w:sz w:val="16"/>
                <w:szCs w:val="16"/>
              </w:rPr>
              <w:t>NOMBRE DEL PROGRAMA</w:t>
            </w:r>
          </w:p>
        </w:tc>
        <w:tc>
          <w:tcPr>
            <w:tcW w:w="2416" w:type="dxa"/>
            <w:shd w:val="clear" w:color="auto" w:fill="1F3864" w:themeFill="accent1" w:themeFillShade="80"/>
            <w:vAlign w:val="center"/>
            <w:hideMark/>
          </w:tcPr>
          <w:p w14:paraId="02B1AC81" w14:textId="77777777" w:rsidR="00B778CF" w:rsidRPr="005E73B9" w:rsidRDefault="00B778CF" w:rsidP="00B778CF">
            <w:pPr>
              <w:pStyle w:val="xxmsonormal"/>
              <w:spacing w:line="360" w:lineRule="auto"/>
              <w:jc w:val="center"/>
              <w:rPr>
                <w:rFonts w:ascii="Times New Roman" w:hAnsi="Times New Roman" w:cs="Times New Roman"/>
                <w:sz w:val="16"/>
                <w:szCs w:val="16"/>
              </w:rPr>
            </w:pPr>
            <w:r w:rsidRPr="005E73B9">
              <w:rPr>
                <w:rFonts w:ascii="Times New Roman" w:hAnsi="Times New Roman" w:cs="Times New Roman"/>
                <w:b/>
                <w:bCs/>
                <w:color w:val="FFFFFF"/>
                <w:sz w:val="16"/>
                <w:szCs w:val="16"/>
              </w:rPr>
              <w:t>ASIGNACIÓN PRESUPUESTARIA 202</w:t>
            </w:r>
            <w:r>
              <w:rPr>
                <w:rFonts w:ascii="Times New Roman" w:hAnsi="Times New Roman" w:cs="Times New Roman"/>
                <w:b/>
                <w:bCs/>
                <w:color w:val="FFFFFF"/>
                <w:sz w:val="16"/>
                <w:szCs w:val="16"/>
              </w:rPr>
              <w:t>4</w:t>
            </w:r>
            <w:r w:rsidRPr="005E73B9">
              <w:rPr>
                <w:rFonts w:ascii="Times New Roman" w:hAnsi="Times New Roman" w:cs="Times New Roman"/>
                <w:b/>
                <w:bCs/>
                <w:color w:val="FFFFFF"/>
                <w:sz w:val="16"/>
                <w:szCs w:val="16"/>
              </w:rPr>
              <w:t xml:space="preserve"> (RD$)</w:t>
            </w:r>
          </w:p>
        </w:tc>
        <w:tc>
          <w:tcPr>
            <w:tcW w:w="2416" w:type="dxa"/>
            <w:shd w:val="clear" w:color="auto" w:fill="1F3864" w:themeFill="accent1" w:themeFillShade="80"/>
            <w:vAlign w:val="center"/>
            <w:hideMark/>
          </w:tcPr>
          <w:p w14:paraId="75337B92" w14:textId="77777777" w:rsidR="00B778CF" w:rsidRPr="005E73B9" w:rsidRDefault="00B778CF" w:rsidP="00B778CF">
            <w:pPr>
              <w:pStyle w:val="xxmsonormal"/>
              <w:spacing w:line="360" w:lineRule="auto"/>
              <w:jc w:val="center"/>
              <w:rPr>
                <w:rFonts w:ascii="Times New Roman" w:hAnsi="Times New Roman" w:cs="Times New Roman"/>
                <w:sz w:val="16"/>
                <w:szCs w:val="16"/>
              </w:rPr>
            </w:pPr>
            <w:r w:rsidRPr="005E73B9">
              <w:rPr>
                <w:rFonts w:ascii="Times New Roman" w:hAnsi="Times New Roman" w:cs="Times New Roman"/>
                <w:b/>
                <w:bCs/>
                <w:color w:val="FFFFFF"/>
                <w:sz w:val="16"/>
                <w:szCs w:val="16"/>
              </w:rPr>
              <w:t>EJECUCIÓN A NOVIEMBRE 202</w:t>
            </w:r>
            <w:r>
              <w:rPr>
                <w:rFonts w:ascii="Times New Roman" w:hAnsi="Times New Roman" w:cs="Times New Roman"/>
                <w:b/>
                <w:bCs/>
                <w:color w:val="FFFFFF"/>
                <w:sz w:val="16"/>
                <w:szCs w:val="16"/>
              </w:rPr>
              <w:t>4</w:t>
            </w:r>
            <w:r w:rsidRPr="005E73B9">
              <w:rPr>
                <w:rFonts w:ascii="Times New Roman" w:hAnsi="Times New Roman" w:cs="Times New Roman"/>
                <w:b/>
                <w:bCs/>
                <w:color w:val="FFFFFF"/>
                <w:sz w:val="16"/>
                <w:szCs w:val="16"/>
              </w:rPr>
              <w:t xml:space="preserve"> (RD$)</w:t>
            </w:r>
          </w:p>
        </w:tc>
        <w:tc>
          <w:tcPr>
            <w:tcW w:w="1579" w:type="dxa"/>
            <w:shd w:val="clear" w:color="auto" w:fill="1F3864" w:themeFill="accent1" w:themeFillShade="80"/>
            <w:vAlign w:val="center"/>
            <w:hideMark/>
          </w:tcPr>
          <w:p w14:paraId="53187E69" w14:textId="77777777" w:rsidR="00B778CF" w:rsidRPr="005E73B9" w:rsidRDefault="00B778CF" w:rsidP="00B778CF">
            <w:pPr>
              <w:pStyle w:val="xxmsonormal"/>
              <w:spacing w:line="360" w:lineRule="auto"/>
              <w:jc w:val="center"/>
              <w:rPr>
                <w:rFonts w:ascii="Times New Roman" w:hAnsi="Times New Roman" w:cs="Times New Roman"/>
                <w:sz w:val="16"/>
                <w:szCs w:val="16"/>
              </w:rPr>
            </w:pPr>
            <w:r w:rsidRPr="005E73B9">
              <w:rPr>
                <w:rFonts w:ascii="Times New Roman" w:hAnsi="Times New Roman" w:cs="Times New Roman"/>
                <w:b/>
                <w:bCs/>
                <w:color w:val="FFFFFF"/>
                <w:sz w:val="16"/>
                <w:szCs w:val="16"/>
              </w:rPr>
              <w:t>CANTIDAD DE PRODUCTOS GENERADOS POR PROGRAMA</w:t>
            </w:r>
          </w:p>
        </w:tc>
        <w:tc>
          <w:tcPr>
            <w:tcW w:w="1761" w:type="dxa"/>
            <w:shd w:val="clear" w:color="auto" w:fill="1F3864" w:themeFill="accent1" w:themeFillShade="80"/>
            <w:vAlign w:val="center"/>
            <w:hideMark/>
          </w:tcPr>
          <w:p w14:paraId="6DB661FA" w14:textId="77777777" w:rsidR="00B778CF" w:rsidRPr="005E73B9" w:rsidRDefault="00B778CF" w:rsidP="00B778CF">
            <w:pPr>
              <w:pStyle w:val="xxmsonormal"/>
              <w:spacing w:line="360" w:lineRule="auto"/>
              <w:jc w:val="center"/>
              <w:rPr>
                <w:rFonts w:ascii="Times New Roman" w:hAnsi="Times New Roman" w:cs="Times New Roman"/>
                <w:sz w:val="16"/>
                <w:szCs w:val="16"/>
              </w:rPr>
            </w:pPr>
            <w:r w:rsidRPr="005E73B9">
              <w:rPr>
                <w:rFonts w:ascii="Times New Roman" w:hAnsi="Times New Roman" w:cs="Times New Roman"/>
                <w:b/>
                <w:bCs/>
                <w:color w:val="FFFFFF"/>
                <w:sz w:val="16"/>
                <w:szCs w:val="16"/>
              </w:rPr>
              <w:t>ÍNDICE DE EJECUCIÓN %</w:t>
            </w:r>
          </w:p>
        </w:tc>
      </w:tr>
      <w:tr w:rsidR="00B778CF" w:rsidRPr="00DF1742" w14:paraId="5D24A50C" w14:textId="77777777" w:rsidTr="00B778CF">
        <w:trPr>
          <w:trHeight w:val="1358"/>
        </w:trPr>
        <w:tc>
          <w:tcPr>
            <w:tcW w:w="1688" w:type="dxa"/>
            <w:noWrap/>
            <w:vAlign w:val="center"/>
          </w:tcPr>
          <w:p w14:paraId="1EF0E923"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sidRPr="005E73B9">
              <w:rPr>
                <w:rFonts w:ascii="Times New Roman" w:eastAsia="Calibri" w:hAnsi="Times New Roman" w:cs="Times New Roman"/>
                <w:color w:val="767171"/>
                <w:spacing w:val="20"/>
                <w:sz w:val="16"/>
                <w:szCs w:val="16"/>
                <w:lang w:eastAsia="en-US"/>
              </w:rPr>
              <w:t>11</w:t>
            </w:r>
          </w:p>
        </w:tc>
        <w:tc>
          <w:tcPr>
            <w:tcW w:w="2041" w:type="dxa"/>
            <w:vAlign w:val="center"/>
          </w:tcPr>
          <w:p w14:paraId="1B2CB77D"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sidRPr="005E73B9">
              <w:rPr>
                <w:rFonts w:ascii="Times New Roman" w:eastAsia="Calibri" w:hAnsi="Times New Roman" w:cs="Times New Roman"/>
                <w:color w:val="767171"/>
                <w:spacing w:val="20"/>
                <w:sz w:val="16"/>
                <w:szCs w:val="16"/>
                <w:lang w:eastAsia="en-US"/>
              </w:rPr>
              <w:t>Gestión de la Tesorería del Sistema Dominicano de Seguridad Social</w:t>
            </w:r>
          </w:p>
        </w:tc>
        <w:tc>
          <w:tcPr>
            <w:tcW w:w="2416" w:type="dxa"/>
            <w:noWrap/>
            <w:vAlign w:val="center"/>
          </w:tcPr>
          <w:p w14:paraId="1D87ECBC"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Pr>
                <w:rFonts w:ascii="Times New Roman" w:eastAsia="Calibri" w:hAnsi="Times New Roman" w:cs="Times New Roman"/>
                <w:color w:val="767171"/>
                <w:spacing w:val="20"/>
                <w:sz w:val="16"/>
                <w:szCs w:val="16"/>
                <w:lang w:eastAsia="en-US"/>
              </w:rPr>
              <w:t>1,277,442,622.28</w:t>
            </w:r>
          </w:p>
        </w:tc>
        <w:tc>
          <w:tcPr>
            <w:tcW w:w="2416" w:type="dxa"/>
            <w:noWrap/>
            <w:vAlign w:val="center"/>
          </w:tcPr>
          <w:p w14:paraId="0291B63A"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Pr>
                <w:rFonts w:ascii="Times New Roman" w:eastAsia="Calibri" w:hAnsi="Times New Roman" w:cs="Times New Roman"/>
                <w:color w:val="767171"/>
                <w:spacing w:val="20"/>
                <w:sz w:val="16"/>
                <w:szCs w:val="16"/>
                <w:lang w:eastAsia="en-US"/>
              </w:rPr>
              <w:t>818,660,977.63</w:t>
            </w:r>
          </w:p>
        </w:tc>
        <w:tc>
          <w:tcPr>
            <w:tcW w:w="1579" w:type="dxa"/>
            <w:noWrap/>
            <w:vAlign w:val="center"/>
          </w:tcPr>
          <w:p w14:paraId="2B087EF3"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sidRPr="005E73B9">
              <w:rPr>
                <w:rFonts w:ascii="Times New Roman" w:eastAsia="Calibri" w:hAnsi="Times New Roman" w:cs="Times New Roman"/>
                <w:color w:val="767171"/>
                <w:spacing w:val="20"/>
                <w:sz w:val="16"/>
                <w:szCs w:val="16"/>
                <w:lang w:eastAsia="en-US"/>
              </w:rPr>
              <w:t>4</w:t>
            </w:r>
          </w:p>
        </w:tc>
        <w:tc>
          <w:tcPr>
            <w:tcW w:w="1761" w:type="dxa"/>
            <w:noWrap/>
            <w:vAlign w:val="center"/>
          </w:tcPr>
          <w:p w14:paraId="7FFB0CBD"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Pr>
                <w:rFonts w:ascii="Times New Roman" w:eastAsia="Calibri" w:hAnsi="Times New Roman" w:cs="Times New Roman"/>
                <w:color w:val="767171"/>
                <w:spacing w:val="20"/>
                <w:sz w:val="16"/>
                <w:szCs w:val="16"/>
                <w:lang w:eastAsia="en-US"/>
              </w:rPr>
              <w:t>64.09</w:t>
            </w:r>
            <w:r w:rsidRPr="005E73B9">
              <w:rPr>
                <w:rFonts w:ascii="Times New Roman" w:eastAsia="Calibri" w:hAnsi="Times New Roman" w:cs="Times New Roman"/>
                <w:color w:val="767171"/>
                <w:spacing w:val="20"/>
                <w:sz w:val="16"/>
                <w:szCs w:val="16"/>
                <w:lang w:eastAsia="en-US"/>
              </w:rPr>
              <w:t>%</w:t>
            </w:r>
          </w:p>
        </w:tc>
      </w:tr>
      <w:tr w:rsidR="00B778CF" w:rsidRPr="00DF1742" w14:paraId="3A633BC2" w14:textId="77777777" w:rsidTr="00B778CF">
        <w:trPr>
          <w:trHeight w:val="991"/>
        </w:trPr>
        <w:tc>
          <w:tcPr>
            <w:tcW w:w="1688" w:type="dxa"/>
            <w:noWrap/>
            <w:vAlign w:val="center"/>
          </w:tcPr>
          <w:p w14:paraId="61DC96E6"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sidRPr="005E73B9">
              <w:rPr>
                <w:rFonts w:ascii="Times New Roman" w:eastAsia="Calibri" w:hAnsi="Times New Roman" w:cs="Times New Roman"/>
                <w:color w:val="767171"/>
                <w:spacing w:val="20"/>
                <w:sz w:val="16"/>
                <w:szCs w:val="16"/>
                <w:lang w:eastAsia="en-US"/>
              </w:rPr>
              <w:t>98</w:t>
            </w:r>
          </w:p>
        </w:tc>
        <w:tc>
          <w:tcPr>
            <w:tcW w:w="2041" w:type="dxa"/>
            <w:vAlign w:val="center"/>
          </w:tcPr>
          <w:p w14:paraId="6695D1B7"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sidRPr="005E73B9">
              <w:rPr>
                <w:rFonts w:ascii="Times New Roman" w:eastAsia="Calibri" w:hAnsi="Times New Roman" w:cs="Times New Roman"/>
                <w:color w:val="767171"/>
                <w:spacing w:val="20"/>
                <w:sz w:val="16"/>
                <w:szCs w:val="16"/>
                <w:lang w:eastAsia="en-US"/>
              </w:rPr>
              <w:t>Administración de contribuciones especiales</w:t>
            </w:r>
          </w:p>
        </w:tc>
        <w:tc>
          <w:tcPr>
            <w:tcW w:w="2416" w:type="dxa"/>
            <w:noWrap/>
            <w:vAlign w:val="center"/>
          </w:tcPr>
          <w:p w14:paraId="1C9B435B"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Pr>
                <w:rFonts w:ascii="Times New Roman" w:eastAsia="Calibri" w:hAnsi="Times New Roman" w:cs="Times New Roman"/>
                <w:color w:val="767171"/>
                <w:spacing w:val="20"/>
                <w:sz w:val="16"/>
                <w:szCs w:val="16"/>
                <w:lang w:eastAsia="en-US"/>
              </w:rPr>
              <w:t>12,000</w:t>
            </w:r>
          </w:p>
        </w:tc>
        <w:tc>
          <w:tcPr>
            <w:tcW w:w="2416" w:type="dxa"/>
            <w:noWrap/>
            <w:vAlign w:val="center"/>
          </w:tcPr>
          <w:p w14:paraId="0B73C6CA"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Pr>
                <w:rFonts w:ascii="Times New Roman" w:eastAsia="Calibri" w:hAnsi="Times New Roman" w:cs="Times New Roman"/>
                <w:color w:val="767171"/>
                <w:spacing w:val="20"/>
                <w:sz w:val="16"/>
                <w:szCs w:val="16"/>
                <w:lang w:eastAsia="en-US"/>
              </w:rPr>
              <w:t>0.00</w:t>
            </w:r>
          </w:p>
        </w:tc>
        <w:tc>
          <w:tcPr>
            <w:tcW w:w="1579" w:type="dxa"/>
            <w:noWrap/>
            <w:vAlign w:val="center"/>
          </w:tcPr>
          <w:p w14:paraId="739DE6DB"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sidRPr="005E73B9">
              <w:rPr>
                <w:rFonts w:ascii="Times New Roman" w:eastAsia="Calibri" w:hAnsi="Times New Roman" w:cs="Times New Roman"/>
                <w:color w:val="767171"/>
                <w:spacing w:val="20"/>
                <w:sz w:val="16"/>
                <w:szCs w:val="16"/>
                <w:lang w:eastAsia="en-US"/>
              </w:rPr>
              <w:t>0</w:t>
            </w:r>
          </w:p>
        </w:tc>
        <w:tc>
          <w:tcPr>
            <w:tcW w:w="1761" w:type="dxa"/>
            <w:noWrap/>
            <w:vAlign w:val="center"/>
          </w:tcPr>
          <w:p w14:paraId="0BAE5799"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sidRPr="005E73B9">
              <w:rPr>
                <w:rFonts w:ascii="Times New Roman" w:eastAsia="Calibri" w:hAnsi="Times New Roman" w:cs="Times New Roman"/>
                <w:color w:val="767171"/>
                <w:spacing w:val="20"/>
                <w:sz w:val="16"/>
                <w:szCs w:val="16"/>
                <w:lang w:eastAsia="en-US"/>
              </w:rPr>
              <w:t>0.</w:t>
            </w:r>
            <w:r>
              <w:rPr>
                <w:rFonts w:ascii="Times New Roman" w:eastAsia="Calibri" w:hAnsi="Times New Roman" w:cs="Times New Roman"/>
                <w:color w:val="767171"/>
                <w:spacing w:val="20"/>
                <w:sz w:val="16"/>
                <w:szCs w:val="16"/>
                <w:lang w:eastAsia="en-US"/>
              </w:rPr>
              <w:t>00</w:t>
            </w:r>
            <w:r w:rsidRPr="005E73B9">
              <w:rPr>
                <w:rFonts w:ascii="Times New Roman" w:eastAsia="Calibri" w:hAnsi="Times New Roman" w:cs="Times New Roman"/>
                <w:color w:val="767171"/>
                <w:spacing w:val="20"/>
                <w:sz w:val="16"/>
                <w:szCs w:val="16"/>
                <w:lang w:eastAsia="en-US"/>
              </w:rPr>
              <w:t>%</w:t>
            </w:r>
          </w:p>
        </w:tc>
      </w:tr>
      <w:tr w:rsidR="00B778CF" w:rsidRPr="00DF1742" w14:paraId="05DE07F3" w14:textId="77777777" w:rsidTr="00B778CF">
        <w:trPr>
          <w:trHeight w:val="941"/>
        </w:trPr>
        <w:tc>
          <w:tcPr>
            <w:tcW w:w="1688" w:type="dxa"/>
            <w:noWrap/>
            <w:vAlign w:val="center"/>
          </w:tcPr>
          <w:p w14:paraId="0BF85DA4"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sidRPr="005E73B9">
              <w:rPr>
                <w:rFonts w:ascii="Times New Roman" w:eastAsia="Calibri" w:hAnsi="Times New Roman" w:cs="Times New Roman"/>
                <w:color w:val="767171"/>
                <w:spacing w:val="20"/>
                <w:sz w:val="16"/>
                <w:szCs w:val="16"/>
                <w:lang w:eastAsia="en-US"/>
              </w:rPr>
              <w:t>99</w:t>
            </w:r>
          </w:p>
        </w:tc>
        <w:tc>
          <w:tcPr>
            <w:tcW w:w="2041" w:type="dxa"/>
            <w:vAlign w:val="center"/>
          </w:tcPr>
          <w:p w14:paraId="522D2016"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sidRPr="005E73B9">
              <w:rPr>
                <w:rFonts w:ascii="Times New Roman" w:eastAsia="Calibri" w:hAnsi="Times New Roman" w:cs="Times New Roman"/>
                <w:color w:val="767171"/>
                <w:spacing w:val="20"/>
                <w:sz w:val="16"/>
                <w:szCs w:val="16"/>
                <w:lang w:eastAsia="en-US"/>
              </w:rPr>
              <w:t>Administración de activos, pasivos y transferencias</w:t>
            </w:r>
          </w:p>
        </w:tc>
        <w:tc>
          <w:tcPr>
            <w:tcW w:w="2416" w:type="dxa"/>
            <w:noWrap/>
            <w:vAlign w:val="center"/>
          </w:tcPr>
          <w:p w14:paraId="2834DF15"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Pr>
                <w:rFonts w:ascii="Times New Roman" w:eastAsia="Calibri" w:hAnsi="Times New Roman" w:cs="Times New Roman"/>
                <w:color w:val="767171"/>
                <w:spacing w:val="20"/>
                <w:sz w:val="16"/>
                <w:szCs w:val="16"/>
                <w:lang w:eastAsia="en-US"/>
              </w:rPr>
              <w:t>20,816,560,819.00</w:t>
            </w:r>
          </w:p>
        </w:tc>
        <w:tc>
          <w:tcPr>
            <w:tcW w:w="2416" w:type="dxa"/>
            <w:noWrap/>
            <w:vAlign w:val="center"/>
          </w:tcPr>
          <w:p w14:paraId="0F5F0279"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Pr>
                <w:rFonts w:ascii="Times New Roman" w:eastAsia="Calibri" w:hAnsi="Times New Roman" w:cs="Times New Roman"/>
                <w:color w:val="767171"/>
                <w:spacing w:val="20"/>
                <w:sz w:val="16"/>
                <w:szCs w:val="16"/>
                <w:lang w:eastAsia="en-US"/>
              </w:rPr>
              <w:t>17,054,715,389.37</w:t>
            </w:r>
          </w:p>
        </w:tc>
        <w:tc>
          <w:tcPr>
            <w:tcW w:w="1579" w:type="dxa"/>
            <w:noWrap/>
            <w:vAlign w:val="center"/>
          </w:tcPr>
          <w:p w14:paraId="4AEE8744"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sidRPr="005E73B9">
              <w:rPr>
                <w:rFonts w:ascii="Times New Roman" w:eastAsia="Calibri" w:hAnsi="Times New Roman" w:cs="Times New Roman"/>
                <w:color w:val="767171"/>
                <w:spacing w:val="20"/>
                <w:sz w:val="16"/>
                <w:szCs w:val="16"/>
                <w:lang w:eastAsia="en-US"/>
              </w:rPr>
              <w:t>0</w:t>
            </w:r>
          </w:p>
        </w:tc>
        <w:tc>
          <w:tcPr>
            <w:tcW w:w="1761" w:type="dxa"/>
            <w:noWrap/>
            <w:vAlign w:val="center"/>
          </w:tcPr>
          <w:p w14:paraId="3BC81518" w14:textId="77777777" w:rsidR="00B778CF" w:rsidRPr="005E73B9" w:rsidRDefault="00B778CF" w:rsidP="00B778CF">
            <w:pPr>
              <w:pStyle w:val="xxmsonormal"/>
              <w:spacing w:line="360" w:lineRule="auto"/>
              <w:jc w:val="center"/>
              <w:rPr>
                <w:rFonts w:ascii="Times New Roman" w:eastAsia="Calibri" w:hAnsi="Times New Roman" w:cs="Times New Roman"/>
                <w:color w:val="767171"/>
                <w:spacing w:val="20"/>
                <w:sz w:val="16"/>
                <w:szCs w:val="16"/>
                <w:lang w:eastAsia="en-US"/>
              </w:rPr>
            </w:pPr>
            <w:r>
              <w:rPr>
                <w:rFonts w:ascii="Times New Roman" w:eastAsia="Calibri" w:hAnsi="Times New Roman" w:cs="Times New Roman"/>
                <w:color w:val="767171"/>
                <w:spacing w:val="20"/>
                <w:sz w:val="16"/>
                <w:szCs w:val="16"/>
                <w:lang w:eastAsia="en-US"/>
              </w:rPr>
              <w:t>81.93</w:t>
            </w:r>
            <w:r w:rsidRPr="005E73B9">
              <w:rPr>
                <w:rFonts w:ascii="Times New Roman" w:eastAsia="Calibri" w:hAnsi="Times New Roman" w:cs="Times New Roman"/>
                <w:color w:val="767171"/>
                <w:spacing w:val="20"/>
                <w:sz w:val="16"/>
                <w:szCs w:val="16"/>
                <w:lang w:eastAsia="en-US"/>
              </w:rPr>
              <w:t>%</w:t>
            </w:r>
          </w:p>
        </w:tc>
      </w:tr>
    </w:tbl>
    <w:bookmarkEnd w:id="283"/>
    <w:p w14:paraId="3C292C62" w14:textId="77777777" w:rsidR="000F57D8" w:rsidRPr="00DF1742" w:rsidRDefault="000F57D8" w:rsidP="000F57D8">
      <w:pPr>
        <w:rPr>
          <w:rFonts w:eastAsia="Calibri"/>
          <w:sz w:val="18"/>
          <w:szCs w:val="18"/>
          <w:lang w:val="es-DO"/>
        </w:rPr>
      </w:pPr>
      <w:r w:rsidRPr="00DF1742">
        <w:rPr>
          <w:rFonts w:eastAsia="Calibri"/>
          <w:b/>
          <w:bCs/>
          <w:sz w:val="18"/>
          <w:szCs w:val="18"/>
          <w:lang w:val="es-DO"/>
        </w:rPr>
        <w:t>Fuente:</w:t>
      </w:r>
      <w:r w:rsidRPr="00DF1742">
        <w:rPr>
          <w:rFonts w:eastAsia="Calibri"/>
          <w:sz w:val="18"/>
          <w:szCs w:val="18"/>
          <w:lang w:val="es-DO"/>
        </w:rPr>
        <w:t xml:space="preserve"> Sistema de Información de la Gestión Financiera-Tesorería de la Seguridad Social del 202</w:t>
      </w:r>
      <w:r>
        <w:rPr>
          <w:rFonts w:eastAsia="Calibri"/>
          <w:sz w:val="18"/>
          <w:szCs w:val="18"/>
          <w:lang w:val="es-DO"/>
        </w:rPr>
        <w:t>4</w:t>
      </w:r>
      <w:r w:rsidRPr="00DF1742">
        <w:rPr>
          <w:rFonts w:eastAsia="Calibri"/>
          <w:sz w:val="18"/>
          <w:szCs w:val="18"/>
          <w:lang w:val="es-DO"/>
        </w:rPr>
        <w:t>,</w:t>
      </w:r>
      <w:r w:rsidRPr="00DF1742">
        <w:rPr>
          <w:lang w:val="es-DO"/>
        </w:rPr>
        <w:t xml:space="preserve"> </w:t>
      </w:r>
      <w:r w:rsidRPr="00DF1742">
        <w:rPr>
          <w:rFonts w:eastAsia="Calibri"/>
          <w:sz w:val="18"/>
          <w:szCs w:val="18"/>
          <w:lang w:val="es-DO"/>
        </w:rPr>
        <w:t>ejecución al 30 de noviembre del 202</w:t>
      </w:r>
      <w:r>
        <w:rPr>
          <w:rFonts w:eastAsia="Calibri"/>
          <w:sz w:val="18"/>
          <w:szCs w:val="18"/>
          <w:lang w:val="es-DO"/>
        </w:rPr>
        <w:t>4</w:t>
      </w:r>
      <w:r w:rsidRPr="00DF1742">
        <w:rPr>
          <w:rFonts w:eastAsia="Calibri"/>
          <w:sz w:val="18"/>
          <w:szCs w:val="18"/>
          <w:lang w:val="es-DO"/>
        </w:rPr>
        <w:t xml:space="preserve">. </w:t>
      </w:r>
    </w:p>
    <w:p w14:paraId="1FB3BF3B" w14:textId="77777777" w:rsidR="005E73B9" w:rsidRDefault="005E73B9" w:rsidP="005E73B9">
      <w:pPr>
        <w:rPr>
          <w:color w:val="4C4747"/>
          <w:lang w:val="es-DO"/>
        </w:rPr>
      </w:pPr>
    </w:p>
    <w:p w14:paraId="30152D21" w14:textId="77777777" w:rsidR="00EE3355" w:rsidRDefault="00EE3355" w:rsidP="005E73B9">
      <w:pPr>
        <w:rPr>
          <w:color w:val="4C4747"/>
          <w:lang w:val="es-DO"/>
        </w:rPr>
      </w:pPr>
    </w:p>
    <w:p w14:paraId="289C79EF" w14:textId="77777777" w:rsidR="00EE3355" w:rsidRDefault="00EE3355" w:rsidP="005E73B9">
      <w:pPr>
        <w:rPr>
          <w:color w:val="4C4747"/>
          <w:lang w:val="es-DO"/>
        </w:rPr>
      </w:pPr>
    </w:p>
    <w:p w14:paraId="3E1E6FC1" w14:textId="77777777" w:rsidR="005E73B9" w:rsidRDefault="005E73B9" w:rsidP="005E73B9">
      <w:pPr>
        <w:rPr>
          <w:color w:val="4C4747"/>
          <w:lang w:val="es-DO"/>
        </w:rPr>
      </w:pPr>
    </w:p>
    <w:p w14:paraId="1043C8D4" w14:textId="0A49AD85" w:rsidR="005E73B9" w:rsidRPr="00EE3355" w:rsidRDefault="002E6D74" w:rsidP="00EE3355">
      <w:pPr>
        <w:pStyle w:val="Heading1"/>
        <w:tabs>
          <w:tab w:val="left" w:pos="1080"/>
        </w:tabs>
        <w:spacing w:line="259" w:lineRule="auto"/>
        <w:ind w:left="720" w:hanging="1440"/>
        <w:rPr>
          <w:lang w:val="es-DO"/>
        </w:rPr>
      </w:pPr>
      <w:bookmarkStart w:id="284" w:name="_Toc154736759"/>
      <w:bookmarkStart w:id="285" w:name="_Toc185245127"/>
      <w:r w:rsidRPr="00EE3355">
        <w:rPr>
          <w:lang w:val="es-DO"/>
        </w:rPr>
        <w:lastRenderedPageBreak/>
        <w:t xml:space="preserve">7.4 </w:t>
      </w:r>
      <w:r w:rsidR="005E73B9" w:rsidRPr="00EE3355">
        <w:rPr>
          <w:lang w:val="es-DO"/>
        </w:rPr>
        <w:t>Anexo 4: Matriz Ejecución Presupuestaria por Objeto del Gasto</w:t>
      </w:r>
      <w:bookmarkEnd w:id="284"/>
      <w:bookmarkEnd w:id="285"/>
    </w:p>
    <w:tbl>
      <w:tblPr>
        <w:tblpPr w:leftFromText="180" w:rightFromText="180" w:vertAnchor="text" w:horzAnchor="margin" w:tblpXSpec="right" w:tblpY="685"/>
        <w:tblW w:w="10790" w:type="dxa"/>
        <w:tblLook w:val="04A0" w:firstRow="1" w:lastRow="0" w:firstColumn="1" w:lastColumn="0" w:noHBand="0" w:noVBand="1"/>
      </w:tblPr>
      <w:tblGrid>
        <w:gridCol w:w="3924"/>
        <w:gridCol w:w="2207"/>
        <w:gridCol w:w="2207"/>
        <w:gridCol w:w="2452"/>
      </w:tblGrid>
      <w:tr w:rsidR="00F926A4" w:rsidRPr="00DF1742" w14:paraId="3BB1D9CD" w14:textId="77777777" w:rsidTr="00EE3355">
        <w:trPr>
          <w:trHeight w:val="271"/>
        </w:trPr>
        <w:tc>
          <w:tcPr>
            <w:tcW w:w="3924" w:type="dxa"/>
            <w:tcBorders>
              <w:top w:val="single" w:sz="8" w:space="0" w:color="auto"/>
              <w:left w:val="single" w:sz="8" w:space="0" w:color="auto"/>
              <w:bottom w:val="single" w:sz="8" w:space="0" w:color="auto"/>
              <w:right w:val="single" w:sz="8" w:space="0" w:color="auto"/>
            </w:tcBorders>
            <w:shd w:val="clear" w:color="auto" w:fill="1F3864" w:themeFill="accent1" w:themeFillShade="80"/>
            <w:noWrap/>
            <w:vAlign w:val="bottom"/>
            <w:hideMark/>
          </w:tcPr>
          <w:p w14:paraId="3754AB79" w14:textId="77777777" w:rsidR="00F926A4" w:rsidRPr="005E73B9" w:rsidRDefault="00F926A4" w:rsidP="00EE3355">
            <w:pPr>
              <w:spacing w:after="0" w:line="240" w:lineRule="auto"/>
              <w:jc w:val="center"/>
              <w:rPr>
                <w:rFonts w:eastAsia="Calibri"/>
                <w:b/>
                <w:bCs/>
                <w:color w:val="FFFFFF" w:themeColor="background1"/>
                <w:sz w:val="20"/>
                <w:szCs w:val="20"/>
                <w:lang w:val="es-DO"/>
              </w:rPr>
            </w:pPr>
            <w:r w:rsidRPr="005E73B9">
              <w:rPr>
                <w:rFonts w:eastAsia="Calibri"/>
                <w:b/>
                <w:bCs/>
                <w:color w:val="FFFFFF" w:themeColor="background1"/>
                <w:sz w:val="20"/>
                <w:szCs w:val="20"/>
                <w:lang w:val="es-DO"/>
              </w:rPr>
              <w:t>OBJETO</w:t>
            </w:r>
          </w:p>
        </w:tc>
        <w:tc>
          <w:tcPr>
            <w:tcW w:w="2207" w:type="dxa"/>
            <w:tcBorders>
              <w:top w:val="single" w:sz="8" w:space="0" w:color="auto"/>
              <w:left w:val="nil"/>
              <w:bottom w:val="single" w:sz="8" w:space="0" w:color="auto"/>
              <w:right w:val="single" w:sz="8" w:space="0" w:color="auto"/>
            </w:tcBorders>
            <w:shd w:val="clear" w:color="auto" w:fill="1F3864" w:themeFill="accent1" w:themeFillShade="80"/>
            <w:noWrap/>
            <w:vAlign w:val="bottom"/>
            <w:hideMark/>
          </w:tcPr>
          <w:p w14:paraId="46431EC4" w14:textId="77777777" w:rsidR="00F926A4" w:rsidRPr="005E73B9" w:rsidRDefault="00F926A4" w:rsidP="00EE3355">
            <w:pPr>
              <w:spacing w:after="0" w:line="240" w:lineRule="auto"/>
              <w:jc w:val="center"/>
              <w:rPr>
                <w:rFonts w:eastAsia="Calibri"/>
                <w:b/>
                <w:bCs/>
                <w:color w:val="FFFFFF" w:themeColor="background1"/>
                <w:sz w:val="20"/>
                <w:szCs w:val="20"/>
                <w:lang w:val="es-DO"/>
              </w:rPr>
            </w:pPr>
            <w:r w:rsidRPr="005E73B9">
              <w:rPr>
                <w:rFonts w:eastAsia="Calibri"/>
                <w:b/>
                <w:bCs/>
                <w:color w:val="FFFFFF" w:themeColor="background1"/>
                <w:sz w:val="20"/>
                <w:szCs w:val="20"/>
                <w:lang w:val="es-DO"/>
              </w:rPr>
              <w:t>PRESUPUESTO INICIAL</w:t>
            </w:r>
          </w:p>
        </w:tc>
        <w:tc>
          <w:tcPr>
            <w:tcW w:w="2207" w:type="dxa"/>
            <w:tcBorders>
              <w:top w:val="single" w:sz="8" w:space="0" w:color="auto"/>
              <w:left w:val="nil"/>
              <w:bottom w:val="single" w:sz="8" w:space="0" w:color="auto"/>
              <w:right w:val="single" w:sz="8" w:space="0" w:color="auto"/>
            </w:tcBorders>
            <w:shd w:val="clear" w:color="auto" w:fill="1F3864" w:themeFill="accent1" w:themeFillShade="80"/>
            <w:noWrap/>
            <w:vAlign w:val="bottom"/>
            <w:hideMark/>
          </w:tcPr>
          <w:p w14:paraId="18002EEE" w14:textId="77777777" w:rsidR="00F926A4" w:rsidRPr="005E73B9" w:rsidRDefault="00F926A4" w:rsidP="00EE3355">
            <w:pPr>
              <w:spacing w:after="0" w:line="240" w:lineRule="auto"/>
              <w:jc w:val="center"/>
              <w:rPr>
                <w:rFonts w:eastAsia="Calibri"/>
                <w:b/>
                <w:bCs/>
                <w:color w:val="FFFFFF" w:themeColor="background1"/>
                <w:sz w:val="20"/>
                <w:szCs w:val="20"/>
                <w:lang w:val="es-DO"/>
              </w:rPr>
            </w:pPr>
            <w:r w:rsidRPr="005E73B9">
              <w:rPr>
                <w:rFonts w:eastAsia="Calibri"/>
                <w:b/>
                <w:bCs/>
                <w:color w:val="FFFFFF" w:themeColor="background1"/>
                <w:sz w:val="20"/>
                <w:szCs w:val="20"/>
                <w:lang w:val="es-DO"/>
              </w:rPr>
              <w:t>PRESUPUESTO VIGENTE</w:t>
            </w:r>
          </w:p>
        </w:tc>
        <w:tc>
          <w:tcPr>
            <w:tcW w:w="2452" w:type="dxa"/>
            <w:tcBorders>
              <w:top w:val="single" w:sz="8" w:space="0" w:color="auto"/>
              <w:left w:val="nil"/>
              <w:bottom w:val="single" w:sz="8" w:space="0" w:color="auto"/>
              <w:right w:val="single" w:sz="8" w:space="0" w:color="auto"/>
            </w:tcBorders>
            <w:shd w:val="clear" w:color="auto" w:fill="1F3864" w:themeFill="accent1" w:themeFillShade="80"/>
            <w:noWrap/>
            <w:vAlign w:val="bottom"/>
            <w:hideMark/>
          </w:tcPr>
          <w:p w14:paraId="5A151F40" w14:textId="77777777" w:rsidR="00F926A4" w:rsidRPr="005E73B9" w:rsidRDefault="00F926A4" w:rsidP="00EE3355">
            <w:pPr>
              <w:spacing w:after="0" w:line="240" w:lineRule="auto"/>
              <w:jc w:val="center"/>
              <w:rPr>
                <w:rFonts w:eastAsia="Calibri"/>
                <w:b/>
                <w:bCs/>
                <w:color w:val="FFFFFF" w:themeColor="background1"/>
                <w:sz w:val="20"/>
                <w:szCs w:val="20"/>
                <w:lang w:val="es-DO"/>
              </w:rPr>
            </w:pPr>
            <w:r w:rsidRPr="005E73B9">
              <w:rPr>
                <w:rFonts w:eastAsia="Calibri"/>
                <w:b/>
                <w:bCs/>
                <w:color w:val="FFFFFF" w:themeColor="background1"/>
                <w:sz w:val="20"/>
                <w:szCs w:val="20"/>
                <w:lang w:val="es-DO"/>
              </w:rPr>
              <w:t>EJECUCION</w:t>
            </w:r>
          </w:p>
        </w:tc>
      </w:tr>
      <w:tr w:rsidR="00F926A4" w:rsidRPr="00DF1742" w14:paraId="6EF52110" w14:textId="77777777" w:rsidTr="00EE3355">
        <w:trPr>
          <w:trHeight w:val="271"/>
        </w:trPr>
        <w:tc>
          <w:tcPr>
            <w:tcW w:w="10790" w:type="dxa"/>
            <w:gridSpan w:val="4"/>
            <w:tcBorders>
              <w:top w:val="nil"/>
              <w:left w:val="single" w:sz="8" w:space="0" w:color="auto"/>
              <w:bottom w:val="single" w:sz="8" w:space="0" w:color="auto"/>
              <w:right w:val="single" w:sz="8" w:space="0" w:color="000000"/>
            </w:tcBorders>
            <w:shd w:val="clear" w:color="auto" w:fill="auto"/>
            <w:noWrap/>
            <w:vAlign w:val="center"/>
            <w:hideMark/>
          </w:tcPr>
          <w:p w14:paraId="30FD6DE8" w14:textId="77777777" w:rsidR="00F926A4" w:rsidRPr="005E73B9" w:rsidRDefault="00F926A4" w:rsidP="00EE3355">
            <w:pPr>
              <w:spacing w:after="0" w:line="240" w:lineRule="auto"/>
              <w:jc w:val="both"/>
              <w:rPr>
                <w:rFonts w:eastAsia="Calibri"/>
                <w:sz w:val="20"/>
                <w:szCs w:val="20"/>
                <w:lang w:val="es-DO"/>
              </w:rPr>
            </w:pPr>
            <w:r w:rsidRPr="005E73B9">
              <w:rPr>
                <w:rFonts w:eastAsia="Calibri"/>
                <w:sz w:val="20"/>
                <w:szCs w:val="20"/>
                <w:lang w:val="es-DO"/>
              </w:rPr>
              <w:t>2 - GASTOS</w:t>
            </w:r>
          </w:p>
        </w:tc>
      </w:tr>
      <w:tr w:rsidR="00F926A4" w:rsidRPr="00DF1742" w14:paraId="63E00FBA" w14:textId="77777777" w:rsidTr="00EE3355">
        <w:trPr>
          <w:trHeight w:val="250"/>
        </w:trPr>
        <w:tc>
          <w:tcPr>
            <w:tcW w:w="3924" w:type="dxa"/>
            <w:tcBorders>
              <w:top w:val="nil"/>
              <w:left w:val="single" w:sz="8" w:space="0" w:color="auto"/>
              <w:bottom w:val="single" w:sz="8" w:space="0" w:color="auto"/>
              <w:right w:val="single" w:sz="8" w:space="0" w:color="auto"/>
            </w:tcBorders>
            <w:shd w:val="clear" w:color="auto" w:fill="auto"/>
            <w:noWrap/>
            <w:vAlign w:val="center"/>
            <w:hideMark/>
          </w:tcPr>
          <w:p w14:paraId="4D025201" w14:textId="77777777" w:rsidR="00F926A4" w:rsidRPr="005E73B9" w:rsidRDefault="00F926A4" w:rsidP="00EE3355">
            <w:pPr>
              <w:spacing w:after="0" w:line="240" w:lineRule="auto"/>
              <w:jc w:val="both"/>
              <w:rPr>
                <w:rFonts w:eastAsia="Calibri"/>
                <w:sz w:val="20"/>
                <w:szCs w:val="20"/>
                <w:lang w:val="es-DO"/>
              </w:rPr>
            </w:pPr>
            <w:r w:rsidRPr="005E73B9">
              <w:rPr>
                <w:rFonts w:eastAsia="Calibri"/>
                <w:sz w:val="20"/>
                <w:szCs w:val="20"/>
                <w:lang w:val="es-DO"/>
              </w:rPr>
              <w:t>2.1 - Remuneraciones y Contribuciones</w:t>
            </w:r>
          </w:p>
        </w:tc>
        <w:tc>
          <w:tcPr>
            <w:tcW w:w="2207" w:type="dxa"/>
            <w:tcBorders>
              <w:top w:val="nil"/>
              <w:left w:val="nil"/>
              <w:bottom w:val="single" w:sz="8" w:space="0" w:color="auto"/>
              <w:right w:val="single" w:sz="8" w:space="0" w:color="auto"/>
            </w:tcBorders>
            <w:shd w:val="clear" w:color="auto" w:fill="auto"/>
            <w:noWrap/>
            <w:vAlign w:val="center"/>
            <w:hideMark/>
          </w:tcPr>
          <w:p w14:paraId="6D10DF7B" w14:textId="3B3E277D"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w:t>
            </w:r>
            <w:r>
              <w:rPr>
                <w:rFonts w:eastAsia="Calibri"/>
                <w:sz w:val="20"/>
                <w:szCs w:val="20"/>
                <w:lang w:val="es-DO"/>
              </w:rPr>
              <w:t>598,133,117.00</w:t>
            </w:r>
            <w:r w:rsidRPr="005E73B9">
              <w:rPr>
                <w:rFonts w:eastAsia="Calibri"/>
                <w:sz w:val="20"/>
                <w:szCs w:val="20"/>
                <w:lang w:val="es-DO"/>
              </w:rPr>
              <w:t xml:space="preserve"> </w:t>
            </w:r>
          </w:p>
        </w:tc>
        <w:tc>
          <w:tcPr>
            <w:tcW w:w="2207" w:type="dxa"/>
            <w:tcBorders>
              <w:top w:val="nil"/>
              <w:left w:val="nil"/>
              <w:bottom w:val="single" w:sz="8" w:space="0" w:color="auto"/>
              <w:right w:val="single" w:sz="8" w:space="0" w:color="auto"/>
            </w:tcBorders>
            <w:shd w:val="clear" w:color="auto" w:fill="auto"/>
            <w:noWrap/>
            <w:vAlign w:val="center"/>
            <w:hideMark/>
          </w:tcPr>
          <w:p w14:paraId="3B5A59D6" w14:textId="7DCA36C9"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w:t>
            </w:r>
            <w:r>
              <w:rPr>
                <w:rFonts w:eastAsia="Calibri"/>
                <w:sz w:val="20"/>
                <w:szCs w:val="20"/>
                <w:lang w:val="es-DO"/>
              </w:rPr>
              <w:t>629,133,118.00</w:t>
            </w:r>
            <w:r w:rsidRPr="005E73B9">
              <w:rPr>
                <w:rFonts w:eastAsia="Calibri"/>
                <w:sz w:val="20"/>
                <w:szCs w:val="20"/>
                <w:lang w:val="es-DO"/>
              </w:rPr>
              <w:t xml:space="preserve"> </w:t>
            </w:r>
          </w:p>
        </w:tc>
        <w:tc>
          <w:tcPr>
            <w:tcW w:w="2452" w:type="dxa"/>
            <w:tcBorders>
              <w:top w:val="nil"/>
              <w:left w:val="nil"/>
              <w:bottom w:val="single" w:sz="8" w:space="0" w:color="auto"/>
              <w:right w:val="single" w:sz="8" w:space="0" w:color="auto"/>
            </w:tcBorders>
            <w:shd w:val="clear" w:color="auto" w:fill="auto"/>
            <w:noWrap/>
            <w:vAlign w:val="center"/>
            <w:hideMark/>
          </w:tcPr>
          <w:p w14:paraId="14352CCE" w14:textId="520AFD93"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w:t>
            </w:r>
            <w:r>
              <w:rPr>
                <w:rFonts w:eastAsia="Calibri"/>
                <w:sz w:val="20"/>
                <w:szCs w:val="20"/>
                <w:lang w:val="es-DO"/>
              </w:rPr>
              <w:t>487,549,130.79</w:t>
            </w:r>
          </w:p>
        </w:tc>
      </w:tr>
      <w:tr w:rsidR="00F926A4" w:rsidRPr="00DF1742" w14:paraId="71061F80" w14:textId="77777777" w:rsidTr="00EE3355">
        <w:trPr>
          <w:trHeight w:val="258"/>
        </w:trPr>
        <w:tc>
          <w:tcPr>
            <w:tcW w:w="3924" w:type="dxa"/>
            <w:tcBorders>
              <w:top w:val="nil"/>
              <w:left w:val="single" w:sz="8" w:space="0" w:color="auto"/>
              <w:bottom w:val="single" w:sz="8" w:space="0" w:color="auto"/>
              <w:right w:val="single" w:sz="8" w:space="0" w:color="auto"/>
            </w:tcBorders>
            <w:shd w:val="clear" w:color="auto" w:fill="auto"/>
            <w:noWrap/>
            <w:vAlign w:val="center"/>
            <w:hideMark/>
          </w:tcPr>
          <w:p w14:paraId="25C830FB" w14:textId="77777777" w:rsidR="00F926A4" w:rsidRPr="005E73B9" w:rsidRDefault="00F926A4" w:rsidP="00EE3355">
            <w:pPr>
              <w:spacing w:after="0" w:line="240" w:lineRule="auto"/>
              <w:jc w:val="both"/>
              <w:rPr>
                <w:rFonts w:eastAsia="Calibri"/>
                <w:sz w:val="20"/>
                <w:szCs w:val="20"/>
                <w:lang w:val="es-DO"/>
              </w:rPr>
            </w:pPr>
            <w:r w:rsidRPr="005E73B9">
              <w:rPr>
                <w:rFonts w:eastAsia="Calibri"/>
                <w:sz w:val="20"/>
                <w:szCs w:val="20"/>
                <w:lang w:val="es-DO"/>
              </w:rPr>
              <w:t>2.2 - Contratación de Servicios</w:t>
            </w:r>
          </w:p>
        </w:tc>
        <w:tc>
          <w:tcPr>
            <w:tcW w:w="2207" w:type="dxa"/>
            <w:tcBorders>
              <w:top w:val="nil"/>
              <w:left w:val="nil"/>
              <w:bottom w:val="single" w:sz="8" w:space="0" w:color="auto"/>
              <w:right w:val="single" w:sz="8" w:space="0" w:color="auto"/>
            </w:tcBorders>
            <w:shd w:val="clear" w:color="auto" w:fill="auto"/>
            <w:noWrap/>
            <w:vAlign w:val="center"/>
            <w:hideMark/>
          </w:tcPr>
          <w:p w14:paraId="0C0BE1EE" w14:textId="27A7E704"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w:t>
            </w:r>
            <w:r>
              <w:rPr>
                <w:rFonts w:eastAsia="Calibri"/>
                <w:sz w:val="20"/>
                <w:szCs w:val="20"/>
                <w:lang w:val="es-DO"/>
              </w:rPr>
              <w:t>211,485,403.00</w:t>
            </w:r>
            <w:r w:rsidRPr="005E73B9">
              <w:rPr>
                <w:rFonts w:eastAsia="Calibri"/>
                <w:sz w:val="20"/>
                <w:szCs w:val="20"/>
                <w:lang w:val="es-DO"/>
              </w:rPr>
              <w:t xml:space="preserve"> </w:t>
            </w:r>
          </w:p>
        </w:tc>
        <w:tc>
          <w:tcPr>
            <w:tcW w:w="2207" w:type="dxa"/>
            <w:tcBorders>
              <w:top w:val="nil"/>
              <w:left w:val="nil"/>
              <w:bottom w:val="single" w:sz="8" w:space="0" w:color="auto"/>
              <w:right w:val="single" w:sz="8" w:space="0" w:color="auto"/>
            </w:tcBorders>
            <w:shd w:val="clear" w:color="auto" w:fill="auto"/>
            <w:noWrap/>
            <w:vAlign w:val="center"/>
            <w:hideMark/>
          </w:tcPr>
          <w:p w14:paraId="3EE72BA5" w14:textId="3E090D2A"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w:t>
            </w:r>
            <w:r>
              <w:rPr>
                <w:rFonts w:eastAsia="Calibri"/>
                <w:sz w:val="20"/>
                <w:szCs w:val="20"/>
                <w:lang w:val="es-DO"/>
              </w:rPr>
              <w:t>389,202,301.99</w:t>
            </w:r>
            <w:r w:rsidRPr="005E73B9">
              <w:rPr>
                <w:rFonts w:eastAsia="Calibri"/>
                <w:sz w:val="20"/>
                <w:szCs w:val="20"/>
                <w:lang w:val="es-DO"/>
              </w:rPr>
              <w:t xml:space="preserve"> </w:t>
            </w:r>
          </w:p>
        </w:tc>
        <w:tc>
          <w:tcPr>
            <w:tcW w:w="2452" w:type="dxa"/>
            <w:tcBorders>
              <w:top w:val="nil"/>
              <w:left w:val="nil"/>
              <w:bottom w:val="single" w:sz="8" w:space="0" w:color="auto"/>
              <w:right w:val="single" w:sz="8" w:space="0" w:color="auto"/>
            </w:tcBorders>
            <w:shd w:val="clear" w:color="auto" w:fill="auto"/>
            <w:noWrap/>
            <w:vAlign w:val="center"/>
            <w:hideMark/>
          </w:tcPr>
          <w:p w14:paraId="45823E05" w14:textId="3B09E0DE" w:rsidR="00F926A4" w:rsidRPr="005E73B9" w:rsidRDefault="00F926A4" w:rsidP="00EE3355">
            <w:pPr>
              <w:spacing w:after="0" w:line="240" w:lineRule="auto"/>
              <w:jc w:val="right"/>
              <w:rPr>
                <w:rFonts w:eastAsia="Calibri"/>
                <w:sz w:val="20"/>
                <w:szCs w:val="20"/>
                <w:lang w:val="es-DO"/>
              </w:rPr>
            </w:pPr>
            <w:r>
              <w:rPr>
                <w:rFonts w:eastAsia="Calibri"/>
                <w:sz w:val="20"/>
                <w:szCs w:val="20"/>
                <w:lang w:val="es-DO"/>
              </w:rPr>
              <w:t>245,078,585.01</w:t>
            </w:r>
          </w:p>
        </w:tc>
      </w:tr>
      <w:tr w:rsidR="00F926A4" w:rsidRPr="00DF1742" w14:paraId="32FDC89E" w14:textId="77777777" w:rsidTr="00EE3355">
        <w:trPr>
          <w:trHeight w:val="271"/>
        </w:trPr>
        <w:tc>
          <w:tcPr>
            <w:tcW w:w="3924" w:type="dxa"/>
            <w:tcBorders>
              <w:top w:val="nil"/>
              <w:left w:val="single" w:sz="8" w:space="0" w:color="auto"/>
              <w:bottom w:val="single" w:sz="8" w:space="0" w:color="auto"/>
              <w:right w:val="single" w:sz="8" w:space="0" w:color="auto"/>
            </w:tcBorders>
            <w:shd w:val="clear" w:color="auto" w:fill="auto"/>
            <w:noWrap/>
            <w:vAlign w:val="center"/>
            <w:hideMark/>
          </w:tcPr>
          <w:p w14:paraId="12F377ED" w14:textId="77777777" w:rsidR="00F926A4" w:rsidRPr="005E73B9" w:rsidRDefault="00F926A4" w:rsidP="00EE3355">
            <w:pPr>
              <w:spacing w:after="0" w:line="240" w:lineRule="auto"/>
              <w:jc w:val="both"/>
              <w:rPr>
                <w:rFonts w:eastAsia="Calibri"/>
                <w:sz w:val="20"/>
                <w:szCs w:val="20"/>
                <w:lang w:val="es-DO"/>
              </w:rPr>
            </w:pPr>
            <w:r w:rsidRPr="005E73B9">
              <w:rPr>
                <w:rFonts w:eastAsia="Calibri"/>
                <w:sz w:val="20"/>
                <w:szCs w:val="20"/>
                <w:lang w:val="es-DO"/>
              </w:rPr>
              <w:t>2.3 - Materiales y Suministros</w:t>
            </w:r>
          </w:p>
        </w:tc>
        <w:tc>
          <w:tcPr>
            <w:tcW w:w="2207" w:type="dxa"/>
            <w:tcBorders>
              <w:top w:val="nil"/>
              <w:left w:val="nil"/>
              <w:bottom w:val="single" w:sz="8" w:space="0" w:color="auto"/>
              <w:right w:val="single" w:sz="8" w:space="0" w:color="auto"/>
            </w:tcBorders>
            <w:shd w:val="clear" w:color="auto" w:fill="auto"/>
            <w:noWrap/>
            <w:vAlign w:val="center"/>
            <w:hideMark/>
          </w:tcPr>
          <w:p w14:paraId="214C6D7B" w14:textId="6AAF5BC1" w:rsidR="00F926A4" w:rsidRPr="005E73B9" w:rsidRDefault="00F926A4" w:rsidP="00EE3355">
            <w:pPr>
              <w:spacing w:after="0" w:line="240" w:lineRule="auto"/>
              <w:jc w:val="right"/>
              <w:rPr>
                <w:rFonts w:eastAsia="Calibri"/>
                <w:sz w:val="20"/>
                <w:szCs w:val="20"/>
                <w:lang w:val="es-DO"/>
              </w:rPr>
            </w:pPr>
            <w:r>
              <w:rPr>
                <w:rFonts w:eastAsia="Calibri"/>
                <w:sz w:val="20"/>
                <w:szCs w:val="20"/>
                <w:lang w:val="es-DO"/>
              </w:rPr>
              <w:t>10,406,080.00</w:t>
            </w:r>
          </w:p>
        </w:tc>
        <w:tc>
          <w:tcPr>
            <w:tcW w:w="2207" w:type="dxa"/>
            <w:tcBorders>
              <w:top w:val="nil"/>
              <w:left w:val="nil"/>
              <w:bottom w:val="single" w:sz="8" w:space="0" w:color="auto"/>
              <w:right w:val="single" w:sz="8" w:space="0" w:color="auto"/>
            </w:tcBorders>
            <w:shd w:val="clear" w:color="auto" w:fill="auto"/>
            <w:noWrap/>
            <w:vAlign w:val="center"/>
            <w:hideMark/>
          </w:tcPr>
          <w:p w14:paraId="0C10CBDF" w14:textId="5C1B1066"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w:t>
            </w:r>
            <w:r>
              <w:rPr>
                <w:rFonts w:eastAsia="Calibri"/>
                <w:sz w:val="20"/>
                <w:szCs w:val="20"/>
                <w:lang w:val="es-DO"/>
              </w:rPr>
              <w:t>20,818,332,819</w:t>
            </w:r>
            <w:r w:rsidRPr="005E73B9">
              <w:rPr>
                <w:rFonts w:eastAsia="Calibri"/>
                <w:sz w:val="20"/>
                <w:szCs w:val="20"/>
                <w:lang w:val="es-DO"/>
              </w:rPr>
              <w:t xml:space="preserve"> </w:t>
            </w:r>
          </w:p>
        </w:tc>
        <w:tc>
          <w:tcPr>
            <w:tcW w:w="2452" w:type="dxa"/>
            <w:tcBorders>
              <w:top w:val="nil"/>
              <w:left w:val="nil"/>
              <w:bottom w:val="single" w:sz="8" w:space="0" w:color="auto"/>
              <w:right w:val="single" w:sz="8" w:space="0" w:color="auto"/>
            </w:tcBorders>
            <w:shd w:val="clear" w:color="auto" w:fill="auto"/>
            <w:noWrap/>
            <w:vAlign w:val="center"/>
            <w:hideMark/>
          </w:tcPr>
          <w:p w14:paraId="7B69E8B9" w14:textId="03AF734E"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w:t>
            </w:r>
            <w:r>
              <w:rPr>
                <w:rFonts w:eastAsia="Calibri"/>
                <w:sz w:val="20"/>
                <w:szCs w:val="20"/>
                <w:lang w:val="es-DO"/>
              </w:rPr>
              <w:t>17,055,9337,500.59</w:t>
            </w:r>
          </w:p>
        </w:tc>
      </w:tr>
      <w:tr w:rsidR="00F926A4" w:rsidRPr="00DF1742" w14:paraId="4BD6A602" w14:textId="77777777" w:rsidTr="00EE3355">
        <w:trPr>
          <w:trHeight w:val="271"/>
        </w:trPr>
        <w:tc>
          <w:tcPr>
            <w:tcW w:w="3924" w:type="dxa"/>
            <w:tcBorders>
              <w:top w:val="nil"/>
              <w:left w:val="single" w:sz="8" w:space="0" w:color="auto"/>
              <w:bottom w:val="single" w:sz="8" w:space="0" w:color="auto"/>
              <w:right w:val="single" w:sz="8" w:space="0" w:color="auto"/>
            </w:tcBorders>
            <w:shd w:val="clear" w:color="auto" w:fill="auto"/>
            <w:noWrap/>
            <w:vAlign w:val="center"/>
            <w:hideMark/>
          </w:tcPr>
          <w:p w14:paraId="4D063575" w14:textId="77777777" w:rsidR="00F926A4" w:rsidRPr="005E73B9" w:rsidRDefault="00F926A4" w:rsidP="00EE3355">
            <w:pPr>
              <w:spacing w:after="0" w:line="240" w:lineRule="auto"/>
              <w:jc w:val="both"/>
              <w:rPr>
                <w:rFonts w:eastAsia="Calibri"/>
                <w:sz w:val="20"/>
                <w:szCs w:val="20"/>
                <w:lang w:val="es-DO"/>
              </w:rPr>
            </w:pPr>
            <w:r w:rsidRPr="005E73B9">
              <w:rPr>
                <w:rFonts w:eastAsia="Calibri"/>
                <w:sz w:val="20"/>
                <w:szCs w:val="20"/>
                <w:lang w:val="es-DO"/>
              </w:rPr>
              <w:t>2.4 - Transferencias Corrientes</w:t>
            </w:r>
          </w:p>
        </w:tc>
        <w:tc>
          <w:tcPr>
            <w:tcW w:w="2207" w:type="dxa"/>
            <w:tcBorders>
              <w:top w:val="nil"/>
              <w:left w:val="nil"/>
              <w:bottom w:val="single" w:sz="8" w:space="0" w:color="auto"/>
              <w:right w:val="single" w:sz="8" w:space="0" w:color="auto"/>
            </w:tcBorders>
            <w:shd w:val="clear" w:color="auto" w:fill="auto"/>
            <w:noWrap/>
            <w:vAlign w:val="center"/>
            <w:hideMark/>
          </w:tcPr>
          <w:p w14:paraId="023D9E1A" w14:textId="681BCE09"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w:t>
            </w:r>
            <w:r>
              <w:rPr>
                <w:rFonts w:eastAsia="Calibri"/>
                <w:sz w:val="20"/>
                <w:szCs w:val="20"/>
                <w:lang w:val="es-DO"/>
              </w:rPr>
              <w:t>20,579,972,819.00</w:t>
            </w:r>
            <w:r w:rsidRPr="005E73B9">
              <w:rPr>
                <w:rFonts w:eastAsia="Calibri"/>
                <w:sz w:val="20"/>
                <w:szCs w:val="20"/>
                <w:lang w:val="es-DO"/>
              </w:rPr>
              <w:t xml:space="preserve"> </w:t>
            </w:r>
          </w:p>
        </w:tc>
        <w:tc>
          <w:tcPr>
            <w:tcW w:w="2207" w:type="dxa"/>
            <w:tcBorders>
              <w:top w:val="nil"/>
              <w:left w:val="nil"/>
              <w:bottom w:val="single" w:sz="8" w:space="0" w:color="auto"/>
              <w:right w:val="single" w:sz="8" w:space="0" w:color="auto"/>
            </w:tcBorders>
            <w:shd w:val="clear" w:color="auto" w:fill="auto"/>
            <w:noWrap/>
            <w:vAlign w:val="center"/>
            <w:hideMark/>
          </w:tcPr>
          <w:p w14:paraId="10E701B2" w14:textId="3C6C2923"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w:t>
            </w:r>
            <w:r>
              <w:rPr>
                <w:rFonts w:eastAsia="Calibri"/>
                <w:sz w:val="20"/>
                <w:szCs w:val="20"/>
                <w:lang w:val="es-DO"/>
              </w:rPr>
              <w:t>20,818,332,819.00</w:t>
            </w:r>
            <w:r w:rsidRPr="005E73B9">
              <w:rPr>
                <w:rFonts w:eastAsia="Calibri"/>
                <w:sz w:val="20"/>
                <w:szCs w:val="20"/>
                <w:lang w:val="es-DO"/>
              </w:rPr>
              <w:t xml:space="preserve"> </w:t>
            </w:r>
          </w:p>
        </w:tc>
        <w:tc>
          <w:tcPr>
            <w:tcW w:w="2452" w:type="dxa"/>
            <w:tcBorders>
              <w:top w:val="nil"/>
              <w:left w:val="nil"/>
              <w:bottom w:val="single" w:sz="8" w:space="0" w:color="auto"/>
              <w:right w:val="single" w:sz="8" w:space="0" w:color="auto"/>
            </w:tcBorders>
            <w:shd w:val="clear" w:color="auto" w:fill="auto"/>
            <w:noWrap/>
            <w:vAlign w:val="center"/>
            <w:hideMark/>
          </w:tcPr>
          <w:p w14:paraId="0938D0A1" w14:textId="79AA1759" w:rsidR="00F926A4" w:rsidRPr="005E73B9" w:rsidRDefault="00F926A4" w:rsidP="00EE3355">
            <w:pPr>
              <w:spacing w:after="0" w:line="240" w:lineRule="auto"/>
              <w:jc w:val="right"/>
              <w:rPr>
                <w:rFonts w:eastAsia="Calibri"/>
                <w:sz w:val="20"/>
                <w:szCs w:val="20"/>
                <w:lang w:val="es-DO"/>
              </w:rPr>
            </w:pPr>
            <w:r>
              <w:rPr>
                <w:rFonts w:eastAsia="Calibri"/>
                <w:sz w:val="20"/>
                <w:szCs w:val="20"/>
                <w:lang w:val="es-DO"/>
              </w:rPr>
              <w:t>17,055,937,500.59</w:t>
            </w:r>
          </w:p>
        </w:tc>
      </w:tr>
      <w:tr w:rsidR="00F926A4" w:rsidRPr="00DF1742" w14:paraId="79F9DAF7" w14:textId="77777777" w:rsidTr="00EE3355">
        <w:trPr>
          <w:trHeight w:val="405"/>
        </w:trPr>
        <w:tc>
          <w:tcPr>
            <w:tcW w:w="3924" w:type="dxa"/>
            <w:tcBorders>
              <w:top w:val="nil"/>
              <w:left w:val="single" w:sz="8" w:space="0" w:color="auto"/>
              <w:bottom w:val="single" w:sz="8" w:space="0" w:color="auto"/>
              <w:right w:val="single" w:sz="8" w:space="0" w:color="auto"/>
            </w:tcBorders>
            <w:shd w:val="clear" w:color="auto" w:fill="auto"/>
            <w:noWrap/>
            <w:vAlign w:val="center"/>
            <w:hideMark/>
          </w:tcPr>
          <w:p w14:paraId="04AB7E76" w14:textId="77777777" w:rsidR="00F926A4" w:rsidRPr="005E73B9" w:rsidRDefault="00F926A4" w:rsidP="00EE3355">
            <w:pPr>
              <w:spacing w:after="0" w:line="240" w:lineRule="auto"/>
              <w:jc w:val="both"/>
              <w:rPr>
                <w:rFonts w:eastAsia="Calibri"/>
                <w:sz w:val="20"/>
                <w:szCs w:val="20"/>
                <w:lang w:val="es-DO"/>
              </w:rPr>
            </w:pPr>
            <w:r w:rsidRPr="005E73B9">
              <w:rPr>
                <w:rFonts w:eastAsia="Calibri"/>
                <w:sz w:val="20"/>
                <w:szCs w:val="20"/>
                <w:lang w:val="es-DO"/>
              </w:rPr>
              <w:t>2.5 - Transferencias de Capital</w:t>
            </w:r>
          </w:p>
        </w:tc>
        <w:tc>
          <w:tcPr>
            <w:tcW w:w="2207" w:type="dxa"/>
            <w:tcBorders>
              <w:top w:val="nil"/>
              <w:left w:val="nil"/>
              <w:bottom w:val="single" w:sz="8" w:space="0" w:color="auto"/>
              <w:right w:val="single" w:sz="8" w:space="0" w:color="auto"/>
            </w:tcBorders>
            <w:shd w:val="clear" w:color="auto" w:fill="auto"/>
            <w:noWrap/>
            <w:vAlign w:val="center"/>
            <w:hideMark/>
          </w:tcPr>
          <w:p w14:paraId="421F1F47" w14:textId="77777777"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    </w:t>
            </w:r>
          </w:p>
        </w:tc>
        <w:tc>
          <w:tcPr>
            <w:tcW w:w="2207" w:type="dxa"/>
            <w:tcBorders>
              <w:top w:val="nil"/>
              <w:left w:val="nil"/>
              <w:bottom w:val="single" w:sz="8" w:space="0" w:color="auto"/>
              <w:right w:val="single" w:sz="8" w:space="0" w:color="auto"/>
            </w:tcBorders>
            <w:shd w:val="clear" w:color="auto" w:fill="auto"/>
            <w:noWrap/>
            <w:vAlign w:val="center"/>
            <w:hideMark/>
          </w:tcPr>
          <w:p w14:paraId="3EFFB94A" w14:textId="77777777"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    </w:t>
            </w:r>
          </w:p>
        </w:tc>
        <w:tc>
          <w:tcPr>
            <w:tcW w:w="2452" w:type="dxa"/>
            <w:tcBorders>
              <w:top w:val="nil"/>
              <w:left w:val="nil"/>
              <w:bottom w:val="single" w:sz="8" w:space="0" w:color="auto"/>
              <w:right w:val="single" w:sz="8" w:space="0" w:color="auto"/>
            </w:tcBorders>
            <w:shd w:val="clear" w:color="auto" w:fill="auto"/>
            <w:noWrap/>
            <w:vAlign w:val="center"/>
            <w:hideMark/>
          </w:tcPr>
          <w:p w14:paraId="73742532" w14:textId="77777777"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    </w:t>
            </w:r>
          </w:p>
        </w:tc>
      </w:tr>
      <w:tr w:rsidR="00F926A4" w:rsidRPr="00DF1742" w14:paraId="541D055A" w14:textId="77777777" w:rsidTr="00EE3355">
        <w:trPr>
          <w:trHeight w:val="381"/>
        </w:trPr>
        <w:tc>
          <w:tcPr>
            <w:tcW w:w="3924" w:type="dxa"/>
            <w:tcBorders>
              <w:top w:val="nil"/>
              <w:left w:val="single" w:sz="8" w:space="0" w:color="auto"/>
              <w:bottom w:val="single" w:sz="8" w:space="0" w:color="auto"/>
              <w:right w:val="single" w:sz="8" w:space="0" w:color="auto"/>
            </w:tcBorders>
            <w:shd w:val="clear" w:color="auto" w:fill="auto"/>
            <w:noWrap/>
            <w:vAlign w:val="center"/>
            <w:hideMark/>
          </w:tcPr>
          <w:p w14:paraId="01522EAB" w14:textId="77777777" w:rsidR="00F926A4" w:rsidRPr="005E73B9" w:rsidRDefault="00F926A4" w:rsidP="00EE3355">
            <w:pPr>
              <w:spacing w:after="0" w:line="240" w:lineRule="auto"/>
              <w:jc w:val="both"/>
              <w:rPr>
                <w:rFonts w:eastAsia="Calibri"/>
                <w:sz w:val="20"/>
                <w:szCs w:val="20"/>
                <w:lang w:val="es-DO"/>
              </w:rPr>
            </w:pPr>
            <w:r w:rsidRPr="005E73B9">
              <w:rPr>
                <w:rFonts w:eastAsia="Calibri"/>
                <w:sz w:val="20"/>
                <w:szCs w:val="20"/>
                <w:lang w:val="es-DO"/>
              </w:rPr>
              <w:t>2.6 - Bienes Muebles, Inmuebles E Intangibles</w:t>
            </w:r>
          </w:p>
        </w:tc>
        <w:tc>
          <w:tcPr>
            <w:tcW w:w="2207" w:type="dxa"/>
            <w:tcBorders>
              <w:top w:val="nil"/>
              <w:left w:val="nil"/>
              <w:bottom w:val="single" w:sz="8" w:space="0" w:color="auto"/>
              <w:right w:val="single" w:sz="8" w:space="0" w:color="auto"/>
            </w:tcBorders>
            <w:shd w:val="clear" w:color="auto" w:fill="auto"/>
            <w:noWrap/>
            <w:vAlign w:val="center"/>
            <w:hideMark/>
          </w:tcPr>
          <w:p w14:paraId="48D51031" w14:textId="4EDA638D"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w:t>
            </w:r>
            <w:r>
              <w:rPr>
                <w:rFonts w:eastAsia="Calibri"/>
                <w:sz w:val="20"/>
                <w:szCs w:val="20"/>
                <w:lang w:val="es-DO"/>
              </w:rPr>
              <w:t>403,400.00</w:t>
            </w:r>
            <w:r w:rsidRPr="005E73B9">
              <w:rPr>
                <w:rFonts w:eastAsia="Calibri"/>
                <w:sz w:val="20"/>
                <w:szCs w:val="20"/>
                <w:lang w:val="es-DO"/>
              </w:rPr>
              <w:t xml:space="preserve"> </w:t>
            </w:r>
          </w:p>
        </w:tc>
        <w:tc>
          <w:tcPr>
            <w:tcW w:w="2207" w:type="dxa"/>
            <w:tcBorders>
              <w:top w:val="nil"/>
              <w:left w:val="nil"/>
              <w:bottom w:val="single" w:sz="8" w:space="0" w:color="auto"/>
              <w:right w:val="single" w:sz="8" w:space="0" w:color="auto"/>
            </w:tcBorders>
            <w:shd w:val="clear" w:color="auto" w:fill="auto"/>
            <w:noWrap/>
            <w:vAlign w:val="center"/>
            <w:hideMark/>
          </w:tcPr>
          <w:p w14:paraId="30DAF8E0" w14:textId="2E23FB3E"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w:t>
            </w:r>
            <w:r>
              <w:rPr>
                <w:rFonts w:eastAsia="Calibri"/>
                <w:sz w:val="20"/>
                <w:szCs w:val="20"/>
                <w:lang w:val="es-DO"/>
              </w:rPr>
              <w:t>214,012,744.26</w:t>
            </w:r>
            <w:r w:rsidRPr="005E73B9">
              <w:rPr>
                <w:rFonts w:eastAsia="Calibri"/>
                <w:sz w:val="20"/>
                <w:szCs w:val="20"/>
                <w:lang w:val="es-DO"/>
              </w:rPr>
              <w:t xml:space="preserve"> </w:t>
            </w:r>
          </w:p>
        </w:tc>
        <w:tc>
          <w:tcPr>
            <w:tcW w:w="2452" w:type="dxa"/>
            <w:tcBorders>
              <w:top w:val="nil"/>
              <w:left w:val="nil"/>
              <w:bottom w:val="single" w:sz="8" w:space="0" w:color="auto"/>
              <w:right w:val="single" w:sz="8" w:space="0" w:color="auto"/>
            </w:tcBorders>
            <w:shd w:val="clear" w:color="auto" w:fill="auto"/>
            <w:noWrap/>
            <w:vAlign w:val="center"/>
            <w:hideMark/>
          </w:tcPr>
          <w:p w14:paraId="5B8A7CD8" w14:textId="3156B748"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w:t>
            </w:r>
            <w:r>
              <w:rPr>
                <w:rFonts w:eastAsia="Calibri"/>
                <w:sz w:val="20"/>
                <w:szCs w:val="20"/>
                <w:lang w:val="es-DO"/>
              </w:rPr>
              <w:t>67,186,724.59</w:t>
            </w:r>
          </w:p>
        </w:tc>
      </w:tr>
      <w:tr w:rsidR="00F926A4" w:rsidRPr="00DF1742" w14:paraId="15C2C559" w14:textId="77777777" w:rsidTr="00EE3355">
        <w:trPr>
          <w:trHeight w:val="271"/>
        </w:trPr>
        <w:tc>
          <w:tcPr>
            <w:tcW w:w="3924" w:type="dxa"/>
            <w:tcBorders>
              <w:top w:val="nil"/>
              <w:left w:val="single" w:sz="8" w:space="0" w:color="auto"/>
              <w:bottom w:val="single" w:sz="8" w:space="0" w:color="auto"/>
              <w:right w:val="single" w:sz="8" w:space="0" w:color="auto"/>
            </w:tcBorders>
            <w:shd w:val="clear" w:color="auto" w:fill="auto"/>
            <w:noWrap/>
            <w:vAlign w:val="center"/>
            <w:hideMark/>
          </w:tcPr>
          <w:p w14:paraId="78632270" w14:textId="77777777" w:rsidR="00F926A4" w:rsidRPr="005E73B9" w:rsidRDefault="00F926A4" w:rsidP="00EE3355">
            <w:pPr>
              <w:spacing w:after="0" w:line="240" w:lineRule="auto"/>
              <w:jc w:val="both"/>
              <w:rPr>
                <w:rFonts w:eastAsia="Calibri"/>
                <w:sz w:val="20"/>
                <w:szCs w:val="20"/>
                <w:lang w:val="es-DO"/>
              </w:rPr>
            </w:pPr>
            <w:r w:rsidRPr="005E73B9">
              <w:rPr>
                <w:rFonts w:eastAsia="Calibri"/>
                <w:sz w:val="20"/>
                <w:szCs w:val="20"/>
                <w:lang w:val="es-DO"/>
              </w:rPr>
              <w:t>2.7 - Obras</w:t>
            </w:r>
          </w:p>
        </w:tc>
        <w:tc>
          <w:tcPr>
            <w:tcW w:w="2207" w:type="dxa"/>
            <w:tcBorders>
              <w:top w:val="nil"/>
              <w:left w:val="nil"/>
              <w:bottom w:val="single" w:sz="8" w:space="0" w:color="auto"/>
              <w:right w:val="single" w:sz="8" w:space="0" w:color="auto"/>
            </w:tcBorders>
            <w:shd w:val="clear" w:color="auto" w:fill="auto"/>
            <w:noWrap/>
            <w:vAlign w:val="center"/>
            <w:hideMark/>
          </w:tcPr>
          <w:p w14:paraId="0E2D0D3D" w14:textId="77777777"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   </w:t>
            </w:r>
          </w:p>
        </w:tc>
        <w:tc>
          <w:tcPr>
            <w:tcW w:w="2207" w:type="dxa"/>
            <w:tcBorders>
              <w:top w:val="nil"/>
              <w:left w:val="nil"/>
              <w:bottom w:val="single" w:sz="8" w:space="0" w:color="auto"/>
              <w:right w:val="single" w:sz="8" w:space="0" w:color="auto"/>
            </w:tcBorders>
            <w:shd w:val="clear" w:color="auto" w:fill="auto"/>
            <w:noWrap/>
            <w:vAlign w:val="center"/>
            <w:hideMark/>
          </w:tcPr>
          <w:p w14:paraId="71619C06" w14:textId="298C3326"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w:t>
            </w:r>
            <w:r>
              <w:rPr>
                <w:rFonts w:eastAsia="Calibri"/>
                <w:sz w:val="20"/>
                <w:szCs w:val="20"/>
                <w:lang w:val="es-DO"/>
              </w:rPr>
              <w:t>17,140,000.00</w:t>
            </w:r>
            <w:r w:rsidRPr="005E73B9">
              <w:rPr>
                <w:rFonts w:eastAsia="Calibri"/>
                <w:sz w:val="20"/>
                <w:szCs w:val="20"/>
                <w:lang w:val="es-DO"/>
              </w:rPr>
              <w:t xml:space="preserve"> </w:t>
            </w:r>
          </w:p>
        </w:tc>
        <w:tc>
          <w:tcPr>
            <w:tcW w:w="2452" w:type="dxa"/>
            <w:tcBorders>
              <w:top w:val="nil"/>
              <w:left w:val="nil"/>
              <w:bottom w:val="single" w:sz="8" w:space="0" w:color="auto"/>
              <w:right w:val="single" w:sz="8" w:space="0" w:color="auto"/>
            </w:tcBorders>
            <w:shd w:val="clear" w:color="auto" w:fill="auto"/>
            <w:noWrap/>
            <w:vAlign w:val="center"/>
            <w:hideMark/>
          </w:tcPr>
          <w:p w14:paraId="48AB7B3B" w14:textId="6C2E979D"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w:t>
            </w:r>
            <w:r>
              <w:rPr>
                <w:rFonts w:eastAsia="Calibri"/>
                <w:sz w:val="20"/>
                <w:szCs w:val="20"/>
                <w:lang w:val="es-DO"/>
              </w:rPr>
              <w:t>3,987,196.27</w:t>
            </w:r>
            <w:r w:rsidRPr="005E73B9">
              <w:rPr>
                <w:rFonts w:eastAsia="Calibri"/>
                <w:sz w:val="20"/>
                <w:szCs w:val="20"/>
                <w:lang w:val="es-DO"/>
              </w:rPr>
              <w:t xml:space="preserve">  </w:t>
            </w:r>
          </w:p>
        </w:tc>
      </w:tr>
      <w:tr w:rsidR="00F926A4" w:rsidRPr="00DF1742" w14:paraId="6CE9A497" w14:textId="77777777" w:rsidTr="00EE3355">
        <w:trPr>
          <w:trHeight w:val="451"/>
        </w:trPr>
        <w:tc>
          <w:tcPr>
            <w:tcW w:w="3924" w:type="dxa"/>
            <w:tcBorders>
              <w:top w:val="nil"/>
              <w:left w:val="single" w:sz="8" w:space="0" w:color="auto"/>
              <w:bottom w:val="single" w:sz="8" w:space="0" w:color="auto"/>
              <w:right w:val="single" w:sz="8" w:space="0" w:color="auto"/>
            </w:tcBorders>
            <w:shd w:val="clear" w:color="auto" w:fill="auto"/>
            <w:noWrap/>
            <w:vAlign w:val="center"/>
            <w:hideMark/>
          </w:tcPr>
          <w:p w14:paraId="6C19ACCA" w14:textId="77777777" w:rsidR="00F926A4" w:rsidRPr="005E73B9" w:rsidRDefault="00F926A4" w:rsidP="00EE3355">
            <w:pPr>
              <w:spacing w:after="0" w:line="240" w:lineRule="auto"/>
              <w:jc w:val="both"/>
              <w:rPr>
                <w:rFonts w:eastAsia="Calibri"/>
                <w:sz w:val="20"/>
                <w:szCs w:val="20"/>
                <w:lang w:val="es-DO"/>
              </w:rPr>
            </w:pPr>
            <w:r w:rsidRPr="005E73B9">
              <w:rPr>
                <w:rFonts w:eastAsia="Calibri"/>
                <w:sz w:val="20"/>
                <w:szCs w:val="20"/>
                <w:lang w:val="es-DO"/>
              </w:rPr>
              <w:t>2.8 - Adquisición de Activos Financieros con Fines de Política</w:t>
            </w:r>
          </w:p>
        </w:tc>
        <w:tc>
          <w:tcPr>
            <w:tcW w:w="2207" w:type="dxa"/>
            <w:tcBorders>
              <w:top w:val="nil"/>
              <w:left w:val="nil"/>
              <w:bottom w:val="single" w:sz="8" w:space="0" w:color="auto"/>
              <w:right w:val="single" w:sz="8" w:space="0" w:color="auto"/>
            </w:tcBorders>
            <w:shd w:val="clear" w:color="auto" w:fill="auto"/>
            <w:noWrap/>
            <w:vAlign w:val="center"/>
            <w:hideMark/>
          </w:tcPr>
          <w:p w14:paraId="3006A9D6" w14:textId="77777777"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   </w:t>
            </w:r>
          </w:p>
        </w:tc>
        <w:tc>
          <w:tcPr>
            <w:tcW w:w="2207" w:type="dxa"/>
            <w:tcBorders>
              <w:top w:val="nil"/>
              <w:left w:val="nil"/>
              <w:bottom w:val="single" w:sz="8" w:space="0" w:color="auto"/>
              <w:right w:val="single" w:sz="8" w:space="0" w:color="auto"/>
            </w:tcBorders>
            <w:shd w:val="clear" w:color="auto" w:fill="auto"/>
            <w:noWrap/>
            <w:vAlign w:val="center"/>
            <w:hideMark/>
          </w:tcPr>
          <w:p w14:paraId="0AAE3250" w14:textId="77777777"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    </w:t>
            </w:r>
          </w:p>
        </w:tc>
        <w:tc>
          <w:tcPr>
            <w:tcW w:w="2452" w:type="dxa"/>
            <w:tcBorders>
              <w:top w:val="nil"/>
              <w:left w:val="nil"/>
              <w:bottom w:val="single" w:sz="8" w:space="0" w:color="auto"/>
              <w:right w:val="single" w:sz="8" w:space="0" w:color="auto"/>
            </w:tcBorders>
            <w:shd w:val="clear" w:color="auto" w:fill="auto"/>
            <w:noWrap/>
            <w:vAlign w:val="center"/>
            <w:hideMark/>
          </w:tcPr>
          <w:p w14:paraId="57CCEA0C" w14:textId="77777777"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    </w:t>
            </w:r>
          </w:p>
        </w:tc>
      </w:tr>
      <w:tr w:rsidR="00F926A4" w:rsidRPr="00DF1742" w14:paraId="67FD4CBB" w14:textId="77777777" w:rsidTr="00EE3355">
        <w:trPr>
          <w:trHeight w:val="51"/>
        </w:trPr>
        <w:tc>
          <w:tcPr>
            <w:tcW w:w="3924" w:type="dxa"/>
            <w:tcBorders>
              <w:top w:val="nil"/>
              <w:left w:val="single" w:sz="8" w:space="0" w:color="auto"/>
              <w:bottom w:val="single" w:sz="8" w:space="0" w:color="auto"/>
              <w:right w:val="single" w:sz="8" w:space="0" w:color="auto"/>
            </w:tcBorders>
            <w:shd w:val="clear" w:color="auto" w:fill="auto"/>
            <w:noWrap/>
            <w:vAlign w:val="center"/>
            <w:hideMark/>
          </w:tcPr>
          <w:p w14:paraId="5A5C2A44" w14:textId="77777777" w:rsidR="00F926A4" w:rsidRPr="005E73B9" w:rsidRDefault="00F926A4" w:rsidP="00EE3355">
            <w:pPr>
              <w:spacing w:after="0" w:line="240" w:lineRule="auto"/>
              <w:jc w:val="both"/>
              <w:rPr>
                <w:rFonts w:eastAsia="Calibri"/>
                <w:sz w:val="20"/>
                <w:szCs w:val="20"/>
                <w:lang w:val="es-DO"/>
              </w:rPr>
            </w:pPr>
            <w:r w:rsidRPr="005E73B9">
              <w:rPr>
                <w:rFonts w:eastAsia="Calibri"/>
                <w:sz w:val="20"/>
                <w:szCs w:val="20"/>
                <w:lang w:val="es-DO"/>
              </w:rPr>
              <w:t>2.9 - Gastos Financieros</w:t>
            </w:r>
          </w:p>
        </w:tc>
        <w:tc>
          <w:tcPr>
            <w:tcW w:w="2207" w:type="dxa"/>
            <w:tcBorders>
              <w:top w:val="nil"/>
              <w:left w:val="nil"/>
              <w:bottom w:val="single" w:sz="8" w:space="0" w:color="auto"/>
              <w:right w:val="single" w:sz="8" w:space="0" w:color="auto"/>
            </w:tcBorders>
            <w:shd w:val="clear" w:color="auto" w:fill="auto"/>
            <w:noWrap/>
            <w:vAlign w:val="center"/>
            <w:hideMark/>
          </w:tcPr>
          <w:p w14:paraId="1CCE64D2" w14:textId="77777777"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   </w:t>
            </w:r>
          </w:p>
        </w:tc>
        <w:tc>
          <w:tcPr>
            <w:tcW w:w="2207" w:type="dxa"/>
            <w:tcBorders>
              <w:top w:val="nil"/>
              <w:left w:val="nil"/>
              <w:bottom w:val="single" w:sz="8" w:space="0" w:color="auto"/>
              <w:right w:val="single" w:sz="8" w:space="0" w:color="auto"/>
            </w:tcBorders>
            <w:shd w:val="clear" w:color="auto" w:fill="auto"/>
            <w:noWrap/>
            <w:vAlign w:val="center"/>
            <w:hideMark/>
          </w:tcPr>
          <w:p w14:paraId="34FE9844" w14:textId="77777777"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    </w:t>
            </w:r>
          </w:p>
        </w:tc>
        <w:tc>
          <w:tcPr>
            <w:tcW w:w="2452" w:type="dxa"/>
            <w:tcBorders>
              <w:top w:val="nil"/>
              <w:left w:val="nil"/>
              <w:bottom w:val="single" w:sz="8" w:space="0" w:color="auto"/>
              <w:right w:val="single" w:sz="8" w:space="0" w:color="auto"/>
            </w:tcBorders>
            <w:shd w:val="clear" w:color="auto" w:fill="auto"/>
            <w:noWrap/>
            <w:vAlign w:val="center"/>
            <w:hideMark/>
          </w:tcPr>
          <w:p w14:paraId="26244996" w14:textId="77777777" w:rsidR="00F926A4" w:rsidRPr="005E73B9" w:rsidRDefault="00F926A4" w:rsidP="00EE3355">
            <w:pPr>
              <w:spacing w:after="0" w:line="240" w:lineRule="auto"/>
              <w:jc w:val="right"/>
              <w:rPr>
                <w:rFonts w:eastAsia="Calibri"/>
                <w:sz w:val="20"/>
                <w:szCs w:val="20"/>
                <w:lang w:val="es-DO"/>
              </w:rPr>
            </w:pPr>
            <w:r w:rsidRPr="005E73B9">
              <w:rPr>
                <w:rFonts w:eastAsia="Calibri"/>
                <w:sz w:val="20"/>
                <w:szCs w:val="20"/>
                <w:lang w:val="es-DO"/>
              </w:rPr>
              <w:t xml:space="preserve">                                     -    </w:t>
            </w:r>
          </w:p>
        </w:tc>
      </w:tr>
      <w:tr w:rsidR="00F926A4" w:rsidRPr="00DF1742" w14:paraId="6FB9970A" w14:textId="77777777" w:rsidTr="00EE3355">
        <w:trPr>
          <w:trHeight w:val="51"/>
        </w:trPr>
        <w:tc>
          <w:tcPr>
            <w:tcW w:w="3924" w:type="dxa"/>
            <w:tcBorders>
              <w:top w:val="nil"/>
              <w:left w:val="single" w:sz="8" w:space="0" w:color="auto"/>
              <w:bottom w:val="single" w:sz="8" w:space="0" w:color="auto"/>
              <w:right w:val="single" w:sz="8" w:space="0" w:color="auto"/>
            </w:tcBorders>
            <w:shd w:val="clear" w:color="auto" w:fill="auto"/>
            <w:noWrap/>
            <w:vAlign w:val="center"/>
          </w:tcPr>
          <w:p w14:paraId="7B75935F" w14:textId="2330D746" w:rsidR="00F926A4" w:rsidRPr="005E73B9" w:rsidRDefault="00F926A4" w:rsidP="00EE3355">
            <w:pPr>
              <w:spacing w:after="0" w:line="240" w:lineRule="auto"/>
              <w:jc w:val="both"/>
              <w:rPr>
                <w:rFonts w:eastAsia="Calibri"/>
                <w:b/>
                <w:bCs/>
                <w:sz w:val="20"/>
                <w:szCs w:val="20"/>
                <w:lang w:val="es-DO"/>
              </w:rPr>
            </w:pPr>
            <w:r w:rsidRPr="005E73B9">
              <w:rPr>
                <w:rFonts w:eastAsia="Calibri"/>
                <w:b/>
                <w:bCs/>
                <w:sz w:val="20"/>
                <w:szCs w:val="20"/>
                <w:lang w:val="es-DO"/>
              </w:rPr>
              <w:t>TOTAL, GASTOS</w:t>
            </w:r>
          </w:p>
        </w:tc>
        <w:tc>
          <w:tcPr>
            <w:tcW w:w="2207" w:type="dxa"/>
            <w:tcBorders>
              <w:top w:val="nil"/>
              <w:left w:val="nil"/>
              <w:bottom w:val="single" w:sz="8" w:space="0" w:color="auto"/>
              <w:right w:val="single" w:sz="8" w:space="0" w:color="auto"/>
            </w:tcBorders>
            <w:shd w:val="clear" w:color="auto" w:fill="auto"/>
            <w:noWrap/>
            <w:vAlign w:val="center"/>
          </w:tcPr>
          <w:p w14:paraId="68A3A3DD" w14:textId="7094B778" w:rsidR="00F926A4" w:rsidRPr="005E73B9" w:rsidRDefault="00F926A4" w:rsidP="00EE3355">
            <w:pPr>
              <w:spacing w:after="0" w:line="240" w:lineRule="auto"/>
              <w:jc w:val="right"/>
              <w:rPr>
                <w:rFonts w:eastAsia="Calibri"/>
                <w:b/>
                <w:bCs/>
                <w:sz w:val="20"/>
                <w:szCs w:val="20"/>
                <w:lang w:val="es-DO"/>
              </w:rPr>
            </w:pPr>
            <w:r>
              <w:rPr>
                <w:rFonts w:eastAsia="Calibri"/>
                <w:b/>
                <w:bCs/>
                <w:sz w:val="20"/>
                <w:szCs w:val="20"/>
                <w:lang w:val="es-DO"/>
              </w:rPr>
              <w:t>21,400,400,819.00</w:t>
            </w:r>
          </w:p>
        </w:tc>
        <w:tc>
          <w:tcPr>
            <w:tcW w:w="2207" w:type="dxa"/>
            <w:tcBorders>
              <w:top w:val="nil"/>
              <w:left w:val="nil"/>
              <w:bottom w:val="single" w:sz="8" w:space="0" w:color="auto"/>
              <w:right w:val="single" w:sz="8" w:space="0" w:color="auto"/>
            </w:tcBorders>
            <w:shd w:val="clear" w:color="auto" w:fill="auto"/>
            <w:noWrap/>
            <w:vAlign w:val="center"/>
          </w:tcPr>
          <w:p w14:paraId="68D234F7" w14:textId="5DC5F34B" w:rsidR="00F926A4" w:rsidRPr="005E73B9" w:rsidRDefault="00F926A4" w:rsidP="00EE3355">
            <w:pPr>
              <w:spacing w:after="0" w:line="240" w:lineRule="auto"/>
              <w:jc w:val="right"/>
              <w:rPr>
                <w:rFonts w:eastAsia="Calibri"/>
                <w:b/>
                <w:bCs/>
                <w:sz w:val="20"/>
                <w:szCs w:val="20"/>
                <w:lang w:val="es-DO"/>
              </w:rPr>
            </w:pPr>
            <w:r>
              <w:rPr>
                <w:rFonts w:eastAsia="Calibri"/>
                <w:b/>
                <w:bCs/>
                <w:sz w:val="20"/>
                <w:szCs w:val="20"/>
                <w:lang w:val="es-DO"/>
              </w:rPr>
              <w:t>22,094,015,441.28</w:t>
            </w:r>
          </w:p>
        </w:tc>
        <w:tc>
          <w:tcPr>
            <w:tcW w:w="2452" w:type="dxa"/>
            <w:tcBorders>
              <w:top w:val="nil"/>
              <w:left w:val="nil"/>
              <w:bottom w:val="single" w:sz="8" w:space="0" w:color="auto"/>
              <w:right w:val="single" w:sz="8" w:space="0" w:color="auto"/>
            </w:tcBorders>
            <w:shd w:val="clear" w:color="auto" w:fill="auto"/>
            <w:noWrap/>
            <w:vAlign w:val="center"/>
          </w:tcPr>
          <w:p w14:paraId="6346E635" w14:textId="75C0115C" w:rsidR="00F926A4" w:rsidRPr="005E73B9" w:rsidRDefault="00F926A4" w:rsidP="00EE3355">
            <w:pPr>
              <w:spacing w:after="0" w:line="240" w:lineRule="auto"/>
              <w:jc w:val="right"/>
              <w:rPr>
                <w:rFonts w:eastAsia="Calibri"/>
                <w:b/>
                <w:bCs/>
                <w:sz w:val="20"/>
                <w:szCs w:val="20"/>
                <w:lang w:val="es-DO"/>
              </w:rPr>
            </w:pPr>
            <w:r>
              <w:rPr>
                <w:rFonts w:eastAsia="Calibri"/>
                <w:b/>
                <w:bCs/>
                <w:sz w:val="20"/>
                <w:szCs w:val="20"/>
                <w:lang w:val="es-DO"/>
              </w:rPr>
              <w:t>17,873,376,367.00</w:t>
            </w:r>
          </w:p>
        </w:tc>
      </w:tr>
    </w:tbl>
    <w:p w14:paraId="7E17EE72" w14:textId="77777777" w:rsidR="00F926A4" w:rsidRDefault="00F926A4" w:rsidP="005E73B9">
      <w:pPr>
        <w:ind w:left="-90"/>
        <w:rPr>
          <w:rFonts w:eastAsia="Calibri"/>
          <w:b/>
          <w:bCs/>
          <w:sz w:val="18"/>
          <w:szCs w:val="18"/>
          <w:lang w:val="es-DO"/>
        </w:rPr>
      </w:pPr>
    </w:p>
    <w:p w14:paraId="27CD13E0" w14:textId="77777777" w:rsidR="00F926A4" w:rsidRDefault="00F926A4" w:rsidP="005E73B9">
      <w:pPr>
        <w:ind w:left="-90"/>
        <w:rPr>
          <w:rFonts w:eastAsia="Calibri"/>
          <w:b/>
          <w:bCs/>
          <w:sz w:val="18"/>
          <w:szCs w:val="18"/>
          <w:lang w:val="es-DO"/>
        </w:rPr>
      </w:pPr>
    </w:p>
    <w:p w14:paraId="2E610D62" w14:textId="77777777" w:rsidR="00F926A4" w:rsidRDefault="00F926A4" w:rsidP="005E73B9">
      <w:pPr>
        <w:ind w:left="-90"/>
        <w:rPr>
          <w:rFonts w:eastAsia="Calibri"/>
          <w:b/>
          <w:bCs/>
          <w:sz w:val="18"/>
          <w:szCs w:val="18"/>
          <w:lang w:val="es-DO"/>
        </w:rPr>
      </w:pPr>
    </w:p>
    <w:p w14:paraId="4E018912" w14:textId="77777777" w:rsidR="00F926A4" w:rsidRDefault="00F926A4" w:rsidP="005E73B9">
      <w:pPr>
        <w:ind w:left="-90"/>
        <w:rPr>
          <w:rFonts w:eastAsia="Calibri"/>
          <w:b/>
          <w:bCs/>
          <w:sz w:val="18"/>
          <w:szCs w:val="18"/>
          <w:lang w:val="es-DO"/>
        </w:rPr>
      </w:pPr>
    </w:p>
    <w:p w14:paraId="5558F9A0" w14:textId="77777777" w:rsidR="00F926A4" w:rsidRDefault="00F926A4" w:rsidP="005E73B9">
      <w:pPr>
        <w:ind w:left="-90"/>
        <w:rPr>
          <w:rFonts w:eastAsia="Calibri"/>
          <w:b/>
          <w:bCs/>
          <w:sz w:val="18"/>
          <w:szCs w:val="18"/>
          <w:lang w:val="es-DO"/>
        </w:rPr>
      </w:pPr>
    </w:p>
    <w:p w14:paraId="6CA2AEB7" w14:textId="77777777" w:rsidR="00F926A4" w:rsidRDefault="00F926A4" w:rsidP="005E73B9">
      <w:pPr>
        <w:ind w:left="-90"/>
        <w:rPr>
          <w:rFonts w:eastAsia="Calibri"/>
          <w:b/>
          <w:bCs/>
          <w:sz w:val="18"/>
          <w:szCs w:val="18"/>
          <w:lang w:val="es-DO"/>
        </w:rPr>
      </w:pPr>
    </w:p>
    <w:p w14:paraId="2C82B9C6" w14:textId="77777777" w:rsidR="00F926A4" w:rsidRDefault="00F926A4" w:rsidP="005E73B9">
      <w:pPr>
        <w:ind w:left="-90"/>
        <w:rPr>
          <w:rFonts w:eastAsia="Calibri"/>
          <w:b/>
          <w:bCs/>
          <w:sz w:val="18"/>
          <w:szCs w:val="18"/>
          <w:lang w:val="es-DO"/>
        </w:rPr>
      </w:pPr>
    </w:p>
    <w:p w14:paraId="53D76B4A" w14:textId="3083B83A" w:rsidR="005E73B9" w:rsidRDefault="00EE3355" w:rsidP="00EE3355">
      <w:pPr>
        <w:ind w:left="540"/>
        <w:rPr>
          <w:rFonts w:eastAsia="Calibri"/>
          <w:sz w:val="18"/>
          <w:szCs w:val="18"/>
          <w:lang w:val="es-DO"/>
        </w:rPr>
      </w:pPr>
      <w:r>
        <w:rPr>
          <w:rFonts w:eastAsia="Calibri"/>
          <w:b/>
          <w:bCs/>
          <w:sz w:val="18"/>
          <w:szCs w:val="18"/>
          <w:lang w:val="es-DO"/>
        </w:rPr>
        <w:t xml:space="preserve">    </w:t>
      </w:r>
      <w:r w:rsidR="005E73B9" w:rsidRPr="00DF1742">
        <w:rPr>
          <w:rFonts w:eastAsia="Calibri"/>
          <w:b/>
          <w:bCs/>
          <w:sz w:val="18"/>
          <w:szCs w:val="18"/>
          <w:lang w:val="es-DO"/>
        </w:rPr>
        <w:t xml:space="preserve">Fuente: </w:t>
      </w:r>
      <w:r w:rsidR="005E73B9" w:rsidRPr="00DF1742">
        <w:rPr>
          <w:rFonts w:eastAsia="Calibri"/>
          <w:sz w:val="18"/>
          <w:szCs w:val="18"/>
          <w:lang w:val="es-DO"/>
        </w:rPr>
        <w:t>Dirección Financiera</w:t>
      </w:r>
      <w:r w:rsidR="005E73B9" w:rsidRPr="00DF1742">
        <w:rPr>
          <w:rFonts w:eastAsia="Calibri"/>
          <w:b/>
          <w:bCs/>
          <w:sz w:val="18"/>
          <w:szCs w:val="18"/>
          <w:lang w:val="es-DO"/>
        </w:rPr>
        <w:t xml:space="preserve"> </w:t>
      </w:r>
      <w:r w:rsidR="005E73B9" w:rsidRPr="00DF1742">
        <w:rPr>
          <w:rFonts w:eastAsia="Calibri"/>
          <w:sz w:val="18"/>
          <w:szCs w:val="18"/>
          <w:lang w:val="es-DO"/>
        </w:rPr>
        <w:t>202</w:t>
      </w:r>
      <w:r w:rsidR="005E73B9">
        <w:rPr>
          <w:rFonts w:eastAsia="Calibri"/>
          <w:sz w:val="18"/>
          <w:szCs w:val="18"/>
          <w:lang w:val="es-DO"/>
        </w:rPr>
        <w:t>4</w:t>
      </w:r>
      <w:r w:rsidR="005E73B9" w:rsidRPr="00DF1742">
        <w:rPr>
          <w:rFonts w:eastAsia="Calibri"/>
          <w:sz w:val="18"/>
          <w:szCs w:val="18"/>
          <w:lang w:val="es-DO"/>
        </w:rPr>
        <w:t>,</w:t>
      </w:r>
      <w:r w:rsidR="005E73B9" w:rsidRPr="00DF1742">
        <w:rPr>
          <w:lang w:val="es-DO"/>
        </w:rPr>
        <w:t xml:space="preserve"> </w:t>
      </w:r>
      <w:r w:rsidR="005E73B9" w:rsidRPr="00DF1742">
        <w:rPr>
          <w:rFonts w:eastAsia="Calibri"/>
          <w:sz w:val="18"/>
          <w:szCs w:val="18"/>
          <w:lang w:val="es-DO"/>
        </w:rPr>
        <w:t>ejecución Devengado al 30 de noviembre del 20</w:t>
      </w:r>
      <w:r w:rsidR="005E73B9">
        <w:rPr>
          <w:rFonts w:eastAsia="Calibri"/>
          <w:sz w:val="18"/>
          <w:szCs w:val="18"/>
          <w:lang w:val="es-DO"/>
        </w:rPr>
        <w:t>24</w:t>
      </w:r>
    </w:p>
    <w:p w14:paraId="7C0782BB" w14:textId="77777777" w:rsidR="00EE3355" w:rsidRDefault="00EE3355" w:rsidP="005E73B9">
      <w:pPr>
        <w:ind w:left="-90"/>
        <w:rPr>
          <w:rFonts w:eastAsia="Calibri"/>
          <w:sz w:val="18"/>
          <w:szCs w:val="18"/>
          <w:lang w:val="es-DO"/>
        </w:rPr>
      </w:pPr>
    </w:p>
    <w:p w14:paraId="7BDEA352" w14:textId="77777777" w:rsidR="00EE3355" w:rsidRPr="00DF1742" w:rsidRDefault="00EE3355" w:rsidP="005E73B9">
      <w:pPr>
        <w:ind w:left="-90"/>
        <w:rPr>
          <w:rFonts w:eastAsia="Calibri"/>
          <w:sz w:val="18"/>
          <w:szCs w:val="18"/>
          <w:lang w:val="es-DO"/>
        </w:rPr>
      </w:pPr>
    </w:p>
    <w:p w14:paraId="4D42311C" w14:textId="77777777" w:rsidR="00EE3355" w:rsidRDefault="00EE3355" w:rsidP="00EE3355">
      <w:pPr>
        <w:pStyle w:val="Heading1"/>
        <w:spacing w:line="259" w:lineRule="auto"/>
        <w:ind w:left="990"/>
        <w:jc w:val="left"/>
        <w:rPr>
          <w:lang w:val="es-DO"/>
        </w:rPr>
      </w:pPr>
    </w:p>
    <w:p w14:paraId="7EA35EBC" w14:textId="58C65F48" w:rsidR="002E6D74" w:rsidRPr="00EE3355" w:rsidRDefault="002E6D74" w:rsidP="00EE3355">
      <w:pPr>
        <w:pStyle w:val="Heading1"/>
        <w:spacing w:line="259" w:lineRule="auto"/>
        <w:ind w:left="990"/>
        <w:jc w:val="left"/>
        <w:rPr>
          <w:lang w:val="es-DO"/>
        </w:rPr>
      </w:pPr>
      <w:bookmarkStart w:id="286" w:name="_Toc185245128"/>
      <w:r w:rsidRPr="00EE3355">
        <w:rPr>
          <w:lang w:val="es-DO"/>
        </w:rPr>
        <w:t>7.5 Anexo 5: Resumen Plan Anual de Compras</w:t>
      </w:r>
      <w:bookmarkEnd w:id="286"/>
    </w:p>
    <w:p w14:paraId="78632A34" w14:textId="77777777" w:rsidR="005E73B9" w:rsidRDefault="005E73B9" w:rsidP="005E73B9">
      <w:pPr>
        <w:spacing w:after="0" w:line="240" w:lineRule="auto"/>
        <w:jc w:val="center"/>
        <w:rPr>
          <w:rFonts w:eastAsia="Calibri"/>
          <w:lang w:val="es-DO"/>
        </w:rPr>
      </w:pPr>
    </w:p>
    <w:tbl>
      <w:tblPr>
        <w:tblW w:w="3786" w:type="pct"/>
        <w:jc w:val="center"/>
        <w:tblLook w:val="04A0" w:firstRow="1" w:lastRow="0" w:firstColumn="1" w:lastColumn="0" w:noHBand="0" w:noVBand="1"/>
      </w:tblPr>
      <w:tblGrid>
        <w:gridCol w:w="4319"/>
        <w:gridCol w:w="751"/>
        <w:gridCol w:w="1727"/>
        <w:gridCol w:w="707"/>
        <w:gridCol w:w="2007"/>
      </w:tblGrid>
      <w:tr w:rsidR="002E6D74" w:rsidRPr="001A4161" w14:paraId="38748925" w14:textId="77777777" w:rsidTr="002E6D74">
        <w:trPr>
          <w:trHeight w:val="9"/>
          <w:tblHeader/>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203764"/>
            <w:vAlign w:val="center"/>
            <w:hideMark/>
          </w:tcPr>
          <w:p w14:paraId="6506298A" w14:textId="77777777" w:rsidR="002E6D74" w:rsidRPr="001A4161" w:rsidRDefault="002E6D74" w:rsidP="006027F7">
            <w:pPr>
              <w:spacing w:after="0" w:line="360" w:lineRule="auto"/>
              <w:jc w:val="center"/>
              <w:rPr>
                <w:rFonts w:eastAsia="Times New Roman"/>
                <w:b/>
                <w:bCs/>
                <w:color w:val="808080" w:themeColor="background1" w:themeShade="80"/>
                <w:spacing w:val="0"/>
                <w:sz w:val="22"/>
                <w:szCs w:val="22"/>
              </w:rPr>
            </w:pPr>
            <w:r w:rsidRPr="001A4161">
              <w:rPr>
                <w:rFonts w:eastAsia="Times New Roman"/>
                <w:b/>
                <w:bCs/>
                <w:color w:val="FFFFFF" w:themeColor="background1"/>
                <w:spacing w:val="0"/>
                <w:sz w:val="22"/>
                <w:szCs w:val="22"/>
              </w:rPr>
              <w:t>Datos de Cabecera PACC</w:t>
            </w:r>
          </w:p>
        </w:tc>
      </w:tr>
      <w:tr w:rsidR="002E6D74" w:rsidRPr="001A4161" w14:paraId="3AE6B0B4" w14:textId="77777777" w:rsidTr="002E6D74">
        <w:trPr>
          <w:trHeight w:val="9"/>
          <w:jc w:val="center"/>
        </w:trPr>
        <w:tc>
          <w:tcPr>
            <w:tcW w:w="2687" w:type="pct"/>
            <w:gridSpan w:val="2"/>
            <w:tcBorders>
              <w:top w:val="nil"/>
              <w:left w:val="single" w:sz="4" w:space="0" w:color="auto"/>
              <w:bottom w:val="single" w:sz="4" w:space="0" w:color="auto"/>
              <w:right w:val="single" w:sz="4" w:space="0" w:color="auto"/>
            </w:tcBorders>
            <w:shd w:val="clear" w:color="000000" w:fill="FFFFFF"/>
            <w:vAlign w:val="center"/>
            <w:hideMark/>
          </w:tcPr>
          <w:p w14:paraId="69BE2D80"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Monto estimado total</w:t>
            </w:r>
          </w:p>
        </w:tc>
        <w:tc>
          <w:tcPr>
            <w:tcW w:w="2313" w:type="pct"/>
            <w:gridSpan w:val="3"/>
            <w:tcBorders>
              <w:top w:val="nil"/>
              <w:left w:val="nil"/>
              <w:bottom w:val="single" w:sz="4" w:space="0" w:color="auto"/>
              <w:right w:val="single" w:sz="4" w:space="0" w:color="auto"/>
            </w:tcBorders>
            <w:shd w:val="clear" w:color="000000" w:fill="FFFFFF"/>
            <w:noWrap/>
            <w:vAlign w:val="bottom"/>
            <w:hideMark/>
          </w:tcPr>
          <w:p w14:paraId="3FE47844"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 xml:space="preserve"> RD$ 590,421,683.06</w:t>
            </w:r>
          </w:p>
        </w:tc>
      </w:tr>
      <w:tr w:rsidR="002E6D74" w:rsidRPr="001A4161" w14:paraId="179336A4" w14:textId="77777777" w:rsidTr="002E6D74">
        <w:trPr>
          <w:trHeight w:val="9"/>
          <w:jc w:val="center"/>
        </w:trPr>
        <w:tc>
          <w:tcPr>
            <w:tcW w:w="2687"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3F15C7BA"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Cantidad de procesos registrados</w:t>
            </w:r>
          </w:p>
        </w:tc>
        <w:tc>
          <w:tcPr>
            <w:tcW w:w="2313" w:type="pct"/>
            <w:gridSpan w:val="3"/>
            <w:tcBorders>
              <w:top w:val="nil"/>
              <w:left w:val="nil"/>
              <w:bottom w:val="single" w:sz="4" w:space="0" w:color="auto"/>
              <w:right w:val="single" w:sz="4" w:space="0" w:color="auto"/>
            </w:tcBorders>
            <w:shd w:val="clear" w:color="000000" w:fill="FFFFFF"/>
            <w:noWrap/>
            <w:vAlign w:val="bottom"/>
            <w:hideMark/>
          </w:tcPr>
          <w:p w14:paraId="419BF859"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234</w:t>
            </w:r>
          </w:p>
        </w:tc>
      </w:tr>
      <w:tr w:rsidR="002E6D74" w:rsidRPr="001A4161" w14:paraId="64F2B503" w14:textId="77777777" w:rsidTr="002E6D74">
        <w:trPr>
          <w:trHeight w:val="9"/>
          <w:jc w:val="center"/>
        </w:trPr>
        <w:tc>
          <w:tcPr>
            <w:tcW w:w="2687"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05A3EFEC"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 xml:space="preserve">Capítulo </w:t>
            </w:r>
          </w:p>
        </w:tc>
        <w:tc>
          <w:tcPr>
            <w:tcW w:w="2313" w:type="pct"/>
            <w:gridSpan w:val="3"/>
            <w:tcBorders>
              <w:top w:val="nil"/>
              <w:left w:val="nil"/>
              <w:bottom w:val="single" w:sz="4" w:space="0" w:color="auto"/>
              <w:right w:val="single" w:sz="4" w:space="0" w:color="auto"/>
            </w:tcBorders>
            <w:shd w:val="clear" w:color="000000" w:fill="FFFFFF"/>
            <w:noWrap/>
            <w:vAlign w:val="bottom"/>
            <w:hideMark/>
          </w:tcPr>
          <w:p w14:paraId="7D37E901"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 xml:space="preserve"> 5211 </w:t>
            </w:r>
          </w:p>
        </w:tc>
      </w:tr>
      <w:tr w:rsidR="002E6D74" w:rsidRPr="001A4161" w14:paraId="0E4A042F" w14:textId="77777777" w:rsidTr="002E6D74">
        <w:trPr>
          <w:trHeight w:val="9"/>
          <w:jc w:val="center"/>
        </w:trPr>
        <w:tc>
          <w:tcPr>
            <w:tcW w:w="2687"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4E17126D"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Subcapítulo</w:t>
            </w:r>
          </w:p>
        </w:tc>
        <w:tc>
          <w:tcPr>
            <w:tcW w:w="2313" w:type="pct"/>
            <w:gridSpan w:val="3"/>
            <w:tcBorders>
              <w:top w:val="nil"/>
              <w:left w:val="nil"/>
              <w:bottom w:val="single" w:sz="4" w:space="0" w:color="auto"/>
              <w:right w:val="single" w:sz="4" w:space="0" w:color="auto"/>
            </w:tcBorders>
            <w:shd w:val="clear" w:color="000000" w:fill="FFFFFF"/>
            <w:noWrap/>
            <w:vAlign w:val="bottom"/>
            <w:hideMark/>
          </w:tcPr>
          <w:p w14:paraId="662AAD5F"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 xml:space="preserve"> 01 </w:t>
            </w:r>
          </w:p>
        </w:tc>
      </w:tr>
      <w:tr w:rsidR="002E6D74" w:rsidRPr="001A4161" w14:paraId="74AA50B9" w14:textId="77777777" w:rsidTr="002E6D74">
        <w:trPr>
          <w:trHeight w:val="9"/>
          <w:jc w:val="center"/>
        </w:trPr>
        <w:tc>
          <w:tcPr>
            <w:tcW w:w="2687"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488F3D6A"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Unidad ejecutora</w:t>
            </w:r>
          </w:p>
        </w:tc>
        <w:tc>
          <w:tcPr>
            <w:tcW w:w="2313" w:type="pct"/>
            <w:gridSpan w:val="3"/>
            <w:tcBorders>
              <w:top w:val="nil"/>
              <w:left w:val="nil"/>
              <w:bottom w:val="single" w:sz="4" w:space="0" w:color="auto"/>
              <w:right w:val="single" w:sz="4" w:space="0" w:color="auto"/>
            </w:tcBorders>
            <w:shd w:val="clear" w:color="000000" w:fill="FFFFFF"/>
            <w:noWrap/>
            <w:vAlign w:val="bottom"/>
            <w:hideMark/>
          </w:tcPr>
          <w:p w14:paraId="3A33EA25"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 xml:space="preserve"> 0001 </w:t>
            </w:r>
          </w:p>
        </w:tc>
      </w:tr>
      <w:tr w:rsidR="002E6D74" w:rsidRPr="004B1D7E" w14:paraId="5DD212D8" w14:textId="77777777" w:rsidTr="002E6D74">
        <w:trPr>
          <w:trHeight w:val="9"/>
          <w:jc w:val="center"/>
        </w:trPr>
        <w:tc>
          <w:tcPr>
            <w:tcW w:w="2687"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44E7CDC1"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 xml:space="preserve">Unidad de compra </w:t>
            </w:r>
          </w:p>
        </w:tc>
        <w:tc>
          <w:tcPr>
            <w:tcW w:w="2313" w:type="pct"/>
            <w:gridSpan w:val="3"/>
            <w:tcBorders>
              <w:top w:val="nil"/>
              <w:left w:val="nil"/>
              <w:bottom w:val="single" w:sz="4" w:space="0" w:color="auto"/>
              <w:right w:val="single" w:sz="4" w:space="0" w:color="auto"/>
            </w:tcBorders>
            <w:shd w:val="clear" w:color="000000" w:fill="FFFFFF"/>
            <w:noWrap/>
            <w:vAlign w:val="bottom"/>
            <w:hideMark/>
          </w:tcPr>
          <w:p w14:paraId="0BCD4B65"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 xml:space="preserve"> Tesorería de la Seguridad Social </w:t>
            </w:r>
          </w:p>
        </w:tc>
      </w:tr>
      <w:tr w:rsidR="002E6D74" w:rsidRPr="001A4161" w14:paraId="5C048727" w14:textId="77777777" w:rsidTr="002E6D74">
        <w:trPr>
          <w:trHeight w:val="9"/>
          <w:jc w:val="center"/>
        </w:trPr>
        <w:tc>
          <w:tcPr>
            <w:tcW w:w="2687" w:type="pct"/>
            <w:gridSpan w:val="2"/>
            <w:tcBorders>
              <w:top w:val="nil"/>
              <w:left w:val="single" w:sz="4" w:space="0" w:color="auto"/>
              <w:bottom w:val="single" w:sz="4" w:space="0" w:color="auto"/>
              <w:right w:val="single" w:sz="4" w:space="0" w:color="auto"/>
            </w:tcBorders>
            <w:shd w:val="clear" w:color="000000" w:fill="FFFFFF"/>
            <w:noWrap/>
            <w:vAlign w:val="bottom"/>
            <w:hideMark/>
          </w:tcPr>
          <w:p w14:paraId="5F29C84D"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 xml:space="preserve">Año fiscal </w:t>
            </w:r>
          </w:p>
        </w:tc>
        <w:tc>
          <w:tcPr>
            <w:tcW w:w="2313" w:type="pct"/>
            <w:gridSpan w:val="3"/>
            <w:tcBorders>
              <w:top w:val="nil"/>
              <w:left w:val="nil"/>
              <w:bottom w:val="single" w:sz="4" w:space="0" w:color="auto"/>
              <w:right w:val="single" w:sz="4" w:space="0" w:color="auto"/>
            </w:tcBorders>
            <w:shd w:val="clear" w:color="000000" w:fill="FFFFFF"/>
            <w:noWrap/>
            <w:vAlign w:val="bottom"/>
            <w:hideMark/>
          </w:tcPr>
          <w:p w14:paraId="60F61806"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 xml:space="preserve"> 2024 </w:t>
            </w:r>
          </w:p>
        </w:tc>
      </w:tr>
      <w:tr w:rsidR="002E6D74" w:rsidRPr="004B1D7E" w14:paraId="0A3D07B8" w14:textId="77777777" w:rsidTr="002E6D74">
        <w:trPr>
          <w:trHeight w:val="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000000" w:fill="203764"/>
            <w:vAlign w:val="center"/>
            <w:hideMark/>
          </w:tcPr>
          <w:p w14:paraId="34C1CF5E" w14:textId="77777777" w:rsidR="002E6D74" w:rsidRPr="001A4161" w:rsidRDefault="002E6D74" w:rsidP="006027F7">
            <w:pPr>
              <w:spacing w:after="0" w:line="360" w:lineRule="auto"/>
              <w:jc w:val="center"/>
              <w:rPr>
                <w:rFonts w:eastAsia="Times New Roman"/>
                <w:b/>
                <w:bCs/>
                <w:color w:val="808080" w:themeColor="background1" w:themeShade="80"/>
                <w:spacing w:val="0"/>
                <w:sz w:val="22"/>
                <w:szCs w:val="22"/>
                <w:lang w:val="es-ES"/>
              </w:rPr>
            </w:pPr>
            <w:r w:rsidRPr="001A4161">
              <w:rPr>
                <w:rFonts w:eastAsia="Times New Roman"/>
                <w:b/>
                <w:bCs/>
                <w:color w:val="FFFFFF" w:themeColor="background1"/>
                <w:spacing w:val="0"/>
                <w:sz w:val="22"/>
                <w:szCs w:val="22"/>
                <w:lang w:val="es-ES"/>
              </w:rPr>
              <w:t>Montos estimados según objeto de contratación</w:t>
            </w:r>
          </w:p>
        </w:tc>
      </w:tr>
      <w:tr w:rsidR="002E6D74" w:rsidRPr="001A4161" w14:paraId="4EB988BC" w14:textId="77777777" w:rsidTr="002E6D74">
        <w:trPr>
          <w:trHeight w:val="9"/>
          <w:jc w:val="center"/>
        </w:trPr>
        <w:tc>
          <w:tcPr>
            <w:tcW w:w="3602" w:type="pct"/>
            <w:gridSpan w:val="3"/>
            <w:tcBorders>
              <w:top w:val="nil"/>
              <w:left w:val="single" w:sz="4" w:space="0" w:color="auto"/>
              <w:bottom w:val="single" w:sz="4" w:space="0" w:color="auto"/>
              <w:right w:val="single" w:sz="4" w:space="0" w:color="auto"/>
            </w:tcBorders>
            <w:shd w:val="clear" w:color="000000" w:fill="FFFFFF"/>
            <w:noWrap/>
            <w:vAlign w:val="bottom"/>
            <w:hideMark/>
          </w:tcPr>
          <w:p w14:paraId="625DC4A8"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Bienes</w:t>
            </w:r>
          </w:p>
        </w:tc>
        <w:tc>
          <w:tcPr>
            <w:tcW w:w="1398" w:type="pct"/>
            <w:gridSpan w:val="2"/>
            <w:tcBorders>
              <w:top w:val="nil"/>
              <w:left w:val="nil"/>
              <w:bottom w:val="single" w:sz="4" w:space="0" w:color="auto"/>
              <w:right w:val="single" w:sz="4" w:space="0" w:color="auto"/>
            </w:tcBorders>
            <w:shd w:val="clear" w:color="000000" w:fill="FFFFFF"/>
            <w:noWrap/>
            <w:vAlign w:val="bottom"/>
            <w:hideMark/>
          </w:tcPr>
          <w:p w14:paraId="424E3E51"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RD$189,576,712.60</w:t>
            </w:r>
          </w:p>
        </w:tc>
      </w:tr>
      <w:tr w:rsidR="002E6D74" w:rsidRPr="001A4161" w14:paraId="2028CABC" w14:textId="77777777" w:rsidTr="002E6D74">
        <w:trPr>
          <w:trHeight w:val="9"/>
          <w:jc w:val="center"/>
        </w:trPr>
        <w:tc>
          <w:tcPr>
            <w:tcW w:w="3602" w:type="pct"/>
            <w:gridSpan w:val="3"/>
            <w:tcBorders>
              <w:top w:val="nil"/>
              <w:left w:val="single" w:sz="4" w:space="0" w:color="auto"/>
              <w:bottom w:val="single" w:sz="4" w:space="0" w:color="auto"/>
              <w:right w:val="single" w:sz="4" w:space="0" w:color="auto"/>
            </w:tcBorders>
            <w:shd w:val="clear" w:color="000000" w:fill="FFFFFF"/>
            <w:noWrap/>
            <w:vAlign w:val="bottom"/>
            <w:hideMark/>
          </w:tcPr>
          <w:p w14:paraId="3EBF6FEF"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Servicios</w:t>
            </w:r>
          </w:p>
        </w:tc>
        <w:tc>
          <w:tcPr>
            <w:tcW w:w="1398" w:type="pct"/>
            <w:gridSpan w:val="2"/>
            <w:tcBorders>
              <w:top w:val="nil"/>
              <w:left w:val="nil"/>
              <w:bottom w:val="single" w:sz="4" w:space="0" w:color="auto"/>
              <w:right w:val="single" w:sz="4" w:space="0" w:color="auto"/>
            </w:tcBorders>
            <w:shd w:val="clear" w:color="000000" w:fill="FFFFFF"/>
            <w:noWrap/>
            <w:vAlign w:val="bottom"/>
            <w:hideMark/>
          </w:tcPr>
          <w:p w14:paraId="51360348"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RD$400,844,970.46</w:t>
            </w:r>
          </w:p>
        </w:tc>
      </w:tr>
      <w:tr w:rsidR="002E6D74" w:rsidRPr="004B1D7E" w14:paraId="1CE17F21" w14:textId="77777777" w:rsidTr="002E6D74">
        <w:trPr>
          <w:trHeight w:val="9"/>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203764"/>
            <w:vAlign w:val="center"/>
            <w:hideMark/>
          </w:tcPr>
          <w:p w14:paraId="57F63F26" w14:textId="77777777" w:rsidR="002E6D74" w:rsidRPr="001A4161" w:rsidRDefault="002E6D74" w:rsidP="006027F7">
            <w:pPr>
              <w:spacing w:after="0" w:line="360" w:lineRule="auto"/>
              <w:jc w:val="center"/>
              <w:rPr>
                <w:rFonts w:eastAsia="Times New Roman"/>
                <w:b/>
                <w:bCs/>
                <w:color w:val="808080" w:themeColor="background1" w:themeShade="80"/>
                <w:spacing w:val="0"/>
                <w:sz w:val="22"/>
                <w:szCs w:val="22"/>
                <w:lang w:val="es-ES"/>
              </w:rPr>
            </w:pPr>
            <w:r w:rsidRPr="001A4161">
              <w:rPr>
                <w:rFonts w:eastAsia="Times New Roman"/>
                <w:b/>
                <w:bCs/>
                <w:color w:val="FFFFFF" w:themeColor="background1"/>
                <w:spacing w:val="0"/>
                <w:sz w:val="22"/>
                <w:szCs w:val="22"/>
                <w:lang w:val="es-ES"/>
              </w:rPr>
              <w:t>Montos estimados según clasificación Mipyme</w:t>
            </w:r>
          </w:p>
        </w:tc>
      </w:tr>
      <w:tr w:rsidR="002E6D74" w:rsidRPr="001A4161" w14:paraId="4899396E" w14:textId="77777777" w:rsidTr="002E6D74">
        <w:trPr>
          <w:trHeight w:val="9"/>
          <w:jc w:val="center"/>
        </w:trPr>
        <w:tc>
          <w:tcPr>
            <w:tcW w:w="2289" w:type="pct"/>
            <w:tcBorders>
              <w:top w:val="nil"/>
              <w:left w:val="single" w:sz="4" w:space="0" w:color="auto"/>
              <w:bottom w:val="single" w:sz="4" w:space="0" w:color="auto"/>
              <w:right w:val="single" w:sz="4" w:space="0" w:color="auto"/>
            </w:tcBorders>
            <w:shd w:val="clear" w:color="000000" w:fill="FFFFFF"/>
            <w:noWrap/>
            <w:vAlign w:val="bottom"/>
            <w:hideMark/>
          </w:tcPr>
          <w:p w14:paraId="11D6E52A"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proofErr w:type="spellStart"/>
            <w:r w:rsidRPr="001A4161">
              <w:rPr>
                <w:rFonts w:eastAsia="Times New Roman"/>
                <w:color w:val="808080" w:themeColor="background1" w:themeShade="80"/>
                <w:spacing w:val="0"/>
                <w:sz w:val="22"/>
                <w:szCs w:val="22"/>
                <w:lang w:val="es-DO"/>
              </w:rPr>
              <w:t>Mipyme</w:t>
            </w:r>
            <w:proofErr w:type="spellEnd"/>
          </w:p>
        </w:tc>
        <w:tc>
          <w:tcPr>
            <w:tcW w:w="2711" w:type="pct"/>
            <w:gridSpan w:val="4"/>
            <w:tcBorders>
              <w:top w:val="nil"/>
              <w:left w:val="nil"/>
              <w:bottom w:val="single" w:sz="4" w:space="0" w:color="auto"/>
              <w:right w:val="single" w:sz="4" w:space="0" w:color="auto"/>
            </w:tcBorders>
            <w:shd w:val="clear" w:color="000000" w:fill="FFFFFF"/>
            <w:noWrap/>
            <w:vAlign w:val="bottom"/>
            <w:hideMark/>
          </w:tcPr>
          <w:p w14:paraId="7C223D5E"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RD$78,113,021.09</w:t>
            </w:r>
          </w:p>
        </w:tc>
      </w:tr>
      <w:tr w:rsidR="002E6D74" w:rsidRPr="001A4161" w14:paraId="654B0856" w14:textId="77777777" w:rsidTr="002E6D74">
        <w:trPr>
          <w:trHeight w:val="9"/>
          <w:jc w:val="center"/>
        </w:trPr>
        <w:tc>
          <w:tcPr>
            <w:tcW w:w="2289" w:type="pct"/>
            <w:tcBorders>
              <w:top w:val="nil"/>
              <w:left w:val="single" w:sz="4" w:space="0" w:color="auto"/>
              <w:bottom w:val="single" w:sz="4" w:space="0" w:color="auto"/>
              <w:right w:val="single" w:sz="4" w:space="0" w:color="auto"/>
            </w:tcBorders>
            <w:shd w:val="clear" w:color="000000" w:fill="FFFFFF"/>
            <w:noWrap/>
            <w:vAlign w:val="bottom"/>
            <w:hideMark/>
          </w:tcPr>
          <w:p w14:paraId="393D1B96"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Mipyme mujer</w:t>
            </w:r>
          </w:p>
        </w:tc>
        <w:tc>
          <w:tcPr>
            <w:tcW w:w="2711" w:type="pct"/>
            <w:gridSpan w:val="4"/>
            <w:tcBorders>
              <w:top w:val="nil"/>
              <w:left w:val="nil"/>
              <w:bottom w:val="single" w:sz="4" w:space="0" w:color="auto"/>
              <w:right w:val="single" w:sz="4" w:space="0" w:color="auto"/>
            </w:tcBorders>
            <w:shd w:val="clear" w:color="000000" w:fill="FFFFFF"/>
            <w:noWrap/>
            <w:vAlign w:val="bottom"/>
            <w:hideMark/>
          </w:tcPr>
          <w:p w14:paraId="78580F2C"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RD$6,114,436.02</w:t>
            </w:r>
          </w:p>
        </w:tc>
      </w:tr>
      <w:tr w:rsidR="002E6D74" w:rsidRPr="001A4161" w14:paraId="5AE475B9" w14:textId="77777777" w:rsidTr="002E6D74">
        <w:trPr>
          <w:trHeight w:val="9"/>
          <w:jc w:val="center"/>
        </w:trPr>
        <w:tc>
          <w:tcPr>
            <w:tcW w:w="2289" w:type="pct"/>
            <w:tcBorders>
              <w:top w:val="nil"/>
              <w:left w:val="single" w:sz="4" w:space="0" w:color="auto"/>
              <w:bottom w:val="single" w:sz="4" w:space="0" w:color="auto"/>
              <w:right w:val="single" w:sz="4" w:space="0" w:color="auto"/>
            </w:tcBorders>
            <w:shd w:val="clear" w:color="000000" w:fill="FFFFFF"/>
            <w:noWrap/>
            <w:vAlign w:val="bottom"/>
            <w:hideMark/>
          </w:tcPr>
          <w:p w14:paraId="0A8BC71A"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 xml:space="preserve">No </w:t>
            </w:r>
            <w:proofErr w:type="spellStart"/>
            <w:r w:rsidRPr="001A4161">
              <w:rPr>
                <w:rFonts w:eastAsia="Times New Roman"/>
                <w:color w:val="808080" w:themeColor="background1" w:themeShade="80"/>
                <w:spacing w:val="0"/>
                <w:sz w:val="22"/>
                <w:szCs w:val="22"/>
                <w:lang w:val="es-DO"/>
              </w:rPr>
              <w:t>mipyme</w:t>
            </w:r>
            <w:proofErr w:type="spellEnd"/>
          </w:p>
        </w:tc>
        <w:tc>
          <w:tcPr>
            <w:tcW w:w="2711" w:type="pct"/>
            <w:gridSpan w:val="4"/>
            <w:tcBorders>
              <w:top w:val="nil"/>
              <w:left w:val="nil"/>
              <w:bottom w:val="single" w:sz="4" w:space="0" w:color="auto"/>
              <w:right w:val="single" w:sz="4" w:space="0" w:color="auto"/>
            </w:tcBorders>
            <w:shd w:val="clear" w:color="000000" w:fill="FFFFFF"/>
            <w:noWrap/>
            <w:vAlign w:val="bottom"/>
            <w:hideMark/>
          </w:tcPr>
          <w:p w14:paraId="2F61ED97"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RD$506,194,225.95</w:t>
            </w:r>
          </w:p>
        </w:tc>
      </w:tr>
      <w:tr w:rsidR="002E6D74" w:rsidRPr="004B1D7E" w14:paraId="521F795E" w14:textId="77777777" w:rsidTr="002E6D74">
        <w:trPr>
          <w:trHeight w:val="9"/>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203764"/>
            <w:vAlign w:val="center"/>
            <w:hideMark/>
          </w:tcPr>
          <w:p w14:paraId="09851912" w14:textId="77777777" w:rsidR="002E6D74" w:rsidRPr="001A4161" w:rsidRDefault="002E6D74" w:rsidP="006027F7">
            <w:pPr>
              <w:spacing w:after="0" w:line="360" w:lineRule="auto"/>
              <w:jc w:val="center"/>
              <w:rPr>
                <w:rFonts w:eastAsia="Times New Roman"/>
                <w:b/>
                <w:bCs/>
                <w:color w:val="808080" w:themeColor="background1" w:themeShade="80"/>
                <w:spacing w:val="0"/>
                <w:sz w:val="22"/>
                <w:szCs w:val="22"/>
                <w:lang w:val="es-ES"/>
              </w:rPr>
            </w:pPr>
            <w:r w:rsidRPr="001A4161">
              <w:rPr>
                <w:rFonts w:eastAsia="Times New Roman"/>
                <w:b/>
                <w:bCs/>
                <w:color w:val="FFFFFF" w:themeColor="background1"/>
                <w:spacing w:val="0"/>
                <w:sz w:val="22"/>
                <w:szCs w:val="22"/>
                <w:lang w:val="es-ES"/>
              </w:rPr>
              <w:t>Montos estimados según tipo de procedimiento</w:t>
            </w:r>
          </w:p>
        </w:tc>
      </w:tr>
      <w:tr w:rsidR="002E6D74" w:rsidRPr="001A4161" w14:paraId="54A2DE37" w14:textId="77777777" w:rsidTr="002E6D74">
        <w:trPr>
          <w:trHeight w:val="9"/>
          <w:jc w:val="center"/>
        </w:trPr>
        <w:tc>
          <w:tcPr>
            <w:tcW w:w="3977" w:type="pct"/>
            <w:gridSpan w:val="4"/>
            <w:tcBorders>
              <w:top w:val="nil"/>
              <w:left w:val="single" w:sz="4" w:space="0" w:color="auto"/>
              <w:bottom w:val="single" w:sz="4" w:space="0" w:color="auto"/>
              <w:right w:val="single" w:sz="4" w:space="0" w:color="auto"/>
            </w:tcBorders>
            <w:shd w:val="clear" w:color="000000" w:fill="FFFFFF"/>
            <w:noWrap/>
            <w:vAlign w:val="bottom"/>
            <w:hideMark/>
          </w:tcPr>
          <w:p w14:paraId="1C7FDCF9"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Compras por debajo del umbral</w:t>
            </w:r>
          </w:p>
        </w:tc>
        <w:tc>
          <w:tcPr>
            <w:tcW w:w="1023" w:type="pct"/>
            <w:tcBorders>
              <w:top w:val="nil"/>
              <w:left w:val="nil"/>
              <w:bottom w:val="single" w:sz="4" w:space="0" w:color="auto"/>
              <w:right w:val="single" w:sz="4" w:space="0" w:color="auto"/>
            </w:tcBorders>
            <w:shd w:val="clear" w:color="000000" w:fill="FFFFFF"/>
            <w:noWrap/>
            <w:vAlign w:val="bottom"/>
            <w:hideMark/>
          </w:tcPr>
          <w:p w14:paraId="704CFD6B"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RD$10,134,899.46</w:t>
            </w:r>
          </w:p>
        </w:tc>
      </w:tr>
      <w:tr w:rsidR="002E6D74" w:rsidRPr="001A4161" w14:paraId="26B19C05" w14:textId="77777777" w:rsidTr="002E6D74">
        <w:trPr>
          <w:trHeight w:val="9"/>
          <w:jc w:val="center"/>
        </w:trPr>
        <w:tc>
          <w:tcPr>
            <w:tcW w:w="3977" w:type="pct"/>
            <w:gridSpan w:val="4"/>
            <w:tcBorders>
              <w:top w:val="nil"/>
              <w:left w:val="single" w:sz="4" w:space="0" w:color="auto"/>
              <w:bottom w:val="single" w:sz="4" w:space="0" w:color="auto"/>
              <w:right w:val="single" w:sz="4" w:space="0" w:color="auto"/>
            </w:tcBorders>
            <w:shd w:val="clear" w:color="000000" w:fill="FFFFFF"/>
            <w:noWrap/>
            <w:vAlign w:val="bottom"/>
            <w:hideMark/>
          </w:tcPr>
          <w:p w14:paraId="0733D700"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Compra menor</w:t>
            </w:r>
          </w:p>
        </w:tc>
        <w:tc>
          <w:tcPr>
            <w:tcW w:w="1023" w:type="pct"/>
            <w:tcBorders>
              <w:top w:val="nil"/>
              <w:left w:val="nil"/>
              <w:bottom w:val="single" w:sz="4" w:space="0" w:color="auto"/>
              <w:right w:val="single" w:sz="4" w:space="0" w:color="auto"/>
            </w:tcBorders>
            <w:shd w:val="clear" w:color="000000" w:fill="FFFFFF"/>
            <w:noWrap/>
            <w:vAlign w:val="bottom"/>
            <w:hideMark/>
          </w:tcPr>
          <w:p w14:paraId="6ACBC781"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RD$39,826,712.17</w:t>
            </w:r>
          </w:p>
        </w:tc>
      </w:tr>
      <w:tr w:rsidR="002E6D74" w:rsidRPr="001A4161" w14:paraId="52E322DF" w14:textId="77777777" w:rsidTr="002E6D74">
        <w:trPr>
          <w:trHeight w:val="9"/>
          <w:jc w:val="center"/>
        </w:trPr>
        <w:tc>
          <w:tcPr>
            <w:tcW w:w="3977" w:type="pct"/>
            <w:gridSpan w:val="4"/>
            <w:tcBorders>
              <w:top w:val="nil"/>
              <w:left w:val="single" w:sz="4" w:space="0" w:color="auto"/>
              <w:bottom w:val="single" w:sz="4" w:space="0" w:color="auto"/>
              <w:right w:val="single" w:sz="4" w:space="0" w:color="auto"/>
            </w:tcBorders>
            <w:shd w:val="clear" w:color="000000" w:fill="FFFFFF"/>
            <w:noWrap/>
            <w:vAlign w:val="bottom"/>
            <w:hideMark/>
          </w:tcPr>
          <w:p w14:paraId="06BB44E9"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Comparación de precios</w:t>
            </w:r>
          </w:p>
        </w:tc>
        <w:tc>
          <w:tcPr>
            <w:tcW w:w="1023" w:type="pct"/>
            <w:tcBorders>
              <w:top w:val="nil"/>
              <w:left w:val="nil"/>
              <w:bottom w:val="single" w:sz="4" w:space="0" w:color="auto"/>
              <w:right w:val="single" w:sz="4" w:space="0" w:color="auto"/>
            </w:tcBorders>
            <w:shd w:val="clear" w:color="000000" w:fill="FFFFFF"/>
            <w:noWrap/>
            <w:vAlign w:val="bottom"/>
            <w:hideMark/>
          </w:tcPr>
          <w:p w14:paraId="594F50FF"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 xml:space="preserve">RD$115,017,602.26 </w:t>
            </w:r>
          </w:p>
        </w:tc>
      </w:tr>
      <w:tr w:rsidR="002E6D74" w:rsidRPr="001A4161" w14:paraId="4C14348C" w14:textId="77777777" w:rsidTr="002E6D74">
        <w:trPr>
          <w:trHeight w:val="9"/>
          <w:jc w:val="center"/>
        </w:trPr>
        <w:tc>
          <w:tcPr>
            <w:tcW w:w="3977" w:type="pct"/>
            <w:gridSpan w:val="4"/>
            <w:tcBorders>
              <w:top w:val="nil"/>
              <w:left w:val="single" w:sz="4" w:space="0" w:color="auto"/>
              <w:bottom w:val="nil"/>
              <w:right w:val="single" w:sz="4" w:space="0" w:color="auto"/>
            </w:tcBorders>
            <w:shd w:val="clear" w:color="000000" w:fill="FFFFFF"/>
            <w:noWrap/>
            <w:vAlign w:val="bottom"/>
            <w:hideMark/>
          </w:tcPr>
          <w:p w14:paraId="6EBDB5DA"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lastRenderedPageBreak/>
              <w:t>Licitación pública</w:t>
            </w:r>
          </w:p>
        </w:tc>
        <w:tc>
          <w:tcPr>
            <w:tcW w:w="1023" w:type="pct"/>
            <w:tcBorders>
              <w:top w:val="nil"/>
              <w:left w:val="nil"/>
              <w:bottom w:val="nil"/>
              <w:right w:val="single" w:sz="4" w:space="0" w:color="auto"/>
            </w:tcBorders>
            <w:shd w:val="clear" w:color="000000" w:fill="FFFFFF"/>
            <w:noWrap/>
            <w:vAlign w:val="bottom"/>
            <w:hideMark/>
          </w:tcPr>
          <w:p w14:paraId="7EF65B29"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RD$308,050,089.47</w:t>
            </w:r>
          </w:p>
        </w:tc>
      </w:tr>
      <w:tr w:rsidR="002E6D74" w:rsidRPr="004B1D7E" w14:paraId="6D7844B7" w14:textId="77777777" w:rsidTr="002E6D74">
        <w:trPr>
          <w:trHeight w:val="9"/>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203764"/>
            <w:vAlign w:val="center"/>
            <w:hideMark/>
          </w:tcPr>
          <w:p w14:paraId="3E30B40E" w14:textId="77777777" w:rsidR="002E6D74" w:rsidRPr="001A4161" w:rsidRDefault="002E6D74" w:rsidP="006027F7">
            <w:pPr>
              <w:spacing w:after="0" w:line="360" w:lineRule="auto"/>
              <w:jc w:val="center"/>
              <w:rPr>
                <w:rFonts w:eastAsia="Times New Roman"/>
                <w:b/>
                <w:bCs/>
                <w:color w:val="808080" w:themeColor="background1" w:themeShade="80"/>
                <w:spacing w:val="0"/>
                <w:sz w:val="22"/>
                <w:szCs w:val="22"/>
                <w:lang w:val="es-ES"/>
              </w:rPr>
            </w:pPr>
            <w:r w:rsidRPr="001A4161">
              <w:rPr>
                <w:rFonts w:eastAsia="Times New Roman"/>
                <w:b/>
                <w:bCs/>
                <w:color w:val="FFFFFF" w:themeColor="background1"/>
                <w:spacing w:val="0"/>
                <w:sz w:val="22"/>
                <w:szCs w:val="22"/>
                <w:lang w:val="es-ES"/>
              </w:rPr>
              <w:t>Excepción - contratación de publicidad a través de medios de comunicación social</w:t>
            </w:r>
          </w:p>
        </w:tc>
      </w:tr>
      <w:tr w:rsidR="002E6D74" w:rsidRPr="001A4161" w14:paraId="1D59D4D4" w14:textId="77777777" w:rsidTr="002E6D74">
        <w:trPr>
          <w:trHeight w:val="9"/>
          <w:jc w:val="center"/>
        </w:trPr>
        <w:tc>
          <w:tcPr>
            <w:tcW w:w="3977" w:type="pct"/>
            <w:gridSpan w:val="4"/>
            <w:tcBorders>
              <w:top w:val="single" w:sz="4" w:space="0" w:color="auto"/>
              <w:left w:val="single" w:sz="4" w:space="0" w:color="auto"/>
              <w:bottom w:val="single" w:sz="4" w:space="0" w:color="auto"/>
              <w:right w:val="single" w:sz="4" w:space="0" w:color="auto"/>
            </w:tcBorders>
            <w:shd w:val="clear" w:color="000000" w:fill="FFFFFF"/>
            <w:noWrap/>
            <w:vAlign w:val="bottom"/>
          </w:tcPr>
          <w:p w14:paraId="39F11332"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Excepción – contratación de publicidad a través de medios de comunicación social</w:t>
            </w:r>
          </w:p>
        </w:tc>
        <w:tc>
          <w:tcPr>
            <w:tcW w:w="1023" w:type="pct"/>
            <w:tcBorders>
              <w:top w:val="single" w:sz="4" w:space="0" w:color="auto"/>
              <w:left w:val="nil"/>
              <w:bottom w:val="single" w:sz="4" w:space="0" w:color="auto"/>
              <w:right w:val="single" w:sz="4" w:space="0" w:color="auto"/>
            </w:tcBorders>
            <w:shd w:val="clear" w:color="000000" w:fill="FFFFFF"/>
            <w:noWrap/>
            <w:vAlign w:val="bottom"/>
          </w:tcPr>
          <w:p w14:paraId="707A4299"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RD$2,190,000.00</w:t>
            </w:r>
          </w:p>
        </w:tc>
      </w:tr>
      <w:tr w:rsidR="002E6D74" w:rsidRPr="001A4161" w14:paraId="36D05B02" w14:textId="77777777" w:rsidTr="002E6D74">
        <w:trPr>
          <w:trHeight w:val="9"/>
          <w:jc w:val="center"/>
        </w:trPr>
        <w:tc>
          <w:tcPr>
            <w:tcW w:w="3977" w:type="pct"/>
            <w:gridSpan w:val="4"/>
            <w:tcBorders>
              <w:top w:val="single" w:sz="4" w:space="0" w:color="auto"/>
              <w:left w:val="single" w:sz="4" w:space="0" w:color="auto"/>
              <w:bottom w:val="single" w:sz="4" w:space="0" w:color="auto"/>
              <w:right w:val="single" w:sz="4" w:space="0" w:color="auto"/>
            </w:tcBorders>
            <w:shd w:val="clear" w:color="000000" w:fill="FFFFFF"/>
            <w:noWrap/>
            <w:vAlign w:val="bottom"/>
          </w:tcPr>
          <w:p w14:paraId="1A469C90"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Excepción – Bienes o servicios con exclusividad</w:t>
            </w:r>
          </w:p>
        </w:tc>
        <w:tc>
          <w:tcPr>
            <w:tcW w:w="1023" w:type="pct"/>
            <w:tcBorders>
              <w:top w:val="single" w:sz="4" w:space="0" w:color="auto"/>
              <w:left w:val="nil"/>
              <w:bottom w:val="single" w:sz="4" w:space="0" w:color="auto"/>
              <w:right w:val="single" w:sz="4" w:space="0" w:color="auto"/>
            </w:tcBorders>
            <w:shd w:val="clear" w:color="000000" w:fill="FFFFFF"/>
            <w:noWrap/>
            <w:vAlign w:val="bottom"/>
          </w:tcPr>
          <w:p w14:paraId="21F10819"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RD$71,382,087.12</w:t>
            </w:r>
          </w:p>
        </w:tc>
      </w:tr>
      <w:tr w:rsidR="002E6D74" w:rsidRPr="001A4161" w14:paraId="1AA599B0" w14:textId="77777777" w:rsidTr="002E6D74">
        <w:trPr>
          <w:trHeight w:val="9"/>
          <w:jc w:val="center"/>
        </w:trPr>
        <w:tc>
          <w:tcPr>
            <w:tcW w:w="3977" w:type="pct"/>
            <w:gridSpan w:val="4"/>
            <w:tcBorders>
              <w:top w:val="single" w:sz="4" w:space="0" w:color="auto"/>
              <w:left w:val="single" w:sz="4" w:space="0" w:color="auto"/>
              <w:bottom w:val="single" w:sz="4" w:space="0" w:color="auto"/>
              <w:right w:val="single" w:sz="4" w:space="0" w:color="auto"/>
            </w:tcBorders>
            <w:shd w:val="clear" w:color="000000" w:fill="FFFFFF"/>
            <w:noWrap/>
            <w:vAlign w:val="bottom"/>
          </w:tcPr>
          <w:p w14:paraId="724030D8" w14:textId="77777777" w:rsidR="002E6D74" w:rsidRPr="001A4161" w:rsidRDefault="002E6D74" w:rsidP="006027F7">
            <w:pPr>
              <w:spacing w:after="0" w:line="360" w:lineRule="auto"/>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Excepción - proveedor único</w:t>
            </w:r>
          </w:p>
        </w:tc>
        <w:tc>
          <w:tcPr>
            <w:tcW w:w="1023" w:type="pct"/>
            <w:tcBorders>
              <w:top w:val="single" w:sz="4" w:space="0" w:color="auto"/>
              <w:left w:val="nil"/>
              <w:bottom w:val="single" w:sz="4" w:space="0" w:color="auto"/>
              <w:right w:val="single" w:sz="4" w:space="0" w:color="auto"/>
            </w:tcBorders>
            <w:shd w:val="clear" w:color="000000" w:fill="FFFFFF"/>
            <w:noWrap/>
            <w:vAlign w:val="bottom"/>
          </w:tcPr>
          <w:p w14:paraId="239EB57F" w14:textId="77777777" w:rsidR="002E6D74" w:rsidRPr="001A4161" w:rsidRDefault="002E6D74" w:rsidP="006027F7">
            <w:pPr>
              <w:spacing w:after="0" w:line="360" w:lineRule="auto"/>
              <w:jc w:val="right"/>
              <w:rPr>
                <w:rFonts w:eastAsia="Times New Roman"/>
                <w:color w:val="808080" w:themeColor="background1" w:themeShade="80"/>
                <w:spacing w:val="0"/>
                <w:sz w:val="22"/>
                <w:szCs w:val="22"/>
                <w:lang w:val="es-DO"/>
              </w:rPr>
            </w:pPr>
            <w:r w:rsidRPr="001A4161">
              <w:rPr>
                <w:rFonts w:eastAsia="Times New Roman"/>
                <w:color w:val="808080" w:themeColor="background1" w:themeShade="80"/>
                <w:spacing w:val="0"/>
                <w:sz w:val="22"/>
                <w:szCs w:val="22"/>
                <w:lang w:val="es-DO"/>
              </w:rPr>
              <w:t>RD$42,034,011.69</w:t>
            </w:r>
          </w:p>
        </w:tc>
      </w:tr>
    </w:tbl>
    <w:p w14:paraId="57EDA65A" w14:textId="4AB09B5E" w:rsidR="002E6D74" w:rsidRPr="00C272F7" w:rsidRDefault="002E6D74" w:rsidP="002E6D74">
      <w:pPr>
        <w:spacing w:after="0" w:line="360" w:lineRule="auto"/>
        <w:rPr>
          <w:rFonts w:eastAsia="Calibri"/>
          <w:noProof/>
          <w:color w:val="808080" w:themeColor="background1" w:themeShade="80"/>
          <w:sz w:val="18"/>
          <w:szCs w:val="18"/>
          <w:lang w:val="es-DO"/>
        </w:rPr>
      </w:pPr>
      <w:r>
        <w:rPr>
          <w:rFonts w:eastAsia="Calibri"/>
          <w:b/>
          <w:bCs/>
          <w:noProof/>
          <w:color w:val="808080" w:themeColor="background1" w:themeShade="80"/>
          <w:sz w:val="18"/>
          <w:szCs w:val="18"/>
          <w:lang w:val="es-ES"/>
        </w:rPr>
        <w:t xml:space="preserve">                </w:t>
      </w:r>
      <w:r w:rsidRPr="00C272F7">
        <w:rPr>
          <w:rFonts w:eastAsia="Calibri"/>
          <w:b/>
          <w:bCs/>
          <w:noProof/>
          <w:color w:val="808080" w:themeColor="background1" w:themeShade="80"/>
          <w:sz w:val="18"/>
          <w:szCs w:val="18"/>
          <w:lang w:val="es-ES"/>
        </w:rPr>
        <w:t>Fuente:</w:t>
      </w:r>
      <w:r w:rsidRPr="00C272F7">
        <w:rPr>
          <w:rFonts w:eastAsia="Calibri"/>
          <w:noProof/>
          <w:color w:val="808080" w:themeColor="background1" w:themeShade="80"/>
          <w:sz w:val="18"/>
          <w:szCs w:val="18"/>
          <w:lang w:val="es-ES"/>
        </w:rPr>
        <w:t xml:space="preserve">   Sistema Electrónico de Contrataciones Públicas (SECP)</w:t>
      </w:r>
    </w:p>
    <w:p w14:paraId="18E06C01" w14:textId="77777777" w:rsidR="005E73B9" w:rsidRPr="005E73B9" w:rsidRDefault="005E73B9" w:rsidP="005E73B9">
      <w:pPr>
        <w:spacing w:after="0" w:line="240" w:lineRule="auto"/>
        <w:jc w:val="center"/>
        <w:rPr>
          <w:rFonts w:eastAsia="Calibri"/>
          <w:lang w:val="es-DO"/>
        </w:rPr>
      </w:pPr>
    </w:p>
    <w:sectPr w:rsidR="005E73B9" w:rsidRPr="005E73B9" w:rsidSect="0032612F">
      <w:pgSz w:w="15840" w:h="12240" w:orient="landscape"/>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AB12B6" w14:textId="77777777" w:rsidR="00F8745A" w:rsidRDefault="00F8745A" w:rsidP="00E84651">
      <w:pPr>
        <w:spacing w:after="0" w:line="240" w:lineRule="auto"/>
      </w:pPr>
      <w:r>
        <w:separator/>
      </w:r>
    </w:p>
  </w:endnote>
  <w:endnote w:type="continuationSeparator" w:id="0">
    <w:p w14:paraId="49955234" w14:textId="77777777" w:rsidR="00F8745A" w:rsidRDefault="00F8745A" w:rsidP="00E84651">
      <w:pPr>
        <w:spacing w:after="0" w:line="240" w:lineRule="auto"/>
      </w:pPr>
      <w:r>
        <w:continuationSeparator/>
      </w:r>
    </w:p>
  </w:endnote>
  <w:endnote w:type="continuationNotice" w:id="1">
    <w:p w14:paraId="3254FE4A" w14:textId="77777777" w:rsidR="00F8745A" w:rsidRDefault="00F874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ø">
    <w:altName w:val="Calibri"/>
    <w:charset w:val="00"/>
    <w:family w:val="auto"/>
    <w:pitch w:val="variable"/>
    <w:sig w:usb0="00000007" w:usb1="00000000" w:usb2="00000000" w:usb3="00000000" w:csb0="00000093"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Footer"/>
          <w:jc w:val="center"/>
        </w:pPr>
        <w:r>
          <w:rPr>
            <w:noProof/>
          </w:rPr>
          <w:drawing>
            <wp:anchor distT="0" distB="0" distL="114300" distR="114300" simplePos="0" relativeHeight="251658240" behindDoc="0" locked="0" layoutInCell="1" allowOverlap="1" wp14:anchorId="54F82055" wp14:editId="11582ED3">
              <wp:simplePos x="0" y="0"/>
              <wp:positionH relativeFrom="margin">
                <wp:align>center</wp:align>
              </wp:positionH>
              <wp:positionV relativeFrom="paragraph">
                <wp:posOffset>-100899</wp:posOffset>
              </wp:positionV>
              <wp:extent cx="2995930" cy="408305"/>
              <wp:effectExtent l="0" t="0" r="0" b="0"/>
              <wp:wrapSquare wrapText="bothSides"/>
              <wp:docPr id="1722175613" name="Picture 17221756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Footer"/>
          <w:jc w:val="center"/>
          <w:rPr>
            <w:color w:val="7F7F7F" w:themeColor="text1" w:themeTint="80"/>
          </w:rPr>
        </w:pPr>
      </w:p>
      <w:p w14:paraId="2B095E5E" w14:textId="53193BFC" w:rsidR="006E3F08" w:rsidRDefault="006E3F08"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5597532"/>
      <w:docPartObj>
        <w:docPartGallery w:val="Page Numbers (Bottom of Page)"/>
        <w:docPartUnique/>
      </w:docPartObj>
    </w:sdtPr>
    <w:sdtEndPr>
      <w:rPr>
        <w:noProof/>
      </w:rPr>
    </w:sdtEndPr>
    <w:sdtContent>
      <w:p w14:paraId="68B6DB36" w14:textId="77777777" w:rsidR="00123682" w:rsidRDefault="00123682" w:rsidP="0021106F">
        <w:pPr>
          <w:pStyle w:val="Footer"/>
          <w:jc w:val="center"/>
        </w:pPr>
        <w:r>
          <w:rPr>
            <w:noProof/>
          </w:rPr>
          <w:drawing>
            <wp:anchor distT="0" distB="0" distL="114300" distR="114300" simplePos="0" relativeHeight="251660289" behindDoc="0" locked="0" layoutInCell="1" allowOverlap="1" wp14:anchorId="6A2D74C1" wp14:editId="2AD7FD3E">
              <wp:simplePos x="0" y="0"/>
              <wp:positionH relativeFrom="margin">
                <wp:align>center</wp:align>
              </wp:positionH>
              <wp:positionV relativeFrom="paragraph">
                <wp:posOffset>-111060</wp:posOffset>
              </wp:positionV>
              <wp:extent cx="2995930" cy="408305"/>
              <wp:effectExtent l="0" t="0" r="0" b="0"/>
              <wp:wrapSquare wrapText="bothSides"/>
              <wp:docPr id="335016564" name="Picture 33501656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A048AB9" w14:textId="77777777" w:rsidR="00123682" w:rsidRDefault="00123682" w:rsidP="0021106F">
        <w:pPr>
          <w:pStyle w:val="Footer"/>
          <w:jc w:val="center"/>
          <w:rPr>
            <w:color w:val="7F7F7F" w:themeColor="text1" w:themeTint="80"/>
          </w:rPr>
        </w:pPr>
      </w:p>
      <w:p w14:paraId="2B4AA876" w14:textId="77777777" w:rsidR="00123682" w:rsidRDefault="00123682"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3749520"/>
      <w:docPartObj>
        <w:docPartGallery w:val="Page Numbers (Bottom of Page)"/>
        <w:docPartUnique/>
      </w:docPartObj>
    </w:sdtPr>
    <w:sdtEndPr>
      <w:rPr>
        <w:noProof/>
        <w:color w:val="7F7F7F"/>
      </w:rPr>
    </w:sdtEndPr>
    <w:sdtContent>
      <w:p w14:paraId="3CEF6BD0" w14:textId="5C689E0D" w:rsidR="002E1DDB" w:rsidRDefault="002E1DDB" w:rsidP="002E1DDB">
        <w:pPr>
          <w:pStyle w:val="Footer"/>
          <w:jc w:val="center"/>
        </w:pPr>
      </w:p>
      <w:p w14:paraId="43A22E92" w14:textId="77777777" w:rsidR="001243CC" w:rsidRDefault="001243CC">
        <w:pPr>
          <w:pStyle w:val="Footer"/>
          <w:jc w:val="center"/>
        </w:pPr>
        <w:r w:rsidRPr="008336CE">
          <w:rPr>
            <w:noProof/>
            <w:color w:val="808080"/>
            <w:lang w:val="es-DO" w:eastAsia="es-DO"/>
          </w:rPr>
          <w:drawing>
            <wp:anchor distT="0" distB="0" distL="114300" distR="114300" simplePos="0" relativeHeight="251658241" behindDoc="1" locked="0" layoutInCell="1" allowOverlap="1" wp14:anchorId="3A5BD3CB" wp14:editId="6FD8E10B">
              <wp:simplePos x="0" y="0"/>
              <wp:positionH relativeFrom="margin">
                <wp:align>center</wp:align>
              </wp:positionH>
              <wp:positionV relativeFrom="paragraph">
                <wp:posOffset>4555</wp:posOffset>
              </wp:positionV>
              <wp:extent cx="2413000" cy="292100"/>
              <wp:effectExtent l="0" t="0" r="6350" b="0"/>
              <wp:wrapSquare wrapText="bothSides"/>
              <wp:docPr id="1684824678"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3FE18183" w14:textId="77777777" w:rsidR="001243CC" w:rsidRPr="006F627F" w:rsidRDefault="001243CC">
        <w:pPr>
          <w:pStyle w:val="Footer"/>
          <w:jc w:val="center"/>
          <w:rPr>
            <w:color w:val="7F7F7F"/>
          </w:rPr>
        </w:pPr>
      </w:p>
      <w:p w14:paraId="49325CB3" w14:textId="77777777" w:rsidR="001243CC" w:rsidRPr="006F627F" w:rsidRDefault="001243CC">
        <w:pPr>
          <w:pStyle w:val="Footer"/>
          <w:jc w:val="center"/>
          <w:rPr>
            <w:color w:val="7F7F7F"/>
          </w:rPr>
        </w:pPr>
      </w:p>
      <w:p w14:paraId="2C1B1E43" w14:textId="77777777" w:rsidR="001243CC" w:rsidRPr="006F627F" w:rsidRDefault="001243CC">
        <w:pPr>
          <w:pStyle w:val="Footer"/>
          <w:jc w:val="center"/>
          <w:rPr>
            <w:color w:val="7F7F7F"/>
          </w:rPr>
        </w:pPr>
        <w:r w:rsidRPr="006F627F">
          <w:rPr>
            <w:color w:val="7F7F7F"/>
          </w:rPr>
          <w:fldChar w:fldCharType="begin"/>
        </w:r>
        <w:r w:rsidRPr="006F627F">
          <w:rPr>
            <w:color w:val="7F7F7F"/>
          </w:rPr>
          <w:instrText xml:space="preserve"> PAGE   \* MERGEFORMAT </w:instrText>
        </w:r>
        <w:r w:rsidRPr="006F627F">
          <w:rPr>
            <w:color w:val="7F7F7F"/>
          </w:rPr>
          <w:fldChar w:fldCharType="separate"/>
        </w:r>
        <w:r w:rsidRPr="006F627F">
          <w:rPr>
            <w:noProof/>
            <w:color w:val="7F7F7F"/>
          </w:rPr>
          <w:t>12</w:t>
        </w:r>
        <w:r w:rsidRPr="006F627F">
          <w:rPr>
            <w:noProof/>
            <w:color w:val="7F7F7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7DA035" w14:textId="77777777" w:rsidR="00F8745A" w:rsidRDefault="00F8745A" w:rsidP="00E84651">
      <w:pPr>
        <w:spacing w:after="0" w:line="240" w:lineRule="auto"/>
      </w:pPr>
      <w:r>
        <w:separator/>
      </w:r>
    </w:p>
  </w:footnote>
  <w:footnote w:type="continuationSeparator" w:id="0">
    <w:p w14:paraId="7CA18E7D" w14:textId="77777777" w:rsidR="00F8745A" w:rsidRDefault="00F8745A" w:rsidP="00E84651">
      <w:pPr>
        <w:spacing w:after="0" w:line="240" w:lineRule="auto"/>
      </w:pPr>
      <w:r>
        <w:continuationSeparator/>
      </w:r>
    </w:p>
  </w:footnote>
  <w:footnote w:type="continuationNotice" w:id="1">
    <w:p w14:paraId="3F2CD992" w14:textId="77777777" w:rsidR="00F8745A" w:rsidRDefault="00F874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Pr="00B47C98" w:rsidRDefault="00B56CA4" w:rsidP="00B47C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A5248"/>
    <w:multiLevelType w:val="hybridMultilevel"/>
    <w:tmpl w:val="C288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BF48F8"/>
    <w:multiLevelType w:val="hybridMultilevel"/>
    <w:tmpl w:val="AF666FE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294D8E"/>
    <w:multiLevelType w:val="hybridMultilevel"/>
    <w:tmpl w:val="12CC6E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256F35"/>
    <w:multiLevelType w:val="hybridMultilevel"/>
    <w:tmpl w:val="3878DC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A35552F"/>
    <w:multiLevelType w:val="hybridMultilevel"/>
    <w:tmpl w:val="12CC6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60020E"/>
    <w:multiLevelType w:val="multilevel"/>
    <w:tmpl w:val="18F0F020"/>
    <w:lvl w:ilvl="0">
      <w:start w:val="4"/>
      <w:numFmt w:val="decimal"/>
      <w:lvlText w:val="%1"/>
      <w:lvlJc w:val="left"/>
      <w:pPr>
        <w:ind w:left="375" w:hanging="375"/>
      </w:pPr>
      <w:rPr>
        <w:rFonts w:hint="default"/>
        <w:b/>
        <w:color w:val="767171" w:themeColor="background2" w:themeShade="80"/>
      </w:rPr>
    </w:lvl>
    <w:lvl w:ilvl="1">
      <w:start w:val="1"/>
      <w:numFmt w:val="decimal"/>
      <w:lvlText w:val="%1.%2"/>
      <w:lvlJc w:val="left"/>
      <w:pPr>
        <w:ind w:left="1845" w:hanging="375"/>
      </w:pPr>
      <w:rPr>
        <w:rFonts w:hint="default"/>
        <w:b/>
        <w:color w:val="767171" w:themeColor="background2" w:themeShade="80"/>
      </w:rPr>
    </w:lvl>
    <w:lvl w:ilvl="2">
      <w:start w:val="1"/>
      <w:numFmt w:val="decimal"/>
      <w:lvlText w:val="%1.%2.%3"/>
      <w:lvlJc w:val="left"/>
      <w:pPr>
        <w:ind w:left="3660" w:hanging="720"/>
      </w:pPr>
      <w:rPr>
        <w:rFonts w:hint="default"/>
        <w:b/>
        <w:color w:val="767171" w:themeColor="background2" w:themeShade="80"/>
      </w:rPr>
    </w:lvl>
    <w:lvl w:ilvl="3">
      <w:start w:val="1"/>
      <w:numFmt w:val="decimal"/>
      <w:lvlText w:val="%1.%2.%3.%4"/>
      <w:lvlJc w:val="left"/>
      <w:pPr>
        <w:ind w:left="5490" w:hanging="1080"/>
      </w:pPr>
      <w:rPr>
        <w:rFonts w:hint="default"/>
        <w:b/>
        <w:color w:val="767171" w:themeColor="background2" w:themeShade="80"/>
      </w:rPr>
    </w:lvl>
    <w:lvl w:ilvl="4">
      <w:start w:val="1"/>
      <w:numFmt w:val="decimal"/>
      <w:lvlText w:val="%1.%2.%3.%4.%5"/>
      <w:lvlJc w:val="left"/>
      <w:pPr>
        <w:ind w:left="6960" w:hanging="1080"/>
      </w:pPr>
      <w:rPr>
        <w:rFonts w:hint="default"/>
        <w:b/>
        <w:color w:val="767171" w:themeColor="background2" w:themeShade="80"/>
      </w:rPr>
    </w:lvl>
    <w:lvl w:ilvl="5">
      <w:start w:val="1"/>
      <w:numFmt w:val="decimal"/>
      <w:lvlText w:val="%1.%2.%3.%4.%5.%6"/>
      <w:lvlJc w:val="left"/>
      <w:pPr>
        <w:ind w:left="8790" w:hanging="1440"/>
      </w:pPr>
      <w:rPr>
        <w:rFonts w:hint="default"/>
        <w:b/>
        <w:color w:val="767171" w:themeColor="background2" w:themeShade="80"/>
      </w:rPr>
    </w:lvl>
    <w:lvl w:ilvl="6">
      <w:start w:val="1"/>
      <w:numFmt w:val="decimal"/>
      <w:lvlText w:val="%1.%2.%3.%4.%5.%6.%7"/>
      <w:lvlJc w:val="left"/>
      <w:pPr>
        <w:ind w:left="10260" w:hanging="1440"/>
      </w:pPr>
      <w:rPr>
        <w:rFonts w:hint="default"/>
        <w:b/>
        <w:color w:val="767171" w:themeColor="background2" w:themeShade="80"/>
      </w:rPr>
    </w:lvl>
    <w:lvl w:ilvl="7">
      <w:start w:val="1"/>
      <w:numFmt w:val="decimal"/>
      <w:lvlText w:val="%1.%2.%3.%4.%5.%6.%7.%8"/>
      <w:lvlJc w:val="left"/>
      <w:pPr>
        <w:ind w:left="12090" w:hanging="1800"/>
      </w:pPr>
      <w:rPr>
        <w:rFonts w:hint="default"/>
        <w:b/>
        <w:color w:val="767171" w:themeColor="background2" w:themeShade="80"/>
      </w:rPr>
    </w:lvl>
    <w:lvl w:ilvl="8">
      <w:start w:val="1"/>
      <w:numFmt w:val="decimal"/>
      <w:lvlText w:val="%1.%2.%3.%4.%5.%6.%7.%8.%9"/>
      <w:lvlJc w:val="left"/>
      <w:pPr>
        <w:ind w:left="13920" w:hanging="2160"/>
      </w:pPr>
      <w:rPr>
        <w:rFonts w:hint="default"/>
        <w:b/>
        <w:color w:val="767171" w:themeColor="background2" w:themeShade="80"/>
      </w:rPr>
    </w:lvl>
  </w:abstractNum>
  <w:abstractNum w:abstractNumId="6" w15:restartNumberingAfterBreak="0">
    <w:nsid w:val="0BC40AE8"/>
    <w:multiLevelType w:val="hybridMultilevel"/>
    <w:tmpl w:val="E766D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FD26E0"/>
    <w:multiLevelType w:val="hybridMultilevel"/>
    <w:tmpl w:val="51D00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B957AF"/>
    <w:multiLevelType w:val="hybridMultilevel"/>
    <w:tmpl w:val="2870D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CC0F44"/>
    <w:multiLevelType w:val="multilevel"/>
    <w:tmpl w:val="939A1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1B72B0"/>
    <w:multiLevelType w:val="hybridMultilevel"/>
    <w:tmpl w:val="1C9A9E8A"/>
    <w:lvl w:ilvl="0" w:tplc="1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E74366E"/>
    <w:multiLevelType w:val="hybridMultilevel"/>
    <w:tmpl w:val="BAF27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9A6832"/>
    <w:multiLevelType w:val="multilevel"/>
    <w:tmpl w:val="3A2292CE"/>
    <w:lvl w:ilvl="0">
      <w:start w:val="1"/>
      <w:numFmt w:val="upperRoman"/>
      <w:lvlText w:val="%1."/>
      <w:lvlJc w:val="right"/>
      <w:pPr>
        <w:ind w:left="720" w:hanging="360"/>
      </w:pPr>
    </w:lvl>
    <w:lvl w:ilvl="1">
      <w:start w:val="1"/>
      <w:numFmt w:val="decimal"/>
      <w:isLgl/>
      <w:lvlText w:val="%1.%2"/>
      <w:lvlJc w:val="left"/>
      <w:pPr>
        <w:ind w:left="1095" w:hanging="375"/>
      </w:pPr>
      <w:rPr>
        <w:rFonts w:hint="default"/>
        <w:b/>
        <w:bCs/>
        <w:color w:val="808080" w:themeColor="background1" w:themeShade="8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0F7066E3"/>
    <w:multiLevelType w:val="hybridMultilevel"/>
    <w:tmpl w:val="9B3E4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781375"/>
    <w:multiLevelType w:val="multilevel"/>
    <w:tmpl w:val="18F0F020"/>
    <w:lvl w:ilvl="0">
      <w:start w:val="4"/>
      <w:numFmt w:val="decimal"/>
      <w:lvlText w:val="%1"/>
      <w:lvlJc w:val="left"/>
      <w:pPr>
        <w:ind w:left="375" w:hanging="375"/>
      </w:pPr>
      <w:rPr>
        <w:rFonts w:hint="default"/>
        <w:b/>
        <w:color w:val="767171" w:themeColor="background2" w:themeShade="80"/>
      </w:rPr>
    </w:lvl>
    <w:lvl w:ilvl="1">
      <w:start w:val="1"/>
      <w:numFmt w:val="decimal"/>
      <w:lvlText w:val="%1.%2"/>
      <w:lvlJc w:val="left"/>
      <w:pPr>
        <w:ind w:left="1845" w:hanging="375"/>
      </w:pPr>
      <w:rPr>
        <w:rFonts w:hint="default"/>
        <w:b/>
        <w:color w:val="767171" w:themeColor="background2" w:themeShade="80"/>
      </w:rPr>
    </w:lvl>
    <w:lvl w:ilvl="2">
      <w:start w:val="1"/>
      <w:numFmt w:val="decimal"/>
      <w:lvlText w:val="%1.%2.%3"/>
      <w:lvlJc w:val="left"/>
      <w:pPr>
        <w:ind w:left="3660" w:hanging="720"/>
      </w:pPr>
      <w:rPr>
        <w:rFonts w:hint="default"/>
        <w:b/>
        <w:color w:val="767171" w:themeColor="background2" w:themeShade="80"/>
      </w:rPr>
    </w:lvl>
    <w:lvl w:ilvl="3">
      <w:start w:val="1"/>
      <w:numFmt w:val="decimal"/>
      <w:lvlText w:val="%1.%2.%3.%4"/>
      <w:lvlJc w:val="left"/>
      <w:pPr>
        <w:ind w:left="5490" w:hanging="1080"/>
      </w:pPr>
      <w:rPr>
        <w:rFonts w:hint="default"/>
        <w:b/>
        <w:color w:val="767171" w:themeColor="background2" w:themeShade="80"/>
      </w:rPr>
    </w:lvl>
    <w:lvl w:ilvl="4">
      <w:start w:val="1"/>
      <w:numFmt w:val="decimal"/>
      <w:lvlText w:val="%1.%2.%3.%4.%5"/>
      <w:lvlJc w:val="left"/>
      <w:pPr>
        <w:ind w:left="6960" w:hanging="1080"/>
      </w:pPr>
      <w:rPr>
        <w:rFonts w:hint="default"/>
        <w:b/>
        <w:color w:val="767171" w:themeColor="background2" w:themeShade="80"/>
      </w:rPr>
    </w:lvl>
    <w:lvl w:ilvl="5">
      <w:start w:val="1"/>
      <w:numFmt w:val="decimal"/>
      <w:lvlText w:val="%1.%2.%3.%4.%5.%6"/>
      <w:lvlJc w:val="left"/>
      <w:pPr>
        <w:ind w:left="8790" w:hanging="1440"/>
      </w:pPr>
      <w:rPr>
        <w:rFonts w:hint="default"/>
        <w:b/>
        <w:color w:val="767171" w:themeColor="background2" w:themeShade="80"/>
      </w:rPr>
    </w:lvl>
    <w:lvl w:ilvl="6">
      <w:start w:val="1"/>
      <w:numFmt w:val="decimal"/>
      <w:lvlText w:val="%1.%2.%3.%4.%5.%6.%7"/>
      <w:lvlJc w:val="left"/>
      <w:pPr>
        <w:ind w:left="10260" w:hanging="1440"/>
      </w:pPr>
      <w:rPr>
        <w:rFonts w:hint="default"/>
        <w:b/>
        <w:color w:val="767171" w:themeColor="background2" w:themeShade="80"/>
      </w:rPr>
    </w:lvl>
    <w:lvl w:ilvl="7">
      <w:start w:val="1"/>
      <w:numFmt w:val="decimal"/>
      <w:lvlText w:val="%1.%2.%3.%4.%5.%6.%7.%8"/>
      <w:lvlJc w:val="left"/>
      <w:pPr>
        <w:ind w:left="12090" w:hanging="1800"/>
      </w:pPr>
      <w:rPr>
        <w:rFonts w:hint="default"/>
        <w:b/>
        <w:color w:val="767171" w:themeColor="background2" w:themeShade="80"/>
      </w:rPr>
    </w:lvl>
    <w:lvl w:ilvl="8">
      <w:start w:val="1"/>
      <w:numFmt w:val="decimal"/>
      <w:lvlText w:val="%1.%2.%3.%4.%5.%6.%7.%8.%9"/>
      <w:lvlJc w:val="left"/>
      <w:pPr>
        <w:ind w:left="13920" w:hanging="2160"/>
      </w:pPr>
      <w:rPr>
        <w:rFonts w:hint="default"/>
        <w:b/>
        <w:color w:val="767171" w:themeColor="background2" w:themeShade="80"/>
      </w:rPr>
    </w:lvl>
  </w:abstractNum>
  <w:abstractNum w:abstractNumId="15" w15:restartNumberingAfterBreak="0">
    <w:nsid w:val="178B68CB"/>
    <w:multiLevelType w:val="multilevel"/>
    <w:tmpl w:val="0A327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703450"/>
    <w:multiLevelType w:val="hybridMultilevel"/>
    <w:tmpl w:val="3B466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1A0173"/>
    <w:multiLevelType w:val="hybridMultilevel"/>
    <w:tmpl w:val="93AA7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412336"/>
    <w:multiLevelType w:val="multilevel"/>
    <w:tmpl w:val="2A1E2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5B5D67"/>
    <w:multiLevelType w:val="hybridMultilevel"/>
    <w:tmpl w:val="ED602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CC4155"/>
    <w:multiLevelType w:val="hybridMultilevel"/>
    <w:tmpl w:val="3E1E6A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A8C5B12"/>
    <w:multiLevelType w:val="hybridMultilevel"/>
    <w:tmpl w:val="99FA8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53768B"/>
    <w:multiLevelType w:val="hybridMultilevel"/>
    <w:tmpl w:val="F9A0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502C11"/>
    <w:multiLevelType w:val="multilevel"/>
    <w:tmpl w:val="7EE0F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E5CC6"/>
    <w:multiLevelType w:val="hybridMultilevel"/>
    <w:tmpl w:val="B4907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E454BA"/>
    <w:multiLevelType w:val="hybridMultilevel"/>
    <w:tmpl w:val="0AD02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7101BF"/>
    <w:multiLevelType w:val="hybridMultilevel"/>
    <w:tmpl w:val="EF2274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F73371A"/>
    <w:multiLevelType w:val="multilevel"/>
    <w:tmpl w:val="3A2292CE"/>
    <w:lvl w:ilvl="0">
      <w:start w:val="1"/>
      <w:numFmt w:val="upperRoman"/>
      <w:lvlText w:val="%1."/>
      <w:lvlJc w:val="right"/>
      <w:pPr>
        <w:ind w:left="720" w:hanging="360"/>
      </w:pPr>
    </w:lvl>
    <w:lvl w:ilvl="1">
      <w:start w:val="1"/>
      <w:numFmt w:val="decimal"/>
      <w:isLgl/>
      <w:lvlText w:val="%1.%2"/>
      <w:lvlJc w:val="left"/>
      <w:pPr>
        <w:ind w:left="1095" w:hanging="375"/>
      </w:pPr>
      <w:rPr>
        <w:rFonts w:hint="default"/>
        <w:b/>
        <w:bCs/>
        <w:color w:val="808080" w:themeColor="background1" w:themeShade="8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15:restartNumberingAfterBreak="0">
    <w:nsid w:val="51156651"/>
    <w:multiLevelType w:val="hybridMultilevel"/>
    <w:tmpl w:val="00F4E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72665C"/>
    <w:multiLevelType w:val="hybridMultilevel"/>
    <w:tmpl w:val="6A4C667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5890492D"/>
    <w:multiLevelType w:val="hybridMultilevel"/>
    <w:tmpl w:val="12CC6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E90BCE"/>
    <w:multiLevelType w:val="hybridMultilevel"/>
    <w:tmpl w:val="3A24F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0C194B"/>
    <w:multiLevelType w:val="multilevel"/>
    <w:tmpl w:val="EF60F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144F8B"/>
    <w:multiLevelType w:val="hybridMultilevel"/>
    <w:tmpl w:val="7908B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C13740"/>
    <w:multiLevelType w:val="hybridMultilevel"/>
    <w:tmpl w:val="54768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196F3A"/>
    <w:multiLevelType w:val="hybridMultilevel"/>
    <w:tmpl w:val="84285C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6715768"/>
    <w:multiLevelType w:val="hybridMultilevel"/>
    <w:tmpl w:val="D6702B42"/>
    <w:lvl w:ilvl="0" w:tplc="BFE8D3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96D450E"/>
    <w:multiLevelType w:val="hybridMultilevel"/>
    <w:tmpl w:val="B8181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E287A"/>
    <w:multiLevelType w:val="hybridMultilevel"/>
    <w:tmpl w:val="3AC052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6B5F636E"/>
    <w:multiLevelType w:val="hybridMultilevel"/>
    <w:tmpl w:val="8124C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6617D5"/>
    <w:multiLevelType w:val="hybridMultilevel"/>
    <w:tmpl w:val="9A46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3525E2"/>
    <w:multiLevelType w:val="hybridMultilevel"/>
    <w:tmpl w:val="4EB018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00E12C8"/>
    <w:multiLevelType w:val="multilevel"/>
    <w:tmpl w:val="18F0F020"/>
    <w:lvl w:ilvl="0">
      <w:start w:val="4"/>
      <w:numFmt w:val="decimal"/>
      <w:lvlText w:val="%1"/>
      <w:lvlJc w:val="left"/>
      <w:pPr>
        <w:ind w:left="375" w:hanging="375"/>
      </w:pPr>
      <w:rPr>
        <w:rFonts w:hint="default"/>
        <w:b/>
        <w:color w:val="767171" w:themeColor="background2" w:themeShade="80"/>
      </w:rPr>
    </w:lvl>
    <w:lvl w:ilvl="1">
      <w:start w:val="1"/>
      <w:numFmt w:val="decimal"/>
      <w:lvlText w:val="%1.%2"/>
      <w:lvlJc w:val="left"/>
      <w:pPr>
        <w:ind w:left="1845" w:hanging="375"/>
      </w:pPr>
      <w:rPr>
        <w:rFonts w:hint="default"/>
        <w:b/>
        <w:color w:val="767171" w:themeColor="background2" w:themeShade="80"/>
      </w:rPr>
    </w:lvl>
    <w:lvl w:ilvl="2">
      <w:start w:val="1"/>
      <w:numFmt w:val="decimal"/>
      <w:lvlText w:val="%1.%2.%3"/>
      <w:lvlJc w:val="left"/>
      <w:pPr>
        <w:ind w:left="3660" w:hanging="720"/>
      </w:pPr>
      <w:rPr>
        <w:rFonts w:hint="default"/>
        <w:b/>
        <w:color w:val="767171" w:themeColor="background2" w:themeShade="80"/>
      </w:rPr>
    </w:lvl>
    <w:lvl w:ilvl="3">
      <w:start w:val="1"/>
      <w:numFmt w:val="decimal"/>
      <w:lvlText w:val="%1.%2.%3.%4"/>
      <w:lvlJc w:val="left"/>
      <w:pPr>
        <w:ind w:left="5490" w:hanging="1080"/>
      </w:pPr>
      <w:rPr>
        <w:rFonts w:hint="default"/>
        <w:b/>
        <w:color w:val="767171" w:themeColor="background2" w:themeShade="80"/>
      </w:rPr>
    </w:lvl>
    <w:lvl w:ilvl="4">
      <w:start w:val="1"/>
      <w:numFmt w:val="decimal"/>
      <w:lvlText w:val="%1.%2.%3.%4.%5"/>
      <w:lvlJc w:val="left"/>
      <w:pPr>
        <w:ind w:left="6960" w:hanging="1080"/>
      </w:pPr>
      <w:rPr>
        <w:rFonts w:hint="default"/>
        <w:b/>
        <w:color w:val="767171" w:themeColor="background2" w:themeShade="80"/>
      </w:rPr>
    </w:lvl>
    <w:lvl w:ilvl="5">
      <w:start w:val="1"/>
      <w:numFmt w:val="decimal"/>
      <w:lvlText w:val="%1.%2.%3.%4.%5.%6"/>
      <w:lvlJc w:val="left"/>
      <w:pPr>
        <w:ind w:left="8790" w:hanging="1440"/>
      </w:pPr>
      <w:rPr>
        <w:rFonts w:hint="default"/>
        <w:b/>
        <w:color w:val="767171" w:themeColor="background2" w:themeShade="80"/>
      </w:rPr>
    </w:lvl>
    <w:lvl w:ilvl="6">
      <w:start w:val="1"/>
      <w:numFmt w:val="decimal"/>
      <w:lvlText w:val="%1.%2.%3.%4.%5.%6.%7"/>
      <w:lvlJc w:val="left"/>
      <w:pPr>
        <w:ind w:left="10260" w:hanging="1440"/>
      </w:pPr>
      <w:rPr>
        <w:rFonts w:hint="default"/>
        <w:b/>
        <w:color w:val="767171" w:themeColor="background2" w:themeShade="80"/>
      </w:rPr>
    </w:lvl>
    <w:lvl w:ilvl="7">
      <w:start w:val="1"/>
      <w:numFmt w:val="decimal"/>
      <w:lvlText w:val="%1.%2.%3.%4.%5.%6.%7.%8"/>
      <w:lvlJc w:val="left"/>
      <w:pPr>
        <w:ind w:left="12090" w:hanging="1800"/>
      </w:pPr>
      <w:rPr>
        <w:rFonts w:hint="default"/>
        <w:b/>
        <w:color w:val="767171" w:themeColor="background2" w:themeShade="80"/>
      </w:rPr>
    </w:lvl>
    <w:lvl w:ilvl="8">
      <w:start w:val="1"/>
      <w:numFmt w:val="decimal"/>
      <w:lvlText w:val="%1.%2.%3.%4.%5.%6.%7.%8.%9"/>
      <w:lvlJc w:val="left"/>
      <w:pPr>
        <w:ind w:left="13920" w:hanging="2160"/>
      </w:pPr>
      <w:rPr>
        <w:rFonts w:hint="default"/>
        <w:b/>
        <w:color w:val="767171" w:themeColor="background2" w:themeShade="80"/>
      </w:rPr>
    </w:lvl>
  </w:abstractNum>
  <w:abstractNum w:abstractNumId="43" w15:restartNumberingAfterBreak="0">
    <w:nsid w:val="704839CA"/>
    <w:multiLevelType w:val="hybridMultilevel"/>
    <w:tmpl w:val="1B12E80C"/>
    <w:lvl w:ilvl="0" w:tplc="C79410FC">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F20059"/>
    <w:multiLevelType w:val="hybridMultilevel"/>
    <w:tmpl w:val="12CC6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B65125"/>
    <w:multiLevelType w:val="hybridMultilevel"/>
    <w:tmpl w:val="91DE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1938AC"/>
    <w:multiLevelType w:val="hybridMultilevel"/>
    <w:tmpl w:val="AB021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5779394">
    <w:abstractNumId w:val="24"/>
  </w:num>
  <w:num w:numId="2" w16cid:durableId="561840621">
    <w:abstractNumId w:val="21"/>
  </w:num>
  <w:num w:numId="3" w16cid:durableId="386683058">
    <w:abstractNumId w:val="27"/>
  </w:num>
  <w:num w:numId="4" w16cid:durableId="359552955">
    <w:abstractNumId w:val="25"/>
  </w:num>
  <w:num w:numId="5" w16cid:durableId="1967419868">
    <w:abstractNumId w:val="45"/>
  </w:num>
  <w:num w:numId="6" w16cid:durableId="1659336055">
    <w:abstractNumId w:val="34"/>
  </w:num>
  <w:num w:numId="7" w16cid:durableId="456490215">
    <w:abstractNumId w:val="10"/>
  </w:num>
  <w:num w:numId="8" w16cid:durableId="1007946809">
    <w:abstractNumId w:val="3"/>
  </w:num>
  <w:num w:numId="9" w16cid:durableId="1372993064">
    <w:abstractNumId w:val="38"/>
  </w:num>
  <w:num w:numId="10" w16cid:durableId="1993488325">
    <w:abstractNumId w:val="9"/>
  </w:num>
  <w:num w:numId="11" w16cid:durableId="63528879">
    <w:abstractNumId w:val="23"/>
  </w:num>
  <w:num w:numId="12" w16cid:durableId="703215040">
    <w:abstractNumId w:val="15"/>
  </w:num>
  <w:num w:numId="13" w16cid:durableId="171337475">
    <w:abstractNumId w:val="18"/>
  </w:num>
  <w:num w:numId="14" w16cid:durableId="901411049">
    <w:abstractNumId w:val="39"/>
  </w:num>
  <w:num w:numId="15" w16cid:durableId="341519615">
    <w:abstractNumId w:val="12"/>
  </w:num>
  <w:num w:numId="16" w16cid:durableId="864824626">
    <w:abstractNumId w:val="6"/>
  </w:num>
  <w:num w:numId="17" w16cid:durableId="74668336">
    <w:abstractNumId w:val="44"/>
  </w:num>
  <w:num w:numId="18" w16cid:durableId="847476697">
    <w:abstractNumId w:val="46"/>
  </w:num>
  <w:num w:numId="19" w16cid:durableId="66154183">
    <w:abstractNumId w:val="4"/>
  </w:num>
  <w:num w:numId="20" w16cid:durableId="1046492167">
    <w:abstractNumId w:val="40"/>
  </w:num>
  <w:num w:numId="21" w16cid:durableId="109209520">
    <w:abstractNumId w:val="36"/>
  </w:num>
  <w:num w:numId="22" w16cid:durableId="1662613013">
    <w:abstractNumId w:val="30"/>
  </w:num>
  <w:num w:numId="23" w16cid:durableId="280649672">
    <w:abstractNumId w:val="1"/>
  </w:num>
  <w:num w:numId="24" w16cid:durableId="1280987766">
    <w:abstractNumId w:val="5"/>
  </w:num>
  <w:num w:numId="25" w16cid:durableId="505484755">
    <w:abstractNumId w:val="14"/>
  </w:num>
  <w:num w:numId="26" w16cid:durableId="1430735903">
    <w:abstractNumId w:val="8"/>
  </w:num>
  <w:num w:numId="27" w16cid:durableId="1305503813">
    <w:abstractNumId w:val="31"/>
  </w:num>
  <w:num w:numId="28" w16cid:durableId="1775664918">
    <w:abstractNumId w:val="22"/>
  </w:num>
  <w:num w:numId="29" w16cid:durableId="1691686465">
    <w:abstractNumId w:val="43"/>
  </w:num>
  <w:num w:numId="30" w16cid:durableId="1625696182">
    <w:abstractNumId w:val="16"/>
  </w:num>
  <w:num w:numId="31" w16cid:durableId="1124276437">
    <w:abstractNumId w:val="35"/>
  </w:num>
  <w:num w:numId="32" w16cid:durableId="289626021">
    <w:abstractNumId w:val="29"/>
  </w:num>
  <w:num w:numId="33" w16cid:durableId="911818768">
    <w:abstractNumId w:val="42"/>
  </w:num>
  <w:num w:numId="34" w16cid:durableId="1213074828">
    <w:abstractNumId w:val="26"/>
  </w:num>
  <w:num w:numId="35" w16cid:durableId="1048263875">
    <w:abstractNumId w:val="28"/>
  </w:num>
  <w:num w:numId="36" w16cid:durableId="1928342117">
    <w:abstractNumId w:val="13"/>
  </w:num>
  <w:num w:numId="37" w16cid:durableId="996766037">
    <w:abstractNumId w:val="20"/>
  </w:num>
  <w:num w:numId="38" w16cid:durableId="933441940">
    <w:abstractNumId w:val="19"/>
  </w:num>
  <w:num w:numId="39" w16cid:durableId="350691260">
    <w:abstractNumId w:val="41"/>
  </w:num>
  <w:num w:numId="40" w16cid:durableId="1502963091">
    <w:abstractNumId w:val="7"/>
  </w:num>
  <w:num w:numId="41" w16cid:durableId="1247806217">
    <w:abstractNumId w:val="17"/>
  </w:num>
  <w:num w:numId="42" w16cid:durableId="1550796280">
    <w:abstractNumId w:val="11"/>
  </w:num>
  <w:num w:numId="43" w16cid:durableId="1686053655">
    <w:abstractNumId w:val="37"/>
  </w:num>
  <w:num w:numId="44" w16cid:durableId="1982227115">
    <w:abstractNumId w:val="2"/>
  </w:num>
  <w:num w:numId="45" w16cid:durableId="669796105">
    <w:abstractNumId w:val="33"/>
  </w:num>
  <w:num w:numId="46" w16cid:durableId="1708143482">
    <w:abstractNumId w:val="0"/>
  </w:num>
  <w:num w:numId="47" w16cid:durableId="6684881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05258"/>
    <w:rsid w:val="00007976"/>
    <w:rsid w:val="000141D7"/>
    <w:rsid w:val="00031B71"/>
    <w:rsid w:val="00031C89"/>
    <w:rsid w:val="00032423"/>
    <w:rsid w:val="00035F71"/>
    <w:rsid w:val="00041B32"/>
    <w:rsid w:val="00044655"/>
    <w:rsid w:val="00046544"/>
    <w:rsid w:val="000523C0"/>
    <w:rsid w:val="00053E08"/>
    <w:rsid w:val="00065DD9"/>
    <w:rsid w:val="000716D2"/>
    <w:rsid w:val="0007427A"/>
    <w:rsid w:val="00077BB6"/>
    <w:rsid w:val="00087071"/>
    <w:rsid w:val="00087403"/>
    <w:rsid w:val="00090B56"/>
    <w:rsid w:val="000946F8"/>
    <w:rsid w:val="00094D78"/>
    <w:rsid w:val="0009529E"/>
    <w:rsid w:val="000960E2"/>
    <w:rsid w:val="00096A6C"/>
    <w:rsid w:val="000A0A5E"/>
    <w:rsid w:val="000A65D8"/>
    <w:rsid w:val="000B3C03"/>
    <w:rsid w:val="000C0419"/>
    <w:rsid w:val="000C111E"/>
    <w:rsid w:val="000C47CC"/>
    <w:rsid w:val="000C6E0C"/>
    <w:rsid w:val="000C70A5"/>
    <w:rsid w:val="000D0686"/>
    <w:rsid w:val="000D11B6"/>
    <w:rsid w:val="000D1243"/>
    <w:rsid w:val="000D143C"/>
    <w:rsid w:val="000D193B"/>
    <w:rsid w:val="000D3194"/>
    <w:rsid w:val="000F38E8"/>
    <w:rsid w:val="000F57D8"/>
    <w:rsid w:val="0010232C"/>
    <w:rsid w:val="00102444"/>
    <w:rsid w:val="0010597E"/>
    <w:rsid w:val="0011472E"/>
    <w:rsid w:val="00114F2A"/>
    <w:rsid w:val="00122145"/>
    <w:rsid w:val="00123682"/>
    <w:rsid w:val="001240D0"/>
    <w:rsid w:val="001243CC"/>
    <w:rsid w:val="00125D46"/>
    <w:rsid w:val="001309C4"/>
    <w:rsid w:val="00130F9E"/>
    <w:rsid w:val="001403FB"/>
    <w:rsid w:val="00150BB3"/>
    <w:rsid w:val="00157831"/>
    <w:rsid w:val="001606BD"/>
    <w:rsid w:val="00166416"/>
    <w:rsid w:val="001729CF"/>
    <w:rsid w:val="001762C7"/>
    <w:rsid w:val="001804D9"/>
    <w:rsid w:val="001822B3"/>
    <w:rsid w:val="00196A58"/>
    <w:rsid w:val="001A49D5"/>
    <w:rsid w:val="001A72AE"/>
    <w:rsid w:val="001C044F"/>
    <w:rsid w:val="001D608D"/>
    <w:rsid w:val="001E07B9"/>
    <w:rsid w:val="001E0A70"/>
    <w:rsid w:val="001E0D49"/>
    <w:rsid w:val="001E7917"/>
    <w:rsid w:val="001E7BA6"/>
    <w:rsid w:val="001F00BD"/>
    <w:rsid w:val="001F1DFD"/>
    <w:rsid w:val="00200B6E"/>
    <w:rsid w:val="002030EE"/>
    <w:rsid w:val="002053DE"/>
    <w:rsid w:val="0020764A"/>
    <w:rsid w:val="00207FDF"/>
    <w:rsid w:val="00210980"/>
    <w:rsid w:val="0021106F"/>
    <w:rsid w:val="0021331F"/>
    <w:rsid w:val="0021654B"/>
    <w:rsid w:val="0022728D"/>
    <w:rsid w:val="00234E0F"/>
    <w:rsid w:val="00235582"/>
    <w:rsid w:val="0024181E"/>
    <w:rsid w:val="00243FED"/>
    <w:rsid w:val="0024725E"/>
    <w:rsid w:val="00280A32"/>
    <w:rsid w:val="002816F5"/>
    <w:rsid w:val="00287F98"/>
    <w:rsid w:val="00295F77"/>
    <w:rsid w:val="002A6621"/>
    <w:rsid w:val="002A72B5"/>
    <w:rsid w:val="002B4451"/>
    <w:rsid w:val="002D008B"/>
    <w:rsid w:val="002D0A83"/>
    <w:rsid w:val="002E1DDB"/>
    <w:rsid w:val="002E6D74"/>
    <w:rsid w:val="003000E6"/>
    <w:rsid w:val="0030402E"/>
    <w:rsid w:val="00305E2A"/>
    <w:rsid w:val="00307AEF"/>
    <w:rsid w:val="003227C2"/>
    <w:rsid w:val="00323C90"/>
    <w:rsid w:val="0032612F"/>
    <w:rsid w:val="003302B8"/>
    <w:rsid w:val="003303DE"/>
    <w:rsid w:val="00330BBF"/>
    <w:rsid w:val="00336BF0"/>
    <w:rsid w:val="0034171F"/>
    <w:rsid w:val="0034224F"/>
    <w:rsid w:val="00347F1F"/>
    <w:rsid w:val="00353387"/>
    <w:rsid w:val="00355FE2"/>
    <w:rsid w:val="003572BD"/>
    <w:rsid w:val="0036093C"/>
    <w:rsid w:val="003614B4"/>
    <w:rsid w:val="0036209B"/>
    <w:rsid w:val="00371782"/>
    <w:rsid w:val="00376549"/>
    <w:rsid w:val="00377189"/>
    <w:rsid w:val="00380CAE"/>
    <w:rsid w:val="00381F1B"/>
    <w:rsid w:val="00384973"/>
    <w:rsid w:val="0039097D"/>
    <w:rsid w:val="003A4134"/>
    <w:rsid w:val="003A6A45"/>
    <w:rsid w:val="003A6D2F"/>
    <w:rsid w:val="003B15A3"/>
    <w:rsid w:val="003B33D6"/>
    <w:rsid w:val="003B3B61"/>
    <w:rsid w:val="003B4E2B"/>
    <w:rsid w:val="003B5614"/>
    <w:rsid w:val="003C1472"/>
    <w:rsid w:val="003D0343"/>
    <w:rsid w:val="003D03F0"/>
    <w:rsid w:val="003D6E9C"/>
    <w:rsid w:val="003E51FB"/>
    <w:rsid w:val="003E5FCE"/>
    <w:rsid w:val="003E7C79"/>
    <w:rsid w:val="003E7EAF"/>
    <w:rsid w:val="003F1875"/>
    <w:rsid w:val="0040299E"/>
    <w:rsid w:val="00410A94"/>
    <w:rsid w:val="00425CF6"/>
    <w:rsid w:val="004346A7"/>
    <w:rsid w:val="00437C56"/>
    <w:rsid w:val="00443BFC"/>
    <w:rsid w:val="00444FB5"/>
    <w:rsid w:val="004462C3"/>
    <w:rsid w:val="004465B7"/>
    <w:rsid w:val="004515C5"/>
    <w:rsid w:val="004544B4"/>
    <w:rsid w:val="00457D41"/>
    <w:rsid w:val="00460CDF"/>
    <w:rsid w:val="00461E24"/>
    <w:rsid w:val="00462962"/>
    <w:rsid w:val="00463A18"/>
    <w:rsid w:val="00465EA3"/>
    <w:rsid w:val="004671B7"/>
    <w:rsid w:val="0047728B"/>
    <w:rsid w:val="004835C5"/>
    <w:rsid w:val="004879A0"/>
    <w:rsid w:val="00490DE2"/>
    <w:rsid w:val="004945BF"/>
    <w:rsid w:val="004A25A0"/>
    <w:rsid w:val="004B1D7E"/>
    <w:rsid w:val="004B301B"/>
    <w:rsid w:val="004B4173"/>
    <w:rsid w:val="004B7619"/>
    <w:rsid w:val="004C5C5B"/>
    <w:rsid w:val="004D5382"/>
    <w:rsid w:val="004E34C4"/>
    <w:rsid w:val="004F0BB5"/>
    <w:rsid w:val="004F2DD5"/>
    <w:rsid w:val="004F6774"/>
    <w:rsid w:val="004F705B"/>
    <w:rsid w:val="005135FE"/>
    <w:rsid w:val="005224D3"/>
    <w:rsid w:val="0052297B"/>
    <w:rsid w:val="00525477"/>
    <w:rsid w:val="005273D1"/>
    <w:rsid w:val="0053028A"/>
    <w:rsid w:val="005421D6"/>
    <w:rsid w:val="00544419"/>
    <w:rsid w:val="00545797"/>
    <w:rsid w:val="00551CC3"/>
    <w:rsid w:val="00553C11"/>
    <w:rsid w:val="00560EE6"/>
    <w:rsid w:val="00564610"/>
    <w:rsid w:val="005652BB"/>
    <w:rsid w:val="00572D53"/>
    <w:rsid w:val="005805BA"/>
    <w:rsid w:val="005835DE"/>
    <w:rsid w:val="00584B8E"/>
    <w:rsid w:val="005878DD"/>
    <w:rsid w:val="00594DB0"/>
    <w:rsid w:val="00596D0F"/>
    <w:rsid w:val="005A1BC1"/>
    <w:rsid w:val="005A44A8"/>
    <w:rsid w:val="005A76F1"/>
    <w:rsid w:val="005B1AED"/>
    <w:rsid w:val="005C4045"/>
    <w:rsid w:val="005C548C"/>
    <w:rsid w:val="005C6E7B"/>
    <w:rsid w:val="005D0EE4"/>
    <w:rsid w:val="005D45DF"/>
    <w:rsid w:val="005D63AE"/>
    <w:rsid w:val="005E148C"/>
    <w:rsid w:val="005E6195"/>
    <w:rsid w:val="005E73B9"/>
    <w:rsid w:val="005F3B6E"/>
    <w:rsid w:val="005F472D"/>
    <w:rsid w:val="005F72E4"/>
    <w:rsid w:val="00603D63"/>
    <w:rsid w:val="00606C31"/>
    <w:rsid w:val="0061095C"/>
    <w:rsid w:val="006121D1"/>
    <w:rsid w:val="006160B6"/>
    <w:rsid w:val="00617D9B"/>
    <w:rsid w:val="006214C1"/>
    <w:rsid w:val="00627B49"/>
    <w:rsid w:val="00631F6E"/>
    <w:rsid w:val="00642ADF"/>
    <w:rsid w:val="00644BF9"/>
    <w:rsid w:val="00647680"/>
    <w:rsid w:val="006476DF"/>
    <w:rsid w:val="006509B5"/>
    <w:rsid w:val="00654164"/>
    <w:rsid w:val="00654EFA"/>
    <w:rsid w:val="00656887"/>
    <w:rsid w:val="00661830"/>
    <w:rsid w:val="00667D63"/>
    <w:rsid w:val="006701A3"/>
    <w:rsid w:val="0067168A"/>
    <w:rsid w:val="006717EB"/>
    <w:rsid w:val="00674FD4"/>
    <w:rsid w:val="006779D3"/>
    <w:rsid w:val="006852A9"/>
    <w:rsid w:val="00690EA0"/>
    <w:rsid w:val="00691CB9"/>
    <w:rsid w:val="00697327"/>
    <w:rsid w:val="006A5542"/>
    <w:rsid w:val="006C0A79"/>
    <w:rsid w:val="006C48BC"/>
    <w:rsid w:val="006C7902"/>
    <w:rsid w:val="006C7C4E"/>
    <w:rsid w:val="006D7301"/>
    <w:rsid w:val="006E3F08"/>
    <w:rsid w:val="006E54BF"/>
    <w:rsid w:val="006E754B"/>
    <w:rsid w:val="006E7F20"/>
    <w:rsid w:val="00701C3A"/>
    <w:rsid w:val="00704421"/>
    <w:rsid w:val="00711BB0"/>
    <w:rsid w:val="00714570"/>
    <w:rsid w:val="00714598"/>
    <w:rsid w:val="00727938"/>
    <w:rsid w:val="00733AB6"/>
    <w:rsid w:val="007408A7"/>
    <w:rsid w:val="007432D3"/>
    <w:rsid w:val="00744043"/>
    <w:rsid w:val="0075434B"/>
    <w:rsid w:val="00756180"/>
    <w:rsid w:val="00757BC0"/>
    <w:rsid w:val="00771010"/>
    <w:rsid w:val="007726D3"/>
    <w:rsid w:val="00774BBC"/>
    <w:rsid w:val="00776592"/>
    <w:rsid w:val="007815AA"/>
    <w:rsid w:val="007820C4"/>
    <w:rsid w:val="00786C60"/>
    <w:rsid w:val="00787FB8"/>
    <w:rsid w:val="00795A16"/>
    <w:rsid w:val="00796934"/>
    <w:rsid w:val="00796C22"/>
    <w:rsid w:val="007A267B"/>
    <w:rsid w:val="007A4515"/>
    <w:rsid w:val="007A47B2"/>
    <w:rsid w:val="007B4F4C"/>
    <w:rsid w:val="007B7B6E"/>
    <w:rsid w:val="007C6071"/>
    <w:rsid w:val="007E7024"/>
    <w:rsid w:val="007F3759"/>
    <w:rsid w:val="007F436D"/>
    <w:rsid w:val="007F5225"/>
    <w:rsid w:val="007F6FFD"/>
    <w:rsid w:val="00802E42"/>
    <w:rsid w:val="0081074D"/>
    <w:rsid w:val="00815618"/>
    <w:rsid w:val="0082260F"/>
    <w:rsid w:val="00825BAE"/>
    <w:rsid w:val="00826E67"/>
    <w:rsid w:val="00840D69"/>
    <w:rsid w:val="00846019"/>
    <w:rsid w:val="00851ECF"/>
    <w:rsid w:val="00853594"/>
    <w:rsid w:val="0085579D"/>
    <w:rsid w:val="00860389"/>
    <w:rsid w:val="00861EF4"/>
    <w:rsid w:val="00865274"/>
    <w:rsid w:val="0087772C"/>
    <w:rsid w:val="00881874"/>
    <w:rsid w:val="0089273D"/>
    <w:rsid w:val="008A0D35"/>
    <w:rsid w:val="008A3AF0"/>
    <w:rsid w:val="008B1084"/>
    <w:rsid w:val="008C22C6"/>
    <w:rsid w:val="008D600F"/>
    <w:rsid w:val="008D649F"/>
    <w:rsid w:val="008D7F4E"/>
    <w:rsid w:val="008E40E3"/>
    <w:rsid w:val="008F3972"/>
    <w:rsid w:val="009000C6"/>
    <w:rsid w:val="00900C53"/>
    <w:rsid w:val="00901D00"/>
    <w:rsid w:val="00903EA9"/>
    <w:rsid w:val="00906BAC"/>
    <w:rsid w:val="00910A04"/>
    <w:rsid w:val="00915C6B"/>
    <w:rsid w:val="00920A80"/>
    <w:rsid w:val="0092213E"/>
    <w:rsid w:val="00923B8C"/>
    <w:rsid w:val="00924791"/>
    <w:rsid w:val="00924F77"/>
    <w:rsid w:val="009333AD"/>
    <w:rsid w:val="00944A3C"/>
    <w:rsid w:val="00950F6B"/>
    <w:rsid w:val="009558E4"/>
    <w:rsid w:val="00955A30"/>
    <w:rsid w:val="0095616B"/>
    <w:rsid w:val="009637D1"/>
    <w:rsid w:val="0097291D"/>
    <w:rsid w:val="00972A03"/>
    <w:rsid w:val="00975E5A"/>
    <w:rsid w:val="00977008"/>
    <w:rsid w:val="00980291"/>
    <w:rsid w:val="0098576A"/>
    <w:rsid w:val="00987B2F"/>
    <w:rsid w:val="009904DB"/>
    <w:rsid w:val="00995128"/>
    <w:rsid w:val="00995933"/>
    <w:rsid w:val="009978F6"/>
    <w:rsid w:val="009A5D5A"/>
    <w:rsid w:val="009A7266"/>
    <w:rsid w:val="009B239B"/>
    <w:rsid w:val="009B7F1B"/>
    <w:rsid w:val="009C655C"/>
    <w:rsid w:val="009E2D6B"/>
    <w:rsid w:val="009E3A89"/>
    <w:rsid w:val="009E3ED4"/>
    <w:rsid w:val="009E6B75"/>
    <w:rsid w:val="009F0AC3"/>
    <w:rsid w:val="009F1E70"/>
    <w:rsid w:val="009F3D54"/>
    <w:rsid w:val="009F54E3"/>
    <w:rsid w:val="00A00521"/>
    <w:rsid w:val="00A02E84"/>
    <w:rsid w:val="00A04B5B"/>
    <w:rsid w:val="00A12677"/>
    <w:rsid w:val="00A20F1B"/>
    <w:rsid w:val="00A248BD"/>
    <w:rsid w:val="00A2498E"/>
    <w:rsid w:val="00A308DB"/>
    <w:rsid w:val="00A31666"/>
    <w:rsid w:val="00A42720"/>
    <w:rsid w:val="00A42822"/>
    <w:rsid w:val="00A44089"/>
    <w:rsid w:val="00A443C2"/>
    <w:rsid w:val="00A5460A"/>
    <w:rsid w:val="00A630BC"/>
    <w:rsid w:val="00A63A00"/>
    <w:rsid w:val="00A70AF5"/>
    <w:rsid w:val="00A741F1"/>
    <w:rsid w:val="00A74F43"/>
    <w:rsid w:val="00A77001"/>
    <w:rsid w:val="00A83076"/>
    <w:rsid w:val="00A84E0E"/>
    <w:rsid w:val="00A8614C"/>
    <w:rsid w:val="00A869EC"/>
    <w:rsid w:val="00AA31E0"/>
    <w:rsid w:val="00AA5CBC"/>
    <w:rsid w:val="00AC10A4"/>
    <w:rsid w:val="00AC5C11"/>
    <w:rsid w:val="00AC749D"/>
    <w:rsid w:val="00AD5690"/>
    <w:rsid w:val="00AD6032"/>
    <w:rsid w:val="00AD6BE3"/>
    <w:rsid w:val="00AD78D3"/>
    <w:rsid w:val="00AE190C"/>
    <w:rsid w:val="00AE7972"/>
    <w:rsid w:val="00AF252F"/>
    <w:rsid w:val="00AF6623"/>
    <w:rsid w:val="00B003EE"/>
    <w:rsid w:val="00B030B0"/>
    <w:rsid w:val="00B0637A"/>
    <w:rsid w:val="00B07950"/>
    <w:rsid w:val="00B16C91"/>
    <w:rsid w:val="00B16EF5"/>
    <w:rsid w:val="00B2075E"/>
    <w:rsid w:val="00B34ACE"/>
    <w:rsid w:val="00B45256"/>
    <w:rsid w:val="00B45B38"/>
    <w:rsid w:val="00B462AE"/>
    <w:rsid w:val="00B47C98"/>
    <w:rsid w:val="00B50281"/>
    <w:rsid w:val="00B56751"/>
    <w:rsid w:val="00B56CA4"/>
    <w:rsid w:val="00B6091C"/>
    <w:rsid w:val="00B715E3"/>
    <w:rsid w:val="00B73457"/>
    <w:rsid w:val="00B76DB7"/>
    <w:rsid w:val="00B778CF"/>
    <w:rsid w:val="00B83C5A"/>
    <w:rsid w:val="00B86835"/>
    <w:rsid w:val="00B92B50"/>
    <w:rsid w:val="00B948A5"/>
    <w:rsid w:val="00BA154E"/>
    <w:rsid w:val="00BA1C9F"/>
    <w:rsid w:val="00BA2267"/>
    <w:rsid w:val="00BA45A8"/>
    <w:rsid w:val="00BA56DF"/>
    <w:rsid w:val="00BB3412"/>
    <w:rsid w:val="00BB6F13"/>
    <w:rsid w:val="00BB7662"/>
    <w:rsid w:val="00BC081A"/>
    <w:rsid w:val="00BC0B52"/>
    <w:rsid w:val="00BC6400"/>
    <w:rsid w:val="00BC710B"/>
    <w:rsid w:val="00BD3280"/>
    <w:rsid w:val="00BE2AB6"/>
    <w:rsid w:val="00BE2E0F"/>
    <w:rsid w:val="00BE3668"/>
    <w:rsid w:val="00BF0CEE"/>
    <w:rsid w:val="00C01F70"/>
    <w:rsid w:val="00C02322"/>
    <w:rsid w:val="00C0562D"/>
    <w:rsid w:val="00C07A5B"/>
    <w:rsid w:val="00C10543"/>
    <w:rsid w:val="00C16AC6"/>
    <w:rsid w:val="00C3293D"/>
    <w:rsid w:val="00C37700"/>
    <w:rsid w:val="00C37A3B"/>
    <w:rsid w:val="00C37CE2"/>
    <w:rsid w:val="00C37E51"/>
    <w:rsid w:val="00C44B5A"/>
    <w:rsid w:val="00C45104"/>
    <w:rsid w:val="00C470DC"/>
    <w:rsid w:val="00C47DDA"/>
    <w:rsid w:val="00C50277"/>
    <w:rsid w:val="00C64CEF"/>
    <w:rsid w:val="00C80BB2"/>
    <w:rsid w:val="00C840B1"/>
    <w:rsid w:val="00C87087"/>
    <w:rsid w:val="00C954EB"/>
    <w:rsid w:val="00CA11C2"/>
    <w:rsid w:val="00CB0310"/>
    <w:rsid w:val="00CB13B9"/>
    <w:rsid w:val="00CB506E"/>
    <w:rsid w:val="00CB7EEC"/>
    <w:rsid w:val="00CC2620"/>
    <w:rsid w:val="00CC305A"/>
    <w:rsid w:val="00CC3FE7"/>
    <w:rsid w:val="00CC7170"/>
    <w:rsid w:val="00CD0F92"/>
    <w:rsid w:val="00CD2766"/>
    <w:rsid w:val="00CD5BF9"/>
    <w:rsid w:val="00CD73A3"/>
    <w:rsid w:val="00CF32BB"/>
    <w:rsid w:val="00CF34B7"/>
    <w:rsid w:val="00CF4E85"/>
    <w:rsid w:val="00D01179"/>
    <w:rsid w:val="00D068A9"/>
    <w:rsid w:val="00D12DBC"/>
    <w:rsid w:val="00D15F77"/>
    <w:rsid w:val="00D162FC"/>
    <w:rsid w:val="00D166E6"/>
    <w:rsid w:val="00D17C5C"/>
    <w:rsid w:val="00D2018B"/>
    <w:rsid w:val="00D223FD"/>
    <w:rsid w:val="00D22567"/>
    <w:rsid w:val="00D23481"/>
    <w:rsid w:val="00D2665C"/>
    <w:rsid w:val="00D27BB8"/>
    <w:rsid w:val="00D34AE1"/>
    <w:rsid w:val="00D44C83"/>
    <w:rsid w:val="00D45FD9"/>
    <w:rsid w:val="00D467CA"/>
    <w:rsid w:val="00D51790"/>
    <w:rsid w:val="00D62BBE"/>
    <w:rsid w:val="00D66823"/>
    <w:rsid w:val="00D72826"/>
    <w:rsid w:val="00D75115"/>
    <w:rsid w:val="00D7692B"/>
    <w:rsid w:val="00D80C0E"/>
    <w:rsid w:val="00D837AC"/>
    <w:rsid w:val="00D92020"/>
    <w:rsid w:val="00D94E44"/>
    <w:rsid w:val="00D96396"/>
    <w:rsid w:val="00D96C37"/>
    <w:rsid w:val="00D9E413"/>
    <w:rsid w:val="00DA0BD4"/>
    <w:rsid w:val="00DA205F"/>
    <w:rsid w:val="00DA3488"/>
    <w:rsid w:val="00DA4378"/>
    <w:rsid w:val="00DB023B"/>
    <w:rsid w:val="00DB12AA"/>
    <w:rsid w:val="00DB12D0"/>
    <w:rsid w:val="00DB305E"/>
    <w:rsid w:val="00DB3220"/>
    <w:rsid w:val="00DB73A2"/>
    <w:rsid w:val="00DC1299"/>
    <w:rsid w:val="00DD03B8"/>
    <w:rsid w:val="00DD7615"/>
    <w:rsid w:val="00DD7926"/>
    <w:rsid w:val="00DE0E9F"/>
    <w:rsid w:val="00DE5246"/>
    <w:rsid w:val="00DF0B54"/>
    <w:rsid w:val="00DF23C6"/>
    <w:rsid w:val="00DF2FE0"/>
    <w:rsid w:val="00E01C8E"/>
    <w:rsid w:val="00E06A41"/>
    <w:rsid w:val="00E12BB6"/>
    <w:rsid w:val="00E12DDE"/>
    <w:rsid w:val="00E14734"/>
    <w:rsid w:val="00E15D32"/>
    <w:rsid w:val="00E222EA"/>
    <w:rsid w:val="00E226E0"/>
    <w:rsid w:val="00E2462C"/>
    <w:rsid w:val="00E325F8"/>
    <w:rsid w:val="00E327EE"/>
    <w:rsid w:val="00E33C12"/>
    <w:rsid w:val="00E37E86"/>
    <w:rsid w:val="00E42A5F"/>
    <w:rsid w:val="00E47554"/>
    <w:rsid w:val="00E523A6"/>
    <w:rsid w:val="00E54D7E"/>
    <w:rsid w:val="00E562FA"/>
    <w:rsid w:val="00E57DB5"/>
    <w:rsid w:val="00E64662"/>
    <w:rsid w:val="00E739F8"/>
    <w:rsid w:val="00E77853"/>
    <w:rsid w:val="00E80508"/>
    <w:rsid w:val="00E80BF2"/>
    <w:rsid w:val="00E8153C"/>
    <w:rsid w:val="00E82B86"/>
    <w:rsid w:val="00E84651"/>
    <w:rsid w:val="00E90367"/>
    <w:rsid w:val="00E958D6"/>
    <w:rsid w:val="00EA33F0"/>
    <w:rsid w:val="00EB4BC6"/>
    <w:rsid w:val="00EC3D0D"/>
    <w:rsid w:val="00ED09EE"/>
    <w:rsid w:val="00ED147E"/>
    <w:rsid w:val="00ED19B6"/>
    <w:rsid w:val="00ED35EC"/>
    <w:rsid w:val="00ED47AE"/>
    <w:rsid w:val="00ED55CC"/>
    <w:rsid w:val="00EE0F4F"/>
    <w:rsid w:val="00EE3355"/>
    <w:rsid w:val="00EF04F9"/>
    <w:rsid w:val="00F04197"/>
    <w:rsid w:val="00F05C78"/>
    <w:rsid w:val="00F05DF4"/>
    <w:rsid w:val="00F0709F"/>
    <w:rsid w:val="00F13E16"/>
    <w:rsid w:val="00F177DE"/>
    <w:rsid w:val="00F20655"/>
    <w:rsid w:val="00F21DBA"/>
    <w:rsid w:val="00F23DCD"/>
    <w:rsid w:val="00F339C8"/>
    <w:rsid w:val="00F36012"/>
    <w:rsid w:val="00F45BF4"/>
    <w:rsid w:val="00F5114B"/>
    <w:rsid w:val="00F514AF"/>
    <w:rsid w:val="00F5192F"/>
    <w:rsid w:val="00F56299"/>
    <w:rsid w:val="00F5634A"/>
    <w:rsid w:val="00F569BE"/>
    <w:rsid w:val="00F6086B"/>
    <w:rsid w:val="00F664E1"/>
    <w:rsid w:val="00F74112"/>
    <w:rsid w:val="00F751DB"/>
    <w:rsid w:val="00F8180D"/>
    <w:rsid w:val="00F83397"/>
    <w:rsid w:val="00F844FE"/>
    <w:rsid w:val="00F87258"/>
    <w:rsid w:val="00F8745A"/>
    <w:rsid w:val="00F926A4"/>
    <w:rsid w:val="00F94808"/>
    <w:rsid w:val="00F95039"/>
    <w:rsid w:val="00F95725"/>
    <w:rsid w:val="00F973CE"/>
    <w:rsid w:val="00FB444B"/>
    <w:rsid w:val="00FB7EE3"/>
    <w:rsid w:val="00FD0B19"/>
    <w:rsid w:val="00FD4901"/>
    <w:rsid w:val="00FE325A"/>
    <w:rsid w:val="00FE5CF5"/>
    <w:rsid w:val="00FF18D1"/>
    <w:rsid w:val="00FF3F4C"/>
    <w:rsid w:val="00FF46AB"/>
    <w:rsid w:val="019A6284"/>
    <w:rsid w:val="027A3CF3"/>
    <w:rsid w:val="03B8D929"/>
    <w:rsid w:val="075AAD32"/>
    <w:rsid w:val="0B016270"/>
    <w:rsid w:val="0BF6AC5C"/>
    <w:rsid w:val="0C53ED82"/>
    <w:rsid w:val="0FFC0389"/>
    <w:rsid w:val="10D17043"/>
    <w:rsid w:val="10D22423"/>
    <w:rsid w:val="13735479"/>
    <w:rsid w:val="13E88E60"/>
    <w:rsid w:val="1432B19C"/>
    <w:rsid w:val="1B51B64A"/>
    <w:rsid w:val="1D20B414"/>
    <w:rsid w:val="1E1B140A"/>
    <w:rsid w:val="1F7F16AD"/>
    <w:rsid w:val="21C9D693"/>
    <w:rsid w:val="260BCA8E"/>
    <w:rsid w:val="261A79E1"/>
    <w:rsid w:val="26608E7B"/>
    <w:rsid w:val="27F609B9"/>
    <w:rsid w:val="28A56D01"/>
    <w:rsid w:val="2B7FA86C"/>
    <w:rsid w:val="2D8A9F95"/>
    <w:rsid w:val="2F7D2EF3"/>
    <w:rsid w:val="2FD5367D"/>
    <w:rsid w:val="301D5577"/>
    <w:rsid w:val="30E7279B"/>
    <w:rsid w:val="35552D9F"/>
    <w:rsid w:val="39235C2A"/>
    <w:rsid w:val="3B7B6441"/>
    <w:rsid w:val="414702C9"/>
    <w:rsid w:val="43D0CD93"/>
    <w:rsid w:val="44A936D2"/>
    <w:rsid w:val="44AEEE1A"/>
    <w:rsid w:val="47E66058"/>
    <w:rsid w:val="492794A7"/>
    <w:rsid w:val="4AD55B68"/>
    <w:rsid w:val="4BFBBF81"/>
    <w:rsid w:val="4C9CBB1A"/>
    <w:rsid w:val="4CE1542E"/>
    <w:rsid w:val="4CFB4921"/>
    <w:rsid w:val="4F733467"/>
    <w:rsid w:val="4FB926F2"/>
    <w:rsid w:val="510EB22A"/>
    <w:rsid w:val="541EA8C6"/>
    <w:rsid w:val="54B65B57"/>
    <w:rsid w:val="552191CE"/>
    <w:rsid w:val="5BD01C7E"/>
    <w:rsid w:val="62D1D3DB"/>
    <w:rsid w:val="6EA0955F"/>
    <w:rsid w:val="6F3B3561"/>
    <w:rsid w:val="7383BAE0"/>
    <w:rsid w:val="73DAFCE8"/>
    <w:rsid w:val="748A4DAF"/>
    <w:rsid w:val="7907A91C"/>
    <w:rsid w:val="7B55D06A"/>
    <w:rsid w:val="7CEB5A3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02089FC9-3165-4B1C-B80F-CBEEEB70A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CB0310"/>
    <w:pPr>
      <w:tabs>
        <w:tab w:val="right" w:leader="dot" w:pos="7910"/>
      </w:tabs>
      <w:spacing w:after="100"/>
    </w:pPr>
    <w:rPr>
      <w:rFonts w:eastAsiaTheme="majorEastAsia" w:cstheme="majorBidi"/>
      <w:b/>
      <w:bCs/>
      <w:noProof/>
      <w:lang w:val="es-DO"/>
    </w:r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semiHidden/>
    <w:rsid w:val="00A630BC"/>
    <w:rPr>
      <w:rFonts w:eastAsiaTheme="majorEastAsia" w:cstheme="majorBidi"/>
      <w:color w:val="595959" w:themeColor="text1" w:themeTint="A6"/>
      <w:szCs w:val="26"/>
    </w:rPr>
  </w:style>
  <w:style w:type="paragraph" w:customStyle="1" w:styleId="Texto">
    <w:name w:val="Texto"/>
    <w:basedOn w:val="Normal"/>
    <w:link w:val="TextoChar"/>
    <w:autoRedefine/>
    <w:qFormat/>
    <w:rsid w:val="000946F8"/>
    <w:pPr>
      <w:spacing w:before="100" w:after="0" w:line="360" w:lineRule="auto"/>
      <w:jc w:val="both"/>
    </w:pPr>
    <w:rPr>
      <w:rFonts w:eastAsia="Calibri"/>
      <w:color w:val="FF0000"/>
      <w:spacing w:val="0"/>
      <w:szCs w:val="22"/>
      <w:lang w:val="es-ES"/>
    </w:rPr>
  </w:style>
  <w:style w:type="character" w:customStyle="1" w:styleId="TextoChar">
    <w:name w:val="Texto Char"/>
    <w:link w:val="Texto"/>
    <w:rsid w:val="000946F8"/>
    <w:rPr>
      <w:rFonts w:eastAsia="Calibri"/>
      <w:color w:val="FF0000"/>
      <w:spacing w:val="0"/>
      <w:szCs w:val="22"/>
      <w:lang w:val="es-ES"/>
    </w:rPr>
  </w:style>
  <w:style w:type="paragraph" w:customStyle="1" w:styleId="Default">
    <w:name w:val="Default"/>
    <w:rsid w:val="000946F8"/>
    <w:pPr>
      <w:autoSpaceDE w:val="0"/>
      <w:autoSpaceDN w:val="0"/>
      <w:adjustRightInd w:val="0"/>
      <w:spacing w:after="0" w:line="240" w:lineRule="auto"/>
    </w:pPr>
    <w:rPr>
      <w:rFonts w:ascii="Book Antiqua" w:hAnsi="Book Antiqua" w:cs="Book Antiqua"/>
      <w:color w:val="000000"/>
      <w:spacing w:val="0"/>
    </w:rPr>
  </w:style>
  <w:style w:type="paragraph" w:styleId="ListParagraph">
    <w:name w:val="List Paragraph"/>
    <w:aliases w:val="Compomente"/>
    <w:basedOn w:val="Normal"/>
    <w:link w:val="ListParagraphChar"/>
    <w:uiPriority w:val="34"/>
    <w:qFormat/>
    <w:rsid w:val="00D17C5C"/>
    <w:pPr>
      <w:spacing w:line="456" w:lineRule="auto"/>
      <w:ind w:left="720" w:firstLine="357"/>
      <w:contextualSpacing/>
      <w:jc w:val="both"/>
    </w:pPr>
    <w:rPr>
      <w:rFonts w:ascii="Artifex CF Extra Light" w:eastAsia="Calibri" w:hAnsi="Artifex CF Extra Light"/>
      <w:color w:val="1F4E79"/>
      <w:spacing w:val="0"/>
      <w:sz w:val="18"/>
      <w:szCs w:val="22"/>
      <w:lang w:val="es-DO"/>
    </w:rPr>
  </w:style>
  <w:style w:type="character" w:customStyle="1" w:styleId="ListParagraphChar">
    <w:name w:val="List Paragraph Char"/>
    <w:aliases w:val="Compomente Char"/>
    <w:link w:val="ListParagraph"/>
    <w:uiPriority w:val="34"/>
    <w:rsid w:val="00D17C5C"/>
    <w:rPr>
      <w:rFonts w:ascii="Artifex CF Extra Light" w:eastAsia="Calibri" w:hAnsi="Artifex CF Extra Light"/>
      <w:color w:val="1F4E79"/>
      <w:spacing w:val="0"/>
      <w:sz w:val="18"/>
      <w:szCs w:val="22"/>
      <w:lang w:val="es-DO"/>
    </w:rPr>
  </w:style>
  <w:style w:type="table" w:styleId="GridTable2-Accent5">
    <w:name w:val="Grid Table 2 Accent 5"/>
    <w:basedOn w:val="TableNormal"/>
    <w:uiPriority w:val="47"/>
    <w:rsid w:val="00295F77"/>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rmalWeb">
    <w:name w:val="Normal (Web)"/>
    <w:basedOn w:val="Normal"/>
    <w:uiPriority w:val="99"/>
    <w:unhideWhenUsed/>
    <w:rsid w:val="00E82B86"/>
    <w:pPr>
      <w:spacing w:before="100" w:beforeAutospacing="1" w:after="100" w:afterAutospacing="1" w:line="240" w:lineRule="auto"/>
    </w:pPr>
    <w:rPr>
      <w:rFonts w:eastAsia="Times New Roman"/>
      <w:color w:val="auto"/>
      <w:spacing w:val="0"/>
      <w:lang w:val="es-DO"/>
    </w:rPr>
  </w:style>
  <w:style w:type="paragraph" w:styleId="CommentText">
    <w:name w:val="annotation text"/>
    <w:basedOn w:val="Normal"/>
    <w:link w:val="CommentTextChar"/>
    <w:uiPriority w:val="99"/>
    <w:unhideWhenUsed/>
    <w:rsid w:val="00E82B86"/>
    <w:pPr>
      <w:spacing w:line="240" w:lineRule="auto"/>
    </w:pPr>
    <w:rPr>
      <w:rFonts w:asciiTheme="minorHAnsi" w:hAnsiTheme="minorHAnsi" w:cstheme="minorBidi"/>
      <w:color w:val="auto"/>
      <w:spacing w:val="0"/>
      <w:sz w:val="20"/>
      <w:szCs w:val="20"/>
      <w:lang w:val="es-DO"/>
    </w:rPr>
  </w:style>
  <w:style w:type="character" w:customStyle="1" w:styleId="CommentTextChar">
    <w:name w:val="Comment Text Char"/>
    <w:basedOn w:val="DefaultParagraphFont"/>
    <w:link w:val="CommentText"/>
    <w:uiPriority w:val="99"/>
    <w:rsid w:val="00E82B86"/>
    <w:rPr>
      <w:rFonts w:asciiTheme="minorHAnsi" w:hAnsiTheme="minorHAnsi" w:cstheme="minorBidi"/>
      <w:color w:val="auto"/>
      <w:spacing w:val="0"/>
      <w:sz w:val="20"/>
      <w:szCs w:val="20"/>
      <w:lang w:val="es-DO"/>
    </w:rPr>
  </w:style>
  <w:style w:type="character" w:styleId="CommentReference">
    <w:name w:val="annotation reference"/>
    <w:basedOn w:val="DefaultParagraphFont"/>
    <w:uiPriority w:val="99"/>
    <w:semiHidden/>
    <w:unhideWhenUsed/>
    <w:rsid w:val="00E82B86"/>
    <w:rPr>
      <w:sz w:val="16"/>
      <w:szCs w:val="16"/>
    </w:rPr>
  </w:style>
  <w:style w:type="paragraph" w:styleId="Index1">
    <w:name w:val="index 1"/>
    <w:basedOn w:val="Normal"/>
    <w:next w:val="Normal"/>
    <w:autoRedefine/>
    <w:uiPriority w:val="99"/>
    <w:unhideWhenUsed/>
    <w:rsid w:val="00776592"/>
    <w:pPr>
      <w:tabs>
        <w:tab w:val="right" w:leader="dot" w:pos="7912"/>
      </w:tabs>
      <w:ind w:left="220" w:hanging="220"/>
    </w:pPr>
    <w:rPr>
      <w:rFonts w:ascii="ø" w:eastAsia="Calibri" w:hAnsi="ø" w:cs="Arial"/>
      <w:b/>
      <w:bCs/>
      <w:color w:val="003876"/>
      <w:spacing w:val="0"/>
      <w:sz w:val="16"/>
      <w:szCs w:val="16"/>
      <w:lang w:val="es-DO"/>
    </w:rPr>
  </w:style>
  <w:style w:type="paragraph" w:customStyle="1" w:styleId="xxmsonormal">
    <w:name w:val="x_x_msonormal"/>
    <w:basedOn w:val="Normal"/>
    <w:rsid w:val="003227C2"/>
    <w:pPr>
      <w:spacing w:after="0" w:line="240" w:lineRule="auto"/>
    </w:pPr>
    <w:rPr>
      <w:rFonts w:ascii="Calibri" w:hAnsi="Calibri" w:cs="Calibri"/>
      <w:color w:val="auto"/>
      <w:spacing w:val="0"/>
      <w:sz w:val="22"/>
      <w:szCs w:val="22"/>
      <w:lang w:val="es-DO" w:eastAsia="es-DO"/>
    </w:rPr>
  </w:style>
  <w:style w:type="table" w:styleId="TableGrid">
    <w:name w:val="Table Grid"/>
    <w:basedOn w:val="TableNormal"/>
    <w:uiPriority w:val="39"/>
    <w:rsid w:val="00E77853"/>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030EE"/>
    <w:pPr>
      <w:spacing w:after="200" w:line="240" w:lineRule="auto"/>
      <w:ind w:right="-244"/>
      <w:jc w:val="both"/>
    </w:pPr>
    <w:rPr>
      <w:rFonts w:cstheme="minorBidi"/>
      <w:i/>
      <w:iCs/>
      <w:color w:val="44546A" w:themeColor="text2"/>
      <w:spacing w:val="0"/>
      <w:sz w:val="18"/>
      <w:szCs w:val="18"/>
      <w:lang w:val="es-ES"/>
    </w:rPr>
  </w:style>
  <w:style w:type="paragraph" w:styleId="FootnoteText">
    <w:name w:val="footnote text"/>
    <w:basedOn w:val="Normal"/>
    <w:link w:val="FootnoteTextChar"/>
    <w:uiPriority w:val="99"/>
    <w:semiHidden/>
    <w:unhideWhenUsed/>
    <w:rsid w:val="002030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30EE"/>
    <w:rPr>
      <w:sz w:val="20"/>
      <w:szCs w:val="20"/>
    </w:rPr>
  </w:style>
  <w:style w:type="character" w:styleId="FootnoteReference">
    <w:name w:val="footnote reference"/>
    <w:basedOn w:val="DefaultParagraphFont"/>
    <w:uiPriority w:val="99"/>
    <w:semiHidden/>
    <w:unhideWhenUsed/>
    <w:rsid w:val="002030EE"/>
    <w:rPr>
      <w:vertAlign w:val="superscript"/>
    </w:rPr>
  </w:style>
  <w:style w:type="table" w:styleId="GridTable5Dark-Accent1">
    <w:name w:val="Grid Table 5 Dark Accent 1"/>
    <w:basedOn w:val="TableNormal"/>
    <w:uiPriority w:val="50"/>
    <w:rsid w:val="002030EE"/>
    <w:pPr>
      <w:spacing w:after="0" w:line="240" w:lineRule="auto"/>
    </w:pPr>
    <w:rPr>
      <w:rFonts w:asciiTheme="minorHAnsi" w:hAnsiTheme="minorHAnsi" w:cstheme="minorBidi"/>
      <w:color w:val="auto"/>
      <w:spacing w:val="0"/>
      <w:kern w:val="2"/>
      <w:sz w:val="22"/>
      <w:szCs w:val="2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Revision">
    <w:name w:val="Revision"/>
    <w:hidden/>
    <w:uiPriority w:val="99"/>
    <w:semiHidden/>
    <w:rsid w:val="002816F5"/>
    <w:pPr>
      <w:spacing w:after="0" w:line="240" w:lineRule="auto"/>
    </w:pPr>
  </w:style>
  <w:style w:type="paragraph" w:styleId="CommentSubject">
    <w:name w:val="annotation subject"/>
    <w:basedOn w:val="CommentText"/>
    <w:next w:val="CommentText"/>
    <w:link w:val="CommentSubjectChar"/>
    <w:uiPriority w:val="99"/>
    <w:semiHidden/>
    <w:unhideWhenUsed/>
    <w:rsid w:val="007F5225"/>
    <w:rPr>
      <w:rFonts w:ascii="Times New Roman" w:hAnsi="Times New Roman" w:cs="Times New Roman"/>
      <w:b/>
      <w:bCs/>
      <w:color w:val="767171"/>
      <w:spacing w:val="20"/>
      <w:lang w:val="en-US"/>
    </w:rPr>
  </w:style>
  <w:style w:type="character" w:customStyle="1" w:styleId="CommentSubjectChar">
    <w:name w:val="Comment Subject Char"/>
    <w:basedOn w:val="CommentTextChar"/>
    <w:link w:val="CommentSubject"/>
    <w:uiPriority w:val="99"/>
    <w:semiHidden/>
    <w:rsid w:val="007F5225"/>
    <w:rPr>
      <w:rFonts w:asciiTheme="minorHAnsi" w:hAnsiTheme="minorHAnsi" w:cstheme="minorBidi"/>
      <w:b/>
      <w:bCs/>
      <w:color w:val="auto"/>
      <w:spacing w:val="0"/>
      <w:sz w:val="20"/>
      <w:szCs w:val="20"/>
      <w:lang w:val="es-DO"/>
    </w:rPr>
  </w:style>
  <w:style w:type="character" w:customStyle="1" w:styleId="mw-page-title-main">
    <w:name w:val="mw-page-title-main"/>
    <w:basedOn w:val="DefaultParagraphFont"/>
    <w:rsid w:val="00690EA0"/>
  </w:style>
  <w:style w:type="paragraph" w:styleId="TOC2">
    <w:name w:val="toc 2"/>
    <w:basedOn w:val="Normal"/>
    <w:next w:val="Normal"/>
    <w:autoRedefine/>
    <w:uiPriority w:val="39"/>
    <w:unhideWhenUsed/>
    <w:rsid w:val="005C4045"/>
    <w:pPr>
      <w:spacing w:after="100" w:line="278" w:lineRule="auto"/>
      <w:ind w:left="240"/>
    </w:pPr>
    <w:rPr>
      <w:rFonts w:asciiTheme="minorHAnsi" w:eastAsiaTheme="minorEastAsia" w:hAnsiTheme="minorHAnsi" w:cstheme="minorBidi"/>
      <w:color w:val="auto"/>
      <w:spacing w:val="0"/>
      <w:kern w:val="2"/>
      <w14:ligatures w14:val="standardContextual"/>
    </w:rPr>
  </w:style>
  <w:style w:type="paragraph" w:styleId="TOC3">
    <w:name w:val="toc 3"/>
    <w:basedOn w:val="Normal"/>
    <w:next w:val="Normal"/>
    <w:autoRedefine/>
    <w:uiPriority w:val="39"/>
    <w:unhideWhenUsed/>
    <w:rsid w:val="005C4045"/>
    <w:pPr>
      <w:spacing w:after="100" w:line="278" w:lineRule="auto"/>
      <w:ind w:left="480"/>
    </w:pPr>
    <w:rPr>
      <w:rFonts w:asciiTheme="minorHAnsi" w:eastAsiaTheme="minorEastAsia" w:hAnsiTheme="minorHAnsi" w:cstheme="minorBidi"/>
      <w:color w:val="auto"/>
      <w:spacing w:val="0"/>
      <w:kern w:val="2"/>
      <w14:ligatures w14:val="standardContextual"/>
    </w:rPr>
  </w:style>
  <w:style w:type="paragraph" w:styleId="TOC4">
    <w:name w:val="toc 4"/>
    <w:basedOn w:val="Normal"/>
    <w:next w:val="Normal"/>
    <w:autoRedefine/>
    <w:uiPriority w:val="39"/>
    <w:unhideWhenUsed/>
    <w:rsid w:val="005C4045"/>
    <w:pPr>
      <w:spacing w:after="100" w:line="278" w:lineRule="auto"/>
      <w:ind w:left="720"/>
    </w:pPr>
    <w:rPr>
      <w:rFonts w:asciiTheme="minorHAnsi" w:eastAsiaTheme="minorEastAsia" w:hAnsiTheme="minorHAnsi" w:cstheme="minorBidi"/>
      <w:color w:val="auto"/>
      <w:spacing w:val="0"/>
      <w:kern w:val="2"/>
      <w14:ligatures w14:val="standardContextual"/>
    </w:rPr>
  </w:style>
  <w:style w:type="paragraph" w:styleId="TOC5">
    <w:name w:val="toc 5"/>
    <w:basedOn w:val="Normal"/>
    <w:next w:val="Normal"/>
    <w:autoRedefine/>
    <w:uiPriority w:val="39"/>
    <w:unhideWhenUsed/>
    <w:rsid w:val="005C4045"/>
    <w:pPr>
      <w:spacing w:after="100" w:line="278" w:lineRule="auto"/>
      <w:ind w:left="960"/>
    </w:pPr>
    <w:rPr>
      <w:rFonts w:asciiTheme="minorHAnsi" w:eastAsiaTheme="minorEastAsia" w:hAnsiTheme="minorHAnsi" w:cstheme="minorBidi"/>
      <w:color w:val="auto"/>
      <w:spacing w:val="0"/>
      <w:kern w:val="2"/>
      <w14:ligatures w14:val="standardContextual"/>
    </w:rPr>
  </w:style>
  <w:style w:type="paragraph" w:styleId="TOC6">
    <w:name w:val="toc 6"/>
    <w:basedOn w:val="Normal"/>
    <w:next w:val="Normal"/>
    <w:autoRedefine/>
    <w:uiPriority w:val="39"/>
    <w:unhideWhenUsed/>
    <w:rsid w:val="005C4045"/>
    <w:pPr>
      <w:spacing w:after="100" w:line="278" w:lineRule="auto"/>
      <w:ind w:left="1200"/>
    </w:pPr>
    <w:rPr>
      <w:rFonts w:asciiTheme="minorHAnsi" w:eastAsiaTheme="minorEastAsia" w:hAnsiTheme="minorHAnsi" w:cstheme="minorBidi"/>
      <w:color w:val="auto"/>
      <w:spacing w:val="0"/>
      <w:kern w:val="2"/>
      <w14:ligatures w14:val="standardContextual"/>
    </w:rPr>
  </w:style>
  <w:style w:type="paragraph" w:styleId="TOC7">
    <w:name w:val="toc 7"/>
    <w:basedOn w:val="Normal"/>
    <w:next w:val="Normal"/>
    <w:autoRedefine/>
    <w:uiPriority w:val="39"/>
    <w:unhideWhenUsed/>
    <w:rsid w:val="005C4045"/>
    <w:pPr>
      <w:spacing w:after="100" w:line="278" w:lineRule="auto"/>
      <w:ind w:left="1440"/>
    </w:pPr>
    <w:rPr>
      <w:rFonts w:asciiTheme="minorHAnsi" w:eastAsiaTheme="minorEastAsia" w:hAnsiTheme="minorHAnsi" w:cstheme="minorBidi"/>
      <w:color w:val="auto"/>
      <w:spacing w:val="0"/>
      <w:kern w:val="2"/>
      <w14:ligatures w14:val="standardContextual"/>
    </w:rPr>
  </w:style>
  <w:style w:type="paragraph" w:styleId="TOC8">
    <w:name w:val="toc 8"/>
    <w:basedOn w:val="Normal"/>
    <w:next w:val="Normal"/>
    <w:autoRedefine/>
    <w:uiPriority w:val="39"/>
    <w:unhideWhenUsed/>
    <w:rsid w:val="005C4045"/>
    <w:pPr>
      <w:spacing w:after="100" w:line="278" w:lineRule="auto"/>
      <w:ind w:left="1680"/>
    </w:pPr>
    <w:rPr>
      <w:rFonts w:asciiTheme="minorHAnsi" w:eastAsiaTheme="minorEastAsia" w:hAnsiTheme="minorHAnsi" w:cstheme="minorBidi"/>
      <w:color w:val="auto"/>
      <w:spacing w:val="0"/>
      <w:kern w:val="2"/>
      <w14:ligatures w14:val="standardContextual"/>
    </w:rPr>
  </w:style>
  <w:style w:type="paragraph" w:styleId="TOC9">
    <w:name w:val="toc 9"/>
    <w:basedOn w:val="Normal"/>
    <w:next w:val="Normal"/>
    <w:autoRedefine/>
    <w:uiPriority w:val="39"/>
    <w:unhideWhenUsed/>
    <w:rsid w:val="005C4045"/>
    <w:pPr>
      <w:spacing w:after="100" w:line="278" w:lineRule="auto"/>
      <w:ind w:left="1920"/>
    </w:pPr>
    <w:rPr>
      <w:rFonts w:asciiTheme="minorHAnsi" w:eastAsiaTheme="minorEastAsia" w:hAnsiTheme="minorHAnsi" w:cstheme="minorBidi"/>
      <w:color w:val="auto"/>
      <w:spacing w:val="0"/>
      <w:kern w:val="2"/>
      <w14:ligatures w14:val="standardContextual"/>
    </w:rPr>
  </w:style>
  <w:style w:type="character" w:styleId="UnresolvedMention">
    <w:name w:val="Unresolved Mention"/>
    <w:basedOn w:val="DefaultParagraphFont"/>
    <w:uiPriority w:val="99"/>
    <w:semiHidden/>
    <w:unhideWhenUsed/>
    <w:rsid w:val="005C4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563840">
      <w:bodyDiv w:val="1"/>
      <w:marLeft w:val="0"/>
      <w:marRight w:val="0"/>
      <w:marTop w:val="0"/>
      <w:marBottom w:val="0"/>
      <w:divBdr>
        <w:top w:val="none" w:sz="0" w:space="0" w:color="auto"/>
        <w:left w:val="none" w:sz="0" w:space="0" w:color="auto"/>
        <w:bottom w:val="none" w:sz="0" w:space="0" w:color="auto"/>
        <w:right w:val="none" w:sz="0" w:space="0" w:color="auto"/>
      </w:divBdr>
    </w:div>
    <w:div w:id="281157602">
      <w:bodyDiv w:val="1"/>
      <w:marLeft w:val="0"/>
      <w:marRight w:val="0"/>
      <w:marTop w:val="0"/>
      <w:marBottom w:val="0"/>
      <w:divBdr>
        <w:top w:val="none" w:sz="0" w:space="0" w:color="auto"/>
        <w:left w:val="none" w:sz="0" w:space="0" w:color="auto"/>
        <w:bottom w:val="none" w:sz="0" w:space="0" w:color="auto"/>
        <w:right w:val="none" w:sz="0" w:space="0" w:color="auto"/>
      </w:divBdr>
    </w:div>
    <w:div w:id="478964824">
      <w:bodyDiv w:val="1"/>
      <w:marLeft w:val="0"/>
      <w:marRight w:val="0"/>
      <w:marTop w:val="0"/>
      <w:marBottom w:val="0"/>
      <w:divBdr>
        <w:top w:val="none" w:sz="0" w:space="0" w:color="auto"/>
        <w:left w:val="none" w:sz="0" w:space="0" w:color="auto"/>
        <w:bottom w:val="none" w:sz="0" w:space="0" w:color="auto"/>
        <w:right w:val="none" w:sz="0" w:space="0" w:color="auto"/>
      </w:divBdr>
    </w:div>
    <w:div w:id="528839531">
      <w:bodyDiv w:val="1"/>
      <w:marLeft w:val="0"/>
      <w:marRight w:val="0"/>
      <w:marTop w:val="0"/>
      <w:marBottom w:val="0"/>
      <w:divBdr>
        <w:top w:val="none" w:sz="0" w:space="0" w:color="auto"/>
        <w:left w:val="none" w:sz="0" w:space="0" w:color="auto"/>
        <w:bottom w:val="none" w:sz="0" w:space="0" w:color="auto"/>
        <w:right w:val="none" w:sz="0" w:space="0" w:color="auto"/>
      </w:divBdr>
    </w:div>
    <w:div w:id="593782041">
      <w:bodyDiv w:val="1"/>
      <w:marLeft w:val="0"/>
      <w:marRight w:val="0"/>
      <w:marTop w:val="0"/>
      <w:marBottom w:val="0"/>
      <w:divBdr>
        <w:top w:val="none" w:sz="0" w:space="0" w:color="auto"/>
        <w:left w:val="none" w:sz="0" w:space="0" w:color="auto"/>
        <w:bottom w:val="none" w:sz="0" w:space="0" w:color="auto"/>
        <w:right w:val="none" w:sz="0" w:space="0" w:color="auto"/>
      </w:divBdr>
    </w:div>
    <w:div w:id="624309162">
      <w:bodyDiv w:val="1"/>
      <w:marLeft w:val="0"/>
      <w:marRight w:val="0"/>
      <w:marTop w:val="0"/>
      <w:marBottom w:val="0"/>
      <w:divBdr>
        <w:top w:val="none" w:sz="0" w:space="0" w:color="auto"/>
        <w:left w:val="none" w:sz="0" w:space="0" w:color="auto"/>
        <w:bottom w:val="none" w:sz="0" w:space="0" w:color="auto"/>
        <w:right w:val="none" w:sz="0" w:space="0" w:color="auto"/>
      </w:divBdr>
    </w:div>
    <w:div w:id="669525291">
      <w:bodyDiv w:val="1"/>
      <w:marLeft w:val="0"/>
      <w:marRight w:val="0"/>
      <w:marTop w:val="0"/>
      <w:marBottom w:val="0"/>
      <w:divBdr>
        <w:top w:val="none" w:sz="0" w:space="0" w:color="auto"/>
        <w:left w:val="none" w:sz="0" w:space="0" w:color="auto"/>
        <w:bottom w:val="none" w:sz="0" w:space="0" w:color="auto"/>
        <w:right w:val="none" w:sz="0" w:space="0" w:color="auto"/>
      </w:divBdr>
    </w:div>
    <w:div w:id="716779908">
      <w:bodyDiv w:val="1"/>
      <w:marLeft w:val="0"/>
      <w:marRight w:val="0"/>
      <w:marTop w:val="0"/>
      <w:marBottom w:val="0"/>
      <w:divBdr>
        <w:top w:val="none" w:sz="0" w:space="0" w:color="auto"/>
        <w:left w:val="none" w:sz="0" w:space="0" w:color="auto"/>
        <w:bottom w:val="none" w:sz="0" w:space="0" w:color="auto"/>
        <w:right w:val="none" w:sz="0" w:space="0" w:color="auto"/>
      </w:divBdr>
    </w:div>
    <w:div w:id="750738072">
      <w:bodyDiv w:val="1"/>
      <w:marLeft w:val="0"/>
      <w:marRight w:val="0"/>
      <w:marTop w:val="0"/>
      <w:marBottom w:val="0"/>
      <w:divBdr>
        <w:top w:val="none" w:sz="0" w:space="0" w:color="auto"/>
        <w:left w:val="none" w:sz="0" w:space="0" w:color="auto"/>
        <w:bottom w:val="none" w:sz="0" w:space="0" w:color="auto"/>
        <w:right w:val="none" w:sz="0" w:space="0" w:color="auto"/>
      </w:divBdr>
    </w:div>
    <w:div w:id="843514430">
      <w:bodyDiv w:val="1"/>
      <w:marLeft w:val="0"/>
      <w:marRight w:val="0"/>
      <w:marTop w:val="0"/>
      <w:marBottom w:val="0"/>
      <w:divBdr>
        <w:top w:val="none" w:sz="0" w:space="0" w:color="auto"/>
        <w:left w:val="none" w:sz="0" w:space="0" w:color="auto"/>
        <w:bottom w:val="none" w:sz="0" w:space="0" w:color="auto"/>
        <w:right w:val="none" w:sz="0" w:space="0" w:color="auto"/>
      </w:divBdr>
    </w:div>
    <w:div w:id="914777375">
      <w:bodyDiv w:val="1"/>
      <w:marLeft w:val="0"/>
      <w:marRight w:val="0"/>
      <w:marTop w:val="0"/>
      <w:marBottom w:val="0"/>
      <w:divBdr>
        <w:top w:val="none" w:sz="0" w:space="0" w:color="auto"/>
        <w:left w:val="none" w:sz="0" w:space="0" w:color="auto"/>
        <w:bottom w:val="none" w:sz="0" w:space="0" w:color="auto"/>
        <w:right w:val="none" w:sz="0" w:space="0" w:color="auto"/>
      </w:divBdr>
    </w:div>
    <w:div w:id="1002900239">
      <w:bodyDiv w:val="1"/>
      <w:marLeft w:val="0"/>
      <w:marRight w:val="0"/>
      <w:marTop w:val="0"/>
      <w:marBottom w:val="0"/>
      <w:divBdr>
        <w:top w:val="none" w:sz="0" w:space="0" w:color="auto"/>
        <w:left w:val="none" w:sz="0" w:space="0" w:color="auto"/>
        <w:bottom w:val="none" w:sz="0" w:space="0" w:color="auto"/>
        <w:right w:val="none" w:sz="0" w:space="0" w:color="auto"/>
      </w:divBdr>
    </w:div>
    <w:div w:id="1134910720">
      <w:bodyDiv w:val="1"/>
      <w:marLeft w:val="0"/>
      <w:marRight w:val="0"/>
      <w:marTop w:val="0"/>
      <w:marBottom w:val="0"/>
      <w:divBdr>
        <w:top w:val="none" w:sz="0" w:space="0" w:color="auto"/>
        <w:left w:val="none" w:sz="0" w:space="0" w:color="auto"/>
        <w:bottom w:val="none" w:sz="0" w:space="0" w:color="auto"/>
        <w:right w:val="none" w:sz="0" w:space="0" w:color="auto"/>
      </w:divBdr>
    </w:div>
    <w:div w:id="1188759310">
      <w:bodyDiv w:val="1"/>
      <w:marLeft w:val="0"/>
      <w:marRight w:val="0"/>
      <w:marTop w:val="0"/>
      <w:marBottom w:val="0"/>
      <w:divBdr>
        <w:top w:val="none" w:sz="0" w:space="0" w:color="auto"/>
        <w:left w:val="none" w:sz="0" w:space="0" w:color="auto"/>
        <w:bottom w:val="none" w:sz="0" w:space="0" w:color="auto"/>
        <w:right w:val="none" w:sz="0" w:space="0" w:color="auto"/>
      </w:divBdr>
    </w:div>
    <w:div w:id="1216357318">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634746350">
      <w:bodyDiv w:val="1"/>
      <w:marLeft w:val="0"/>
      <w:marRight w:val="0"/>
      <w:marTop w:val="0"/>
      <w:marBottom w:val="0"/>
      <w:divBdr>
        <w:top w:val="none" w:sz="0" w:space="0" w:color="auto"/>
        <w:left w:val="none" w:sz="0" w:space="0" w:color="auto"/>
        <w:bottom w:val="none" w:sz="0" w:space="0" w:color="auto"/>
        <w:right w:val="none" w:sz="0" w:space="0" w:color="auto"/>
      </w:divBdr>
    </w:div>
    <w:div w:id="1653675969">
      <w:bodyDiv w:val="1"/>
      <w:marLeft w:val="0"/>
      <w:marRight w:val="0"/>
      <w:marTop w:val="0"/>
      <w:marBottom w:val="0"/>
      <w:divBdr>
        <w:top w:val="none" w:sz="0" w:space="0" w:color="auto"/>
        <w:left w:val="none" w:sz="0" w:space="0" w:color="auto"/>
        <w:bottom w:val="none" w:sz="0" w:space="0" w:color="auto"/>
        <w:right w:val="none" w:sz="0" w:space="0" w:color="auto"/>
      </w:divBdr>
    </w:div>
    <w:div w:id="1672416305">
      <w:bodyDiv w:val="1"/>
      <w:marLeft w:val="0"/>
      <w:marRight w:val="0"/>
      <w:marTop w:val="0"/>
      <w:marBottom w:val="0"/>
      <w:divBdr>
        <w:top w:val="none" w:sz="0" w:space="0" w:color="auto"/>
        <w:left w:val="none" w:sz="0" w:space="0" w:color="auto"/>
        <w:bottom w:val="none" w:sz="0" w:space="0" w:color="auto"/>
        <w:right w:val="none" w:sz="0" w:space="0" w:color="auto"/>
      </w:divBdr>
    </w:div>
    <w:div w:id="1811826703">
      <w:bodyDiv w:val="1"/>
      <w:marLeft w:val="0"/>
      <w:marRight w:val="0"/>
      <w:marTop w:val="0"/>
      <w:marBottom w:val="0"/>
      <w:divBdr>
        <w:top w:val="none" w:sz="0" w:space="0" w:color="auto"/>
        <w:left w:val="none" w:sz="0" w:space="0" w:color="auto"/>
        <w:bottom w:val="none" w:sz="0" w:space="0" w:color="auto"/>
        <w:right w:val="none" w:sz="0" w:space="0" w:color="auto"/>
      </w:divBdr>
    </w:div>
    <w:div w:id="1871533335">
      <w:bodyDiv w:val="1"/>
      <w:marLeft w:val="0"/>
      <w:marRight w:val="0"/>
      <w:marTop w:val="0"/>
      <w:marBottom w:val="0"/>
      <w:divBdr>
        <w:top w:val="none" w:sz="0" w:space="0" w:color="auto"/>
        <w:left w:val="none" w:sz="0" w:space="0" w:color="auto"/>
        <w:bottom w:val="none" w:sz="0" w:space="0" w:color="auto"/>
        <w:right w:val="none" w:sz="0" w:space="0" w:color="auto"/>
      </w:divBdr>
    </w:div>
    <w:div w:id="1945502305">
      <w:bodyDiv w:val="1"/>
      <w:marLeft w:val="0"/>
      <w:marRight w:val="0"/>
      <w:marTop w:val="0"/>
      <w:marBottom w:val="0"/>
      <w:divBdr>
        <w:top w:val="none" w:sz="0" w:space="0" w:color="auto"/>
        <w:left w:val="none" w:sz="0" w:space="0" w:color="auto"/>
        <w:bottom w:val="none" w:sz="0" w:space="0" w:color="auto"/>
        <w:right w:val="none" w:sz="0" w:space="0" w:color="auto"/>
      </w:divBdr>
    </w:div>
    <w:div w:id="2005623109">
      <w:bodyDiv w:val="1"/>
      <w:marLeft w:val="0"/>
      <w:marRight w:val="0"/>
      <w:marTop w:val="0"/>
      <w:marBottom w:val="0"/>
      <w:divBdr>
        <w:top w:val="none" w:sz="0" w:space="0" w:color="auto"/>
        <w:left w:val="none" w:sz="0" w:space="0" w:color="auto"/>
        <w:bottom w:val="none" w:sz="0" w:space="0" w:color="auto"/>
        <w:right w:val="none" w:sz="0" w:space="0" w:color="auto"/>
      </w:divBdr>
    </w:div>
    <w:div w:id="212568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chart" Target="charts/chart6.xml"/><Relationship Id="rId39" Type="http://schemas.openxmlformats.org/officeDocument/2006/relationships/chart" Target="charts/chart17.xml"/><Relationship Id="rId21" Type="http://schemas.openxmlformats.org/officeDocument/2006/relationships/chart" Target="charts/chart2.xml"/><Relationship Id="rId34" Type="http://schemas.openxmlformats.org/officeDocument/2006/relationships/chart" Target="charts/chart12.xml"/><Relationship Id="rId42" Type="http://schemas.openxmlformats.org/officeDocument/2006/relationships/hyperlink" Target="http://sisticge.dominicana.gob.do/dashboard.php" TargetMode="External"/><Relationship Id="rId47" Type="http://schemas.openxmlformats.org/officeDocument/2006/relationships/chart" Target="charts/chart20.xml"/><Relationship Id="rId50" Type="http://schemas.openxmlformats.org/officeDocument/2006/relationships/chart" Target="charts/chart23.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ss.gob.do/assets/regla_srl_v2.pdf" TargetMode="External"/><Relationship Id="rId29" Type="http://schemas.openxmlformats.org/officeDocument/2006/relationships/chart" Target="charts/chart9.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image" Target="cid:image001.png@01DB4B19.970319B0" TargetMode="External"/><Relationship Id="rId37" Type="http://schemas.openxmlformats.org/officeDocument/2006/relationships/chart" Target="charts/chart15.xml"/><Relationship Id="rId40" Type="http://schemas.openxmlformats.org/officeDocument/2006/relationships/chart" Target="charts/chart18.xml"/><Relationship Id="rId45" Type="http://schemas.openxmlformats.org/officeDocument/2006/relationships/image" Target="media/image10.png"/><Relationship Id="rId53" Type="http://schemas.openxmlformats.org/officeDocument/2006/relationships/footer" Target="footer4.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7.png"/><Relationship Id="rId44" Type="http://schemas.openxmlformats.org/officeDocument/2006/relationships/image" Target="media/image9.png"/><Relationship Id="rId52" Type="http://schemas.openxmlformats.org/officeDocument/2006/relationships/chart" Target="charts/chart2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3.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3.xml"/><Relationship Id="rId43" Type="http://schemas.openxmlformats.org/officeDocument/2006/relationships/chart" Target="charts/chart19.xml"/><Relationship Id="rId48" Type="http://schemas.openxmlformats.org/officeDocument/2006/relationships/chart" Target="charts/chart21.xml"/><Relationship Id="rId8" Type="http://schemas.openxmlformats.org/officeDocument/2006/relationships/webSettings" Target="webSettings.xml"/><Relationship Id="rId51" Type="http://schemas.openxmlformats.org/officeDocument/2006/relationships/chart" Target="charts/chart24.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chart" Target="charts/chart5.xml"/><Relationship Id="rId33" Type="http://schemas.openxmlformats.org/officeDocument/2006/relationships/chart" Target="charts/chart11.xml"/><Relationship Id="rId38" Type="http://schemas.openxmlformats.org/officeDocument/2006/relationships/chart" Target="charts/chart16.xml"/><Relationship Id="rId46" Type="http://schemas.openxmlformats.org/officeDocument/2006/relationships/image" Target="media/image11.png"/><Relationship Id="rId20" Type="http://schemas.openxmlformats.org/officeDocument/2006/relationships/chart" Target="charts/chart1.xml"/><Relationship Id="rId41" Type="http://schemas.openxmlformats.org/officeDocument/2006/relationships/image" Target="media/image8.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chart" Target="charts/chart8.xml"/><Relationship Id="rId36" Type="http://schemas.openxmlformats.org/officeDocument/2006/relationships/chart" Target="charts/chart14.xml"/><Relationship Id="rId49" Type="http://schemas.openxmlformats.org/officeDocument/2006/relationships/chart" Target="charts/chart22.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oleObject" Target="https://tssdr.sharepoint.com/sites/EstatusEvasin365/Shared%20Documents/ESTADISTICAS_DFE/Consulta%20de%20Matrice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5.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ana_perez\Desktop\Cantidad%20de%20novedades%201%20(1).xlsx" TargetMode="Externa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4.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5.xlsx"/></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SRVWCITRIXFS01.tss2.gov.do\Profiles\emiliz_cordero\Desktop\Indice%20Satisfacci&#243;n%20a%20Nov%202024.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embeddings/oleObject1.bin"/></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17.xlsx"/></Relationships>
</file>

<file path=word/charts/_rels/chart3.xml.rels><?xml version="1.0" encoding="UTF-8" standalone="yes"?>
<Relationships xmlns="http://schemas.openxmlformats.org/package/2006/relationships"><Relationship Id="rId3" Type="http://schemas.openxmlformats.org/officeDocument/2006/relationships/oleObject" Target="file:///\\falken\Continuidad%20TIC\Martina\ESTADISTICAS%20DISPONIBILIDAD%20E%20INCIDENTES%20SUIR\Estadistica%20Disponibilidad%20Suir\2023\Copy%20of%20DISPONIBILIDAD%20SUIR%20Enero%20-Noviembre%20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oleObject" Target="file:///C:\Users\Johanny_Salcedo\AppData\Local\Microsoft\Windows\INetCache\Content.Outlook\OEIZKQJ3\Graficas%20memori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pivotSource>
    <c:name>[Consulta de Matrices.xlsx]G - Encargados!barras</c:name>
    <c:fmtId val="-1"/>
  </c:pivotSource>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Distribución de Procesos de Fiscalización Externa</a:t>
            </a:r>
          </a:p>
        </c:rich>
      </c:tx>
      <c:layout>
        <c:manualLayout>
          <c:xMode val="edge"/>
          <c:yMode val="edge"/>
          <c:x val="0.18424009969797012"/>
          <c:y val="3.0129561367155975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eparator>
</c:separator>
          <c:extLst>
            <c:ext xmlns:c15="http://schemas.microsoft.com/office/drawing/2012/chart" uri="{CE6537A1-D6FC-4f65-9D91-7224C49458BB}"/>
          </c:extLst>
        </c:dLbl>
      </c:pivotFmt>
      <c:pivotFmt>
        <c:idx val="1"/>
        <c:spPr>
          <a:solidFill>
            <a:schemeClr val="accent1"/>
          </a:solidFill>
          <a:ln w="19050">
            <a:solidFill>
              <a:schemeClr val="lt1"/>
            </a:solidFill>
          </a:ln>
          <a:effectLst/>
        </c:spPr>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pivotFmt>
      <c:pivotFmt>
        <c:idx val="10"/>
        <c:spPr>
          <a:solidFill>
            <a:schemeClr val="accent1"/>
          </a:solidFill>
          <a:ln w="19050">
            <a:solidFill>
              <a:schemeClr val="lt1"/>
            </a:solidFill>
          </a:ln>
          <a:effectLst/>
        </c:spPr>
      </c:pivotFmt>
      <c:pivotFmt>
        <c:idx val="11"/>
        <c:spPr>
          <a:solidFill>
            <a:schemeClr val="accent1"/>
          </a:solidFill>
          <a:ln w="19050">
            <a:solidFill>
              <a:schemeClr val="lt1"/>
            </a:solidFill>
          </a:ln>
          <a:effectLst/>
        </c:spPr>
      </c:pivotFmt>
      <c:pivotFmt>
        <c:idx val="12"/>
        <c:spPr>
          <a:solidFill>
            <a:schemeClr val="accent1"/>
          </a:solidFill>
          <a:ln w="19050">
            <a:solidFill>
              <a:schemeClr val="lt1"/>
            </a:solidFill>
          </a:ln>
          <a:effectLst/>
        </c:spPr>
      </c:pivotFmt>
      <c:pivotFmt>
        <c:idx val="13"/>
        <c:spPr>
          <a:solidFill>
            <a:schemeClr val="accent1"/>
          </a:solidFill>
          <a:ln w="19050">
            <a:solidFill>
              <a:schemeClr val="lt1"/>
            </a:solidFill>
          </a:ln>
          <a:effectLst/>
        </c:spPr>
      </c:pivotFmt>
      <c:pivotFmt>
        <c:idx val="14"/>
        <c:spPr>
          <a:solidFill>
            <a:schemeClr val="accent1"/>
          </a:solidFill>
          <a:ln w="19050">
            <a:solidFill>
              <a:schemeClr val="lt1"/>
            </a:solidFill>
          </a:ln>
          <a:effectLst/>
        </c:spPr>
      </c:pivotFmt>
      <c:pivotFmt>
        <c:idx val="15"/>
        <c:spPr>
          <a:solidFill>
            <a:schemeClr val="accent1"/>
          </a:solidFill>
          <a:ln w="19050">
            <a:solidFill>
              <a:schemeClr val="lt1"/>
            </a:solidFill>
          </a:ln>
          <a:effectLst/>
        </c:spPr>
      </c:pivotFmt>
      <c:pivotFmt>
        <c:idx val="16"/>
        <c:spPr>
          <a:solidFill>
            <a:schemeClr val="accent1"/>
          </a:solidFill>
          <a:ln w="19050">
            <a:solidFill>
              <a:schemeClr val="lt1"/>
            </a:solidFill>
          </a:ln>
          <a:effectLst/>
        </c:spPr>
      </c:pivotFmt>
      <c:pivotFmt>
        <c:idx val="17"/>
        <c:spPr>
          <a:solidFill>
            <a:schemeClr val="accent1"/>
          </a:solidFill>
          <a:ln w="19050">
            <a:solidFill>
              <a:schemeClr val="lt1"/>
            </a:solidFill>
          </a:ln>
          <a:effectLst/>
        </c:spPr>
      </c:pivotFmt>
      <c:pivotFmt>
        <c:idx val="18"/>
        <c:spPr>
          <a:solidFill>
            <a:schemeClr val="accent1"/>
          </a:solidFill>
          <a:ln w="19050">
            <a:solidFill>
              <a:schemeClr val="lt1"/>
            </a:solidFill>
          </a:ln>
          <a:effectLst/>
        </c:spPr>
      </c:pivotFmt>
      <c:pivotFmt>
        <c:idx val="19"/>
        <c:spPr>
          <a:solidFill>
            <a:schemeClr val="accent1"/>
          </a:solidFill>
          <a:ln w="19050">
            <a:solidFill>
              <a:schemeClr val="lt1"/>
            </a:solidFill>
          </a:ln>
          <a:effectLst/>
        </c:spPr>
      </c:pivotFmt>
      <c:pivotFmt>
        <c:idx val="20"/>
        <c:spPr>
          <a:solidFill>
            <a:schemeClr val="accent1"/>
          </a:solidFill>
          <a:ln w="19050">
            <a:solidFill>
              <a:schemeClr val="lt1"/>
            </a:solidFill>
          </a:ln>
          <a:effectLst/>
        </c:spPr>
      </c:pivotFmt>
      <c:pivotFmt>
        <c:idx val="21"/>
        <c:spPr>
          <a:solidFill>
            <a:schemeClr val="accent1"/>
          </a:solidFill>
          <a:ln w="19050">
            <a:solidFill>
              <a:schemeClr val="lt1"/>
            </a:solidFill>
          </a:ln>
          <a:effectLst/>
        </c:spPr>
      </c:pivotFmt>
      <c:pivotFmt>
        <c:idx val="22"/>
        <c:spPr>
          <a:solidFill>
            <a:schemeClr val="accent1"/>
          </a:solidFill>
          <a:ln w="19050">
            <a:solidFill>
              <a:schemeClr val="lt1"/>
            </a:solidFill>
          </a:ln>
          <a:effectLst/>
        </c:spPr>
      </c:pivotFmt>
      <c:pivotFmt>
        <c:idx val="23"/>
        <c:spPr>
          <a:solidFill>
            <a:schemeClr val="accent1"/>
          </a:solidFill>
          <a:ln w="19050">
            <a:solidFill>
              <a:schemeClr val="lt1"/>
            </a:solidFill>
          </a:ln>
          <a:effectLst/>
        </c:spPr>
      </c:pivotFmt>
      <c:pivotFmt>
        <c:idx val="24"/>
        <c:spPr>
          <a:solidFill>
            <a:schemeClr val="accent1"/>
          </a:solidFill>
          <a:ln w="19050">
            <a:solidFill>
              <a:schemeClr val="lt1"/>
            </a:solidFill>
          </a:ln>
          <a:effectLst/>
        </c:spPr>
      </c:pivotFmt>
      <c:pivotFmt>
        <c:idx val="25"/>
        <c:spPr>
          <a:solidFill>
            <a:schemeClr val="accent1"/>
          </a:solidFill>
          <a:ln w="19050">
            <a:solidFill>
              <a:schemeClr val="lt1"/>
            </a:solidFill>
          </a:ln>
          <a:effectLst/>
        </c:spPr>
      </c:pivotFmt>
      <c:pivotFmt>
        <c:idx val="26"/>
        <c:spPr>
          <a:solidFill>
            <a:schemeClr val="accent1"/>
          </a:solidFill>
          <a:ln w="19050">
            <a:solidFill>
              <a:schemeClr val="lt1"/>
            </a:solidFill>
          </a:ln>
          <a:effectLst/>
        </c:spPr>
      </c:pivotFmt>
      <c:pivotFmt>
        <c:idx val="27"/>
        <c:spPr>
          <a:solidFill>
            <a:schemeClr val="accent1"/>
          </a:solidFill>
          <a:ln w="19050">
            <a:solidFill>
              <a:schemeClr val="lt1"/>
            </a:solidFill>
          </a:ln>
          <a:effectLst/>
        </c:spPr>
      </c:pivotFmt>
      <c:pivotFmt>
        <c:idx val="28"/>
        <c:spPr>
          <a:solidFill>
            <a:schemeClr val="accent1"/>
          </a:solidFill>
          <a:ln w="19050">
            <a:solidFill>
              <a:schemeClr val="lt1"/>
            </a:solidFill>
          </a:ln>
          <a:effectLst/>
        </c:spPr>
      </c:pivotFmt>
      <c:pivotFmt>
        <c:idx val="29"/>
        <c:spPr>
          <a:solidFill>
            <a:schemeClr val="accent1"/>
          </a:solidFill>
          <a:ln w="19050">
            <a:solidFill>
              <a:schemeClr val="lt1"/>
            </a:solidFill>
          </a:ln>
          <a:effectLst/>
        </c:spPr>
      </c:pivotFmt>
      <c:pivotFmt>
        <c:idx val="30"/>
        <c:spPr>
          <a:solidFill>
            <a:schemeClr val="accent1"/>
          </a:solidFill>
          <a:ln w="19050">
            <a:solidFill>
              <a:schemeClr val="lt1"/>
            </a:solidFill>
          </a:ln>
          <a:effectLst/>
        </c:spPr>
      </c:pivotFmt>
      <c:pivotFmt>
        <c:idx val="31"/>
        <c:spPr>
          <a:solidFill>
            <a:schemeClr val="accent1"/>
          </a:solidFill>
          <a:ln w="19050">
            <a:solidFill>
              <a:schemeClr val="lt1"/>
            </a:solidFill>
          </a:ln>
          <a:effectLst/>
        </c:spPr>
      </c:pivotFmt>
      <c:pivotFmt>
        <c:idx val="32"/>
        <c:spPr>
          <a:solidFill>
            <a:schemeClr val="accent1"/>
          </a:solidFill>
          <a:ln w="19050">
            <a:solidFill>
              <a:schemeClr val="lt1"/>
            </a:solidFill>
          </a:ln>
          <a:effectLst/>
        </c:spPr>
      </c:pivotFmt>
      <c:pivotFmt>
        <c:idx val="33"/>
        <c:spPr>
          <a:solidFill>
            <a:schemeClr val="accent1"/>
          </a:solidFill>
          <a:ln w="19050">
            <a:solidFill>
              <a:schemeClr val="lt1"/>
            </a:solidFill>
          </a:ln>
          <a:effectLst/>
        </c:spPr>
      </c:pivotFmt>
      <c:pivotFmt>
        <c:idx val="34"/>
        <c:spPr>
          <a:solidFill>
            <a:schemeClr val="accent1"/>
          </a:solidFill>
          <a:ln w="19050">
            <a:solidFill>
              <a:schemeClr val="lt1"/>
            </a:solidFill>
          </a:ln>
          <a:effectLst/>
        </c:spPr>
      </c:pivotFmt>
      <c:pivotFmt>
        <c:idx val="35"/>
        <c:spPr>
          <a:solidFill>
            <a:schemeClr val="accent1"/>
          </a:solidFill>
          <a:ln w="19050">
            <a:solidFill>
              <a:schemeClr val="lt1"/>
            </a:solidFill>
          </a:ln>
          <a:effectLst/>
        </c:spPr>
      </c:pivotFmt>
      <c:pivotFmt>
        <c:idx val="36"/>
        <c:spPr>
          <a:solidFill>
            <a:schemeClr val="accent1"/>
          </a:solidFill>
          <a:ln w="19050">
            <a:solidFill>
              <a:schemeClr val="lt1"/>
            </a:solidFill>
          </a:ln>
          <a:effectLst/>
        </c:spPr>
      </c:pivotFmt>
      <c:pivotFmt>
        <c:idx val="37"/>
        <c:spPr>
          <a:solidFill>
            <a:schemeClr val="accent1"/>
          </a:solidFill>
          <a:ln w="19050">
            <a:solidFill>
              <a:schemeClr val="lt1"/>
            </a:solidFill>
          </a:ln>
          <a:effectLst/>
        </c:spPr>
      </c:pivotFmt>
      <c:pivotFmt>
        <c:idx val="38"/>
        <c:spPr>
          <a:solidFill>
            <a:schemeClr val="accent1"/>
          </a:solidFill>
          <a:ln w="19050">
            <a:solidFill>
              <a:schemeClr val="lt1"/>
            </a:solidFill>
          </a:ln>
          <a:effectLst/>
        </c:spPr>
      </c:pivotFmt>
      <c:pivotFmt>
        <c:idx val="39"/>
        <c:spPr>
          <a:solidFill>
            <a:schemeClr val="accent1"/>
          </a:solidFill>
          <a:ln w="19050">
            <a:solidFill>
              <a:schemeClr val="lt1"/>
            </a:solidFill>
          </a:ln>
          <a:effectLst/>
        </c:spPr>
      </c:pivotFmt>
      <c:pivotFmt>
        <c:idx val="40"/>
        <c:spPr>
          <a:solidFill>
            <a:schemeClr val="accent1"/>
          </a:solidFill>
          <a:ln w="19050">
            <a:solidFill>
              <a:schemeClr val="lt1"/>
            </a:solidFill>
          </a:ln>
          <a:effectLst/>
        </c:spPr>
      </c:pivotFmt>
      <c:pivotFmt>
        <c:idx val="41"/>
        <c:spPr>
          <a:solidFill>
            <a:schemeClr val="accent1"/>
          </a:solidFill>
          <a:ln w="19050">
            <a:solidFill>
              <a:schemeClr val="lt1"/>
            </a:solidFill>
          </a:ln>
          <a:effectLst/>
        </c:spPr>
      </c:pivotFmt>
      <c:pivotFmt>
        <c:idx val="42"/>
        <c:spPr>
          <a:solidFill>
            <a:schemeClr val="accent1"/>
          </a:solidFill>
          <a:ln w="19050">
            <a:solidFill>
              <a:schemeClr val="lt1"/>
            </a:solidFill>
          </a:ln>
          <a:effectLst/>
        </c:spPr>
      </c:pivotFmt>
      <c:pivotFmt>
        <c:idx val="43"/>
        <c:spPr>
          <a:solidFill>
            <a:schemeClr val="accent1"/>
          </a:solidFill>
          <a:ln w="19050">
            <a:solidFill>
              <a:schemeClr val="lt1"/>
            </a:solidFill>
          </a:ln>
          <a:effectLst/>
        </c:spPr>
      </c:pivotFmt>
      <c:pivotFmt>
        <c:idx val="44"/>
        <c:spPr>
          <a:solidFill>
            <a:schemeClr val="accent1"/>
          </a:solidFill>
          <a:ln w="19050">
            <a:solidFill>
              <a:schemeClr val="lt1"/>
            </a:solidFill>
          </a:ln>
          <a:effectLst/>
        </c:spPr>
      </c:pivotFmt>
      <c:pivotFmt>
        <c:idx val="45"/>
        <c:spPr>
          <a:solidFill>
            <a:schemeClr val="accent1"/>
          </a:solidFill>
          <a:ln w="19050">
            <a:solidFill>
              <a:schemeClr val="lt1"/>
            </a:solidFill>
          </a:ln>
          <a:effectLst/>
        </c:spPr>
      </c:pivotFmt>
      <c:pivotFmt>
        <c:idx val="46"/>
        <c:spPr>
          <a:solidFill>
            <a:schemeClr val="accent1"/>
          </a:solidFill>
          <a:ln w="19050">
            <a:solidFill>
              <a:schemeClr val="lt1"/>
            </a:solidFill>
          </a:ln>
          <a:effectLst/>
        </c:spPr>
      </c:pivotFmt>
      <c:pivotFmt>
        <c:idx val="47"/>
        <c:spPr>
          <a:solidFill>
            <a:schemeClr val="accent1"/>
          </a:solidFill>
          <a:ln w="19050">
            <a:solidFill>
              <a:schemeClr val="lt1"/>
            </a:solidFill>
          </a:ln>
          <a:effectLst/>
        </c:spPr>
      </c:pivotFmt>
      <c:pivotFmt>
        <c:idx val="48"/>
        <c:spPr>
          <a:solidFill>
            <a:schemeClr val="accent1"/>
          </a:solidFill>
          <a:ln w="19050">
            <a:solidFill>
              <a:schemeClr val="lt1"/>
            </a:solidFill>
          </a:ln>
          <a:effectLst/>
        </c:spPr>
      </c:pivotFmt>
      <c:pivotFmt>
        <c:idx val="49"/>
        <c:spPr>
          <a:solidFill>
            <a:schemeClr val="accent1"/>
          </a:solidFill>
          <a:ln w="19050">
            <a:solidFill>
              <a:schemeClr val="lt1"/>
            </a:solidFill>
          </a:ln>
          <a:effectLst/>
        </c:spPr>
      </c:pivotFmt>
      <c:pivotFmt>
        <c:idx val="50"/>
        <c:spPr>
          <a:solidFill>
            <a:schemeClr val="accent1"/>
          </a:solidFill>
          <a:ln w="19050">
            <a:solidFill>
              <a:schemeClr val="lt1"/>
            </a:solidFill>
          </a:ln>
          <a:effectLst/>
        </c:spPr>
      </c:pivotFmt>
      <c:pivotFmt>
        <c:idx val="51"/>
        <c:spPr>
          <a:solidFill>
            <a:schemeClr val="accent1"/>
          </a:solidFill>
          <a:ln w="19050">
            <a:solidFill>
              <a:schemeClr val="lt1"/>
            </a:solidFill>
          </a:ln>
          <a:effectLst/>
        </c:spPr>
      </c:pivotFmt>
      <c:pivotFmt>
        <c:idx val="52"/>
        <c:spPr>
          <a:solidFill>
            <a:schemeClr val="accent1"/>
          </a:solidFill>
          <a:ln w="19050">
            <a:solidFill>
              <a:schemeClr val="lt1"/>
            </a:solidFill>
          </a:ln>
          <a:effectLst/>
        </c:spPr>
      </c:pivotFmt>
      <c:pivotFmt>
        <c:idx val="53"/>
        <c:spPr>
          <a:solidFill>
            <a:schemeClr val="accent1"/>
          </a:solidFill>
          <a:ln w="19050">
            <a:solidFill>
              <a:schemeClr val="lt1"/>
            </a:solidFill>
          </a:ln>
          <a:effectLst/>
        </c:spPr>
      </c:pivotFmt>
      <c:pivotFmt>
        <c:idx val="54"/>
        <c:spPr>
          <a:solidFill>
            <a:schemeClr val="accent1"/>
          </a:solidFill>
          <a:ln w="19050">
            <a:solidFill>
              <a:schemeClr val="lt1"/>
            </a:solidFill>
          </a:ln>
          <a:effectLst/>
        </c:spPr>
      </c:pivotFmt>
      <c:pivotFmt>
        <c:idx val="55"/>
        <c:spPr>
          <a:solidFill>
            <a:schemeClr val="accent1"/>
          </a:solidFill>
          <a:ln w="19050">
            <a:solidFill>
              <a:schemeClr val="lt1"/>
            </a:solidFill>
          </a:ln>
          <a:effectLst/>
        </c:spPr>
      </c:pivotFmt>
      <c:pivotFmt>
        <c:idx val="56"/>
        <c:spPr>
          <a:solidFill>
            <a:schemeClr val="accent1"/>
          </a:solidFill>
          <a:ln w="19050">
            <a:solidFill>
              <a:schemeClr val="lt1"/>
            </a:solidFill>
          </a:ln>
          <a:effectLst/>
        </c:spPr>
      </c:pivotFmt>
      <c:pivotFmt>
        <c:idx val="57"/>
        <c:spPr>
          <a:solidFill>
            <a:schemeClr val="accent1"/>
          </a:solidFill>
          <a:ln w="19050">
            <a:solidFill>
              <a:schemeClr val="lt1"/>
            </a:solidFill>
          </a:ln>
          <a:effectLst/>
        </c:spPr>
      </c:pivotFmt>
      <c:pivotFmt>
        <c:idx val="58"/>
        <c:spPr>
          <a:solidFill>
            <a:schemeClr val="accent1"/>
          </a:solidFill>
          <a:ln w="19050">
            <a:solidFill>
              <a:schemeClr val="lt1"/>
            </a:solidFill>
          </a:ln>
          <a:effectLst/>
        </c:spPr>
      </c:pivotFmt>
      <c:pivotFmt>
        <c:idx val="59"/>
        <c:spPr>
          <a:solidFill>
            <a:schemeClr val="accent1"/>
          </a:solidFill>
          <a:ln w="19050">
            <a:solidFill>
              <a:schemeClr val="lt1"/>
            </a:solidFill>
          </a:ln>
          <a:effectLst/>
        </c:spPr>
      </c:pivotFmt>
      <c:pivotFmt>
        <c:idx val="60"/>
        <c:spPr>
          <a:solidFill>
            <a:schemeClr val="accent1"/>
          </a:solidFill>
          <a:ln w="19050">
            <a:solidFill>
              <a:schemeClr val="lt1"/>
            </a:solidFill>
          </a:ln>
          <a:effectLst/>
        </c:spPr>
      </c:pivotFmt>
      <c:pivotFmt>
        <c:idx val="61"/>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62"/>
        <c:spPr>
          <a:solidFill>
            <a:schemeClr val="accent1"/>
          </a:solidFill>
          <a:ln w="19050">
            <a:solidFill>
              <a:schemeClr val="lt1"/>
            </a:solidFill>
          </a:ln>
          <a:effectLst/>
        </c:spPr>
      </c:pivotFmt>
      <c:pivotFmt>
        <c:idx val="63"/>
        <c:spPr>
          <a:solidFill>
            <a:schemeClr val="accent1"/>
          </a:solidFill>
          <a:ln w="19050">
            <a:solidFill>
              <a:schemeClr val="lt1"/>
            </a:solidFill>
          </a:ln>
          <a:effectLst/>
        </c:spPr>
      </c:pivotFmt>
      <c:pivotFmt>
        <c:idx val="64"/>
        <c:spPr>
          <a:solidFill>
            <a:schemeClr val="accent1"/>
          </a:solidFill>
          <a:ln w="19050">
            <a:solidFill>
              <a:schemeClr val="lt1"/>
            </a:solidFill>
          </a:ln>
          <a:effectLst/>
        </c:spPr>
      </c:pivotFmt>
      <c:pivotFmt>
        <c:idx val="65"/>
        <c:spPr>
          <a:solidFill>
            <a:schemeClr val="accent1"/>
          </a:solidFill>
          <a:ln w="19050">
            <a:solidFill>
              <a:schemeClr val="lt1"/>
            </a:solidFill>
          </a:ln>
          <a:effectLst/>
        </c:spPr>
      </c:pivotFmt>
      <c:pivotFmt>
        <c:idx val="66"/>
        <c:spPr>
          <a:solidFill>
            <a:schemeClr val="accent1"/>
          </a:solidFill>
          <a:ln w="19050">
            <a:solidFill>
              <a:schemeClr val="lt1"/>
            </a:solidFill>
          </a:ln>
          <a:effectLst/>
        </c:spPr>
      </c:pivotFmt>
      <c:pivotFmt>
        <c:idx val="67"/>
        <c:spPr>
          <a:solidFill>
            <a:schemeClr val="accent1"/>
          </a:solidFill>
          <a:ln w="19050">
            <a:solidFill>
              <a:schemeClr val="lt1"/>
            </a:solidFill>
          </a:ln>
          <a:effectLst/>
        </c:spPr>
      </c:pivotFmt>
      <c:pivotFmt>
        <c:idx val="68"/>
        <c:spPr>
          <a:solidFill>
            <a:schemeClr val="accent1"/>
          </a:solidFill>
          <a:ln w="19050">
            <a:solidFill>
              <a:schemeClr val="lt1"/>
            </a:solidFill>
          </a:ln>
          <a:effectLst/>
        </c:spPr>
      </c:pivotFmt>
      <c:pivotFmt>
        <c:idx val="69"/>
        <c:spPr>
          <a:solidFill>
            <a:schemeClr val="accent1"/>
          </a:solidFill>
          <a:ln w="19050">
            <a:solidFill>
              <a:schemeClr val="lt1"/>
            </a:solidFill>
          </a:ln>
          <a:effectLst/>
        </c:spPr>
      </c:pivotFmt>
      <c:pivotFmt>
        <c:idx val="70"/>
        <c:spPr>
          <a:solidFill>
            <a:schemeClr val="accent1"/>
          </a:solidFill>
          <a:ln w="19050">
            <a:solidFill>
              <a:schemeClr val="lt1"/>
            </a:solidFill>
          </a:ln>
          <a:effectLst/>
        </c:spPr>
      </c:pivotFmt>
      <c:pivotFmt>
        <c:idx val="71"/>
        <c:spPr>
          <a:solidFill>
            <a:schemeClr val="accent1"/>
          </a:solidFill>
          <a:ln w="19050">
            <a:solidFill>
              <a:schemeClr val="lt1"/>
            </a:solidFill>
          </a:ln>
          <a:effectLst/>
        </c:spPr>
      </c:pivotFmt>
      <c:pivotFmt>
        <c:idx val="72"/>
        <c:spPr>
          <a:solidFill>
            <a:schemeClr val="accent1"/>
          </a:solidFill>
          <a:ln w="19050">
            <a:solidFill>
              <a:schemeClr val="lt1"/>
            </a:solidFill>
          </a:ln>
          <a:effectLst/>
        </c:spPr>
      </c:pivotFmt>
      <c:pivotFmt>
        <c:idx val="73"/>
        <c:spPr>
          <a:solidFill>
            <a:schemeClr val="accent1"/>
          </a:solidFill>
          <a:ln w="19050">
            <a:solidFill>
              <a:schemeClr val="lt1"/>
            </a:solidFill>
          </a:ln>
          <a:effectLst/>
        </c:spPr>
      </c:pivotFmt>
      <c:pivotFmt>
        <c:idx val="74"/>
        <c:spPr>
          <a:solidFill>
            <a:schemeClr val="accent1"/>
          </a:solidFill>
          <a:ln w="19050">
            <a:solidFill>
              <a:schemeClr val="lt1"/>
            </a:solidFill>
          </a:ln>
          <a:effectLst/>
        </c:spPr>
      </c:pivotFmt>
      <c:pivotFmt>
        <c:idx val="75"/>
        <c:spPr>
          <a:solidFill>
            <a:schemeClr val="accent1"/>
          </a:solidFill>
          <a:ln w="19050">
            <a:solidFill>
              <a:schemeClr val="lt1"/>
            </a:solidFill>
          </a:ln>
          <a:effectLst/>
        </c:spPr>
      </c:pivotFmt>
      <c:pivotFmt>
        <c:idx val="76"/>
        <c:spPr>
          <a:solidFill>
            <a:schemeClr val="accent1"/>
          </a:solidFill>
          <a:ln w="19050">
            <a:solidFill>
              <a:schemeClr val="lt1"/>
            </a:solidFill>
          </a:ln>
          <a:effectLst/>
        </c:spPr>
      </c:pivotFmt>
      <c:pivotFmt>
        <c:idx val="77"/>
        <c:spPr>
          <a:solidFill>
            <a:schemeClr val="accent1"/>
          </a:solidFill>
          <a:ln w="19050">
            <a:solidFill>
              <a:schemeClr val="lt1"/>
            </a:solidFill>
          </a:ln>
          <a:effectLst/>
        </c:spPr>
      </c:pivotFmt>
      <c:pivotFmt>
        <c:idx val="78"/>
        <c:spPr>
          <a:solidFill>
            <a:schemeClr val="accent1"/>
          </a:solidFill>
          <a:ln w="19050">
            <a:solidFill>
              <a:schemeClr val="lt1"/>
            </a:solidFill>
          </a:ln>
          <a:effectLst/>
        </c:spPr>
      </c:pivotFmt>
      <c:pivotFmt>
        <c:idx val="79"/>
        <c:spPr>
          <a:solidFill>
            <a:schemeClr val="accent1"/>
          </a:solidFill>
          <a:ln w="19050">
            <a:solidFill>
              <a:schemeClr val="lt1"/>
            </a:solidFill>
          </a:ln>
          <a:effectLst/>
        </c:spPr>
      </c:pivotFmt>
      <c:pivotFmt>
        <c:idx val="80"/>
        <c:spPr>
          <a:solidFill>
            <a:schemeClr val="accent1"/>
          </a:solidFill>
          <a:ln w="19050">
            <a:solidFill>
              <a:schemeClr val="lt1"/>
            </a:solidFill>
          </a:ln>
          <a:effectLst/>
        </c:spPr>
      </c:pivotFmt>
      <c:pivotFmt>
        <c:idx val="81"/>
        <c:spPr>
          <a:solidFill>
            <a:schemeClr val="accent1"/>
          </a:solidFill>
          <a:ln w="19050">
            <a:solidFill>
              <a:schemeClr val="lt1"/>
            </a:solidFill>
          </a:ln>
          <a:effectLst/>
        </c:spPr>
      </c:pivotFmt>
      <c:pivotFmt>
        <c:idx val="82"/>
        <c:spPr>
          <a:solidFill>
            <a:schemeClr val="accent1"/>
          </a:solidFill>
          <a:ln w="19050">
            <a:solidFill>
              <a:schemeClr val="lt1"/>
            </a:solidFill>
          </a:ln>
          <a:effectLst/>
        </c:spPr>
      </c:pivotFmt>
      <c:pivotFmt>
        <c:idx val="83"/>
        <c:spPr>
          <a:solidFill>
            <a:schemeClr val="accent1"/>
          </a:solidFill>
          <a:ln w="19050">
            <a:solidFill>
              <a:schemeClr val="lt1"/>
            </a:solidFill>
          </a:ln>
          <a:effectLst/>
        </c:spPr>
      </c:pivotFmt>
      <c:pivotFmt>
        <c:idx val="84"/>
        <c:spPr>
          <a:solidFill>
            <a:schemeClr val="accent1"/>
          </a:solidFill>
          <a:ln w="19050">
            <a:solidFill>
              <a:schemeClr val="lt1"/>
            </a:solidFill>
          </a:ln>
          <a:effectLst/>
        </c:spPr>
      </c:pivotFmt>
      <c:pivotFmt>
        <c:idx val="85"/>
        <c:spPr>
          <a:solidFill>
            <a:schemeClr val="accent1"/>
          </a:solidFill>
          <a:ln w="19050">
            <a:solidFill>
              <a:schemeClr val="lt1"/>
            </a:solidFill>
          </a:ln>
          <a:effectLst/>
        </c:spPr>
      </c:pivotFmt>
      <c:pivotFmt>
        <c:idx val="86"/>
        <c:spPr>
          <a:solidFill>
            <a:schemeClr val="accent1"/>
          </a:solidFill>
          <a:ln w="19050">
            <a:solidFill>
              <a:schemeClr val="lt1"/>
            </a:solidFill>
          </a:ln>
          <a:effectLst/>
        </c:spPr>
      </c:pivotFmt>
      <c:pivotFmt>
        <c:idx val="87"/>
        <c:spPr>
          <a:solidFill>
            <a:schemeClr val="accent1"/>
          </a:solidFill>
          <a:ln w="19050">
            <a:solidFill>
              <a:schemeClr val="lt1"/>
            </a:solidFill>
          </a:ln>
          <a:effectLst/>
        </c:spPr>
      </c:pivotFmt>
      <c:pivotFmt>
        <c:idx val="88"/>
        <c:spPr>
          <a:solidFill>
            <a:schemeClr val="accent1"/>
          </a:solidFill>
          <a:ln w="19050">
            <a:solidFill>
              <a:schemeClr val="lt1"/>
            </a:solidFill>
          </a:ln>
          <a:effectLst/>
        </c:spPr>
      </c:pivotFmt>
      <c:pivotFmt>
        <c:idx val="89"/>
        <c:spPr>
          <a:solidFill>
            <a:schemeClr val="accent1"/>
          </a:solidFill>
          <a:ln w="19050">
            <a:solidFill>
              <a:schemeClr val="lt1"/>
            </a:solidFill>
          </a:ln>
          <a:effectLst/>
        </c:spPr>
      </c:pivotFmt>
      <c:pivotFmt>
        <c:idx val="90"/>
        <c:spPr>
          <a:solidFill>
            <a:schemeClr val="accent1"/>
          </a:solidFill>
          <a:ln w="19050">
            <a:solidFill>
              <a:schemeClr val="lt1"/>
            </a:solidFill>
          </a:ln>
          <a:effectLst/>
        </c:spPr>
      </c:pivotFmt>
      <c:pivotFmt>
        <c:idx val="91"/>
        <c:spPr>
          <a:solidFill>
            <a:schemeClr val="accent1"/>
          </a:solidFill>
          <a:ln w="19050">
            <a:solidFill>
              <a:schemeClr val="lt1"/>
            </a:solidFill>
          </a:ln>
          <a:effectLst/>
        </c:spPr>
      </c:pivotFmt>
      <c:pivotFmt>
        <c:idx val="92"/>
        <c:spPr>
          <a:solidFill>
            <a:schemeClr val="accent1"/>
          </a:solidFill>
          <a:ln w="19050">
            <a:solidFill>
              <a:schemeClr val="lt1"/>
            </a:solidFill>
          </a:ln>
          <a:effectLst/>
        </c:spPr>
      </c:pivotFmt>
      <c:pivotFmt>
        <c:idx val="93"/>
        <c:spPr>
          <a:solidFill>
            <a:schemeClr val="accent1"/>
          </a:solidFill>
          <a:ln w="19050">
            <a:solidFill>
              <a:schemeClr val="lt1"/>
            </a:solidFill>
          </a:ln>
          <a:effectLst/>
        </c:spPr>
      </c:pivotFmt>
      <c:pivotFmt>
        <c:idx val="94"/>
        <c:spPr>
          <a:solidFill>
            <a:schemeClr val="accent1"/>
          </a:solidFill>
          <a:ln w="19050">
            <a:solidFill>
              <a:schemeClr val="lt1"/>
            </a:solidFill>
          </a:ln>
          <a:effectLst/>
        </c:spPr>
      </c:pivotFmt>
      <c:pivotFmt>
        <c:idx val="95"/>
        <c:spPr>
          <a:solidFill>
            <a:schemeClr val="accent1"/>
          </a:solidFill>
          <a:ln w="19050">
            <a:solidFill>
              <a:schemeClr val="lt1"/>
            </a:solidFill>
          </a:ln>
          <a:effectLst/>
        </c:spPr>
      </c:pivotFmt>
      <c:pivotFmt>
        <c:idx val="96"/>
        <c:spPr>
          <a:solidFill>
            <a:schemeClr val="accent1"/>
          </a:solidFill>
          <a:ln w="19050">
            <a:solidFill>
              <a:schemeClr val="lt1"/>
            </a:solidFill>
          </a:ln>
          <a:effectLst/>
        </c:spPr>
      </c:pivotFmt>
      <c:pivotFmt>
        <c:idx val="97"/>
        <c:spPr>
          <a:solidFill>
            <a:schemeClr val="accent1"/>
          </a:solidFill>
          <a:ln w="19050">
            <a:solidFill>
              <a:schemeClr val="lt1"/>
            </a:solidFill>
          </a:ln>
          <a:effectLst/>
        </c:spPr>
      </c:pivotFmt>
      <c:pivotFmt>
        <c:idx val="98"/>
        <c:spPr>
          <a:solidFill>
            <a:schemeClr val="accent1"/>
          </a:solidFill>
          <a:ln w="19050">
            <a:solidFill>
              <a:schemeClr val="lt1"/>
            </a:solidFill>
          </a:ln>
          <a:effectLst/>
        </c:spPr>
      </c:pivotFmt>
      <c:pivotFmt>
        <c:idx val="99"/>
        <c:spPr>
          <a:solidFill>
            <a:schemeClr val="accent1"/>
          </a:solidFill>
          <a:ln w="19050">
            <a:solidFill>
              <a:schemeClr val="lt1"/>
            </a:solidFill>
          </a:ln>
          <a:effectLst/>
        </c:spPr>
      </c:pivotFmt>
      <c:pivotFmt>
        <c:idx val="100"/>
        <c:spPr>
          <a:solidFill>
            <a:schemeClr val="accent1"/>
          </a:solidFill>
          <a:ln w="19050">
            <a:solidFill>
              <a:schemeClr val="lt1"/>
            </a:solidFill>
          </a:ln>
          <a:effectLst/>
        </c:spPr>
      </c:pivotFmt>
      <c:pivotFmt>
        <c:idx val="101"/>
        <c:spPr>
          <a:solidFill>
            <a:schemeClr val="accent1"/>
          </a:solidFill>
          <a:ln w="19050">
            <a:solidFill>
              <a:schemeClr val="lt1"/>
            </a:solidFill>
          </a:ln>
          <a:effectLst/>
        </c:spPr>
      </c:pivotFmt>
      <c:pivotFmt>
        <c:idx val="102"/>
        <c:spPr>
          <a:solidFill>
            <a:schemeClr val="accent1"/>
          </a:solidFill>
          <a:ln w="19050">
            <a:solidFill>
              <a:schemeClr val="lt1"/>
            </a:solidFill>
          </a:ln>
          <a:effectLst/>
        </c:spPr>
      </c:pivotFmt>
      <c:pivotFmt>
        <c:idx val="103"/>
        <c:spPr>
          <a:solidFill>
            <a:schemeClr val="accent1"/>
          </a:solidFill>
          <a:ln w="19050">
            <a:solidFill>
              <a:schemeClr val="lt1"/>
            </a:solidFill>
          </a:ln>
          <a:effectLst/>
        </c:spPr>
      </c:pivotFmt>
      <c:pivotFmt>
        <c:idx val="104"/>
        <c:spPr>
          <a:solidFill>
            <a:schemeClr val="accent1"/>
          </a:solidFill>
          <a:ln w="19050">
            <a:solidFill>
              <a:schemeClr val="lt1"/>
            </a:solidFill>
          </a:ln>
          <a:effectLst/>
        </c:spPr>
      </c:pivotFmt>
      <c:pivotFmt>
        <c:idx val="105"/>
        <c:spPr>
          <a:solidFill>
            <a:schemeClr val="accent1"/>
          </a:solidFill>
          <a:ln w="19050">
            <a:solidFill>
              <a:schemeClr val="lt1"/>
            </a:solidFill>
          </a:ln>
          <a:effectLst/>
        </c:spPr>
      </c:pivotFmt>
      <c:pivotFmt>
        <c:idx val="106"/>
        <c:spPr>
          <a:solidFill>
            <a:schemeClr val="accent1"/>
          </a:solidFill>
          <a:ln w="19050">
            <a:solidFill>
              <a:schemeClr val="lt1"/>
            </a:solidFill>
          </a:ln>
          <a:effectLst/>
        </c:spPr>
      </c:pivotFmt>
      <c:pivotFmt>
        <c:idx val="107"/>
        <c:spPr>
          <a:solidFill>
            <a:schemeClr val="accent1"/>
          </a:solidFill>
          <a:ln w="19050">
            <a:solidFill>
              <a:schemeClr val="lt1"/>
            </a:solidFill>
          </a:ln>
          <a:effectLst/>
        </c:spPr>
      </c:pivotFmt>
      <c:pivotFmt>
        <c:idx val="108"/>
        <c:spPr>
          <a:solidFill>
            <a:schemeClr val="accent1"/>
          </a:solidFill>
          <a:ln w="19050">
            <a:solidFill>
              <a:schemeClr val="lt1"/>
            </a:solidFill>
          </a:ln>
          <a:effectLst/>
        </c:spPr>
      </c:pivotFmt>
      <c:pivotFmt>
        <c:idx val="109"/>
        <c:spPr>
          <a:solidFill>
            <a:schemeClr val="accent1"/>
          </a:solidFill>
          <a:ln w="19050">
            <a:solidFill>
              <a:schemeClr val="lt1"/>
            </a:solidFill>
          </a:ln>
          <a:effectLst/>
        </c:spPr>
      </c:pivotFmt>
      <c:pivotFmt>
        <c:idx val="110"/>
        <c:spPr>
          <a:solidFill>
            <a:schemeClr val="accent1"/>
          </a:solidFill>
          <a:ln w="19050">
            <a:solidFill>
              <a:schemeClr val="lt1"/>
            </a:solidFill>
          </a:ln>
          <a:effectLst/>
        </c:spPr>
      </c:pivotFmt>
      <c:pivotFmt>
        <c:idx val="111"/>
        <c:spPr>
          <a:solidFill>
            <a:schemeClr val="accent1"/>
          </a:solidFill>
          <a:ln w="19050">
            <a:solidFill>
              <a:schemeClr val="lt1"/>
            </a:solidFill>
          </a:ln>
          <a:effectLst/>
        </c:spPr>
      </c:pivotFmt>
      <c:pivotFmt>
        <c:idx val="112"/>
        <c:spPr>
          <a:solidFill>
            <a:schemeClr val="accent1"/>
          </a:solidFill>
          <a:ln w="19050">
            <a:solidFill>
              <a:schemeClr val="lt1"/>
            </a:solidFill>
          </a:ln>
          <a:effectLst/>
        </c:spPr>
      </c:pivotFmt>
      <c:pivotFmt>
        <c:idx val="113"/>
        <c:spPr>
          <a:solidFill>
            <a:schemeClr val="accent1"/>
          </a:solidFill>
          <a:ln w="19050">
            <a:solidFill>
              <a:schemeClr val="lt1"/>
            </a:solidFill>
          </a:ln>
          <a:effectLst/>
        </c:spPr>
      </c:pivotFmt>
      <c:pivotFmt>
        <c:idx val="114"/>
        <c:spPr>
          <a:solidFill>
            <a:schemeClr val="accent1"/>
          </a:solidFill>
          <a:ln w="19050">
            <a:solidFill>
              <a:schemeClr val="lt1"/>
            </a:solidFill>
          </a:ln>
          <a:effectLst/>
        </c:spPr>
      </c:pivotFmt>
      <c:pivotFmt>
        <c:idx val="115"/>
        <c:spPr>
          <a:solidFill>
            <a:schemeClr val="accent1"/>
          </a:solidFill>
          <a:ln w="19050">
            <a:solidFill>
              <a:schemeClr val="lt1"/>
            </a:solidFill>
          </a:ln>
          <a:effectLst/>
        </c:spPr>
      </c:pivotFmt>
      <c:pivotFmt>
        <c:idx val="116"/>
        <c:spPr>
          <a:solidFill>
            <a:schemeClr val="accent1"/>
          </a:solidFill>
          <a:ln w="19050">
            <a:solidFill>
              <a:schemeClr val="lt1"/>
            </a:solidFill>
          </a:ln>
          <a:effectLst/>
        </c:spPr>
      </c:pivotFmt>
      <c:pivotFmt>
        <c:idx val="117"/>
        <c:spPr>
          <a:solidFill>
            <a:schemeClr val="accent1"/>
          </a:solidFill>
          <a:ln w="19050">
            <a:solidFill>
              <a:schemeClr val="lt1"/>
            </a:solidFill>
          </a:ln>
          <a:effectLst/>
        </c:spPr>
      </c:pivotFmt>
      <c:pivotFmt>
        <c:idx val="118"/>
        <c:spPr>
          <a:solidFill>
            <a:schemeClr val="accent1"/>
          </a:solidFill>
          <a:ln w="19050">
            <a:solidFill>
              <a:schemeClr val="lt1"/>
            </a:solidFill>
          </a:ln>
          <a:effectLst/>
        </c:spPr>
      </c:pivotFmt>
      <c:pivotFmt>
        <c:idx val="119"/>
        <c:spPr>
          <a:solidFill>
            <a:schemeClr val="accent1"/>
          </a:solidFill>
          <a:ln w="19050">
            <a:solidFill>
              <a:schemeClr val="lt1"/>
            </a:solidFill>
          </a:ln>
          <a:effectLst/>
        </c:spPr>
      </c:pivotFmt>
      <c:pivotFmt>
        <c:idx val="120"/>
        <c:spPr>
          <a:solidFill>
            <a:schemeClr val="accent1"/>
          </a:solidFill>
          <a:ln w="19050">
            <a:solidFill>
              <a:schemeClr val="lt1"/>
            </a:solidFill>
          </a:ln>
          <a:effectLst/>
        </c:spPr>
      </c:pivotFmt>
      <c:pivotFmt>
        <c:idx val="121"/>
        <c:spPr>
          <a:solidFill>
            <a:schemeClr val="accent1"/>
          </a:solidFill>
          <a:ln w="19050">
            <a:solidFill>
              <a:schemeClr val="lt1"/>
            </a:solidFill>
          </a:ln>
          <a:effectLst/>
        </c:spPr>
      </c:pivotFmt>
      <c:pivotFmt>
        <c:idx val="122"/>
        <c:spPr>
          <a:solidFill>
            <a:schemeClr val="accent1"/>
          </a:solidFill>
          <a:ln w="19050">
            <a:solidFill>
              <a:schemeClr val="lt1"/>
            </a:solidFill>
          </a:ln>
          <a:effectLst/>
        </c:spPr>
      </c:pivotFmt>
      <c:pivotFmt>
        <c:idx val="123"/>
        <c:spPr>
          <a:solidFill>
            <a:schemeClr val="accent1"/>
          </a:solidFill>
          <a:ln w="19050">
            <a:solidFill>
              <a:schemeClr val="lt1"/>
            </a:solidFill>
          </a:ln>
          <a:effectLst/>
        </c:spPr>
      </c:pivotFmt>
      <c:pivotFmt>
        <c:idx val="124"/>
        <c:spPr>
          <a:solidFill>
            <a:schemeClr val="accent1"/>
          </a:solidFill>
          <a:ln w="19050">
            <a:solidFill>
              <a:schemeClr val="lt1"/>
            </a:solidFill>
          </a:ln>
          <a:effectLst/>
        </c:spPr>
      </c:pivotFmt>
      <c:pivotFmt>
        <c:idx val="125"/>
        <c:spPr>
          <a:solidFill>
            <a:schemeClr val="accent1"/>
          </a:solidFill>
          <a:ln w="19050">
            <a:solidFill>
              <a:schemeClr val="lt1"/>
            </a:solidFill>
          </a:ln>
          <a:effectLst/>
        </c:spPr>
      </c:pivotFmt>
      <c:pivotFmt>
        <c:idx val="126"/>
        <c:spPr>
          <a:solidFill>
            <a:schemeClr val="accent1"/>
          </a:solidFill>
          <a:ln w="19050">
            <a:solidFill>
              <a:schemeClr val="lt1"/>
            </a:solidFill>
          </a:ln>
          <a:effectLst/>
        </c:spPr>
      </c:pivotFmt>
      <c:pivotFmt>
        <c:idx val="127"/>
        <c:spPr>
          <a:solidFill>
            <a:schemeClr val="accent1"/>
          </a:solidFill>
          <a:ln w="19050">
            <a:solidFill>
              <a:schemeClr val="lt1"/>
            </a:solidFill>
          </a:ln>
          <a:effectLst/>
        </c:spPr>
      </c:pivotFmt>
      <c:pivotFmt>
        <c:idx val="128"/>
        <c:spPr>
          <a:solidFill>
            <a:schemeClr val="accent1"/>
          </a:solidFill>
          <a:ln w="19050">
            <a:solidFill>
              <a:schemeClr val="lt1"/>
            </a:solidFill>
          </a:ln>
          <a:effectLst/>
        </c:spPr>
      </c:pivotFmt>
      <c:pivotFmt>
        <c:idx val="129"/>
        <c:spPr>
          <a:solidFill>
            <a:schemeClr val="accent1"/>
          </a:solidFill>
          <a:ln w="19050">
            <a:solidFill>
              <a:schemeClr val="lt1"/>
            </a:solidFill>
          </a:ln>
          <a:effectLst/>
        </c:spPr>
      </c:pivotFmt>
      <c:pivotFmt>
        <c:idx val="130"/>
        <c:spPr>
          <a:solidFill>
            <a:schemeClr val="accent1"/>
          </a:solidFill>
          <a:ln w="19050">
            <a:solidFill>
              <a:schemeClr val="lt1"/>
            </a:solidFill>
          </a:ln>
          <a:effectLst/>
        </c:spPr>
      </c:pivotFmt>
      <c:pivotFmt>
        <c:idx val="131"/>
        <c:spPr>
          <a:solidFill>
            <a:schemeClr val="accent1"/>
          </a:solidFill>
          <a:ln w="19050">
            <a:solidFill>
              <a:schemeClr val="lt1"/>
            </a:solidFill>
          </a:ln>
          <a:effectLst/>
        </c:spPr>
      </c:pivotFmt>
      <c:pivotFmt>
        <c:idx val="132"/>
        <c:spPr>
          <a:solidFill>
            <a:schemeClr val="accent1"/>
          </a:solidFill>
          <a:ln w="19050">
            <a:solidFill>
              <a:schemeClr val="lt1"/>
            </a:solidFill>
          </a:ln>
          <a:effectLst/>
        </c:spPr>
      </c:pivotFmt>
      <c:pivotFmt>
        <c:idx val="133"/>
        <c:spPr>
          <a:solidFill>
            <a:schemeClr val="accent1"/>
          </a:solidFill>
          <a:ln w="19050">
            <a:solidFill>
              <a:schemeClr val="lt1"/>
            </a:solidFill>
          </a:ln>
          <a:effectLst/>
        </c:spPr>
      </c:pivotFmt>
      <c:pivotFmt>
        <c:idx val="134"/>
        <c:spPr>
          <a:solidFill>
            <a:schemeClr val="accent1"/>
          </a:solidFill>
          <a:ln w="19050">
            <a:solidFill>
              <a:schemeClr val="lt1"/>
            </a:solidFill>
          </a:ln>
          <a:effectLst/>
        </c:spPr>
      </c:pivotFmt>
      <c:pivotFmt>
        <c:idx val="135"/>
        <c:spPr>
          <a:solidFill>
            <a:schemeClr val="accent1"/>
          </a:solidFill>
          <a:ln w="19050">
            <a:solidFill>
              <a:schemeClr val="lt1"/>
            </a:solidFill>
          </a:ln>
          <a:effectLst/>
        </c:spPr>
      </c:pivotFmt>
      <c:pivotFmt>
        <c:idx val="136"/>
        <c:spPr>
          <a:solidFill>
            <a:schemeClr val="accent1"/>
          </a:solidFill>
          <a:ln w="19050">
            <a:solidFill>
              <a:schemeClr val="lt1"/>
            </a:solidFill>
          </a:ln>
          <a:effectLst/>
        </c:spPr>
      </c:pivotFmt>
      <c:pivotFmt>
        <c:idx val="137"/>
        <c:spPr>
          <a:solidFill>
            <a:schemeClr val="accent1"/>
          </a:solidFill>
          <a:ln w="19050">
            <a:solidFill>
              <a:schemeClr val="lt1"/>
            </a:solidFill>
          </a:ln>
          <a:effectLst/>
        </c:spPr>
      </c:pivotFmt>
      <c:pivotFmt>
        <c:idx val="138"/>
        <c:spPr>
          <a:solidFill>
            <a:schemeClr val="accent1"/>
          </a:solidFill>
          <a:ln w="19050">
            <a:solidFill>
              <a:schemeClr val="lt1"/>
            </a:solidFill>
          </a:ln>
          <a:effectLst/>
        </c:spPr>
      </c:pivotFmt>
      <c:pivotFmt>
        <c:idx val="139"/>
        <c:spPr>
          <a:solidFill>
            <a:schemeClr val="accent1"/>
          </a:solidFill>
          <a:ln w="19050">
            <a:solidFill>
              <a:schemeClr val="lt1"/>
            </a:solidFill>
          </a:ln>
          <a:effectLst/>
        </c:spPr>
      </c:pivotFmt>
      <c:pivotFmt>
        <c:idx val="140"/>
        <c:spPr>
          <a:solidFill>
            <a:schemeClr val="accent1"/>
          </a:solidFill>
          <a:ln w="19050">
            <a:solidFill>
              <a:schemeClr val="lt1"/>
            </a:solidFill>
          </a:ln>
          <a:effectLst/>
        </c:spPr>
      </c:pivotFmt>
      <c:pivotFmt>
        <c:idx val="141"/>
        <c:spPr>
          <a:solidFill>
            <a:schemeClr val="accent1"/>
          </a:solidFill>
          <a:ln w="19050">
            <a:solidFill>
              <a:schemeClr val="lt1"/>
            </a:solidFill>
          </a:ln>
          <a:effectLst/>
        </c:spPr>
      </c:pivotFmt>
      <c:pivotFmt>
        <c:idx val="142"/>
        <c:spPr>
          <a:solidFill>
            <a:schemeClr val="accent1"/>
          </a:solidFill>
          <a:ln w="19050">
            <a:solidFill>
              <a:schemeClr val="lt1"/>
            </a:solidFill>
          </a:ln>
          <a:effectLst/>
        </c:spPr>
      </c:pivotFmt>
      <c:pivotFmt>
        <c:idx val="143"/>
        <c:spPr>
          <a:solidFill>
            <a:schemeClr val="accent1"/>
          </a:solidFill>
          <a:ln w="19050">
            <a:solidFill>
              <a:schemeClr val="lt1"/>
            </a:solidFill>
          </a:ln>
          <a:effectLst/>
        </c:spPr>
      </c:pivotFmt>
      <c:pivotFmt>
        <c:idx val="144"/>
        <c:spPr>
          <a:solidFill>
            <a:schemeClr val="accent1"/>
          </a:solidFill>
          <a:ln w="19050">
            <a:solidFill>
              <a:schemeClr val="lt1"/>
            </a:solidFill>
          </a:ln>
          <a:effectLst/>
        </c:spPr>
      </c:pivotFmt>
      <c:pivotFmt>
        <c:idx val="145"/>
        <c:spPr>
          <a:solidFill>
            <a:schemeClr val="accent1"/>
          </a:solidFill>
          <a:ln w="19050">
            <a:solidFill>
              <a:schemeClr val="lt1"/>
            </a:solidFill>
          </a:ln>
          <a:effectLst/>
        </c:spPr>
      </c:pivotFmt>
      <c:pivotFmt>
        <c:idx val="146"/>
        <c:spPr>
          <a:solidFill>
            <a:schemeClr val="accent1"/>
          </a:solidFill>
          <a:ln w="19050">
            <a:solidFill>
              <a:schemeClr val="lt1"/>
            </a:solidFill>
          </a:ln>
          <a:effectLst/>
        </c:spPr>
      </c:pivotFmt>
      <c:pivotFmt>
        <c:idx val="147"/>
        <c:spPr>
          <a:solidFill>
            <a:schemeClr val="accent1"/>
          </a:solidFill>
          <a:ln w="19050">
            <a:solidFill>
              <a:schemeClr val="lt1"/>
            </a:solidFill>
          </a:ln>
          <a:effectLst/>
        </c:spPr>
      </c:pivotFmt>
      <c:pivotFmt>
        <c:idx val="148"/>
        <c:spPr>
          <a:solidFill>
            <a:schemeClr val="accent1"/>
          </a:solidFill>
          <a:ln w="19050">
            <a:solidFill>
              <a:schemeClr val="lt1"/>
            </a:solidFill>
          </a:ln>
          <a:effectLst/>
        </c:spPr>
      </c:pivotFmt>
      <c:pivotFmt>
        <c:idx val="149"/>
        <c:spPr>
          <a:solidFill>
            <a:schemeClr val="accent1"/>
          </a:solidFill>
          <a:ln w="19050">
            <a:solidFill>
              <a:schemeClr val="lt1"/>
            </a:solidFill>
          </a:ln>
          <a:effectLst/>
        </c:spPr>
      </c:pivotFmt>
      <c:pivotFmt>
        <c:idx val="150"/>
        <c:spPr>
          <a:solidFill>
            <a:schemeClr val="accent1"/>
          </a:solidFill>
          <a:ln w="19050">
            <a:solidFill>
              <a:schemeClr val="lt1"/>
            </a:solidFill>
          </a:ln>
          <a:effectLst/>
        </c:spPr>
        <c:marker>
          <c:symbol val="none"/>
        </c:marker>
        <c:dLbl>
          <c:idx val="0"/>
          <c:dLblPos val="bestFit"/>
          <c:showLegendKey val="0"/>
          <c:showVal val="1"/>
          <c:showCatName val="0"/>
          <c:showSerName val="0"/>
          <c:showPercent val="0"/>
          <c:showBubbleSize val="0"/>
          <c:extLst>
            <c:ext xmlns:c15="http://schemas.microsoft.com/office/drawing/2012/chart" uri="{CE6537A1-D6FC-4f65-9D91-7224C49458BB}"/>
          </c:extLst>
        </c:dLbl>
      </c:pivotFmt>
      <c:pivotFmt>
        <c:idx val="151"/>
        <c:spPr>
          <a:solidFill>
            <a:schemeClr val="accent1"/>
          </a:solidFill>
          <a:ln w="19050">
            <a:solidFill>
              <a:schemeClr val="lt1"/>
            </a:solidFill>
          </a:ln>
          <a:effectLst/>
        </c:spPr>
      </c:pivotFmt>
      <c:pivotFmt>
        <c:idx val="152"/>
        <c:spPr>
          <a:solidFill>
            <a:schemeClr val="accent1"/>
          </a:solidFill>
          <a:ln w="19050">
            <a:solidFill>
              <a:schemeClr val="lt1"/>
            </a:solidFill>
          </a:ln>
          <a:effectLst/>
        </c:spPr>
      </c:pivotFmt>
      <c:pivotFmt>
        <c:idx val="153"/>
        <c:spPr>
          <a:solidFill>
            <a:schemeClr val="accent1"/>
          </a:solidFill>
          <a:ln w="19050">
            <a:solidFill>
              <a:schemeClr val="lt1"/>
            </a:solidFill>
          </a:ln>
          <a:effectLst/>
        </c:spPr>
      </c:pivotFmt>
      <c:pivotFmt>
        <c:idx val="154"/>
        <c:spPr>
          <a:solidFill>
            <a:schemeClr val="accent1"/>
          </a:solidFill>
          <a:ln w="19050">
            <a:solidFill>
              <a:schemeClr val="lt1"/>
            </a:solidFill>
          </a:ln>
          <a:effectLst/>
        </c:spPr>
      </c:pivotFmt>
      <c:pivotFmt>
        <c:idx val="155"/>
        <c:spPr>
          <a:solidFill>
            <a:schemeClr val="accent1"/>
          </a:solidFill>
          <a:ln w="19050">
            <a:solidFill>
              <a:schemeClr val="lt1"/>
            </a:solidFill>
          </a:ln>
          <a:effectLst/>
        </c:spPr>
      </c:pivotFmt>
      <c:pivotFmt>
        <c:idx val="156"/>
        <c:spPr>
          <a:solidFill>
            <a:schemeClr val="accent1"/>
          </a:solidFill>
          <a:ln w="19050">
            <a:solidFill>
              <a:schemeClr val="lt1"/>
            </a:solidFill>
          </a:ln>
          <a:effectLst/>
        </c:spPr>
      </c:pivotFmt>
      <c:pivotFmt>
        <c:idx val="157"/>
        <c:spPr>
          <a:solidFill>
            <a:schemeClr val="accent1"/>
          </a:solidFill>
          <a:ln w="19050">
            <a:solidFill>
              <a:schemeClr val="lt1"/>
            </a:solidFill>
          </a:ln>
          <a:effectLst/>
        </c:spPr>
      </c:pivotFmt>
      <c:pivotFmt>
        <c:idx val="158"/>
        <c:spPr>
          <a:solidFill>
            <a:schemeClr val="accent1"/>
          </a:solidFill>
          <a:ln w="19050">
            <a:solidFill>
              <a:schemeClr val="lt1"/>
            </a:solidFill>
          </a:ln>
          <a:effectLst/>
        </c:spPr>
      </c:pivotFmt>
      <c:pivotFmt>
        <c:idx val="159"/>
        <c:spPr>
          <a:solidFill>
            <a:schemeClr val="accent1"/>
          </a:solidFill>
          <a:ln w="19050">
            <a:solidFill>
              <a:schemeClr val="lt1"/>
            </a:solidFill>
          </a:ln>
          <a:effectLst/>
        </c:spPr>
      </c:pivotFmt>
      <c:pivotFmt>
        <c:idx val="160"/>
        <c:spPr>
          <a:solidFill>
            <a:schemeClr val="accent1"/>
          </a:solidFill>
          <a:ln w="19050">
            <a:solidFill>
              <a:schemeClr val="lt1"/>
            </a:solidFill>
          </a:ln>
          <a:effectLst/>
        </c:spPr>
      </c:pivotFmt>
      <c:pivotFmt>
        <c:idx val="161"/>
        <c:spPr>
          <a:solidFill>
            <a:schemeClr val="accent1"/>
          </a:solidFill>
          <a:ln w="19050">
            <a:solidFill>
              <a:schemeClr val="lt1"/>
            </a:solidFill>
          </a:ln>
          <a:effectLst/>
        </c:spPr>
      </c:pivotFmt>
      <c:pivotFmt>
        <c:idx val="162"/>
        <c:spPr>
          <a:solidFill>
            <a:schemeClr val="accent1"/>
          </a:solidFill>
          <a:ln w="19050">
            <a:solidFill>
              <a:schemeClr val="lt1"/>
            </a:solidFill>
          </a:ln>
          <a:effectLst/>
        </c:spPr>
      </c:pivotFmt>
      <c:pivotFmt>
        <c:idx val="163"/>
        <c:spPr>
          <a:solidFill>
            <a:schemeClr val="accent1"/>
          </a:solidFill>
          <a:ln w="19050">
            <a:solidFill>
              <a:schemeClr val="lt1"/>
            </a:solidFill>
          </a:ln>
          <a:effectLst/>
        </c:spPr>
      </c:pivotFmt>
      <c:pivotFmt>
        <c:idx val="164"/>
        <c:spPr>
          <a:solidFill>
            <a:schemeClr val="accent1"/>
          </a:solidFill>
          <a:ln w="19050">
            <a:solidFill>
              <a:schemeClr val="lt1"/>
            </a:solidFill>
          </a:ln>
          <a:effectLst/>
        </c:spPr>
      </c:pivotFmt>
      <c:pivotFmt>
        <c:idx val="165"/>
        <c:spPr>
          <a:solidFill>
            <a:schemeClr val="accent1"/>
          </a:solidFill>
          <a:ln w="19050">
            <a:solidFill>
              <a:schemeClr val="lt1"/>
            </a:solidFill>
          </a:ln>
          <a:effectLst/>
        </c:spPr>
      </c:pivotFmt>
      <c:pivotFmt>
        <c:idx val="166"/>
        <c:spPr>
          <a:solidFill>
            <a:schemeClr val="accent1"/>
          </a:solidFill>
          <a:ln w="19050">
            <a:solidFill>
              <a:schemeClr val="lt1"/>
            </a:solidFill>
          </a:ln>
          <a:effectLst/>
        </c:spPr>
      </c:pivotFmt>
      <c:pivotFmt>
        <c:idx val="167"/>
        <c:spPr>
          <a:solidFill>
            <a:schemeClr val="accent1"/>
          </a:solidFill>
          <a:ln w="19050">
            <a:solidFill>
              <a:schemeClr val="lt1"/>
            </a:solidFill>
          </a:ln>
          <a:effectLst/>
        </c:spPr>
      </c:pivotFmt>
      <c:pivotFmt>
        <c:idx val="168"/>
        <c:spPr>
          <a:solidFill>
            <a:schemeClr val="accent1"/>
          </a:solidFill>
          <a:ln w="19050">
            <a:solidFill>
              <a:schemeClr val="lt1"/>
            </a:solidFill>
          </a:ln>
          <a:effectLst/>
        </c:spPr>
      </c:pivotFmt>
      <c:pivotFmt>
        <c:idx val="169"/>
        <c:spPr>
          <a:solidFill>
            <a:schemeClr val="accent1"/>
          </a:solidFill>
          <a:ln w="19050">
            <a:solidFill>
              <a:schemeClr val="lt1"/>
            </a:solidFill>
          </a:ln>
          <a:effectLst/>
        </c:spPr>
      </c:pivotFmt>
      <c:pivotFmt>
        <c:idx val="170"/>
        <c:spPr>
          <a:solidFill>
            <a:schemeClr val="accent1"/>
          </a:solidFill>
          <a:ln w="19050">
            <a:solidFill>
              <a:schemeClr val="lt1"/>
            </a:solidFill>
          </a:ln>
          <a:effectLst/>
        </c:spPr>
      </c:pivotFmt>
      <c:pivotFmt>
        <c:idx val="171"/>
        <c:spPr>
          <a:solidFill>
            <a:schemeClr val="accent1"/>
          </a:solidFill>
          <a:ln w="19050">
            <a:solidFill>
              <a:schemeClr val="lt1"/>
            </a:solidFill>
          </a:ln>
          <a:effectLst/>
        </c:spPr>
      </c:pivotFmt>
      <c:pivotFmt>
        <c:idx val="172"/>
        <c:spPr>
          <a:solidFill>
            <a:schemeClr val="accent1"/>
          </a:solidFill>
          <a:ln w="19050">
            <a:solidFill>
              <a:schemeClr val="lt1"/>
            </a:solidFill>
          </a:ln>
          <a:effectLst/>
        </c:spPr>
      </c:pivotFmt>
      <c:pivotFmt>
        <c:idx val="173"/>
        <c:spPr>
          <a:solidFill>
            <a:schemeClr val="accent1"/>
          </a:solidFill>
          <a:ln w="19050">
            <a:solidFill>
              <a:schemeClr val="lt1"/>
            </a:solidFill>
          </a:ln>
          <a:effectLst/>
        </c:spPr>
      </c:pivotFmt>
      <c:pivotFmt>
        <c:idx val="174"/>
        <c:spPr>
          <a:solidFill>
            <a:schemeClr val="accent1"/>
          </a:solidFill>
          <a:ln w="19050">
            <a:solidFill>
              <a:schemeClr val="lt1"/>
            </a:solidFill>
          </a:ln>
          <a:effectLst/>
        </c:spPr>
      </c:pivotFmt>
      <c:pivotFmt>
        <c:idx val="175"/>
        <c:spPr>
          <a:solidFill>
            <a:schemeClr val="accent1"/>
          </a:solidFill>
          <a:ln w="19050">
            <a:solidFill>
              <a:schemeClr val="lt1"/>
            </a:solidFill>
          </a:ln>
          <a:effectLst/>
        </c:spPr>
      </c:pivotFmt>
      <c:pivotFmt>
        <c:idx val="176"/>
        <c:spPr>
          <a:solidFill>
            <a:schemeClr val="accent1"/>
          </a:solidFill>
          <a:ln w="19050">
            <a:solidFill>
              <a:schemeClr val="lt1"/>
            </a:solidFill>
          </a:ln>
          <a:effectLst/>
        </c:spPr>
      </c:pivotFmt>
      <c:pivotFmt>
        <c:idx val="177"/>
        <c:spPr>
          <a:solidFill>
            <a:schemeClr val="accent1"/>
          </a:solidFill>
          <a:ln w="19050">
            <a:solidFill>
              <a:schemeClr val="lt1"/>
            </a:solidFill>
          </a:ln>
          <a:effectLst/>
        </c:spPr>
      </c:pivotFmt>
      <c:pivotFmt>
        <c:idx val="178"/>
        <c:spPr>
          <a:solidFill>
            <a:schemeClr val="accent1"/>
          </a:solidFill>
          <a:ln w="19050">
            <a:solidFill>
              <a:schemeClr val="lt1"/>
            </a:solidFill>
          </a:ln>
          <a:effectLst/>
        </c:spPr>
      </c:pivotFmt>
      <c:pivotFmt>
        <c:idx val="179"/>
        <c:spPr>
          <a:solidFill>
            <a:schemeClr val="accent1"/>
          </a:solidFill>
          <a:ln w="19050">
            <a:solidFill>
              <a:schemeClr val="lt1"/>
            </a:solidFill>
          </a:ln>
          <a:effectLst/>
        </c:spPr>
      </c:pivotFmt>
      <c:pivotFmt>
        <c:idx val="180"/>
        <c:spPr>
          <a:solidFill>
            <a:schemeClr val="accent1"/>
          </a:solidFill>
          <a:ln w="19050">
            <a:solidFill>
              <a:schemeClr val="lt1"/>
            </a:solidFill>
          </a:ln>
          <a:effectLst/>
        </c:spPr>
      </c:pivotFmt>
      <c:pivotFmt>
        <c:idx val="181"/>
        <c:spPr>
          <a:solidFill>
            <a:schemeClr val="accent1"/>
          </a:solidFill>
          <a:ln w="19050">
            <a:solidFill>
              <a:schemeClr val="lt1"/>
            </a:solidFill>
          </a:ln>
          <a:effectLst/>
        </c:spPr>
      </c:pivotFmt>
      <c:pivotFmt>
        <c:idx val="182"/>
        <c:spPr>
          <a:solidFill>
            <a:schemeClr val="accent1"/>
          </a:solidFill>
          <a:ln w="19050">
            <a:solidFill>
              <a:schemeClr val="lt1"/>
            </a:solidFill>
          </a:ln>
          <a:effectLst/>
        </c:spPr>
      </c:pivotFmt>
      <c:pivotFmt>
        <c:idx val="183"/>
        <c:spPr>
          <a:solidFill>
            <a:schemeClr val="accent1"/>
          </a:solidFill>
          <a:ln w="19050">
            <a:solidFill>
              <a:schemeClr val="lt1"/>
            </a:solidFill>
          </a:ln>
          <a:effectLst/>
        </c:spPr>
      </c:pivotFmt>
      <c:pivotFmt>
        <c:idx val="184"/>
        <c:spPr>
          <a:solidFill>
            <a:schemeClr val="accent1"/>
          </a:solidFill>
          <a:ln w="19050">
            <a:solidFill>
              <a:schemeClr val="lt1"/>
            </a:solidFill>
          </a:ln>
          <a:effectLst/>
        </c:spPr>
      </c:pivotFmt>
      <c:pivotFmt>
        <c:idx val="185"/>
        <c:spPr>
          <a:solidFill>
            <a:schemeClr val="accent1"/>
          </a:solidFill>
          <a:ln w="19050">
            <a:solidFill>
              <a:schemeClr val="lt1"/>
            </a:solidFill>
          </a:ln>
          <a:effectLst/>
        </c:spPr>
      </c:pivotFmt>
      <c:pivotFmt>
        <c:idx val="186"/>
        <c:spPr>
          <a:solidFill>
            <a:schemeClr val="accent1"/>
          </a:solidFill>
          <a:ln w="19050">
            <a:solidFill>
              <a:schemeClr val="lt1"/>
            </a:solidFill>
          </a:ln>
          <a:effectLst/>
        </c:spPr>
      </c:pivotFmt>
      <c:pivotFmt>
        <c:idx val="187"/>
        <c:spPr>
          <a:solidFill>
            <a:schemeClr val="accent1"/>
          </a:solidFill>
          <a:ln w="19050">
            <a:solidFill>
              <a:schemeClr val="lt1"/>
            </a:solidFill>
          </a:ln>
          <a:effectLst/>
        </c:spPr>
      </c:pivotFmt>
      <c:pivotFmt>
        <c:idx val="188"/>
        <c:spPr>
          <a:solidFill>
            <a:schemeClr val="accent1"/>
          </a:solidFill>
          <a:ln w="19050">
            <a:solidFill>
              <a:schemeClr val="lt1"/>
            </a:solidFill>
          </a:ln>
          <a:effectLst/>
        </c:spPr>
      </c:pivotFmt>
      <c:pivotFmt>
        <c:idx val="189"/>
        <c:spPr>
          <a:solidFill>
            <a:schemeClr val="accent1"/>
          </a:solidFill>
          <a:ln w="19050">
            <a:solidFill>
              <a:schemeClr val="lt1"/>
            </a:solidFill>
          </a:ln>
          <a:effectLst/>
        </c:spPr>
      </c:pivotFmt>
      <c:pivotFmt>
        <c:idx val="190"/>
        <c:spPr>
          <a:solidFill>
            <a:schemeClr val="accent1"/>
          </a:solidFill>
          <a:ln w="19050">
            <a:solidFill>
              <a:schemeClr val="lt1"/>
            </a:solidFill>
          </a:ln>
          <a:effectLst/>
        </c:spPr>
      </c:pivotFmt>
      <c:pivotFmt>
        <c:idx val="191"/>
        <c:spPr>
          <a:solidFill>
            <a:schemeClr val="accent1"/>
          </a:solidFill>
          <a:ln w="19050">
            <a:solidFill>
              <a:schemeClr val="lt1"/>
            </a:solidFill>
          </a:ln>
          <a:effectLst/>
        </c:spPr>
      </c:pivotFmt>
      <c:pivotFmt>
        <c:idx val="192"/>
        <c:spPr>
          <a:solidFill>
            <a:schemeClr val="accent1"/>
          </a:solidFill>
          <a:ln w="19050">
            <a:solidFill>
              <a:schemeClr val="lt1"/>
            </a:solidFill>
          </a:ln>
          <a:effectLst/>
        </c:spPr>
      </c:pivotFmt>
      <c:pivotFmt>
        <c:idx val="193"/>
        <c:spPr>
          <a:solidFill>
            <a:schemeClr val="accent1"/>
          </a:solidFill>
          <a:ln w="19050">
            <a:solidFill>
              <a:schemeClr val="lt1"/>
            </a:solidFill>
          </a:ln>
          <a:effectLst/>
        </c:spPr>
      </c:pivotFmt>
      <c:pivotFmt>
        <c:idx val="194"/>
        <c:spPr>
          <a:solidFill>
            <a:schemeClr val="accent1"/>
          </a:solidFill>
          <a:ln w="19050">
            <a:solidFill>
              <a:schemeClr val="lt1"/>
            </a:solidFill>
          </a:ln>
          <a:effectLst/>
        </c:spPr>
      </c:pivotFmt>
      <c:pivotFmt>
        <c:idx val="195"/>
        <c:spPr>
          <a:solidFill>
            <a:schemeClr val="accent1"/>
          </a:solidFill>
          <a:ln w="19050">
            <a:solidFill>
              <a:schemeClr val="lt1"/>
            </a:solidFill>
          </a:ln>
          <a:effectLst/>
        </c:spPr>
      </c:pivotFmt>
      <c:pivotFmt>
        <c:idx val="196"/>
        <c:spPr>
          <a:solidFill>
            <a:schemeClr val="accent1"/>
          </a:solidFill>
          <a:ln w="19050">
            <a:solidFill>
              <a:schemeClr val="lt1"/>
            </a:solidFill>
          </a:ln>
          <a:effectLst/>
        </c:spPr>
      </c:pivotFmt>
      <c:pivotFmt>
        <c:idx val="197"/>
        <c:spPr>
          <a:solidFill>
            <a:schemeClr val="accent1"/>
          </a:solidFill>
          <a:ln w="19050">
            <a:solidFill>
              <a:schemeClr val="lt1"/>
            </a:solidFill>
          </a:ln>
          <a:effectLst/>
        </c:spPr>
      </c:pivotFmt>
      <c:pivotFmt>
        <c:idx val="198"/>
        <c:spPr>
          <a:solidFill>
            <a:schemeClr val="accent1"/>
          </a:solidFill>
          <a:ln w="19050">
            <a:solidFill>
              <a:schemeClr val="lt1"/>
            </a:solidFill>
          </a:ln>
          <a:effectLst/>
        </c:spPr>
      </c:pivotFmt>
      <c:pivotFmt>
        <c:idx val="199"/>
        <c:spPr>
          <a:solidFill>
            <a:schemeClr val="accent1"/>
          </a:solidFill>
          <a:ln w="19050">
            <a:solidFill>
              <a:schemeClr val="lt1"/>
            </a:solidFill>
          </a:ln>
          <a:effectLst/>
        </c:spPr>
      </c:pivotFmt>
      <c:pivotFmt>
        <c:idx val="200"/>
        <c:spPr>
          <a:solidFill>
            <a:schemeClr val="accent1"/>
          </a:solidFill>
          <a:ln w="19050">
            <a:solidFill>
              <a:schemeClr val="lt1"/>
            </a:solidFill>
          </a:ln>
          <a:effectLst/>
        </c:spPr>
      </c:pivotFmt>
      <c:pivotFmt>
        <c:idx val="201"/>
        <c:spPr>
          <a:solidFill>
            <a:schemeClr val="accent1"/>
          </a:solidFill>
          <a:ln w="19050">
            <a:solidFill>
              <a:schemeClr val="lt1"/>
            </a:solidFill>
          </a:ln>
          <a:effectLst/>
        </c:spPr>
      </c:pivotFmt>
      <c:pivotFmt>
        <c:idx val="202"/>
        <c:spPr>
          <a:solidFill>
            <a:schemeClr val="accent1"/>
          </a:solidFill>
          <a:ln w="19050">
            <a:solidFill>
              <a:schemeClr val="lt1"/>
            </a:solidFill>
          </a:ln>
          <a:effectLst/>
        </c:spPr>
      </c:pivotFmt>
      <c:pivotFmt>
        <c:idx val="203"/>
        <c:spPr>
          <a:solidFill>
            <a:schemeClr val="accent1"/>
          </a:solidFill>
          <a:ln w="19050">
            <a:solidFill>
              <a:schemeClr val="lt1"/>
            </a:solidFill>
          </a:ln>
          <a:effectLst/>
        </c:spPr>
      </c:pivotFmt>
      <c:pivotFmt>
        <c:idx val="204"/>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205"/>
        <c:spPr>
          <a:solidFill>
            <a:schemeClr val="accent1"/>
          </a:solidFill>
          <a:ln w="19050">
            <a:solidFill>
              <a:schemeClr val="lt1"/>
            </a:solidFill>
          </a:ln>
          <a:effectLst/>
        </c:spPr>
      </c:pivotFmt>
      <c:pivotFmt>
        <c:idx val="206"/>
        <c:spPr>
          <a:solidFill>
            <a:schemeClr val="accent1"/>
          </a:solidFill>
          <a:ln w="19050">
            <a:solidFill>
              <a:schemeClr val="lt1"/>
            </a:solidFill>
          </a:ln>
          <a:effectLst/>
        </c:spPr>
      </c:pivotFmt>
      <c:pivotFmt>
        <c:idx val="207"/>
        <c:spPr>
          <a:solidFill>
            <a:schemeClr val="accent1"/>
          </a:solidFill>
          <a:ln w="19050">
            <a:solidFill>
              <a:schemeClr val="lt1"/>
            </a:solidFill>
          </a:ln>
          <a:effectLst/>
        </c:spPr>
      </c:pivotFmt>
      <c:pivotFmt>
        <c:idx val="208"/>
        <c:spPr>
          <a:solidFill>
            <a:schemeClr val="accent1"/>
          </a:solidFill>
          <a:ln w="19050">
            <a:solidFill>
              <a:schemeClr val="lt1"/>
            </a:solidFill>
          </a:ln>
          <a:effectLst/>
        </c:spPr>
      </c:pivotFmt>
      <c:pivotFmt>
        <c:idx val="209"/>
        <c:spPr>
          <a:solidFill>
            <a:schemeClr val="accent1"/>
          </a:solidFill>
          <a:ln w="19050">
            <a:solidFill>
              <a:schemeClr val="lt1"/>
            </a:solidFill>
          </a:ln>
          <a:effectLst/>
        </c:spPr>
      </c:pivotFmt>
      <c:pivotFmt>
        <c:idx val="210"/>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211"/>
        <c:spPr>
          <a:solidFill>
            <a:schemeClr val="accent1"/>
          </a:solidFill>
          <a:ln w="19050">
            <a:solidFill>
              <a:schemeClr val="lt1"/>
            </a:solidFill>
          </a:ln>
          <a:effectLst/>
        </c:spPr>
      </c:pivotFmt>
      <c:pivotFmt>
        <c:idx val="212"/>
        <c:spPr>
          <a:solidFill>
            <a:schemeClr val="accent1"/>
          </a:solidFill>
          <a:ln w="19050">
            <a:solidFill>
              <a:schemeClr val="lt1"/>
            </a:solidFill>
          </a:ln>
          <a:effectLst/>
        </c:spPr>
      </c:pivotFmt>
      <c:pivotFmt>
        <c:idx val="213"/>
        <c:spPr>
          <a:solidFill>
            <a:schemeClr val="accent1"/>
          </a:solidFill>
          <a:ln w="19050">
            <a:solidFill>
              <a:schemeClr val="lt1"/>
            </a:solidFill>
          </a:ln>
          <a:effectLst/>
        </c:spPr>
      </c:pivotFmt>
      <c:pivotFmt>
        <c:idx val="214"/>
        <c:spPr>
          <a:solidFill>
            <a:schemeClr val="accent1"/>
          </a:solidFill>
          <a:ln w="19050">
            <a:solidFill>
              <a:schemeClr val="lt1"/>
            </a:solidFill>
          </a:ln>
          <a:effectLst/>
        </c:spPr>
      </c:pivotFmt>
      <c:pivotFmt>
        <c:idx val="215"/>
        <c:spPr>
          <a:solidFill>
            <a:schemeClr val="accent1"/>
          </a:solidFill>
          <a:ln w="19050">
            <a:solidFill>
              <a:schemeClr val="lt1"/>
            </a:solidFill>
          </a:ln>
          <a:effectLst/>
        </c:spPr>
      </c:pivotFmt>
    </c:pivotFmts>
    <c:plotArea>
      <c:layout>
        <c:manualLayout>
          <c:layoutTarget val="inner"/>
          <c:xMode val="edge"/>
          <c:yMode val="edge"/>
          <c:x val="0.28000653764433286"/>
          <c:y val="0.32814437770835009"/>
          <c:w val="0.41274629132896851"/>
          <c:h val="0.55552855400758183"/>
        </c:manualLayout>
      </c:layout>
      <c:pieChart>
        <c:varyColors val="1"/>
        <c:ser>
          <c:idx val="0"/>
          <c:order val="0"/>
          <c:tx>
            <c:strRef>
              <c:f>'G - Encargados'!$B$29</c:f>
              <c:strCache>
                <c:ptCount val="1"/>
                <c:pt idx="0">
                  <c:v>Total</c:v>
                </c:pt>
              </c:strCache>
            </c:strRef>
          </c:tx>
          <c:dPt>
            <c:idx val="0"/>
            <c:bubble3D val="0"/>
            <c:spPr>
              <a:solidFill>
                <a:schemeClr val="accent1">
                  <a:shade val="53000"/>
                </a:schemeClr>
              </a:solidFill>
              <a:ln w="19050">
                <a:solidFill>
                  <a:schemeClr val="lt1"/>
                </a:solidFill>
              </a:ln>
              <a:effectLst/>
            </c:spPr>
            <c:extLst>
              <c:ext xmlns:c16="http://schemas.microsoft.com/office/drawing/2014/chart" uri="{C3380CC4-5D6E-409C-BE32-E72D297353CC}">
                <c16:uniqueId val="{00000001-F796-4C6D-B532-9CE017182EE6}"/>
              </c:ext>
            </c:extLst>
          </c:dPt>
          <c:dPt>
            <c:idx val="1"/>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3-F796-4C6D-B532-9CE017182EE6}"/>
              </c:ext>
            </c:extLst>
          </c:dPt>
          <c:dPt>
            <c:idx val="2"/>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05-F796-4C6D-B532-9CE017182EE6}"/>
              </c:ext>
            </c:extLst>
          </c:dPt>
          <c:dPt>
            <c:idx val="3"/>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7-F796-4C6D-B532-9CE017182EE6}"/>
              </c:ext>
            </c:extLst>
          </c:dPt>
          <c:dPt>
            <c:idx val="4"/>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9-F796-4C6D-B532-9CE017182EE6}"/>
              </c:ext>
            </c:extLst>
          </c:dPt>
          <c:dPt>
            <c:idx val="5"/>
            <c:bubble3D val="0"/>
            <c:spPr>
              <a:solidFill>
                <a:schemeClr val="accent1">
                  <a:tint val="30000"/>
                </a:schemeClr>
              </a:solidFill>
              <a:ln w="19050">
                <a:solidFill>
                  <a:schemeClr val="lt1"/>
                </a:solidFill>
              </a:ln>
              <a:effectLst/>
            </c:spPr>
            <c:extLst>
              <c:ext xmlns:c16="http://schemas.microsoft.com/office/drawing/2014/chart" uri="{C3380CC4-5D6E-409C-BE32-E72D297353CC}">
                <c16:uniqueId val="{0000000B-F796-4C6D-B532-9CE017182EE6}"/>
              </c:ext>
            </c:extLst>
          </c:dPt>
          <c:dPt>
            <c:idx val="6"/>
            <c:bubble3D val="0"/>
            <c:spPr>
              <a:solidFill>
                <a:schemeClr val="accent1">
                  <a:tint val="7000"/>
                </a:schemeClr>
              </a:solidFill>
              <a:ln w="19050">
                <a:solidFill>
                  <a:schemeClr val="lt1"/>
                </a:solidFill>
              </a:ln>
              <a:effectLst/>
            </c:spPr>
            <c:extLst>
              <c:ext xmlns:c16="http://schemas.microsoft.com/office/drawing/2014/chart" uri="{C3380CC4-5D6E-409C-BE32-E72D297353CC}">
                <c16:uniqueId val="{0000000D-F796-4C6D-B532-9CE017182EE6}"/>
              </c:ext>
            </c:extLst>
          </c:dPt>
          <c:dPt>
            <c:idx val="7"/>
            <c:bubble3D val="0"/>
            <c:spPr>
              <a:solidFill>
                <a:schemeClr val="accent1">
                  <a:tint val="84000"/>
                </a:schemeClr>
              </a:solidFill>
              <a:ln w="19050">
                <a:solidFill>
                  <a:schemeClr val="lt1"/>
                </a:solidFill>
              </a:ln>
              <a:effectLst/>
            </c:spPr>
            <c:extLst>
              <c:ext xmlns:c16="http://schemas.microsoft.com/office/drawing/2014/chart" uri="{C3380CC4-5D6E-409C-BE32-E72D297353CC}">
                <c16:uniqueId val="{0000000F-F796-4C6D-B532-9CE017182EE6}"/>
              </c:ext>
            </c:extLst>
          </c:dPt>
          <c:dPt>
            <c:idx val="8"/>
            <c:bubble3D val="0"/>
            <c:spPr>
              <a:solidFill>
                <a:schemeClr val="accent1">
                  <a:tint val="60000"/>
                </a:schemeClr>
              </a:solidFill>
              <a:ln w="19050">
                <a:solidFill>
                  <a:schemeClr val="lt1"/>
                </a:solidFill>
              </a:ln>
              <a:effectLst/>
            </c:spPr>
            <c:extLst>
              <c:ext xmlns:c16="http://schemas.microsoft.com/office/drawing/2014/chart" uri="{C3380CC4-5D6E-409C-BE32-E72D297353CC}">
                <c16:uniqueId val="{00000011-F796-4C6D-B532-9CE017182EE6}"/>
              </c:ext>
            </c:extLst>
          </c:dPt>
          <c:dPt>
            <c:idx val="9"/>
            <c:bubble3D val="0"/>
            <c:spPr>
              <a:solidFill>
                <a:schemeClr val="accent1">
                  <a:tint val="37000"/>
                </a:schemeClr>
              </a:solidFill>
              <a:ln w="19050">
                <a:solidFill>
                  <a:schemeClr val="lt1"/>
                </a:solidFill>
              </a:ln>
              <a:effectLst/>
            </c:spPr>
            <c:extLst>
              <c:ext xmlns:c16="http://schemas.microsoft.com/office/drawing/2014/chart" uri="{C3380CC4-5D6E-409C-BE32-E72D297353CC}">
                <c16:uniqueId val="{00000013-F796-4C6D-B532-9CE017182EE6}"/>
              </c:ext>
            </c:extLst>
          </c:dPt>
          <c:dPt>
            <c:idx val="10"/>
            <c:bubble3D val="0"/>
            <c:spPr>
              <a:solidFill>
                <a:schemeClr val="accent1">
                  <a:tint val="14000"/>
                </a:schemeClr>
              </a:solidFill>
              <a:ln w="19050">
                <a:solidFill>
                  <a:schemeClr val="lt1"/>
                </a:solidFill>
              </a:ln>
              <a:effectLst/>
            </c:spPr>
            <c:extLst>
              <c:ext xmlns:c16="http://schemas.microsoft.com/office/drawing/2014/chart" uri="{C3380CC4-5D6E-409C-BE32-E72D297353CC}">
                <c16:uniqueId val="{00000015-F796-4C6D-B532-9CE017182EE6}"/>
              </c:ext>
            </c:extLst>
          </c:dPt>
          <c:dPt>
            <c:idx val="11"/>
            <c:bubble3D val="0"/>
            <c:spPr>
              <a:solidFill>
                <a:schemeClr val="accent1">
                  <a:tint val="90000"/>
                </a:schemeClr>
              </a:solidFill>
              <a:ln w="19050">
                <a:solidFill>
                  <a:schemeClr val="lt1"/>
                </a:solidFill>
              </a:ln>
              <a:effectLst/>
            </c:spPr>
            <c:extLst>
              <c:ext xmlns:c16="http://schemas.microsoft.com/office/drawing/2014/chart" uri="{C3380CC4-5D6E-409C-BE32-E72D297353CC}">
                <c16:uniqueId val="{00000017-F796-4C6D-B532-9CE017182EE6}"/>
              </c:ext>
            </c:extLst>
          </c:dPt>
          <c:dPt>
            <c:idx val="12"/>
            <c:bubble3D val="0"/>
            <c:spPr>
              <a:solidFill>
                <a:schemeClr val="accent1">
                  <a:tint val="67000"/>
                </a:schemeClr>
              </a:solidFill>
              <a:ln w="19050">
                <a:solidFill>
                  <a:schemeClr val="lt1"/>
                </a:solidFill>
              </a:ln>
              <a:effectLst/>
            </c:spPr>
            <c:extLst>
              <c:ext xmlns:c16="http://schemas.microsoft.com/office/drawing/2014/chart" uri="{C3380CC4-5D6E-409C-BE32-E72D297353CC}">
                <c16:uniqueId val="{00000019-F796-4C6D-B532-9CE017182EE6}"/>
              </c:ext>
            </c:extLst>
          </c:dPt>
          <c:dPt>
            <c:idx val="13"/>
            <c:bubble3D val="0"/>
            <c:spPr>
              <a:solidFill>
                <a:schemeClr val="accent1">
                  <a:tint val="44000"/>
                </a:schemeClr>
              </a:solidFill>
              <a:ln w="19050">
                <a:solidFill>
                  <a:schemeClr val="lt1"/>
                </a:solidFill>
              </a:ln>
              <a:effectLst/>
            </c:spPr>
            <c:extLst>
              <c:ext xmlns:c16="http://schemas.microsoft.com/office/drawing/2014/chart" uri="{C3380CC4-5D6E-409C-BE32-E72D297353CC}">
                <c16:uniqueId val="{0000001B-F796-4C6D-B532-9CE017182EE6}"/>
              </c:ext>
            </c:extLst>
          </c:dPt>
          <c:dPt>
            <c:idx val="14"/>
            <c:bubble3D val="0"/>
            <c:spPr>
              <a:solidFill>
                <a:schemeClr val="accent1">
                  <a:tint val="20000"/>
                </a:schemeClr>
              </a:solidFill>
              <a:ln w="19050">
                <a:solidFill>
                  <a:schemeClr val="lt1"/>
                </a:solidFill>
              </a:ln>
              <a:effectLst/>
            </c:spPr>
            <c:extLst>
              <c:ext xmlns:c16="http://schemas.microsoft.com/office/drawing/2014/chart" uri="{C3380CC4-5D6E-409C-BE32-E72D297353CC}">
                <c16:uniqueId val="{0000001D-F796-4C6D-B532-9CE017182EE6}"/>
              </c:ext>
            </c:extLst>
          </c:dPt>
          <c:dPt>
            <c:idx val="15"/>
            <c:bubble3D val="0"/>
            <c:spPr>
              <a:solidFill>
                <a:schemeClr val="accent1">
                  <a:tint val="97000"/>
                </a:schemeClr>
              </a:solidFill>
              <a:ln w="19050">
                <a:solidFill>
                  <a:schemeClr val="lt1"/>
                </a:solidFill>
              </a:ln>
              <a:effectLst/>
            </c:spPr>
            <c:extLst>
              <c:ext xmlns:c16="http://schemas.microsoft.com/office/drawing/2014/chart" uri="{C3380CC4-5D6E-409C-BE32-E72D297353CC}">
                <c16:uniqueId val="{0000001F-F796-4C6D-B532-9CE017182EE6}"/>
              </c:ext>
            </c:extLst>
          </c:dPt>
          <c:dPt>
            <c:idx val="16"/>
            <c:bubble3D val="0"/>
            <c:spPr>
              <a:solidFill>
                <a:schemeClr val="accent1">
                  <a:tint val="74000"/>
                </a:schemeClr>
              </a:solidFill>
              <a:ln w="19050">
                <a:solidFill>
                  <a:schemeClr val="lt1"/>
                </a:solidFill>
              </a:ln>
              <a:effectLst/>
            </c:spPr>
            <c:extLst>
              <c:ext xmlns:c16="http://schemas.microsoft.com/office/drawing/2014/chart" uri="{C3380CC4-5D6E-409C-BE32-E72D297353CC}">
                <c16:uniqueId val="{00000021-F796-4C6D-B532-9CE017182EE6}"/>
              </c:ext>
            </c:extLst>
          </c:dPt>
          <c:dPt>
            <c:idx val="17"/>
            <c:bubble3D val="0"/>
            <c:spPr>
              <a:solidFill>
                <a:schemeClr val="accent1">
                  <a:tint val="50000"/>
                </a:schemeClr>
              </a:solidFill>
              <a:ln w="19050">
                <a:solidFill>
                  <a:schemeClr val="lt1"/>
                </a:solidFill>
              </a:ln>
              <a:effectLst/>
            </c:spPr>
            <c:extLst>
              <c:ext xmlns:c16="http://schemas.microsoft.com/office/drawing/2014/chart" uri="{C3380CC4-5D6E-409C-BE32-E72D297353CC}">
                <c16:uniqueId val="{00000023-F796-4C6D-B532-9CE017182EE6}"/>
              </c:ext>
            </c:extLst>
          </c:dPt>
          <c:dPt>
            <c:idx val="18"/>
            <c:bubble3D val="0"/>
            <c:spPr>
              <a:solidFill>
                <a:schemeClr val="accent1">
                  <a:tint val="27000"/>
                </a:schemeClr>
              </a:solidFill>
              <a:ln w="19050">
                <a:solidFill>
                  <a:schemeClr val="lt1"/>
                </a:solidFill>
              </a:ln>
              <a:effectLst/>
            </c:spPr>
            <c:extLst>
              <c:ext xmlns:c16="http://schemas.microsoft.com/office/drawing/2014/chart" uri="{C3380CC4-5D6E-409C-BE32-E72D297353CC}">
                <c16:uniqueId val="{00000025-F796-4C6D-B532-9CE017182EE6}"/>
              </c:ext>
            </c:extLst>
          </c:dPt>
          <c:dPt>
            <c:idx val="19"/>
            <c:bubble3D val="0"/>
            <c:spPr>
              <a:solidFill>
                <a:schemeClr val="accent1">
                  <a:tint val="4000"/>
                </a:schemeClr>
              </a:solidFill>
              <a:ln w="19050">
                <a:solidFill>
                  <a:schemeClr val="lt1"/>
                </a:solidFill>
              </a:ln>
              <a:effectLst/>
            </c:spPr>
            <c:extLst>
              <c:ext xmlns:c16="http://schemas.microsoft.com/office/drawing/2014/chart" uri="{C3380CC4-5D6E-409C-BE32-E72D297353CC}">
                <c16:uniqueId val="{00000027-F796-4C6D-B532-9CE017182EE6}"/>
              </c:ext>
            </c:extLst>
          </c:dPt>
          <c:dPt>
            <c:idx val="20"/>
            <c:bubble3D val="0"/>
            <c:spPr>
              <a:solidFill>
                <a:schemeClr val="accent1">
                  <a:tint val="80000"/>
                </a:schemeClr>
              </a:solidFill>
              <a:ln w="19050">
                <a:solidFill>
                  <a:schemeClr val="lt1"/>
                </a:solidFill>
              </a:ln>
              <a:effectLst/>
            </c:spPr>
            <c:extLst>
              <c:ext xmlns:c16="http://schemas.microsoft.com/office/drawing/2014/chart" uri="{C3380CC4-5D6E-409C-BE32-E72D297353CC}">
                <c16:uniqueId val="{00000029-F796-4C6D-B532-9CE017182EE6}"/>
              </c:ext>
            </c:extLst>
          </c:dPt>
          <c:dPt>
            <c:idx val="21"/>
            <c:bubble3D val="0"/>
            <c:spPr>
              <a:solidFill>
                <a:schemeClr val="accent1">
                  <a:tint val="57000"/>
                </a:schemeClr>
              </a:solidFill>
              <a:ln w="19050">
                <a:solidFill>
                  <a:schemeClr val="lt1"/>
                </a:solidFill>
              </a:ln>
              <a:effectLst/>
            </c:spPr>
            <c:extLst>
              <c:ext xmlns:c16="http://schemas.microsoft.com/office/drawing/2014/chart" uri="{C3380CC4-5D6E-409C-BE32-E72D297353CC}">
                <c16:uniqueId val="{0000002B-F796-4C6D-B532-9CE017182EE6}"/>
              </c:ext>
            </c:extLst>
          </c:dPt>
          <c:dPt>
            <c:idx val="22"/>
            <c:bubble3D val="0"/>
            <c:spPr>
              <a:solidFill>
                <a:schemeClr val="accent1">
                  <a:tint val="34000"/>
                </a:schemeClr>
              </a:solidFill>
              <a:ln w="19050">
                <a:solidFill>
                  <a:schemeClr val="lt1"/>
                </a:solidFill>
              </a:ln>
              <a:effectLst/>
            </c:spPr>
            <c:extLst>
              <c:ext xmlns:c16="http://schemas.microsoft.com/office/drawing/2014/chart" uri="{C3380CC4-5D6E-409C-BE32-E72D297353CC}">
                <c16:uniqueId val="{0000002D-F796-4C6D-B532-9CE017182EE6}"/>
              </c:ext>
            </c:extLst>
          </c:dPt>
          <c:dPt>
            <c:idx val="23"/>
            <c:bubble3D val="0"/>
            <c:spPr>
              <a:solidFill>
                <a:schemeClr val="accent1">
                  <a:tint val="10000"/>
                </a:schemeClr>
              </a:solidFill>
              <a:ln w="19050">
                <a:solidFill>
                  <a:schemeClr val="lt1"/>
                </a:solidFill>
              </a:ln>
              <a:effectLst/>
            </c:spPr>
            <c:extLst>
              <c:ext xmlns:c16="http://schemas.microsoft.com/office/drawing/2014/chart" uri="{C3380CC4-5D6E-409C-BE32-E72D297353CC}">
                <c16:uniqueId val="{0000002F-F796-4C6D-B532-9CE017182EE6}"/>
              </c:ext>
            </c:extLst>
          </c:dPt>
          <c:dPt>
            <c:idx val="24"/>
            <c:bubble3D val="0"/>
            <c:spPr>
              <a:solidFill>
                <a:schemeClr val="accent1">
                  <a:tint val="87000"/>
                </a:schemeClr>
              </a:solidFill>
              <a:ln w="19050">
                <a:solidFill>
                  <a:schemeClr val="lt1"/>
                </a:solidFill>
              </a:ln>
              <a:effectLst/>
            </c:spPr>
            <c:extLst>
              <c:ext xmlns:c16="http://schemas.microsoft.com/office/drawing/2014/chart" uri="{C3380CC4-5D6E-409C-BE32-E72D297353CC}">
                <c16:uniqueId val="{00000031-F796-4C6D-B532-9CE017182EE6}"/>
              </c:ext>
            </c:extLst>
          </c:dPt>
          <c:dPt>
            <c:idx val="25"/>
            <c:bubble3D val="0"/>
            <c:spPr>
              <a:solidFill>
                <a:schemeClr val="accent1">
                  <a:tint val="64000"/>
                </a:schemeClr>
              </a:solidFill>
              <a:ln w="19050">
                <a:solidFill>
                  <a:schemeClr val="lt1"/>
                </a:solidFill>
              </a:ln>
              <a:effectLst/>
            </c:spPr>
            <c:extLst>
              <c:ext xmlns:c16="http://schemas.microsoft.com/office/drawing/2014/chart" uri="{C3380CC4-5D6E-409C-BE32-E72D297353CC}">
                <c16:uniqueId val="{00000033-F796-4C6D-B532-9CE017182EE6}"/>
              </c:ext>
            </c:extLst>
          </c:dPt>
          <c:dPt>
            <c:idx val="26"/>
            <c:bubble3D val="0"/>
            <c:spPr>
              <a:solidFill>
                <a:schemeClr val="accent1">
                  <a:tint val="40000"/>
                </a:schemeClr>
              </a:solidFill>
              <a:ln w="19050">
                <a:solidFill>
                  <a:schemeClr val="lt1"/>
                </a:solidFill>
              </a:ln>
              <a:effectLst/>
            </c:spPr>
            <c:extLst>
              <c:ext xmlns:c16="http://schemas.microsoft.com/office/drawing/2014/chart" uri="{C3380CC4-5D6E-409C-BE32-E72D297353CC}">
                <c16:uniqueId val="{00000035-F796-4C6D-B532-9CE017182EE6}"/>
              </c:ext>
            </c:extLst>
          </c:dPt>
          <c:dPt>
            <c:idx val="27"/>
            <c:bubble3D val="0"/>
            <c:spPr>
              <a:solidFill>
                <a:schemeClr val="accent1">
                  <a:tint val="17000"/>
                </a:schemeClr>
              </a:solidFill>
              <a:ln w="19050">
                <a:solidFill>
                  <a:schemeClr val="lt1"/>
                </a:solidFill>
              </a:ln>
              <a:effectLst/>
            </c:spPr>
            <c:extLst>
              <c:ext xmlns:c16="http://schemas.microsoft.com/office/drawing/2014/chart" uri="{C3380CC4-5D6E-409C-BE32-E72D297353CC}">
                <c16:uniqueId val="{00000037-F796-4C6D-B532-9CE017182EE6}"/>
              </c:ext>
            </c:extLst>
          </c:dPt>
          <c:dPt>
            <c:idx val="28"/>
            <c:bubble3D val="0"/>
            <c:spPr>
              <a:solidFill>
                <a:schemeClr val="accent1">
                  <a:tint val="94000"/>
                </a:schemeClr>
              </a:solidFill>
              <a:ln w="19050">
                <a:solidFill>
                  <a:schemeClr val="lt1"/>
                </a:solidFill>
              </a:ln>
              <a:effectLst/>
            </c:spPr>
            <c:extLst>
              <c:ext xmlns:c16="http://schemas.microsoft.com/office/drawing/2014/chart" uri="{C3380CC4-5D6E-409C-BE32-E72D297353CC}">
                <c16:uniqueId val="{00000039-F796-4C6D-B532-9CE017182EE6}"/>
              </c:ext>
            </c:extLst>
          </c:dPt>
          <c:dPt>
            <c:idx val="29"/>
            <c:bubble3D val="0"/>
            <c:spPr>
              <a:solidFill>
                <a:schemeClr val="accent1">
                  <a:tint val="70000"/>
                </a:schemeClr>
              </a:solidFill>
              <a:ln w="19050">
                <a:solidFill>
                  <a:schemeClr val="lt1"/>
                </a:solidFill>
              </a:ln>
              <a:effectLst/>
            </c:spPr>
            <c:extLst>
              <c:ext xmlns:c16="http://schemas.microsoft.com/office/drawing/2014/chart" uri="{C3380CC4-5D6E-409C-BE32-E72D297353CC}">
                <c16:uniqueId val="{0000003B-F796-4C6D-B532-9CE017182EE6}"/>
              </c:ext>
            </c:extLst>
          </c:dPt>
          <c:dPt>
            <c:idx val="30"/>
            <c:bubble3D val="0"/>
            <c:spPr>
              <a:solidFill>
                <a:schemeClr val="accent1">
                  <a:tint val="47000"/>
                </a:schemeClr>
              </a:solidFill>
              <a:ln w="19050">
                <a:solidFill>
                  <a:schemeClr val="lt1"/>
                </a:solidFill>
              </a:ln>
              <a:effectLst/>
            </c:spPr>
            <c:extLst>
              <c:ext xmlns:c16="http://schemas.microsoft.com/office/drawing/2014/chart" uri="{C3380CC4-5D6E-409C-BE32-E72D297353CC}">
                <c16:uniqueId val="{0000003D-F796-4C6D-B532-9CE017182EE6}"/>
              </c:ext>
            </c:extLst>
          </c:dPt>
          <c:dPt>
            <c:idx val="31"/>
            <c:bubble3D val="0"/>
            <c:spPr>
              <a:solidFill>
                <a:schemeClr val="accent1">
                  <a:tint val="24000"/>
                </a:schemeClr>
              </a:solidFill>
              <a:ln w="19050">
                <a:solidFill>
                  <a:schemeClr val="lt1"/>
                </a:solidFill>
              </a:ln>
              <a:effectLst/>
            </c:spPr>
            <c:extLst>
              <c:ext xmlns:c16="http://schemas.microsoft.com/office/drawing/2014/chart" uri="{C3380CC4-5D6E-409C-BE32-E72D297353CC}">
                <c16:uniqueId val="{0000003F-F796-4C6D-B532-9CE017182EE6}"/>
              </c:ext>
            </c:extLst>
          </c:dPt>
          <c:dLbls>
            <c:dLbl>
              <c:idx val="0"/>
              <c:tx>
                <c:rich>
                  <a:bodyPr/>
                  <a:lstStyle/>
                  <a:p>
                    <a:fld id="{7F66248E-55D6-421D-9E1D-E5BAF2F56270}" type="VALUE">
                      <a:rPr lang="en-US">
                        <a:latin typeface="Times New Roman" panose="02020603050405020304" pitchFamily="18" charset="0"/>
                        <a:cs typeface="Times New Roman" panose="02020603050405020304" pitchFamily="18" charset="0"/>
                      </a:rPr>
                      <a:pPr/>
                      <a:t>[VALUE]</a:t>
                    </a:fld>
                    <a:r>
                      <a:rPr lang="en-US" baseline="0">
                        <a:latin typeface="Times New Roman" panose="02020603050405020304" pitchFamily="18" charset="0"/>
                        <a:cs typeface="Times New Roman" panose="02020603050405020304" pitchFamily="18" charset="0"/>
                      </a:rPr>
                      <a:t>
</a:t>
                    </a:r>
                    <a:fld id="{05565C11-7892-4453-B725-A642508C3343}" type="PERCENTAGE">
                      <a:rPr lang="en-US" baseline="0">
                        <a:latin typeface="Times New Roman" panose="02020603050405020304" pitchFamily="18" charset="0"/>
                        <a:cs typeface="Times New Roman" panose="02020603050405020304" pitchFamily="18" charset="0"/>
                      </a:rPr>
                      <a:pPr/>
                      <a:t>[PERCENTAGE]</a:t>
                    </a:fld>
                    <a:endParaRPr lang="en-US" baseline="0">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F796-4C6D-B532-9CE017182EE6}"/>
                </c:ext>
              </c:extLst>
            </c:dLbl>
            <c:dLbl>
              <c:idx val="1"/>
              <c:layout>
                <c:manualLayout>
                  <c:x val="2.4374117314073972E-2"/>
                  <c:y val="4.7127634107363529E-3"/>
                </c:manualLayout>
              </c:layout>
              <c:tx>
                <c:rich>
                  <a:bodyPr/>
                  <a:lstStyle/>
                  <a:p>
                    <a:fld id="{941362BF-AAAB-4AF4-AA4F-B568BF6412B2}" type="VALUE">
                      <a:rPr lang="en-US">
                        <a:latin typeface="Times New Roman" panose="02020603050405020304" pitchFamily="18" charset="0"/>
                        <a:cs typeface="Times New Roman" panose="02020603050405020304" pitchFamily="18" charset="0"/>
                      </a:rPr>
                      <a:pPr/>
                      <a:t>[VALUE]</a:t>
                    </a:fld>
                    <a:r>
                      <a:rPr lang="en-US" baseline="0">
                        <a:latin typeface="Times New Roman" panose="02020603050405020304" pitchFamily="18" charset="0"/>
                        <a:cs typeface="Times New Roman" panose="02020603050405020304" pitchFamily="18" charset="0"/>
                      </a:rPr>
                      <a:t>
</a:t>
                    </a:r>
                    <a:fld id="{3752A672-DE34-4DEE-AAEE-89A383A0B5AB}" type="PERCENTAGE">
                      <a:rPr lang="en-US" baseline="0">
                        <a:latin typeface="Times New Roman" panose="02020603050405020304" pitchFamily="18" charset="0"/>
                        <a:cs typeface="Times New Roman" panose="02020603050405020304" pitchFamily="18" charset="0"/>
                      </a:rPr>
                      <a:pPr/>
                      <a:t>[PERCENTAGE]</a:t>
                    </a:fld>
                    <a:endParaRPr lang="en-US" baseline="0">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F796-4C6D-B532-9CE017182EE6}"/>
                </c:ext>
              </c:extLst>
            </c:dLbl>
            <c:dLbl>
              <c:idx val="2"/>
              <c:layout>
                <c:manualLayout>
                  <c:x val="6.8560448161365814E-3"/>
                  <c:y val="-2.328353573716186E-2"/>
                </c:manualLayout>
              </c:layout>
              <c:tx>
                <c:rich>
                  <a:bodyPr/>
                  <a:lstStyle/>
                  <a:p>
                    <a:fld id="{E80494F0-6A1A-4FDC-923A-442A82D8F165}" type="VALUE">
                      <a:rPr lang="en-US">
                        <a:latin typeface="Times New Roman" panose="02020603050405020304" pitchFamily="18" charset="0"/>
                        <a:cs typeface="Times New Roman" panose="02020603050405020304" pitchFamily="18" charset="0"/>
                      </a:rPr>
                      <a:pPr/>
                      <a:t>[VALUE]</a:t>
                    </a:fld>
                    <a:r>
                      <a:rPr lang="en-US" baseline="0">
                        <a:latin typeface="Times New Roman" panose="02020603050405020304" pitchFamily="18" charset="0"/>
                        <a:cs typeface="Times New Roman" panose="02020603050405020304" pitchFamily="18" charset="0"/>
                      </a:rPr>
                      <a:t>
</a:t>
                    </a:r>
                    <a:fld id="{57594914-958C-4CD4-8247-FB56E56B6A92}" type="PERCENTAGE">
                      <a:rPr lang="en-US" baseline="0">
                        <a:latin typeface="Times New Roman" panose="02020603050405020304" pitchFamily="18" charset="0"/>
                        <a:cs typeface="Times New Roman" panose="02020603050405020304" pitchFamily="18" charset="0"/>
                      </a:rPr>
                      <a:pPr/>
                      <a:t>[PERCENTAGE]</a:t>
                    </a:fld>
                    <a:endParaRPr lang="en-US" baseline="0">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F796-4C6D-B532-9CE017182EE6}"/>
                </c:ext>
              </c:extLst>
            </c:dLbl>
            <c:dLbl>
              <c:idx val="3"/>
              <c:tx>
                <c:rich>
                  <a:bodyPr/>
                  <a:lstStyle/>
                  <a:p>
                    <a:fld id="{5977782E-40D1-44EF-9B28-952E2EA0E377}" type="VALUE">
                      <a:rPr lang="en-US">
                        <a:latin typeface="Times New Roman" panose="02020603050405020304" pitchFamily="18" charset="0"/>
                        <a:cs typeface="Times New Roman" panose="02020603050405020304" pitchFamily="18" charset="0"/>
                      </a:rPr>
                      <a:pPr/>
                      <a:t>[VALUE]</a:t>
                    </a:fld>
                    <a:r>
                      <a:rPr lang="en-US" baseline="0">
                        <a:latin typeface="Times New Roman" panose="02020603050405020304" pitchFamily="18" charset="0"/>
                        <a:cs typeface="Times New Roman" panose="02020603050405020304" pitchFamily="18" charset="0"/>
                      </a:rPr>
                      <a:t>
</a:t>
                    </a:r>
                    <a:fld id="{5383329E-C797-4D71-905E-840D85EBC045}" type="PERCENTAGE">
                      <a:rPr lang="en-US" baseline="0">
                        <a:latin typeface="Times New Roman" panose="02020603050405020304" pitchFamily="18" charset="0"/>
                        <a:cs typeface="Times New Roman" panose="02020603050405020304" pitchFamily="18" charset="0"/>
                      </a:rPr>
                      <a:pPr/>
                      <a:t>[PERCENTAGE]</a:t>
                    </a:fld>
                    <a:endParaRPr lang="en-US" baseline="0">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F796-4C6D-B532-9CE017182EE6}"/>
                </c:ext>
              </c:extLst>
            </c:dLbl>
            <c:dLbl>
              <c:idx val="4"/>
              <c:layout>
                <c:manualLayout>
                  <c:x val="-4.4124524781633007E-2"/>
                  <c:y val="-3.1838715312599075E-2"/>
                </c:manualLayout>
              </c:layout>
              <c:tx>
                <c:rich>
                  <a:bodyPr/>
                  <a:lstStyle/>
                  <a:p>
                    <a:fld id="{115E6ADE-9304-40ED-B353-35CDAEC206EA}" type="VALUE">
                      <a:rPr lang="en-US">
                        <a:latin typeface="Times New Roman" panose="02020603050405020304" pitchFamily="18" charset="0"/>
                        <a:cs typeface="Times New Roman" panose="02020603050405020304" pitchFamily="18" charset="0"/>
                      </a:rPr>
                      <a:pPr/>
                      <a:t>[VALUE]</a:t>
                    </a:fld>
                    <a:r>
                      <a:rPr lang="en-US" baseline="0">
                        <a:latin typeface="Times New Roman" panose="02020603050405020304" pitchFamily="18" charset="0"/>
                        <a:cs typeface="Times New Roman" panose="02020603050405020304" pitchFamily="18" charset="0"/>
                      </a:rPr>
                      <a:t>
</a:t>
                    </a:r>
                    <a:fld id="{5E76A5D4-C98B-415B-8119-28CB030958AA}" type="PERCENTAGE">
                      <a:rPr lang="en-US" baseline="0">
                        <a:latin typeface="Times New Roman" panose="02020603050405020304" pitchFamily="18" charset="0"/>
                        <a:cs typeface="Times New Roman" panose="02020603050405020304" pitchFamily="18" charset="0"/>
                      </a:rPr>
                      <a:pPr/>
                      <a:t>[PERCENTAGE]</a:t>
                    </a:fld>
                    <a:endParaRPr lang="en-US" baseline="0">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F796-4C6D-B532-9CE017182E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 - Encargados'!$A$30:$A$35</c:f>
              <c:strCache>
                <c:ptCount val="5"/>
                <c:pt idx="0">
                  <c:v>AUDITORÍA ARS</c:v>
                </c:pt>
                <c:pt idx="1">
                  <c:v>AUDITORÍA EMPLEADORES</c:v>
                </c:pt>
                <c:pt idx="2">
                  <c:v>INSPECCIÓN EMPLEADORES</c:v>
                </c:pt>
                <c:pt idx="3">
                  <c:v>PROCESO INTERNO</c:v>
                </c:pt>
                <c:pt idx="4">
                  <c:v>SOLICITUD</c:v>
                </c:pt>
              </c:strCache>
            </c:strRef>
          </c:cat>
          <c:val>
            <c:numRef>
              <c:f>'G - Encargados'!$B$30:$B$35</c:f>
              <c:numCache>
                <c:formatCode>#,##0</c:formatCode>
                <c:ptCount val="5"/>
                <c:pt idx="0">
                  <c:v>21</c:v>
                </c:pt>
                <c:pt idx="1">
                  <c:v>785</c:v>
                </c:pt>
                <c:pt idx="2">
                  <c:v>1288</c:v>
                </c:pt>
                <c:pt idx="3">
                  <c:v>16</c:v>
                </c:pt>
                <c:pt idx="4">
                  <c:v>6229</c:v>
                </c:pt>
              </c:numCache>
            </c:numRef>
          </c:val>
          <c:extLst>
            <c:ext xmlns:c16="http://schemas.microsoft.com/office/drawing/2014/chart" uri="{C3380CC4-5D6E-409C-BE32-E72D297353CC}">
              <c16:uniqueId val="{00000040-F796-4C6D-B532-9CE017182EE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10259008941475613"/>
          <c:y val="0.12512080120742708"/>
          <c:w val="0.81950160076144329"/>
          <c:h val="0.105999105584506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Series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264230432734369"/>
          <c:y val="0.10029502134126582"/>
          <c:w val="0.82485784148776276"/>
          <c:h val="0.78261205983225912"/>
        </c:manualLayout>
      </c:layout>
      <c:pie3DChart>
        <c:varyColors val="1"/>
        <c:ser>
          <c:idx val="0"/>
          <c:order val="0"/>
          <c:dPt>
            <c:idx val="0"/>
            <c:bubble3D val="0"/>
            <c:explosion val="11"/>
            <c:spPr>
              <a:solidFill>
                <a:srgbClr val="002060"/>
              </a:solidFill>
              <a:ln w="25400">
                <a:noFill/>
              </a:ln>
              <a:effectLst/>
              <a:sp3d/>
            </c:spPr>
            <c:extLst>
              <c:ext xmlns:c16="http://schemas.microsoft.com/office/drawing/2014/chart" uri="{C3380CC4-5D6E-409C-BE32-E72D297353CC}">
                <c16:uniqueId val="{00000001-BB5B-49F1-B221-0CEDA49EBE03}"/>
              </c:ext>
            </c:extLst>
          </c:dPt>
          <c:dPt>
            <c:idx val="1"/>
            <c:bubble3D val="0"/>
            <c:spPr>
              <a:solidFill>
                <a:schemeClr val="accent5"/>
              </a:solidFill>
              <a:ln w="25400">
                <a:noFill/>
              </a:ln>
              <a:effectLst/>
              <a:sp3d/>
            </c:spPr>
            <c:extLst>
              <c:ext xmlns:c16="http://schemas.microsoft.com/office/drawing/2014/chart" uri="{C3380CC4-5D6E-409C-BE32-E72D297353CC}">
                <c16:uniqueId val="{00000003-BB5B-49F1-B221-0CEDA49EBE03}"/>
              </c:ext>
            </c:extLst>
          </c:dPt>
          <c:dPt>
            <c:idx val="2"/>
            <c:bubble3D val="0"/>
            <c:explosion val="14"/>
            <c:spPr>
              <a:solidFill>
                <a:schemeClr val="accent5">
                  <a:tint val="65000"/>
                </a:schemeClr>
              </a:solidFill>
              <a:ln w="25400">
                <a:noFill/>
              </a:ln>
              <a:effectLst/>
              <a:sp3d/>
            </c:spPr>
            <c:extLst>
              <c:ext xmlns:c16="http://schemas.microsoft.com/office/drawing/2014/chart" uri="{C3380CC4-5D6E-409C-BE32-E72D297353CC}">
                <c16:uniqueId val="{00000005-BB5B-49F1-B221-0CEDA49EBE03}"/>
              </c:ext>
            </c:extLst>
          </c:dPt>
          <c:dLbls>
            <c:dLbl>
              <c:idx val="0"/>
              <c:layout>
                <c:manualLayout>
                  <c:x val="-2.4728442371285644E-2"/>
                  <c:y val="0.21361367917740853"/>
                </c:manualLayout>
              </c:layout>
              <c:spPr>
                <a:noFill/>
                <a:ln>
                  <a:noFill/>
                </a:ln>
                <a:effectLst/>
              </c:spPr>
              <c:txPr>
                <a:bodyPr rot="0" spcFirstLastPara="1" vertOverflow="ellipsis" vert="horz" wrap="square" anchor="ctr" anchorCtr="1"/>
                <a:lstStyle/>
                <a:p>
                  <a:pPr algn="ctr">
                    <a:defRPr sz="9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1"/>
              <c:showBubbleSize val="0"/>
              <c:extLst>
                <c:ext xmlns:c15="http://schemas.microsoft.com/office/drawing/2012/chart" uri="{CE6537A1-D6FC-4f65-9D91-7224C49458BB}">
                  <c15:layout>
                    <c:manualLayout>
                      <c:w val="0.26141117705462436"/>
                      <c:h val="0.18675252361350711"/>
                    </c:manualLayout>
                  </c15:layout>
                </c:ext>
                <c:ext xmlns:c16="http://schemas.microsoft.com/office/drawing/2014/chart" uri="{C3380CC4-5D6E-409C-BE32-E72D297353CC}">
                  <c16:uniqueId val="{00000001-BB5B-49F1-B221-0CEDA49EBE03}"/>
                </c:ext>
              </c:extLst>
            </c:dLbl>
            <c:dLbl>
              <c:idx val="1"/>
              <c:layout>
                <c:manualLayout>
                  <c:x val="2.8745212462058241E-3"/>
                  <c:y val="4.6657306092826333E-2"/>
                </c:manualLayout>
              </c:layout>
              <c:spPr>
                <a:noFill/>
                <a:ln>
                  <a:noFill/>
                </a:ln>
                <a:effectLst/>
              </c:spPr>
              <c:txPr>
                <a:bodyPr rot="0" spcFirstLastPara="1" vertOverflow="ellipsis" vert="horz" wrap="square" anchor="ctr" anchorCtr="1"/>
                <a:lstStyle/>
                <a:p>
                  <a:pPr>
                    <a:defRPr sz="9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1"/>
              <c:showBubbleSize val="0"/>
              <c:extLst>
                <c:ext xmlns:c15="http://schemas.microsoft.com/office/drawing/2012/chart" uri="{CE6537A1-D6FC-4f65-9D91-7224C49458BB}">
                  <c15:layout>
                    <c:manualLayout>
                      <c:w val="0.2863036303630363"/>
                      <c:h val="0.17824058324209865"/>
                    </c:manualLayout>
                  </c15:layout>
                </c:ext>
                <c:ext xmlns:c16="http://schemas.microsoft.com/office/drawing/2014/chart" uri="{C3380CC4-5D6E-409C-BE32-E72D297353CC}">
                  <c16:uniqueId val="{00000003-BB5B-49F1-B221-0CEDA49EBE03}"/>
                </c:ext>
              </c:extLst>
            </c:dLbl>
            <c:dLbl>
              <c:idx val="2"/>
              <c:layout>
                <c:manualLayout>
                  <c:x val="-3.0260973131285531E-2"/>
                  <c:y val="2.4400420663252235E-7"/>
                </c:manualLayout>
              </c:layout>
              <c:spPr>
                <a:noFill/>
                <a:ln>
                  <a:noFill/>
                </a:ln>
                <a:effectLst/>
              </c:spPr>
              <c:txPr>
                <a:bodyPr rot="0" spcFirstLastPara="1" vertOverflow="ellipsis" vert="horz" wrap="square" anchor="ctr" anchorCtr="1"/>
                <a:lstStyle/>
                <a:p>
                  <a:pPr>
                    <a:defRPr sz="9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1"/>
              <c:showBubbleSize val="0"/>
              <c:extLst>
                <c:ext xmlns:c15="http://schemas.microsoft.com/office/drawing/2012/chart" uri="{CE6537A1-D6FC-4f65-9D91-7224C49458BB}">
                  <c15:layout>
                    <c:manualLayout>
                      <c:w val="0.33910891089108913"/>
                      <c:h val="0.23241686305315529"/>
                    </c:manualLayout>
                  </c15:layout>
                </c:ext>
                <c:ext xmlns:c16="http://schemas.microsoft.com/office/drawing/2014/chart" uri="{C3380CC4-5D6E-409C-BE32-E72D297353CC}">
                  <c16:uniqueId val="{00000005-BB5B-49F1-B221-0CEDA49EBE03}"/>
                </c:ext>
              </c:extLst>
            </c:dLbl>
            <c:spPr>
              <a:noFill/>
              <a:ln>
                <a:noFill/>
              </a:ln>
              <a:effectLst/>
            </c:spPr>
            <c:txPr>
              <a:bodyPr rot="0" spcFirstLastPara="1" vertOverflow="ellipsis" vert="horz" wrap="square" anchor="ctr" anchorCtr="1"/>
              <a:lstStyle/>
              <a:p>
                <a:pPr>
                  <a:defRPr sz="7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Sheet1!$G$23:$G$25</c:f>
              <c:strCache>
                <c:ptCount val="3"/>
                <c:pt idx="0">
                  <c:v>Grande</c:v>
                </c:pt>
                <c:pt idx="1">
                  <c:v>Mipyme</c:v>
                </c:pt>
                <c:pt idx="2">
                  <c:v>Mipyme mujer</c:v>
                </c:pt>
              </c:strCache>
            </c:strRef>
          </c:cat>
          <c:val>
            <c:numRef>
              <c:f>Sheet1!$H$23:$H$25</c:f>
              <c:numCache>
                <c:formatCode>_("$"* #,##0.00_);_("$"* \(#,##0.00\);_("$"* "-"??_);_(@_)</c:formatCode>
                <c:ptCount val="3"/>
                <c:pt idx="0">
                  <c:v>189782429</c:v>
                </c:pt>
                <c:pt idx="1">
                  <c:v>56889858</c:v>
                </c:pt>
                <c:pt idx="2">
                  <c:v>33158178</c:v>
                </c:pt>
              </c:numCache>
            </c:numRef>
          </c:val>
          <c:extLst>
            <c:ext xmlns:c16="http://schemas.microsoft.com/office/drawing/2014/chart" uri="{C3380CC4-5D6E-409C-BE32-E72D297353CC}">
              <c16:uniqueId val="{00000006-BB5B-49F1-B221-0CEDA49EBE03}"/>
            </c:ext>
          </c:extLst>
        </c:ser>
        <c:ser>
          <c:idx val="1"/>
          <c:order val="1"/>
          <c:dPt>
            <c:idx val="0"/>
            <c:bubble3D val="0"/>
            <c:spPr>
              <a:solidFill>
                <a:schemeClr val="accent5">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BB5B-49F1-B221-0CEDA49EBE03}"/>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A-BB5B-49F1-B221-0CEDA49EBE03}"/>
              </c:ext>
            </c:extLst>
          </c:dPt>
          <c:dPt>
            <c:idx val="2"/>
            <c:bubble3D val="0"/>
            <c:spPr>
              <a:solidFill>
                <a:schemeClr val="accent5">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C-BB5B-49F1-B221-0CEDA49EBE03}"/>
              </c:ext>
            </c:extLst>
          </c:dPt>
          <c:cat>
            <c:strRef>
              <c:f>Sheet1!$G$23:$G$25</c:f>
              <c:strCache>
                <c:ptCount val="3"/>
                <c:pt idx="0">
                  <c:v>Grande</c:v>
                </c:pt>
                <c:pt idx="1">
                  <c:v>Mipyme</c:v>
                </c:pt>
                <c:pt idx="2">
                  <c:v>Mipyme mujer</c:v>
                </c:pt>
              </c:strCache>
            </c:strRef>
          </c:cat>
          <c:val>
            <c:numRef>
              <c:f>Sheet1!$I$23:$I$25</c:f>
              <c:numCache>
                <c:formatCode>0%</c:formatCode>
                <c:ptCount val="3"/>
                <c:pt idx="0">
                  <c:v>0.6782050303207694</c:v>
                </c:pt>
                <c:pt idx="1">
                  <c:v>0.20330115950741817</c:v>
                </c:pt>
                <c:pt idx="2">
                  <c:v>0.11849381017181242</c:v>
                </c:pt>
              </c:numCache>
            </c:numRef>
          </c:val>
          <c:extLst>
            <c:ext xmlns:c16="http://schemas.microsoft.com/office/drawing/2014/chart" uri="{C3380CC4-5D6E-409C-BE32-E72D297353CC}">
              <c16:uniqueId val="{0000000D-BB5B-49F1-B221-0CEDA49EBE0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b="1">
          <a:solidFill>
            <a:schemeClr val="bg1">
              <a:lumMod val="50000"/>
            </a:schemeClr>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b="1"/>
              <a:t>Nombramientos</a:t>
            </a:r>
            <a:r>
              <a:rPr lang="es-DO" b="1" baseline="0"/>
              <a:t> Provisionales </a:t>
            </a:r>
            <a:endParaRPr lang="es-DO" b="1"/>
          </a:p>
        </c:rich>
      </c:tx>
      <c:layout>
        <c:manualLayout>
          <c:xMode val="edge"/>
          <c:yMode val="edge"/>
          <c:x val="0.29947676029230041"/>
          <c:y val="5.107252298263534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Hoja1!$B$1</c:f>
              <c:strCache>
                <c:ptCount val="1"/>
                <c:pt idx="0">
                  <c:v>G-O III</c:v>
                </c:pt>
              </c:strCache>
            </c:strRef>
          </c:tx>
          <c:spPr>
            <a:solidFill>
              <a:schemeClr val="accent3"/>
            </a:solidFill>
            <a:ln>
              <a:noFill/>
            </a:ln>
            <a:effectLst/>
            <a:sp3d/>
          </c:spPr>
          <c:invertIfNegative val="0"/>
          <c:dPt>
            <c:idx val="2"/>
            <c:invertIfNegative val="0"/>
            <c:bubble3D val="0"/>
            <c:spPr>
              <a:solidFill>
                <a:schemeClr val="accent3"/>
              </a:solidFill>
              <a:ln>
                <a:noFill/>
              </a:ln>
              <a:effectLst/>
              <a:sp3d/>
            </c:spPr>
            <c:extLst>
              <c:ext xmlns:c16="http://schemas.microsoft.com/office/drawing/2014/chart" uri="{C3380CC4-5D6E-409C-BE32-E72D297353CC}">
                <c16:uniqueId val="{00000001-7B1B-4506-80DF-16692A7965A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Dirección de Planificación y Desarrollo </c:v>
                </c:pt>
                <c:pt idx="1">
                  <c:v>Dirección de Servicios </c:v>
                </c:pt>
                <c:pt idx="2">
                  <c:v>Dirección Jurídica </c:v>
                </c:pt>
              </c:strCache>
            </c:strRef>
          </c:cat>
          <c:val>
            <c:numRef>
              <c:f>Hoja1!$B$2:$B$4</c:f>
              <c:numCache>
                <c:formatCode>General</c:formatCode>
                <c:ptCount val="3"/>
                <c:pt idx="1">
                  <c:v>1</c:v>
                </c:pt>
                <c:pt idx="2">
                  <c:v>2</c:v>
                </c:pt>
              </c:numCache>
            </c:numRef>
          </c:val>
          <c:extLst>
            <c:ext xmlns:c16="http://schemas.microsoft.com/office/drawing/2014/chart" uri="{C3380CC4-5D6E-409C-BE32-E72D297353CC}">
              <c16:uniqueId val="{00000002-7B1B-4506-80DF-16692A7965AC}"/>
            </c:ext>
          </c:extLst>
        </c:ser>
        <c:ser>
          <c:idx val="1"/>
          <c:order val="1"/>
          <c:tx>
            <c:strRef>
              <c:f>Hoja1!$C$1</c:f>
              <c:strCache>
                <c:ptCount val="1"/>
                <c:pt idx="0">
                  <c:v>G-O IV </c:v>
                </c:pt>
              </c:strCache>
            </c:strRef>
          </c:tx>
          <c:spPr>
            <a:solidFill>
              <a:schemeClr val="accent1">
                <a:lumMod val="7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Dirección de Planificación y Desarrollo </c:v>
                </c:pt>
                <c:pt idx="1">
                  <c:v>Dirección de Servicios </c:v>
                </c:pt>
                <c:pt idx="2">
                  <c:v>Dirección Jurídica </c:v>
                </c:pt>
              </c:strCache>
            </c:strRef>
          </c:cat>
          <c:val>
            <c:numRef>
              <c:f>Hoja1!$C$2:$C$4</c:f>
              <c:numCache>
                <c:formatCode>General</c:formatCode>
                <c:ptCount val="3"/>
                <c:pt idx="0">
                  <c:v>5</c:v>
                </c:pt>
                <c:pt idx="1">
                  <c:v>3</c:v>
                </c:pt>
              </c:numCache>
            </c:numRef>
          </c:val>
          <c:extLst>
            <c:ext xmlns:c16="http://schemas.microsoft.com/office/drawing/2014/chart" uri="{C3380CC4-5D6E-409C-BE32-E72D297353CC}">
              <c16:uniqueId val="{00000003-7B1B-4506-80DF-16692A7965AC}"/>
            </c:ext>
          </c:extLst>
        </c:ser>
        <c:dLbls>
          <c:showLegendKey val="0"/>
          <c:showVal val="0"/>
          <c:showCatName val="0"/>
          <c:showSerName val="0"/>
          <c:showPercent val="0"/>
          <c:showBubbleSize val="0"/>
        </c:dLbls>
        <c:gapWidth val="150"/>
        <c:shape val="box"/>
        <c:axId val="1180735423"/>
        <c:axId val="1188178079"/>
        <c:axId val="0"/>
      </c:bar3DChart>
      <c:catAx>
        <c:axId val="118073542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8178079"/>
        <c:crosses val="autoZero"/>
        <c:auto val="1"/>
        <c:lblAlgn val="ctr"/>
        <c:lblOffset val="100"/>
        <c:noMultiLvlLbl val="0"/>
      </c:catAx>
      <c:valAx>
        <c:axId val="11881780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0735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b="1"/>
              <a:t>Nombramientos Definitivos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G-O III</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Hoja1!$A$2:$A$9</c:f>
              <c:strCache>
                <c:ptCount val="8"/>
                <c:pt idx="0">
                  <c:v>Dirección Financiera </c:v>
                </c:pt>
                <c:pt idx="1">
                  <c:v>Dirección Jurídica </c:v>
                </c:pt>
                <c:pt idx="2">
                  <c:v>Dir. Fiscalización Externa </c:v>
                </c:pt>
                <c:pt idx="3">
                  <c:v>Dirección de Servicios </c:v>
                </c:pt>
                <c:pt idx="4">
                  <c:v>Depto.Control y Análisis de las Operaciones </c:v>
                </c:pt>
                <c:pt idx="5">
                  <c:v>Dir. PYD</c:v>
                </c:pt>
                <c:pt idx="6">
                  <c:v>Dir. DTI</c:v>
                </c:pt>
                <c:pt idx="7">
                  <c:v>Dir. DGNC</c:v>
                </c:pt>
              </c:strCache>
            </c:strRef>
          </c:cat>
          <c:val>
            <c:numRef>
              <c:f>Hoja1!$B$2:$B$9</c:f>
              <c:numCache>
                <c:formatCode>General</c:formatCode>
                <c:ptCount val="8"/>
                <c:pt idx="1">
                  <c:v>5</c:v>
                </c:pt>
                <c:pt idx="3">
                  <c:v>3</c:v>
                </c:pt>
              </c:numCache>
            </c:numRef>
          </c:val>
          <c:extLst>
            <c:ext xmlns:c16="http://schemas.microsoft.com/office/drawing/2014/chart" uri="{C3380CC4-5D6E-409C-BE32-E72D297353CC}">
              <c16:uniqueId val="{00000000-C6A8-4F61-ABBC-AA1F2E6BEF8C}"/>
            </c:ext>
          </c:extLst>
        </c:ser>
        <c:ser>
          <c:idx val="1"/>
          <c:order val="1"/>
          <c:tx>
            <c:strRef>
              <c:f>Hoja1!$C$1</c:f>
              <c:strCache>
                <c:ptCount val="1"/>
                <c:pt idx="0">
                  <c:v>G-O IV</c:v>
                </c:pt>
              </c:strCache>
            </c:strRef>
          </c:tx>
          <c:spPr>
            <a:solidFill>
              <a:schemeClr val="accent5">
                <a:lumMod val="75000"/>
              </a:schemeClr>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A8-4F61-ABBC-AA1F2E6BEF8C}"/>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A8-4F61-ABBC-AA1F2E6BEF8C}"/>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A8-4F61-ABBC-AA1F2E6BEF8C}"/>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6A8-4F61-ABBC-AA1F2E6BEF8C}"/>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A8-4F61-ABBC-AA1F2E6BEF8C}"/>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6A8-4F61-ABBC-AA1F2E6BEF8C}"/>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6A8-4F61-ABBC-AA1F2E6BEF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Hoja1!$A$2:$A$9</c:f>
              <c:strCache>
                <c:ptCount val="8"/>
                <c:pt idx="0">
                  <c:v>Dirección Financiera </c:v>
                </c:pt>
                <c:pt idx="1">
                  <c:v>Dirección Jurídica </c:v>
                </c:pt>
                <c:pt idx="2">
                  <c:v>Dir. Fiscalización Externa </c:v>
                </c:pt>
                <c:pt idx="3">
                  <c:v>Dirección de Servicios </c:v>
                </c:pt>
                <c:pt idx="4">
                  <c:v>Depto.Control y Análisis de las Operaciones </c:v>
                </c:pt>
                <c:pt idx="5">
                  <c:v>Dir. PYD</c:v>
                </c:pt>
                <c:pt idx="6">
                  <c:v>Dir. DTI</c:v>
                </c:pt>
                <c:pt idx="7">
                  <c:v>Dir. DGNC</c:v>
                </c:pt>
              </c:strCache>
            </c:strRef>
          </c:cat>
          <c:val>
            <c:numRef>
              <c:f>Hoja1!$C$2:$C$9</c:f>
              <c:numCache>
                <c:formatCode>General</c:formatCode>
                <c:ptCount val="8"/>
                <c:pt idx="0">
                  <c:v>2</c:v>
                </c:pt>
                <c:pt idx="2">
                  <c:v>6</c:v>
                </c:pt>
                <c:pt idx="3">
                  <c:v>1</c:v>
                </c:pt>
                <c:pt idx="4">
                  <c:v>1</c:v>
                </c:pt>
                <c:pt idx="5">
                  <c:v>3</c:v>
                </c:pt>
                <c:pt idx="6">
                  <c:v>1</c:v>
                </c:pt>
                <c:pt idx="7">
                  <c:v>1</c:v>
                </c:pt>
              </c:numCache>
            </c:numRef>
          </c:val>
          <c:extLst>
            <c:ext xmlns:c16="http://schemas.microsoft.com/office/drawing/2014/chart" uri="{C3380CC4-5D6E-409C-BE32-E72D297353CC}">
              <c16:uniqueId val="{00000008-C6A8-4F61-ABBC-AA1F2E6BEF8C}"/>
            </c:ext>
          </c:extLst>
        </c:ser>
        <c:ser>
          <c:idx val="2"/>
          <c:order val="2"/>
          <c:tx>
            <c:strRef>
              <c:f>Hoja1!$D$1</c:f>
              <c:strCache>
                <c:ptCount val="1"/>
                <c:pt idx="0">
                  <c:v>G-O V</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Hoja1!$A$2:$A$9</c:f>
              <c:strCache>
                <c:ptCount val="8"/>
                <c:pt idx="0">
                  <c:v>Dirección Financiera </c:v>
                </c:pt>
                <c:pt idx="1">
                  <c:v>Dirección Jurídica </c:v>
                </c:pt>
                <c:pt idx="2">
                  <c:v>Dir. Fiscalización Externa </c:v>
                </c:pt>
                <c:pt idx="3">
                  <c:v>Dirección de Servicios </c:v>
                </c:pt>
                <c:pt idx="4">
                  <c:v>Depto.Control y Análisis de las Operaciones </c:v>
                </c:pt>
                <c:pt idx="5">
                  <c:v>Dir. PYD</c:v>
                </c:pt>
                <c:pt idx="6">
                  <c:v>Dir. DTI</c:v>
                </c:pt>
                <c:pt idx="7">
                  <c:v>Dir. DGNC</c:v>
                </c:pt>
              </c:strCache>
            </c:strRef>
          </c:cat>
          <c:val>
            <c:numRef>
              <c:f>Hoja1!$D$2:$D$9</c:f>
              <c:numCache>
                <c:formatCode>General</c:formatCode>
                <c:ptCount val="8"/>
                <c:pt idx="1">
                  <c:v>1</c:v>
                </c:pt>
              </c:numCache>
            </c:numRef>
          </c:val>
          <c:extLst>
            <c:ext xmlns:c16="http://schemas.microsoft.com/office/drawing/2014/chart" uri="{C3380CC4-5D6E-409C-BE32-E72D297353CC}">
              <c16:uniqueId val="{00000009-C6A8-4F61-ABBC-AA1F2E6BEF8C}"/>
            </c:ext>
          </c:extLst>
        </c:ser>
        <c:dLbls>
          <c:showLegendKey val="0"/>
          <c:showVal val="0"/>
          <c:showCatName val="0"/>
          <c:showSerName val="0"/>
          <c:showPercent val="0"/>
          <c:showBubbleSize val="0"/>
        </c:dLbls>
        <c:gapWidth val="219"/>
        <c:overlap val="-27"/>
        <c:axId val="2069304703"/>
        <c:axId val="1212209967"/>
      </c:barChart>
      <c:catAx>
        <c:axId val="2069304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2209967"/>
        <c:crosses val="autoZero"/>
        <c:auto val="1"/>
        <c:lblAlgn val="ctr"/>
        <c:lblOffset val="100"/>
        <c:noMultiLvlLbl val="0"/>
      </c:catAx>
      <c:valAx>
        <c:axId val="12122099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9304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b="1"/>
              <a:t>Personal Nuevo Ingreso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G-O I</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Dirección Administrativa </c:v>
                </c:pt>
                <c:pt idx="1">
                  <c:v>Dir. Fiscalización Externa </c:v>
                </c:pt>
                <c:pt idx="2">
                  <c:v>Dir. PYD</c:v>
                </c:pt>
                <c:pt idx="3">
                  <c:v>Dirección de Servicios </c:v>
                </c:pt>
                <c:pt idx="4">
                  <c:v>Dir. DTI </c:v>
                </c:pt>
                <c:pt idx="5">
                  <c:v>Dirección Financiera </c:v>
                </c:pt>
                <c:pt idx="6">
                  <c:v>Dirección Jurídica </c:v>
                </c:pt>
              </c:strCache>
            </c:strRef>
          </c:cat>
          <c:val>
            <c:numRef>
              <c:f>Hoja1!$B$2:$B$8</c:f>
              <c:numCache>
                <c:formatCode>General</c:formatCode>
                <c:ptCount val="7"/>
                <c:pt idx="0">
                  <c:v>4</c:v>
                </c:pt>
              </c:numCache>
            </c:numRef>
          </c:val>
          <c:extLst>
            <c:ext xmlns:c16="http://schemas.microsoft.com/office/drawing/2014/chart" uri="{C3380CC4-5D6E-409C-BE32-E72D297353CC}">
              <c16:uniqueId val="{00000000-6C8E-4D69-B0F4-1534664CD155}"/>
            </c:ext>
          </c:extLst>
        </c:ser>
        <c:ser>
          <c:idx val="1"/>
          <c:order val="1"/>
          <c:tx>
            <c:strRef>
              <c:f>Hoja1!$C$1</c:f>
              <c:strCache>
                <c:ptCount val="1"/>
                <c:pt idx="0">
                  <c:v>G-O II</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Dirección Administrativa </c:v>
                </c:pt>
                <c:pt idx="1">
                  <c:v>Dir. Fiscalización Externa </c:v>
                </c:pt>
                <c:pt idx="2">
                  <c:v>Dir. PYD</c:v>
                </c:pt>
                <c:pt idx="3">
                  <c:v>Dirección de Servicios </c:v>
                </c:pt>
                <c:pt idx="4">
                  <c:v>Dir. DTI </c:v>
                </c:pt>
                <c:pt idx="5">
                  <c:v>Dirección Financiera </c:v>
                </c:pt>
                <c:pt idx="6">
                  <c:v>Dirección Jurídica </c:v>
                </c:pt>
              </c:strCache>
            </c:strRef>
          </c:cat>
          <c:val>
            <c:numRef>
              <c:f>Hoja1!$C$2:$C$8</c:f>
              <c:numCache>
                <c:formatCode>General</c:formatCode>
                <c:ptCount val="7"/>
                <c:pt idx="0">
                  <c:v>1</c:v>
                </c:pt>
                <c:pt idx="3">
                  <c:v>3</c:v>
                </c:pt>
                <c:pt idx="5">
                  <c:v>1</c:v>
                </c:pt>
              </c:numCache>
            </c:numRef>
          </c:val>
          <c:extLst>
            <c:ext xmlns:c16="http://schemas.microsoft.com/office/drawing/2014/chart" uri="{C3380CC4-5D6E-409C-BE32-E72D297353CC}">
              <c16:uniqueId val="{00000001-6C8E-4D69-B0F4-1534664CD155}"/>
            </c:ext>
          </c:extLst>
        </c:ser>
        <c:ser>
          <c:idx val="2"/>
          <c:order val="2"/>
          <c:tx>
            <c:strRef>
              <c:f>Hoja1!$D$1</c:f>
              <c:strCache>
                <c:ptCount val="1"/>
                <c:pt idx="0">
                  <c:v>G-O III</c:v>
                </c:pt>
              </c:strCache>
            </c:strRef>
          </c:tx>
          <c:spPr>
            <a:solidFill>
              <a:schemeClr val="accent5">
                <a:lumMod val="75000"/>
              </a:schemeClr>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8E-4D69-B0F4-1534664CD155}"/>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8E-4D69-B0F4-1534664CD155}"/>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8E-4D69-B0F4-1534664CD1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Dirección Administrativa </c:v>
                </c:pt>
                <c:pt idx="1">
                  <c:v>Dir. Fiscalización Externa </c:v>
                </c:pt>
                <c:pt idx="2">
                  <c:v>Dir. PYD</c:v>
                </c:pt>
                <c:pt idx="3">
                  <c:v>Dirección de Servicios </c:v>
                </c:pt>
                <c:pt idx="4">
                  <c:v>Dir. DTI </c:v>
                </c:pt>
                <c:pt idx="5">
                  <c:v>Dirección Financiera </c:v>
                </c:pt>
                <c:pt idx="6">
                  <c:v>Dirección Jurídica </c:v>
                </c:pt>
              </c:strCache>
            </c:strRef>
          </c:cat>
          <c:val>
            <c:numRef>
              <c:f>Hoja1!$D$2:$D$8</c:f>
              <c:numCache>
                <c:formatCode>General</c:formatCode>
                <c:ptCount val="7"/>
                <c:pt idx="3">
                  <c:v>3</c:v>
                </c:pt>
                <c:pt idx="4">
                  <c:v>1</c:v>
                </c:pt>
                <c:pt idx="6">
                  <c:v>2</c:v>
                </c:pt>
              </c:numCache>
            </c:numRef>
          </c:val>
          <c:extLst>
            <c:ext xmlns:c16="http://schemas.microsoft.com/office/drawing/2014/chart" uri="{C3380CC4-5D6E-409C-BE32-E72D297353CC}">
              <c16:uniqueId val="{00000005-6C8E-4D69-B0F4-1534664CD155}"/>
            </c:ext>
          </c:extLst>
        </c:ser>
        <c:ser>
          <c:idx val="3"/>
          <c:order val="3"/>
          <c:tx>
            <c:strRef>
              <c:f>Hoja1!$E$1</c:f>
              <c:strCache>
                <c:ptCount val="1"/>
                <c:pt idx="0">
                  <c:v>G-O IV</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Dirección Administrativa </c:v>
                </c:pt>
                <c:pt idx="1">
                  <c:v>Dir. Fiscalización Externa </c:v>
                </c:pt>
                <c:pt idx="2">
                  <c:v>Dir. PYD</c:v>
                </c:pt>
                <c:pt idx="3">
                  <c:v>Dirección de Servicios </c:v>
                </c:pt>
                <c:pt idx="4">
                  <c:v>Dir. DTI </c:v>
                </c:pt>
                <c:pt idx="5">
                  <c:v>Dirección Financiera </c:v>
                </c:pt>
                <c:pt idx="6">
                  <c:v>Dirección Jurídica </c:v>
                </c:pt>
              </c:strCache>
            </c:strRef>
          </c:cat>
          <c:val>
            <c:numRef>
              <c:f>Hoja1!$E$2:$E$8</c:f>
              <c:numCache>
                <c:formatCode>General</c:formatCode>
                <c:ptCount val="7"/>
                <c:pt idx="0">
                  <c:v>2</c:v>
                </c:pt>
                <c:pt idx="1">
                  <c:v>3</c:v>
                </c:pt>
                <c:pt idx="2">
                  <c:v>6</c:v>
                </c:pt>
                <c:pt idx="4">
                  <c:v>2</c:v>
                </c:pt>
              </c:numCache>
            </c:numRef>
          </c:val>
          <c:extLst>
            <c:ext xmlns:c16="http://schemas.microsoft.com/office/drawing/2014/chart" uri="{C3380CC4-5D6E-409C-BE32-E72D297353CC}">
              <c16:uniqueId val="{00000006-6C8E-4D69-B0F4-1534664CD155}"/>
            </c:ext>
          </c:extLst>
        </c:ser>
        <c:dLbls>
          <c:showLegendKey val="0"/>
          <c:showVal val="0"/>
          <c:showCatName val="0"/>
          <c:showSerName val="0"/>
          <c:showPercent val="0"/>
          <c:showBubbleSize val="0"/>
        </c:dLbls>
        <c:gapWidth val="150"/>
        <c:axId val="1098105791"/>
        <c:axId val="1389015599"/>
      </c:barChart>
      <c:catAx>
        <c:axId val="109810579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9015599"/>
        <c:crosses val="autoZero"/>
        <c:auto val="1"/>
        <c:lblAlgn val="ctr"/>
        <c:lblOffset val="100"/>
        <c:noMultiLvlLbl val="0"/>
      </c:catAx>
      <c:valAx>
        <c:axId val="1389015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8105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Salidas</a:t>
            </a:r>
            <a:r>
              <a:rPr lang="en-US" baseline="0"/>
              <a:t> de Personal 2024</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Sheet1!$B$1</c:f>
              <c:strCache>
                <c:ptCount val="1"/>
                <c:pt idx="0">
                  <c:v>Renuncia</c:v>
                </c:pt>
              </c:strCache>
            </c:strRef>
          </c:tx>
          <c:spPr>
            <a:solidFill>
              <a:schemeClr val="accent1"/>
            </a:solidFill>
            <a:ln>
              <a:noFill/>
            </a:ln>
            <a:effectLst/>
          </c:spPr>
          <c:invertIfNegative val="0"/>
          <c:cat>
            <c:strRef>
              <c:f>Sheet1!$A$2:$A$7</c:f>
              <c:strCache>
                <c:ptCount val="6"/>
                <c:pt idx="0">
                  <c:v>Dirección de Tecnologías de la Información y Comunicación</c:v>
                </c:pt>
                <c:pt idx="1">
                  <c:v>Dirección Administrativa</c:v>
                </c:pt>
                <c:pt idx="2">
                  <c:v>Dirección de Planificación y Desarrollo</c:v>
                </c:pt>
                <c:pt idx="3">
                  <c:v>Dirección de Servicios</c:v>
                </c:pt>
                <c:pt idx="4">
                  <c:v>Dirección Jurídica</c:v>
                </c:pt>
                <c:pt idx="5">
                  <c:v>Gerencia</c:v>
                </c:pt>
              </c:strCache>
            </c:strRef>
          </c:cat>
          <c:val>
            <c:numRef>
              <c:f>Sheet1!$B$2:$B$7</c:f>
              <c:numCache>
                <c:formatCode>General</c:formatCode>
                <c:ptCount val="6"/>
                <c:pt idx="0">
                  <c:v>2</c:v>
                </c:pt>
                <c:pt idx="1">
                  <c:v>0</c:v>
                </c:pt>
                <c:pt idx="2">
                  <c:v>0</c:v>
                </c:pt>
                <c:pt idx="3">
                  <c:v>2</c:v>
                </c:pt>
                <c:pt idx="4">
                  <c:v>1</c:v>
                </c:pt>
                <c:pt idx="5">
                  <c:v>1</c:v>
                </c:pt>
              </c:numCache>
            </c:numRef>
          </c:val>
          <c:extLst>
            <c:ext xmlns:c16="http://schemas.microsoft.com/office/drawing/2014/chart" uri="{C3380CC4-5D6E-409C-BE32-E72D297353CC}">
              <c16:uniqueId val="{00000000-18E6-4E8F-B3C8-CDB9FF0C7E0D}"/>
            </c:ext>
          </c:extLst>
        </c:ser>
        <c:ser>
          <c:idx val="1"/>
          <c:order val="1"/>
          <c:tx>
            <c:strRef>
              <c:f>Sheet1!$C$1</c:f>
              <c:strCache>
                <c:ptCount val="1"/>
                <c:pt idx="0">
                  <c:v>Desvinculación</c:v>
                </c:pt>
              </c:strCache>
            </c:strRef>
          </c:tx>
          <c:spPr>
            <a:solidFill>
              <a:schemeClr val="bg2">
                <a:lumMod val="90000"/>
              </a:schemeClr>
            </a:solidFill>
            <a:ln>
              <a:noFill/>
            </a:ln>
            <a:effectLst/>
          </c:spPr>
          <c:invertIfNegative val="0"/>
          <c:cat>
            <c:strRef>
              <c:f>Sheet1!$A$2:$A$7</c:f>
              <c:strCache>
                <c:ptCount val="6"/>
                <c:pt idx="0">
                  <c:v>Dirección de Tecnologías de la Información y Comunicación</c:v>
                </c:pt>
                <c:pt idx="1">
                  <c:v>Dirección Administrativa</c:v>
                </c:pt>
                <c:pt idx="2">
                  <c:v>Dirección de Planificación y Desarrollo</c:v>
                </c:pt>
                <c:pt idx="3">
                  <c:v>Dirección de Servicios</c:v>
                </c:pt>
                <c:pt idx="4">
                  <c:v>Dirección Jurídica</c:v>
                </c:pt>
                <c:pt idx="5">
                  <c:v>Gerencia</c:v>
                </c:pt>
              </c:strCache>
            </c:strRef>
          </c:cat>
          <c:val>
            <c:numRef>
              <c:f>Sheet1!$C$2:$C$7</c:f>
              <c:numCache>
                <c:formatCode>General</c:formatCode>
                <c:ptCount val="6"/>
                <c:pt idx="0">
                  <c:v>2</c:v>
                </c:pt>
                <c:pt idx="1">
                  <c:v>3</c:v>
                </c:pt>
                <c:pt idx="2">
                  <c:v>0</c:v>
                </c:pt>
                <c:pt idx="3">
                  <c:v>2</c:v>
                </c:pt>
                <c:pt idx="4">
                  <c:v>1</c:v>
                </c:pt>
                <c:pt idx="5">
                  <c:v>0</c:v>
                </c:pt>
              </c:numCache>
            </c:numRef>
          </c:val>
          <c:extLst>
            <c:ext xmlns:c16="http://schemas.microsoft.com/office/drawing/2014/chart" uri="{C3380CC4-5D6E-409C-BE32-E72D297353CC}">
              <c16:uniqueId val="{00000001-18E6-4E8F-B3C8-CDB9FF0C7E0D}"/>
            </c:ext>
          </c:extLst>
        </c:ser>
        <c:ser>
          <c:idx val="2"/>
          <c:order val="2"/>
          <c:tx>
            <c:strRef>
              <c:f>Sheet1!$D$1</c:f>
              <c:strCache>
                <c:ptCount val="1"/>
                <c:pt idx="0">
                  <c:v>Revocamiento Nombramiento Provisional</c:v>
                </c:pt>
              </c:strCache>
            </c:strRef>
          </c:tx>
          <c:spPr>
            <a:solidFill>
              <a:schemeClr val="accent3"/>
            </a:solidFill>
            <a:ln>
              <a:noFill/>
            </a:ln>
            <a:effectLst/>
          </c:spPr>
          <c:invertIfNegative val="0"/>
          <c:cat>
            <c:strRef>
              <c:f>Sheet1!$A$2:$A$7</c:f>
              <c:strCache>
                <c:ptCount val="6"/>
                <c:pt idx="0">
                  <c:v>Dirección de Tecnologías de la Información y Comunicación</c:v>
                </c:pt>
                <c:pt idx="1">
                  <c:v>Dirección Administrativa</c:v>
                </c:pt>
                <c:pt idx="2">
                  <c:v>Dirección de Planificación y Desarrollo</c:v>
                </c:pt>
                <c:pt idx="3">
                  <c:v>Dirección de Servicios</c:v>
                </c:pt>
                <c:pt idx="4">
                  <c:v>Dirección Jurídica</c:v>
                </c:pt>
                <c:pt idx="5">
                  <c:v>Gerencia</c:v>
                </c:pt>
              </c:strCache>
            </c:strRef>
          </c:cat>
          <c:val>
            <c:numRef>
              <c:f>Sheet1!$D$2:$D$7</c:f>
              <c:numCache>
                <c:formatCode>General</c:formatCode>
                <c:ptCount val="6"/>
                <c:pt idx="0">
                  <c:v>0</c:v>
                </c:pt>
                <c:pt idx="1">
                  <c:v>0</c:v>
                </c:pt>
                <c:pt idx="2">
                  <c:v>2</c:v>
                </c:pt>
                <c:pt idx="3">
                  <c:v>0</c:v>
                </c:pt>
                <c:pt idx="4">
                  <c:v>0</c:v>
                </c:pt>
                <c:pt idx="5">
                  <c:v>0</c:v>
                </c:pt>
              </c:numCache>
            </c:numRef>
          </c:val>
          <c:extLst>
            <c:ext xmlns:c16="http://schemas.microsoft.com/office/drawing/2014/chart" uri="{C3380CC4-5D6E-409C-BE32-E72D297353CC}">
              <c16:uniqueId val="{00000002-18E6-4E8F-B3C8-CDB9FF0C7E0D}"/>
            </c:ext>
          </c:extLst>
        </c:ser>
        <c:ser>
          <c:idx val="3"/>
          <c:order val="3"/>
          <c:tx>
            <c:strRef>
              <c:f>Sheet1!$E$1</c:f>
              <c:strCache>
                <c:ptCount val="1"/>
                <c:pt idx="0">
                  <c:v>Término de Contrato</c:v>
                </c:pt>
              </c:strCache>
            </c:strRef>
          </c:tx>
          <c:spPr>
            <a:solidFill>
              <a:schemeClr val="accent5">
                <a:lumMod val="40000"/>
                <a:lumOff val="60000"/>
              </a:schemeClr>
            </a:solidFill>
            <a:ln>
              <a:solidFill>
                <a:schemeClr val="accent1">
                  <a:lumMod val="20000"/>
                  <a:lumOff val="80000"/>
                </a:schemeClr>
              </a:solidFill>
            </a:ln>
            <a:effectLst/>
          </c:spPr>
          <c:invertIfNegative val="0"/>
          <c:cat>
            <c:strRef>
              <c:f>Sheet1!$A$2:$A$7</c:f>
              <c:strCache>
                <c:ptCount val="6"/>
                <c:pt idx="0">
                  <c:v>Dirección de Tecnologías de la Información y Comunicación</c:v>
                </c:pt>
                <c:pt idx="1">
                  <c:v>Dirección Administrativa</c:v>
                </c:pt>
                <c:pt idx="2">
                  <c:v>Dirección de Planificación y Desarrollo</c:v>
                </c:pt>
                <c:pt idx="3">
                  <c:v>Dirección de Servicios</c:v>
                </c:pt>
                <c:pt idx="4">
                  <c:v>Dirección Jurídica</c:v>
                </c:pt>
                <c:pt idx="5">
                  <c:v>Gerencia</c:v>
                </c:pt>
              </c:strCache>
            </c:strRef>
          </c:cat>
          <c:val>
            <c:numRef>
              <c:f>Sheet1!$E$2:$E$7</c:f>
              <c:numCache>
                <c:formatCode>General</c:formatCode>
                <c:ptCount val="6"/>
                <c:pt idx="0">
                  <c:v>0</c:v>
                </c:pt>
                <c:pt idx="1">
                  <c:v>1</c:v>
                </c:pt>
                <c:pt idx="2">
                  <c:v>0</c:v>
                </c:pt>
                <c:pt idx="3">
                  <c:v>0</c:v>
                </c:pt>
                <c:pt idx="4">
                  <c:v>0</c:v>
                </c:pt>
                <c:pt idx="5">
                  <c:v>0</c:v>
                </c:pt>
              </c:numCache>
            </c:numRef>
          </c:val>
          <c:extLst>
            <c:ext xmlns:c16="http://schemas.microsoft.com/office/drawing/2014/chart" uri="{C3380CC4-5D6E-409C-BE32-E72D297353CC}">
              <c16:uniqueId val="{00000003-18E6-4E8F-B3C8-CDB9FF0C7E0D}"/>
            </c:ext>
          </c:extLst>
        </c:ser>
        <c:dLbls>
          <c:showLegendKey val="0"/>
          <c:showVal val="0"/>
          <c:showCatName val="0"/>
          <c:showSerName val="0"/>
          <c:showPercent val="0"/>
          <c:showBubbleSize val="0"/>
        </c:dLbls>
        <c:gapWidth val="150"/>
        <c:overlap val="100"/>
        <c:axId val="1498262160"/>
        <c:axId val="1137510352"/>
      </c:barChart>
      <c:catAx>
        <c:axId val="1498262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7510352"/>
        <c:crosses val="autoZero"/>
        <c:auto val="1"/>
        <c:lblAlgn val="ctr"/>
        <c:lblOffset val="100"/>
        <c:noMultiLvlLbl val="0"/>
      </c:catAx>
      <c:valAx>
        <c:axId val="1137510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8262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1458173368864273E-2"/>
          <c:y val="4.6912642636859507E-2"/>
          <c:w val="0.95854175131874209"/>
          <c:h val="0.79067886784422226"/>
        </c:manualLayout>
      </c:layout>
      <c:barChart>
        <c:barDir val="bar"/>
        <c:grouping val="stacked"/>
        <c:varyColors val="0"/>
        <c:ser>
          <c:idx val="0"/>
          <c:order val="0"/>
          <c:tx>
            <c:strRef>
              <c:f>Tablas!$A$29</c:f>
              <c:strCache>
                <c:ptCount val="1"/>
                <c:pt idx="0">
                  <c:v>Días libres por natalicio</c:v>
                </c:pt>
              </c:strCache>
            </c:strRef>
          </c:tx>
          <c:spPr>
            <a:solidFill>
              <a:schemeClr val="accent1">
                <a:shade val="58000"/>
              </a:schemeClr>
            </a:solidFill>
            <a:ln>
              <a:noFill/>
            </a:ln>
            <a:effectLst/>
          </c:spPr>
          <c:invertIfNegative val="0"/>
          <c:dLbls>
            <c:dLbl>
              <c:idx val="0"/>
              <c:layout>
                <c:manualLayout>
                  <c:x val="1.115760111576012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97-4C16-A36F-E2112A6A6A7F}"/>
                </c:ext>
              </c:extLst>
            </c:dLbl>
            <c:dLbl>
              <c:idx val="1"/>
              <c:layout>
                <c:manualLayout>
                  <c:x val="1.1157601115760111E-2"/>
                  <c:y val="-8.1753050379258811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97-4C16-A36F-E2112A6A6A7F}"/>
                </c:ext>
              </c:extLst>
            </c:dLbl>
            <c:dLbl>
              <c:idx val="2"/>
              <c:layout>
                <c:manualLayout>
                  <c:x val="9.2980009298000935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97-4C16-A36F-E2112A6A6A7F}"/>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Tablas!$B$28:$E$28</c:f>
              <c:strCache>
                <c:ptCount val="4"/>
                <c:pt idx="0">
                  <c:v>T1</c:v>
                </c:pt>
                <c:pt idx="1">
                  <c:v>T2</c:v>
                </c:pt>
                <c:pt idx="2">
                  <c:v>T3</c:v>
                </c:pt>
                <c:pt idx="3">
                  <c:v>T4</c:v>
                </c:pt>
              </c:strCache>
            </c:strRef>
          </c:cat>
          <c:val>
            <c:numRef>
              <c:f>Tablas!$B$29:$E$29</c:f>
              <c:numCache>
                <c:formatCode>0%</c:formatCode>
                <c:ptCount val="4"/>
                <c:pt idx="0">
                  <c:v>2.0833333333333332E-2</c:v>
                </c:pt>
                <c:pt idx="1">
                  <c:v>2.2161609273781111E-2</c:v>
                </c:pt>
                <c:pt idx="2">
                  <c:v>1.8579562481270601E-2</c:v>
                </c:pt>
                <c:pt idx="3">
                  <c:v>2.6863084922010397E-2</c:v>
                </c:pt>
              </c:numCache>
            </c:numRef>
          </c:val>
          <c:extLst>
            <c:ext xmlns:c16="http://schemas.microsoft.com/office/drawing/2014/chart" uri="{C3380CC4-5D6E-409C-BE32-E72D297353CC}">
              <c16:uniqueId val="{00000003-8197-4C16-A36F-E2112A6A6A7F}"/>
            </c:ext>
          </c:extLst>
        </c:ser>
        <c:ser>
          <c:idx val="1"/>
          <c:order val="1"/>
          <c:tx>
            <c:strRef>
              <c:f>Tablas!$A$30</c:f>
              <c:strCache>
                <c:ptCount val="1"/>
                <c:pt idx="0">
                  <c:v>Permisos regulares</c:v>
                </c:pt>
              </c:strCache>
            </c:strRef>
          </c:tx>
          <c:spPr>
            <a:solidFill>
              <a:srgbClr val="4472C4">
                <a:lumMod val="60000"/>
                <a:lumOff val="40000"/>
              </a:srgbClr>
            </a:solidFill>
            <a:ln>
              <a:noFill/>
            </a:ln>
            <a:effectLst/>
          </c:spPr>
          <c:invertIfNegative val="0"/>
          <c:dLbls>
            <c:dLbl>
              <c:idx val="0"/>
              <c:layout>
                <c:manualLayout>
                  <c:x val="-1.7046138119524677E-17"/>
                  <c:y val="-1.383087983567271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97-4C16-A36F-E2112A6A6A7F}"/>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Tablas!$B$28:$E$28</c:f>
              <c:strCache>
                <c:ptCount val="4"/>
                <c:pt idx="0">
                  <c:v>T1</c:v>
                </c:pt>
                <c:pt idx="1">
                  <c:v>T2</c:v>
                </c:pt>
                <c:pt idx="2">
                  <c:v>T3</c:v>
                </c:pt>
                <c:pt idx="3">
                  <c:v>T4</c:v>
                </c:pt>
              </c:strCache>
            </c:strRef>
          </c:cat>
          <c:val>
            <c:numRef>
              <c:f>Tablas!$B$30:$E$30</c:f>
              <c:numCache>
                <c:formatCode>0%</c:formatCode>
                <c:ptCount val="4"/>
                <c:pt idx="0">
                  <c:v>0.15221774193548387</c:v>
                </c:pt>
                <c:pt idx="1">
                  <c:v>0.15990453460620524</c:v>
                </c:pt>
                <c:pt idx="2">
                  <c:v>0.17380881030866047</c:v>
                </c:pt>
                <c:pt idx="3">
                  <c:v>0.1425476603119584</c:v>
                </c:pt>
              </c:numCache>
            </c:numRef>
          </c:val>
          <c:extLst>
            <c:ext xmlns:c16="http://schemas.microsoft.com/office/drawing/2014/chart" uri="{C3380CC4-5D6E-409C-BE32-E72D297353CC}">
              <c16:uniqueId val="{00000005-8197-4C16-A36F-E2112A6A6A7F}"/>
            </c:ext>
          </c:extLst>
        </c:ser>
        <c:ser>
          <c:idx val="2"/>
          <c:order val="2"/>
          <c:tx>
            <c:strRef>
              <c:f>Tablas!$A$31</c:f>
              <c:strCache>
                <c:ptCount val="1"/>
                <c:pt idx="0">
                  <c:v>Tardanza</c:v>
                </c:pt>
              </c:strCache>
            </c:strRef>
          </c:tx>
          <c:spPr>
            <a:solidFill>
              <a:schemeClr val="accent1">
                <a:tint val="86000"/>
              </a:schemeClr>
            </a:solidFill>
            <a:ln>
              <a:noFill/>
            </a:ln>
            <a:effectLst/>
          </c:spPr>
          <c:invertIfNegative val="0"/>
          <c:dLbls>
            <c:dLbl>
              <c:idx val="0"/>
              <c:layout>
                <c:manualLayout>
                  <c:x val="7.2291591166166649E-3"/>
                  <c:y val="-3.6026364871593621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97-4C16-A36F-E2112A6A6A7F}"/>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Tablas!$B$28:$E$28</c:f>
              <c:strCache>
                <c:ptCount val="4"/>
                <c:pt idx="0">
                  <c:v>T1</c:v>
                </c:pt>
                <c:pt idx="1">
                  <c:v>T2</c:v>
                </c:pt>
                <c:pt idx="2">
                  <c:v>T3</c:v>
                </c:pt>
                <c:pt idx="3">
                  <c:v>T4</c:v>
                </c:pt>
              </c:strCache>
            </c:strRef>
          </c:cat>
          <c:val>
            <c:numRef>
              <c:f>Tablas!$B$31:$E$31</c:f>
              <c:numCache>
                <c:formatCode>0%</c:formatCode>
                <c:ptCount val="4"/>
                <c:pt idx="0">
                  <c:v>0.38004032258064518</c:v>
                </c:pt>
                <c:pt idx="1">
                  <c:v>0.35629048755540405</c:v>
                </c:pt>
                <c:pt idx="2">
                  <c:v>0.30266706622715012</c:v>
                </c:pt>
                <c:pt idx="3">
                  <c:v>0.35398613518197575</c:v>
                </c:pt>
              </c:numCache>
            </c:numRef>
          </c:val>
          <c:extLst>
            <c:ext xmlns:c16="http://schemas.microsoft.com/office/drawing/2014/chart" uri="{C3380CC4-5D6E-409C-BE32-E72D297353CC}">
              <c16:uniqueId val="{00000007-8197-4C16-A36F-E2112A6A6A7F}"/>
            </c:ext>
          </c:extLst>
        </c:ser>
        <c:ser>
          <c:idx val="3"/>
          <c:order val="3"/>
          <c:tx>
            <c:strRef>
              <c:f>Tablas!$A$32</c:f>
              <c:strCache>
                <c:ptCount val="1"/>
                <c:pt idx="0">
                  <c:v>Vacaciones</c:v>
                </c:pt>
              </c:strCache>
            </c:strRef>
          </c:tx>
          <c:spPr>
            <a:solidFill>
              <a:sysClr val="windowText" lastClr="000000">
                <a:lumMod val="50000"/>
                <a:lumOff val="50000"/>
              </a:sys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Tablas!$B$28:$E$28</c:f>
              <c:strCache>
                <c:ptCount val="4"/>
                <c:pt idx="0">
                  <c:v>T1</c:v>
                </c:pt>
                <c:pt idx="1">
                  <c:v>T2</c:v>
                </c:pt>
                <c:pt idx="2">
                  <c:v>T3</c:v>
                </c:pt>
                <c:pt idx="3">
                  <c:v>T4</c:v>
                </c:pt>
              </c:strCache>
            </c:strRef>
          </c:cat>
          <c:val>
            <c:numRef>
              <c:f>Tablas!$B$32:$E$32</c:f>
              <c:numCache>
                <c:formatCode>0%</c:formatCode>
                <c:ptCount val="4"/>
                <c:pt idx="0">
                  <c:v>0.44690860215053763</c:v>
                </c:pt>
                <c:pt idx="1">
                  <c:v>0.46164336856460964</c:v>
                </c:pt>
                <c:pt idx="2">
                  <c:v>0.50494456098291884</c:v>
                </c:pt>
                <c:pt idx="3">
                  <c:v>0.47660311958405543</c:v>
                </c:pt>
              </c:numCache>
            </c:numRef>
          </c:val>
          <c:extLst>
            <c:ext xmlns:c16="http://schemas.microsoft.com/office/drawing/2014/chart" uri="{C3380CC4-5D6E-409C-BE32-E72D297353CC}">
              <c16:uniqueId val="{00000008-8197-4C16-A36F-E2112A6A6A7F}"/>
            </c:ext>
          </c:extLst>
        </c:ser>
        <c:dLbls>
          <c:showLegendKey val="0"/>
          <c:showVal val="0"/>
          <c:showCatName val="0"/>
          <c:showSerName val="0"/>
          <c:showPercent val="0"/>
          <c:showBubbleSize val="0"/>
        </c:dLbls>
        <c:gapWidth val="39"/>
        <c:overlap val="100"/>
        <c:axId val="1454363423"/>
        <c:axId val="1454377343"/>
      </c:barChart>
      <c:catAx>
        <c:axId val="1454363423"/>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bg2">
                    <a:lumMod val="50000"/>
                  </a:schemeClr>
                </a:solidFill>
                <a:latin typeface="+mn-lt"/>
                <a:ea typeface="+mn-ea"/>
                <a:cs typeface="+mn-cs"/>
              </a:defRPr>
            </a:pPr>
            <a:endParaRPr lang="en-US"/>
          </a:p>
        </c:txPr>
        <c:crossAx val="1454377343"/>
        <c:crosses val="autoZero"/>
        <c:auto val="1"/>
        <c:lblAlgn val="ctr"/>
        <c:lblOffset val="100"/>
        <c:noMultiLvlLbl val="0"/>
      </c:catAx>
      <c:valAx>
        <c:axId val="1454377343"/>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54363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bg1"/>
          </a:solidFill>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Competencias dotadas año 2024</a:t>
            </a:r>
          </a:p>
        </c:rich>
      </c:tx>
      <c:overlay val="0"/>
      <c:spPr>
        <a:noFill/>
        <a:ln>
          <a:noFill/>
        </a:ln>
        <a:effectLst/>
      </c:spPr>
      <c:txPr>
        <a:bodyPr rot="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Hoja1!$B$1</c:f>
              <c:strCache>
                <c:ptCount val="1"/>
                <c:pt idx="0">
                  <c:v>Competencias dotadas año 20224</c:v>
                </c:pt>
              </c:strCache>
            </c:strRef>
          </c:tx>
          <c:spPr>
            <a:solidFill>
              <a:schemeClr val="accent1"/>
            </a:solidFill>
            <a:ln>
              <a:noFill/>
            </a:ln>
            <a:effectLst/>
          </c:spPr>
          <c:invertIfNegative val="0"/>
          <c:dPt>
            <c:idx val="0"/>
            <c:invertIfNegative val="0"/>
            <c:bubble3D val="0"/>
            <c:spPr>
              <a:solidFill>
                <a:schemeClr val="accent3">
                  <a:lumMod val="75000"/>
                </a:schemeClr>
              </a:solidFill>
              <a:ln>
                <a:noFill/>
              </a:ln>
              <a:effectLst/>
            </c:spPr>
            <c:extLst>
              <c:ext xmlns:c16="http://schemas.microsoft.com/office/drawing/2014/chart" uri="{C3380CC4-5D6E-409C-BE32-E72D297353CC}">
                <c16:uniqueId val="{00000001-15C8-424E-8FB1-0C40B082AB56}"/>
              </c:ext>
            </c:extLst>
          </c:dPt>
          <c:dPt>
            <c:idx val="1"/>
            <c:invertIfNegative val="0"/>
            <c:bubble3D val="0"/>
            <c:spPr>
              <a:solidFill>
                <a:schemeClr val="accent1">
                  <a:lumMod val="50000"/>
                </a:schemeClr>
              </a:solidFill>
              <a:ln>
                <a:noFill/>
              </a:ln>
              <a:effectLst/>
            </c:spPr>
            <c:extLst>
              <c:ext xmlns:c16="http://schemas.microsoft.com/office/drawing/2014/chart" uri="{C3380CC4-5D6E-409C-BE32-E72D297353CC}">
                <c16:uniqueId val="{00000003-15C8-424E-8FB1-0C40B082AB5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Hoja1!$A$2:$A$3</c:f>
              <c:strCache>
                <c:ptCount val="2"/>
                <c:pt idx="0">
                  <c:v>Competencias programadas 2024</c:v>
                </c:pt>
                <c:pt idx="1">
                  <c:v>Competencias dotadas hasta la fecha</c:v>
                </c:pt>
              </c:strCache>
            </c:strRef>
          </c:cat>
          <c:val>
            <c:numRef>
              <c:f>Hoja1!$B$2:$B$3</c:f>
              <c:numCache>
                <c:formatCode>General</c:formatCode>
                <c:ptCount val="2"/>
                <c:pt idx="0">
                  <c:v>388</c:v>
                </c:pt>
                <c:pt idx="1">
                  <c:v>342</c:v>
                </c:pt>
              </c:numCache>
            </c:numRef>
          </c:val>
          <c:extLst>
            <c:ext xmlns:c16="http://schemas.microsoft.com/office/drawing/2014/chart" uri="{C3380CC4-5D6E-409C-BE32-E72D297353CC}">
              <c16:uniqueId val="{00000004-15C8-424E-8FB1-0C40B082AB56}"/>
            </c:ext>
          </c:extLst>
        </c:ser>
        <c:dLbls>
          <c:dLblPos val="ctr"/>
          <c:showLegendKey val="0"/>
          <c:showVal val="1"/>
          <c:showCatName val="0"/>
          <c:showSerName val="0"/>
          <c:showPercent val="0"/>
          <c:showBubbleSize val="0"/>
        </c:dLbls>
        <c:gapWidth val="79"/>
        <c:overlap val="100"/>
        <c:axId val="836554912"/>
        <c:axId val="836573632"/>
      </c:barChart>
      <c:catAx>
        <c:axId val="8365549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6573632"/>
        <c:crosses val="autoZero"/>
        <c:auto val="1"/>
        <c:lblAlgn val="ctr"/>
        <c:lblOffset val="100"/>
        <c:noMultiLvlLbl val="0"/>
      </c:catAx>
      <c:valAx>
        <c:axId val="836573632"/>
        <c:scaling>
          <c:orientation val="minMax"/>
        </c:scaling>
        <c:delete val="1"/>
        <c:axPos val="l"/>
        <c:numFmt formatCode="General" sourceLinked="1"/>
        <c:majorTickMark val="none"/>
        <c:minorTickMark val="none"/>
        <c:tickLblPos val="nextTo"/>
        <c:crossAx val="8365549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cap="all" baseline="0">
                <a:solidFill>
                  <a:schemeClr val="bg2">
                    <a:lumMod val="50000"/>
                  </a:schemeClr>
                </a:solidFill>
                <a:latin typeface="Times New Roman" panose="02020603050405020304" pitchFamily="18" charset="0"/>
                <a:ea typeface="+mn-ea"/>
                <a:cs typeface="Times New Roman" panose="02020603050405020304" pitchFamily="18" charset="0"/>
              </a:defRPr>
            </a:pPr>
            <a:r>
              <a:rPr lang="en-US"/>
              <a:t>Competencias detectadas por Grupo Ocupacional</a:t>
            </a:r>
          </a:p>
        </c:rich>
      </c:tx>
      <c:layout>
        <c:manualLayout>
          <c:xMode val="edge"/>
          <c:yMode val="edge"/>
          <c:x val="0.16872801347592745"/>
          <c:y val="4.210536182977128E-2"/>
        </c:manualLayout>
      </c:layout>
      <c:overlay val="0"/>
      <c:spPr>
        <a:noFill/>
        <a:ln>
          <a:noFill/>
        </a:ln>
        <a:effectLst/>
      </c:spPr>
      <c:txPr>
        <a:bodyPr rot="0" spcFirstLastPara="1" vertOverflow="ellipsis" vert="horz" wrap="square" anchor="ctr" anchorCtr="1"/>
        <a:lstStyle/>
        <a:p>
          <a:pPr>
            <a:defRPr sz="1080" b="1" i="0" u="none" strike="noStrike" kern="1200" cap="all"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31710950272630062"/>
          <c:y val="0.3352835607590936"/>
          <c:w val="0.40664643482064744"/>
          <c:h val="0.69710817397825275"/>
        </c:manualLayout>
      </c:layout>
      <c:pieChart>
        <c:varyColors val="1"/>
        <c:ser>
          <c:idx val="0"/>
          <c:order val="0"/>
          <c:tx>
            <c:strRef>
              <c:f>Hoja1!$B$1</c:f>
              <c:strCache>
                <c:ptCount val="1"/>
                <c:pt idx="0">
                  <c:v>Serie1</c:v>
                </c:pt>
              </c:strCache>
            </c:strRef>
          </c:tx>
          <c:spPr>
            <a:effectLst>
              <a:outerShdw blurRad="63500" sx="102000" sy="102000" algn="ctr" rotWithShape="0">
                <a:prstClr val="black">
                  <a:alpha val="20000"/>
                </a:prstClr>
              </a:outerShdw>
            </a:effectLst>
          </c:spPr>
          <c:explosion val="11"/>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77B-4CAB-B8FC-C49C2BA19490}"/>
              </c:ext>
            </c:extLst>
          </c:dPt>
          <c:dPt>
            <c:idx val="1"/>
            <c:bubble3D val="0"/>
            <c:spPr>
              <a:solidFill>
                <a:schemeClr val="accent1">
                  <a:lumMod val="7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77B-4CAB-B8FC-C49C2BA19490}"/>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477B-4CAB-B8FC-C49C2BA19490}"/>
              </c:ext>
            </c:extLst>
          </c:dPt>
          <c:dPt>
            <c:idx val="3"/>
            <c:bubble3D val="0"/>
            <c:spPr>
              <a:solidFill>
                <a:schemeClr val="tx1">
                  <a:lumMod val="65000"/>
                  <a:lumOff val="3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477B-4CAB-B8FC-C49C2BA19490}"/>
              </c:ext>
            </c:extLst>
          </c:dPt>
          <c:dLbls>
            <c:dLbl>
              <c:idx val="0"/>
              <c:spPr>
                <a:noFill/>
                <a:ln>
                  <a:noFill/>
                </a:ln>
                <a:effectLst/>
              </c:spPr>
              <c:txPr>
                <a:bodyPr rot="0" spcFirstLastPara="1" vertOverflow="ellipsis" vert="horz" wrap="square" anchor="ctr" anchorCtr="1"/>
                <a:lstStyle/>
                <a:p>
                  <a:pPr>
                    <a:defRPr sz="9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1-477B-4CAB-B8FC-C49C2BA19490}"/>
                </c:ext>
              </c:extLst>
            </c:dLbl>
            <c:dLbl>
              <c:idx val="1"/>
              <c:layout>
                <c:manualLayout>
                  <c:x val="5.8361391694724866E-2"/>
                  <c:y val="-6.9808027923211171E-3"/>
                </c:manualLayout>
              </c:layout>
              <c:spPr>
                <a:noFill/>
                <a:ln>
                  <a:noFill/>
                </a:ln>
                <a:effectLst/>
              </c:spPr>
              <c:txPr>
                <a:bodyPr rot="0" spcFirstLastPara="1" vertOverflow="ellipsis" vert="horz" wrap="square" anchor="ctr" anchorCtr="1"/>
                <a:lstStyle/>
                <a:p>
                  <a:pPr>
                    <a:defRPr sz="9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7B-4CAB-B8FC-C49C2BA19490}"/>
                </c:ext>
              </c:extLst>
            </c:dLbl>
            <c:dLbl>
              <c:idx val="2"/>
              <c:spPr>
                <a:noFill/>
                <a:ln>
                  <a:noFill/>
                </a:ln>
                <a:effectLst/>
              </c:spPr>
              <c:txPr>
                <a:bodyPr rot="0" spcFirstLastPara="1" vertOverflow="ellipsis" vert="horz" wrap="square" anchor="ctr" anchorCtr="1"/>
                <a:lstStyle/>
                <a:p>
                  <a:pPr>
                    <a:defRPr sz="9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5-477B-4CAB-B8FC-C49C2BA19490}"/>
                </c:ext>
              </c:extLst>
            </c:dLbl>
            <c:dLbl>
              <c:idx val="3"/>
              <c:spPr>
                <a:noFill/>
                <a:ln>
                  <a:noFill/>
                </a:ln>
                <a:effectLst/>
              </c:spPr>
              <c:txPr>
                <a:bodyPr rot="0" spcFirstLastPara="1" vertOverflow="ellipsis" vert="horz" wrap="square" anchor="ctr" anchorCtr="1"/>
                <a:lstStyle/>
                <a:p>
                  <a:pPr>
                    <a:defRPr sz="9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7-477B-4CAB-B8FC-C49C2BA19490}"/>
                </c:ext>
              </c:extLst>
            </c:dLbl>
            <c:spPr>
              <a:noFill/>
              <a:ln>
                <a:noFill/>
              </a:ln>
              <a:effectLst/>
            </c:spPr>
            <c:txPr>
              <a:bodyPr rot="0" spcFirstLastPara="1" vertOverflow="ellipsis" vert="horz" wrap="square" anchor="ctr" anchorCtr="1"/>
              <a:lstStyle/>
              <a:p>
                <a:pPr>
                  <a:defRPr sz="9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Grupo V</c:v>
                </c:pt>
                <c:pt idx="1">
                  <c:v>Grupo IV</c:v>
                </c:pt>
                <c:pt idx="2">
                  <c:v>Grupo III</c:v>
                </c:pt>
                <c:pt idx="3">
                  <c:v>Grupo II </c:v>
                </c:pt>
              </c:strCache>
            </c:strRef>
          </c:cat>
          <c:val>
            <c:numRef>
              <c:f>Hoja1!$B$2:$B$5</c:f>
              <c:numCache>
                <c:formatCode>General</c:formatCode>
                <c:ptCount val="4"/>
                <c:pt idx="0">
                  <c:v>82</c:v>
                </c:pt>
                <c:pt idx="1">
                  <c:v>132</c:v>
                </c:pt>
                <c:pt idx="2">
                  <c:v>39</c:v>
                </c:pt>
                <c:pt idx="3">
                  <c:v>89</c:v>
                </c:pt>
              </c:numCache>
            </c:numRef>
          </c:val>
          <c:extLst>
            <c:ext xmlns:c16="http://schemas.microsoft.com/office/drawing/2014/chart" uri="{C3380CC4-5D6E-409C-BE32-E72D297353CC}">
              <c16:uniqueId val="{00000008-477B-4CAB-B8FC-C49C2BA19490}"/>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bg2">
              <a:lumMod val="50000"/>
            </a:schemeClr>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Competencias detectadas blandas y duras</a:t>
            </a:r>
          </a:p>
        </c:rich>
      </c:tx>
      <c:layout>
        <c:manualLayout>
          <c:xMode val="edge"/>
          <c:yMode val="edge"/>
          <c:x val="0.25586979767625667"/>
          <c:y val="4.0609138796674799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Hoja1!$B$1</c:f>
              <c:strCache>
                <c:ptCount val="1"/>
                <c:pt idx="0">
                  <c:v>Competencias detectadas blandas y concretas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
            <c:invertIfNegative val="0"/>
            <c:bubble3D val="0"/>
            <c:spPr>
              <a:solidFill>
                <a:schemeClr val="bg2">
                  <a:lumMod val="75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5148-4F9E-9447-278ECFA826FD}"/>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Duras</c:v>
                </c:pt>
                <c:pt idx="1">
                  <c:v>Blandas</c:v>
                </c:pt>
              </c:strCache>
            </c:strRef>
          </c:cat>
          <c:val>
            <c:numRef>
              <c:f>Hoja1!$B$2:$B$3</c:f>
              <c:numCache>
                <c:formatCode>General</c:formatCode>
                <c:ptCount val="2"/>
                <c:pt idx="0">
                  <c:v>248</c:v>
                </c:pt>
                <c:pt idx="1">
                  <c:v>94</c:v>
                </c:pt>
              </c:numCache>
            </c:numRef>
          </c:val>
          <c:extLst>
            <c:ext xmlns:c16="http://schemas.microsoft.com/office/drawing/2014/chart" uri="{C3380CC4-5D6E-409C-BE32-E72D297353CC}">
              <c16:uniqueId val="{00000002-5148-4F9E-9447-278ECFA826FD}"/>
            </c:ext>
          </c:extLst>
        </c:ser>
        <c:dLbls>
          <c:dLblPos val="inEnd"/>
          <c:showLegendKey val="0"/>
          <c:showVal val="1"/>
          <c:showCatName val="0"/>
          <c:showSerName val="0"/>
          <c:showPercent val="0"/>
          <c:showBubbleSize val="0"/>
        </c:dLbls>
        <c:gapWidth val="115"/>
        <c:overlap val="-20"/>
        <c:axId val="839101952"/>
        <c:axId val="839122112"/>
      </c:barChart>
      <c:catAx>
        <c:axId val="83910195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39122112"/>
        <c:crosses val="autoZero"/>
        <c:auto val="1"/>
        <c:lblAlgn val="ctr"/>
        <c:lblOffset val="100"/>
        <c:noMultiLvlLbl val="0"/>
      </c:catAx>
      <c:valAx>
        <c:axId val="839122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9101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accent3">
                    <a:lumMod val="75000"/>
                  </a:schemeClr>
                </a:solidFill>
                <a:latin typeface="+mn-lt"/>
                <a:ea typeface="+mn-ea"/>
                <a:cs typeface="+mn-cs"/>
              </a:defRPr>
            </a:pPr>
            <a:r>
              <a:rPr lang="es-419" sz="1200" b="1">
                <a:solidFill>
                  <a:schemeClr val="accent3">
                    <a:lumMod val="75000"/>
                  </a:schemeClr>
                </a:solidFill>
                <a:effectLst/>
                <a:latin typeface="Times New Roman" panose="02020603050405020304" pitchFamily="18" charset="0"/>
                <a:cs typeface="Times New Roman" panose="02020603050405020304" pitchFamily="18" charset="0"/>
              </a:rPr>
              <a:t>Revisión y cambios de políticas Firewall</a:t>
            </a:r>
            <a:endParaRPr lang="es-DO" sz="1200" b="1">
              <a:solidFill>
                <a:schemeClr val="accent3">
                  <a:lumMod val="75000"/>
                </a:scheme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accent3">
                  <a:lumMod val="7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Cumplimiento Servidores</c:v>
                </c:pt>
              </c:strCache>
            </c:strRef>
          </c:tx>
          <c:spPr>
            <a:solidFill>
              <a:schemeClr val="accent1">
                <a:lumMod val="50000"/>
              </a:schemeClr>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1-5D66-4F32-85FF-DE47615D1F8D}"/>
              </c:ext>
            </c:extLst>
          </c:dPt>
          <c:dPt>
            <c:idx val="1"/>
            <c:invertIfNegative val="0"/>
            <c:bubble3D val="0"/>
            <c:spPr>
              <a:solidFill>
                <a:schemeClr val="accent1">
                  <a:lumMod val="50000"/>
                </a:schemeClr>
              </a:solidFill>
              <a:ln>
                <a:noFill/>
              </a:ln>
              <a:effectLst/>
            </c:spPr>
            <c:extLst>
              <c:ext xmlns:c16="http://schemas.microsoft.com/office/drawing/2014/chart" uri="{C3380CC4-5D6E-409C-BE32-E72D297353CC}">
                <c16:uniqueId val="{00000003-5D66-4F32-85FF-DE47615D1F8D}"/>
              </c:ext>
            </c:extLst>
          </c:dPt>
          <c:dLbls>
            <c:dLbl>
              <c:idx val="0"/>
              <c:tx>
                <c:rich>
                  <a:bodyPr/>
                  <a:lstStyle/>
                  <a:p>
                    <a:fld id="{9BFD4198-7501-43D9-813C-30EF02166EDE}"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D66-4F32-85FF-DE47615D1F8D}"/>
                </c:ext>
              </c:extLst>
            </c:dLbl>
            <c:dLbl>
              <c:idx val="1"/>
              <c:tx>
                <c:rich>
                  <a:bodyPr/>
                  <a:lstStyle/>
                  <a:p>
                    <a:r>
                      <a:rPr lang="en-US"/>
                      <a:t>95%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D66-4F32-85FF-DE47615D1F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Sheet1!$A$2:$A$11</c:f>
              <c:strCache>
                <c:ptCount val="10"/>
                <c:pt idx="0">
                  <c:v>GMR</c:v>
                </c:pt>
                <c:pt idx="1">
                  <c:v>NACO</c:v>
                </c:pt>
                <c:pt idx="2">
                  <c:v>TORRE</c:v>
                </c:pt>
                <c:pt idx="3">
                  <c:v>NAP-EDGE</c:v>
                </c:pt>
                <c:pt idx="4">
                  <c:v> NAP-CORE</c:v>
                </c:pt>
                <c:pt idx="5">
                  <c:v>Bavaro</c:v>
                </c:pt>
                <c:pt idx="6">
                  <c:v>PuertoP</c:v>
                </c:pt>
                <c:pt idx="7">
                  <c:v>Santiago</c:v>
                </c:pt>
                <c:pt idx="8">
                  <c:v>PuntoGov</c:v>
                </c:pt>
                <c:pt idx="9">
                  <c:v>San Fco.</c:v>
                </c:pt>
              </c:strCache>
            </c:strRef>
          </c:cat>
          <c:val>
            <c:numRef>
              <c:f>Sheet1!$B$2:$B$11</c:f>
              <c:numCache>
                <c:formatCode>0%</c:formatCode>
                <c:ptCount val="10"/>
                <c:pt idx="0">
                  <c:v>0.92</c:v>
                </c:pt>
                <c:pt idx="1">
                  <c:v>0.95</c:v>
                </c:pt>
                <c:pt idx="2">
                  <c:v>0.91</c:v>
                </c:pt>
                <c:pt idx="3">
                  <c:v>0.91</c:v>
                </c:pt>
                <c:pt idx="4">
                  <c:v>0.91</c:v>
                </c:pt>
                <c:pt idx="5">
                  <c:v>0.98</c:v>
                </c:pt>
                <c:pt idx="6" formatCode="0.00%">
                  <c:v>0.94</c:v>
                </c:pt>
                <c:pt idx="7">
                  <c:v>0.94</c:v>
                </c:pt>
                <c:pt idx="8">
                  <c:v>0.92</c:v>
                </c:pt>
                <c:pt idx="9">
                  <c:v>0.92</c:v>
                </c:pt>
              </c:numCache>
            </c:numRef>
          </c:val>
          <c:extLst>
            <c:ext xmlns:c16="http://schemas.microsoft.com/office/drawing/2014/chart" uri="{C3380CC4-5D6E-409C-BE32-E72D297353CC}">
              <c16:uniqueId val="{00000004-5D66-4F32-85FF-DE47615D1F8D}"/>
            </c:ext>
          </c:extLst>
        </c:ser>
        <c:dLbls>
          <c:showLegendKey val="0"/>
          <c:showVal val="0"/>
          <c:showCatName val="0"/>
          <c:showSerName val="0"/>
          <c:showPercent val="0"/>
          <c:showBubbleSize val="0"/>
        </c:dLbls>
        <c:gapWidth val="100"/>
        <c:axId val="1360269152"/>
        <c:axId val="1360264352"/>
      </c:barChart>
      <c:catAx>
        <c:axId val="136026915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360264352"/>
        <c:crosses val="autoZero"/>
        <c:auto val="1"/>
        <c:lblAlgn val="ctr"/>
        <c:lblOffset val="100"/>
        <c:noMultiLvlLbl val="0"/>
      </c:catAx>
      <c:valAx>
        <c:axId val="1360264352"/>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3602691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cap="none" baseline="0">
                <a:solidFill>
                  <a:schemeClr val="tx1">
                    <a:lumMod val="65000"/>
                    <a:lumOff val="35000"/>
                  </a:schemeClr>
                </a:solidFill>
                <a:latin typeface="+mn-lt"/>
                <a:ea typeface="+mn-ea"/>
                <a:cs typeface="+mn-cs"/>
              </a:defRPr>
            </a:pPr>
            <a:r>
              <a:rPr lang="es-DO" sz="1100" cap="none">
                <a:latin typeface="Times New Roman" panose="02020603050405020304" pitchFamily="18" charset="0"/>
                <a:cs typeface="Times New Roman" panose="02020603050405020304" pitchFamily="18" charset="0"/>
              </a:rPr>
              <a:t>  </a:t>
            </a:r>
            <a:r>
              <a:rPr lang="es-DO" sz="1200" cap="none">
                <a:latin typeface="Times New Roman" panose="02020603050405020304" pitchFamily="18" charset="0"/>
                <a:cs typeface="Times New Roman" panose="02020603050405020304" pitchFamily="18" charset="0"/>
              </a:rPr>
              <a:t>Notificaciones de Pago Por Auditoría</a:t>
            </a:r>
            <a:endParaRPr lang="es-DO" sz="1100" cap="none">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none"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206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A8B-4902-A2A4-413BC0112154}"/>
              </c:ext>
            </c:extLst>
          </c:dPt>
          <c:dPt>
            <c:idx val="1"/>
            <c:bubble3D val="0"/>
            <c:spPr>
              <a:solidFill>
                <a:schemeClr val="accent1">
                  <a:tint val="7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A8B-4902-A2A4-413BC0112154}"/>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layout>
                    <c:manualLayout>
                      <c:w val="0.16474250875599949"/>
                      <c:h val="0.12089818831334524"/>
                    </c:manualLayout>
                  </c15:layout>
                </c:ext>
                <c:ext xmlns:c16="http://schemas.microsoft.com/office/drawing/2014/chart" uri="{C3380CC4-5D6E-409C-BE32-E72D297353CC}">
                  <c16:uniqueId val="{00000001-1A8B-4902-A2A4-413BC0112154}"/>
                </c:ext>
              </c:extLst>
            </c:dLbl>
            <c:dLbl>
              <c:idx val="1"/>
              <c:tx>
                <c:rich>
                  <a:bodyPr rot="0" spcFirstLastPara="1" vertOverflow="ellipsis" vert="horz" wrap="square" lIns="38100" tIns="19050" rIns="38100" bIns="19050" anchor="ctr" anchorCtr="1">
                    <a:spAutoFit/>
                  </a:bodyPr>
                  <a:lstStyle/>
                  <a:p>
                    <a:pPr>
                      <a:defRPr sz="9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fld id="{D68341F9-1478-4617-B3C8-9F6FC2522DCE}" type="CATEGORYNAME">
                      <a:rPr lang="en-US" b="1">
                        <a:solidFill>
                          <a:schemeClr val="bg2">
                            <a:lumMod val="50000"/>
                          </a:schemeClr>
                        </a:solidFill>
                        <a:latin typeface="Times New Roman" panose="02020603050405020304" pitchFamily="18" charset="0"/>
                        <a:cs typeface="Times New Roman" panose="02020603050405020304" pitchFamily="18" charset="0"/>
                      </a:rPr>
                      <a:pPr>
                        <a:defRPr sz="900">
                          <a:solidFill>
                            <a:schemeClr val="bg2">
                              <a:lumMod val="50000"/>
                            </a:schemeClr>
                          </a:solidFill>
                          <a:latin typeface="Times New Roman" panose="02020603050405020304" pitchFamily="18" charset="0"/>
                          <a:cs typeface="Times New Roman" panose="02020603050405020304" pitchFamily="18" charset="0"/>
                        </a:defRPr>
                      </a:pPr>
                      <a:t>[CATEGORY NAME]</a:t>
                    </a:fld>
                    <a:r>
                      <a:rPr lang="en-US" b="1" baseline="0">
                        <a:solidFill>
                          <a:schemeClr val="bg2">
                            <a:lumMod val="50000"/>
                          </a:schemeClr>
                        </a:solidFill>
                        <a:latin typeface="Times New Roman" panose="02020603050405020304" pitchFamily="18" charset="0"/>
                        <a:cs typeface="Times New Roman" panose="02020603050405020304" pitchFamily="18" charset="0"/>
                      </a:rPr>
                      <a:t>
</a:t>
                    </a:r>
                    <a:fld id="{FFE33B54-D354-42A6-AACA-63AB84D6EB30}" type="PERCENTAGE">
                      <a:rPr lang="en-US" b="1" baseline="0">
                        <a:solidFill>
                          <a:schemeClr val="bg2">
                            <a:lumMod val="50000"/>
                          </a:schemeClr>
                        </a:solidFill>
                        <a:latin typeface="Times New Roman" panose="02020603050405020304" pitchFamily="18" charset="0"/>
                        <a:cs typeface="Times New Roman" panose="02020603050405020304" pitchFamily="18" charset="0"/>
                      </a:rPr>
                      <a:pPr>
                        <a:defRPr sz="900">
                          <a:solidFill>
                            <a:schemeClr val="bg2">
                              <a:lumMod val="50000"/>
                            </a:schemeClr>
                          </a:solidFill>
                          <a:latin typeface="Times New Roman" panose="02020603050405020304" pitchFamily="18" charset="0"/>
                          <a:cs typeface="Times New Roman" panose="02020603050405020304" pitchFamily="18" charset="0"/>
                        </a:defRPr>
                      </a:pPr>
                      <a:t>[PERCENTAGE]</a:t>
                    </a:fld>
                    <a:endParaRPr lang="en-US" b="1" baseline="0">
                      <a:solidFill>
                        <a:schemeClr val="bg2">
                          <a:lumMod val="50000"/>
                        </a:schemeClr>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layout>
                    <c:manualLayout>
                      <c:w val="0.16605276785595732"/>
                      <c:h val="0.12089818831334524"/>
                    </c:manualLayout>
                  </c15:layout>
                  <c15:dlblFieldTable/>
                  <c15:showDataLabelsRange val="0"/>
                </c:ext>
                <c:ext xmlns:c16="http://schemas.microsoft.com/office/drawing/2014/chart" uri="{C3380CC4-5D6E-409C-BE32-E72D297353CC}">
                  <c16:uniqueId val="{00000003-1A8B-4902-A2A4-413BC011215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bg2">
                        <a:lumMod val="7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Sheet1!$B$1:$C$1</c:f>
              <c:strCache>
                <c:ptCount val="2"/>
                <c:pt idx="0">
                  <c:v>PAGADA</c:v>
                </c:pt>
                <c:pt idx="1">
                  <c:v>VENCIDA</c:v>
                </c:pt>
              </c:strCache>
            </c:strRef>
          </c:cat>
          <c:val>
            <c:numRef>
              <c:f>Sheet1!$B$2:$C$2</c:f>
              <c:numCache>
                <c:formatCode>#,##0.00</c:formatCode>
                <c:ptCount val="2"/>
                <c:pt idx="0">
                  <c:v>57595122.490000002</c:v>
                </c:pt>
                <c:pt idx="1">
                  <c:v>30821572.190000001</c:v>
                </c:pt>
              </c:numCache>
            </c:numRef>
          </c:val>
          <c:extLst>
            <c:ext xmlns:c16="http://schemas.microsoft.com/office/drawing/2014/chart" uri="{C3380CC4-5D6E-409C-BE32-E72D297353CC}">
              <c16:uniqueId val="{00000004-1A8B-4902-A2A4-413BC0112154}"/>
            </c:ext>
          </c:extLst>
        </c:ser>
        <c:dLbls>
          <c:dLblPos val="outEnd"/>
          <c:showLegendKey val="0"/>
          <c:showVal val="1"/>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231131042394538"/>
          <c:y val="0.18977374243234357"/>
          <c:w val="0.41506058822086495"/>
          <c:h val="0.63106902933758513"/>
        </c:manualLayout>
      </c:layout>
      <c:pieChart>
        <c:varyColors val="1"/>
        <c:ser>
          <c:idx val="0"/>
          <c:order val="0"/>
          <c:spPr>
            <a:ln>
              <a:noFill/>
            </a:ln>
          </c:spPr>
          <c:dPt>
            <c:idx val="0"/>
            <c:bubble3D val="0"/>
            <c:spPr>
              <a:solidFill>
                <a:schemeClr val="bg1">
                  <a:lumMod val="7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51B-4C43-8308-188D33B20B90}"/>
              </c:ext>
            </c:extLst>
          </c:dPt>
          <c:dPt>
            <c:idx val="1"/>
            <c:bubble3D val="0"/>
            <c:spPr>
              <a:solidFill>
                <a:schemeClr val="tx2">
                  <a:lumMod val="25000"/>
                  <a:lumOff val="7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51B-4C43-8308-188D33B20B90}"/>
              </c:ext>
            </c:extLst>
          </c:dPt>
          <c:dPt>
            <c:idx val="2"/>
            <c:bubble3D val="0"/>
            <c:spPr>
              <a:solidFill>
                <a:schemeClr val="tx2">
                  <a:lumMod val="10000"/>
                  <a:lumOff val="9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451B-4C43-8308-188D33B20B90}"/>
              </c:ext>
            </c:extLst>
          </c:dPt>
          <c:dPt>
            <c:idx val="3"/>
            <c:bubble3D val="0"/>
            <c:spPr>
              <a:solidFill>
                <a:srgbClr val="00469A"/>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451B-4C43-8308-188D33B20B90}"/>
              </c:ext>
            </c:extLst>
          </c:dPt>
          <c:dPt>
            <c:idx val="4"/>
            <c:bubble3D val="0"/>
            <c:spPr>
              <a:solidFill>
                <a:schemeClr val="bg1">
                  <a:lumMod val="8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451B-4C43-8308-188D33B20B90}"/>
              </c:ext>
            </c:extLst>
          </c:dPt>
          <c:dPt>
            <c:idx val="5"/>
            <c:bubble3D val="0"/>
            <c:spPr>
              <a:solidFill>
                <a:srgbClr val="1B2C5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451B-4C43-8308-188D33B20B90}"/>
              </c:ext>
            </c:extLst>
          </c:dPt>
          <c:dPt>
            <c:idx val="6"/>
            <c:bubble3D val="0"/>
            <c:spPr>
              <a:solidFill>
                <a:schemeClr val="tx2">
                  <a:lumMod val="90000"/>
                  <a:lumOff val="1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451B-4C43-8308-188D33B20B90}"/>
              </c:ext>
            </c:extLst>
          </c:dPt>
          <c:dPt>
            <c:idx val="7"/>
            <c:bubble3D val="0"/>
            <c:spPr>
              <a:solidFill>
                <a:schemeClr val="tx2">
                  <a:lumMod val="75000"/>
                  <a:lumOff val="2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451B-4C43-8308-188D33B20B90}"/>
              </c:ext>
            </c:extLst>
          </c:dPt>
          <c:dPt>
            <c:idx val="8"/>
            <c:bubble3D val="0"/>
            <c:spPr>
              <a:solidFill>
                <a:srgbClr val="00206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451B-4C43-8308-188D33B20B9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451B-4C43-8308-188D33B20B90}"/>
                </c:ext>
              </c:extLst>
            </c:dLbl>
            <c:dLbl>
              <c:idx val="1"/>
              <c:layout>
                <c:manualLayout>
                  <c:x val="5.0505050505050504E-2"/>
                  <c:y val="0"/>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51B-4C43-8308-188D33B20B90}"/>
                </c:ext>
              </c:extLst>
            </c:dLbl>
            <c:dLbl>
              <c:idx val="2"/>
              <c:layout>
                <c:manualLayout>
                  <c:x val="0.13888888888888878"/>
                  <c:y val="-4.2234593971971587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51B-4C43-8308-188D33B20B90}"/>
                </c:ext>
              </c:extLst>
            </c:dLbl>
            <c:dLbl>
              <c:idx val="3"/>
              <c:layout>
                <c:manualLayout>
                  <c:x val="2.024914499323948E-2"/>
                  <c:y val="0.106429060544817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51B-4C43-8308-188D33B20B90}"/>
                </c:ext>
              </c:extLst>
            </c:dLbl>
            <c:dLbl>
              <c:idx val="4"/>
              <c:layout>
                <c:manualLayout>
                  <c:x val="1.0101010101010008E-2"/>
                  <c:y val="7.6790170858130155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51B-4C43-8308-188D33B20B90}"/>
                </c:ext>
              </c:extLst>
            </c:dLbl>
            <c:dLbl>
              <c:idx val="5"/>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B-451B-4C43-8308-188D33B20B90}"/>
                </c:ext>
              </c:extLst>
            </c:dLbl>
            <c:dLbl>
              <c:idx val="6"/>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D-451B-4C43-8308-188D33B20B90}"/>
                </c:ext>
              </c:extLst>
            </c:dLbl>
            <c:dLbl>
              <c:idx val="7"/>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F-451B-4C43-8308-188D33B20B90}"/>
                </c:ext>
              </c:extLst>
            </c:dLbl>
            <c:dLbl>
              <c:idx val="8"/>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1-451B-4C43-8308-188D33B20B9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('[1]Asistencias Generales'!$A$5:$A$9,'[1]Asistencias Generales'!$A$12:$A$15)</c:f>
              <c:strCache>
                <c:ptCount val="9"/>
                <c:pt idx="0">
                  <c:v>Punto Gob Sambil</c:v>
                </c:pt>
                <c:pt idx="1">
                  <c:v>Punto Gob Megacentro</c:v>
                </c:pt>
                <c:pt idx="2">
                  <c:v>Punto Gob Occidental</c:v>
                </c:pt>
                <c:pt idx="3">
                  <c:v>Punto Gob Colina Centro</c:v>
                </c:pt>
                <c:pt idx="4">
                  <c:v>Punto Gob Santiago</c:v>
                </c:pt>
                <c:pt idx="5">
                  <c:v>Plaza Naco</c:v>
                </c:pt>
                <c:pt idx="6">
                  <c:v>Puerto Plata</c:v>
                </c:pt>
                <c:pt idx="7">
                  <c:v>San Francisco</c:v>
                </c:pt>
                <c:pt idx="8">
                  <c:v>Bávaro</c:v>
                </c:pt>
              </c:strCache>
            </c:strRef>
          </c:cat>
          <c:val>
            <c:numRef>
              <c:f>('[1]Asistencias Generales'!$N$5:$N$9,'[1]Asistencias Generales'!$N$12:$N$15)</c:f>
              <c:numCache>
                <c:formatCode>General</c:formatCode>
                <c:ptCount val="9"/>
                <c:pt idx="0">
                  <c:v>2725</c:v>
                </c:pt>
                <c:pt idx="1">
                  <c:v>4335</c:v>
                </c:pt>
                <c:pt idx="2">
                  <c:v>1162</c:v>
                </c:pt>
                <c:pt idx="3">
                  <c:v>462</c:v>
                </c:pt>
                <c:pt idx="4">
                  <c:v>11242</c:v>
                </c:pt>
                <c:pt idx="5">
                  <c:v>18896</c:v>
                </c:pt>
                <c:pt idx="6">
                  <c:v>6324</c:v>
                </c:pt>
                <c:pt idx="7">
                  <c:v>3610</c:v>
                </c:pt>
                <c:pt idx="8">
                  <c:v>5868</c:v>
                </c:pt>
              </c:numCache>
            </c:numRef>
          </c:val>
          <c:extLst>
            <c:ext xmlns:c16="http://schemas.microsoft.com/office/drawing/2014/chart" uri="{C3380CC4-5D6E-409C-BE32-E72D297353CC}">
              <c16:uniqueId val="{00000012-451B-4C43-8308-188D33B20B90}"/>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100" b="1">
                <a:latin typeface="Times New Roman" panose="02020603050405020304" pitchFamily="18" charset="0"/>
                <a:cs typeface="Times New Roman" panose="02020603050405020304" pitchFamily="18" charset="0"/>
              </a:rPr>
              <a:t>Comparativo Indice</a:t>
            </a:r>
            <a:r>
              <a:rPr lang="es-DO" sz="1100" b="1" baseline="0">
                <a:latin typeface="Times New Roman" panose="02020603050405020304" pitchFamily="18" charset="0"/>
                <a:cs typeface="Times New Roman" panose="02020603050405020304" pitchFamily="18" charset="0"/>
              </a:rPr>
              <a:t> de É</a:t>
            </a:r>
            <a:r>
              <a:rPr lang="es-DO" sz="1100" b="1">
                <a:latin typeface="Times New Roman" panose="02020603050405020304" pitchFamily="18" charset="0"/>
                <a:cs typeface="Times New Roman" panose="02020603050405020304" pitchFamily="18" charset="0"/>
              </a:rPr>
              <a:t>xito</a:t>
            </a:r>
            <a:endParaRPr lang="es-DO" sz="1100" b="1" baseline="0">
              <a:latin typeface="Times New Roman" panose="02020603050405020304" pitchFamily="18" charset="0"/>
              <a:cs typeface="Times New Roman" panose="02020603050405020304" pitchFamily="18" charset="0"/>
            </a:endParaRPr>
          </a:p>
        </c:rich>
      </c:tx>
      <c:layout>
        <c:manualLayout>
          <c:xMode val="edge"/>
          <c:yMode val="edge"/>
          <c:x val="0.38989101527871928"/>
          <c:y val="3.6273771433395288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69903557137325"/>
          <c:y val="5.8145203208027803E-2"/>
          <c:w val="0.87412688168077346"/>
          <c:h val="0.83901370757460558"/>
        </c:manualLayout>
      </c:layout>
      <c:bar3DChart>
        <c:barDir val="bar"/>
        <c:grouping val="clustered"/>
        <c:varyColors val="0"/>
        <c:ser>
          <c:idx val="0"/>
          <c:order val="0"/>
          <c:tx>
            <c:strRef>
              <c:f>'[Consolidado Estadísticas DS 2024.xlsx]CAsistenciaUsuario'!$I$13</c:f>
              <c:strCache>
                <c:ptCount val="1"/>
                <c:pt idx="0">
                  <c:v>Porcentaje de Exito</c:v>
                </c:pt>
              </c:strCache>
            </c:strRef>
          </c:tx>
          <c:spPr>
            <a:solidFill>
              <a:srgbClr val="002060"/>
            </a:solidFill>
            <a:ln>
              <a:noFill/>
            </a:ln>
            <a:effectLst/>
            <a:sp3d/>
          </c:spPr>
          <c:invertIfNegative val="0"/>
          <c:dLbls>
            <c:dLbl>
              <c:idx val="0"/>
              <c:layout>
                <c:manualLayout>
                  <c:x val="-1.1449256235783787E-16"/>
                  <c:y val="-2.18221494817239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AE0-4C03-A6B0-139BC6DBAF7F}"/>
                </c:ext>
              </c:extLst>
            </c:dLbl>
            <c:dLbl>
              <c:idx val="1"/>
              <c:layout>
                <c:manualLayout>
                  <c:x val="-1.1449256235783787E-16"/>
                  <c:y val="-2.61865793780687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AE0-4C03-A6B0-139BC6DBAF7F}"/>
                </c:ext>
              </c:extLst>
            </c:dLbl>
            <c:dLbl>
              <c:idx val="2"/>
              <c:layout>
                <c:manualLayout>
                  <c:x val="-1.1449256235783787E-16"/>
                  <c:y val="-2.83687943262411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AE0-4C03-A6B0-139BC6DBAF7F}"/>
                </c:ext>
              </c:extLst>
            </c:dLbl>
            <c:dLbl>
              <c:idx val="3"/>
              <c:layout>
                <c:manualLayout>
                  <c:x val="-1.1449256235783787E-16"/>
                  <c:y val="-3.0551009274413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AE0-4C03-A6B0-139BC6DBAF7F}"/>
                </c:ext>
              </c:extLst>
            </c:dLbl>
            <c:dLbl>
              <c:idx val="4"/>
              <c:layout>
                <c:manualLayout>
                  <c:x val="-1.1449256235783787E-16"/>
                  <c:y val="-2.83687943262411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AE0-4C03-A6B0-139BC6DBAF7F}"/>
                </c:ext>
              </c:extLst>
            </c:dLbl>
            <c:dLbl>
              <c:idx val="5"/>
              <c:layout>
                <c:manualLayout>
                  <c:x val="-1.1449256235783787E-16"/>
                  <c:y val="-2.61865793780687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AE0-4C03-A6B0-139BC6DBAF7F}"/>
                </c:ext>
              </c:extLst>
            </c:dLbl>
            <c:dLbl>
              <c:idx val="6"/>
              <c:layout>
                <c:manualLayout>
                  <c:x val="-1.1449256235783787E-16"/>
                  <c:y val="-2.61865793780687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AE0-4C03-A6B0-139BC6DBAF7F}"/>
                </c:ext>
              </c:extLst>
            </c:dLbl>
            <c:dLbl>
              <c:idx val="7"/>
              <c:layout>
                <c:manualLayout>
                  <c:x val="-1.1449256235783787E-16"/>
                  <c:y val="-3.05510092744135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AE0-4C03-A6B0-139BC6DBAF7F}"/>
                </c:ext>
              </c:extLst>
            </c:dLbl>
            <c:dLbl>
              <c:idx val="8"/>
              <c:layout>
                <c:manualLayout>
                  <c:x val="-1.1449256235783787E-16"/>
                  <c:y val="-2.40043644298963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AE0-4C03-A6B0-139BC6DBAF7F}"/>
                </c:ext>
              </c:extLst>
            </c:dLbl>
            <c:dLbl>
              <c:idx val="9"/>
              <c:layout>
                <c:manualLayout>
                  <c:x val="-1.1449256235783787E-16"/>
                  <c:y val="-3.05510092744135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AE0-4C03-A6B0-139BC6DBAF7F}"/>
                </c:ext>
              </c:extLst>
            </c:dLbl>
            <c:dLbl>
              <c:idx val="10"/>
              <c:layout>
                <c:manualLayout>
                  <c:x val="-1.1449256235783787E-16"/>
                  <c:y val="-2.82981730393357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AE0-4C03-A6B0-139BC6DBAF7F}"/>
                </c:ext>
              </c:extLst>
            </c:dLbl>
            <c:dLbl>
              <c:idx val="11"/>
              <c:layout>
                <c:manualLayout>
                  <c:x val="2.354065599884150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AE0-4C03-A6B0-139BC6DBAF7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[1]CAsistenciaUsuario!$B$14:$B$25</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[1]CAsistenciaUsuario!$I$14:$I$25</c:f>
              <c:numCache>
                <c:formatCode>0.00%</c:formatCode>
                <c:ptCount val="12"/>
                <c:pt idx="0">
                  <c:v>0.97201283677886408</c:v>
                </c:pt>
                <c:pt idx="1">
                  <c:v>0.97780636860726922</c:v>
                </c:pt>
                <c:pt idx="2">
                  <c:v>0.98351648351648346</c:v>
                </c:pt>
                <c:pt idx="3">
                  <c:v>0.97857905168470805</c:v>
                </c:pt>
                <c:pt idx="4">
                  <c:v>0.97184125091101836</c:v>
                </c:pt>
                <c:pt idx="5">
                  <c:v>0.98314512051238834</c:v>
                </c:pt>
                <c:pt idx="6">
                  <c:v>0.98628457589456742</c:v>
                </c:pt>
                <c:pt idx="7">
                  <c:v>0.98307718874115002</c:v>
                </c:pt>
                <c:pt idx="8">
                  <c:v>0.98178952897916305</c:v>
                </c:pt>
                <c:pt idx="9">
                  <c:v>0.979445727482679</c:v>
                </c:pt>
                <c:pt idx="10">
                  <c:v>0.97445918923832031</c:v>
                </c:pt>
                <c:pt idx="11">
                  <c:v>0</c:v>
                </c:pt>
              </c:numCache>
            </c:numRef>
          </c:val>
          <c:extLst>
            <c:ext xmlns:c16="http://schemas.microsoft.com/office/drawing/2014/chart" uri="{C3380CC4-5D6E-409C-BE32-E72D297353CC}">
              <c16:uniqueId val="{0000000C-1AE0-4C03-A6B0-139BC6DBAF7F}"/>
            </c:ext>
          </c:extLst>
        </c:ser>
        <c:ser>
          <c:idx val="1"/>
          <c:order val="1"/>
          <c:tx>
            <c:strRef>
              <c:f>'[Consolidado Estadísticas DS 2024.xlsx]CAsistenciaUsuario'!$J$13</c:f>
              <c:strCache>
                <c:ptCount val="1"/>
                <c:pt idx="0">
                  <c:v>Porcentaje de Abandono</c:v>
                </c:pt>
              </c:strCache>
            </c:strRef>
          </c:tx>
          <c:spPr>
            <a:solidFill>
              <a:schemeClr val="bg1">
                <a:lumMod val="75000"/>
              </a:schemeClr>
            </a:solidFill>
            <a:ln>
              <a:noFill/>
            </a:ln>
            <a:effectLst/>
            <a:sp3d/>
          </c:spPr>
          <c:invertIfNegative val="0"/>
          <c:dLbls>
            <c:dLbl>
              <c:idx val="0"/>
              <c:layout>
                <c:manualLayout>
                  <c:x val="0"/>
                  <c:y val="-6.45652403792707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AE0-4C03-A6B0-139BC6DBAF7F}"/>
                </c:ext>
              </c:extLst>
            </c:dLbl>
            <c:dLbl>
              <c:idx val="1"/>
              <c:layout>
                <c:manualLayout>
                  <c:x val="0"/>
                  <c:y val="-6.45652403792707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AE0-4C03-A6B0-139BC6DBAF7F}"/>
                </c:ext>
              </c:extLst>
            </c:dLbl>
            <c:dLbl>
              <c:idx val="2"/>
              <c:layout>
                <c:manualLayout>
                  <c:x val="0"/>
                  <c:y val="-6.45652403792715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AE0-4C03-A6B0-139BC6DBAF7F}"/>
                </c:ext>
              </c:extLst>
            </c:dLbl>
            <c:dLbl>
              <c:idx val="3"/>
              <c:layout>
                <c:manualLayout>
                  <c:x val="0"/>
                  <c:y val="-6.45652403792715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AE0-4C03-A6B0-139BC6DBAF7F}"/>
                </c:ext>
              </c:extLst>
            </c:dLbl>
            <c:dLbl>
              <c:idx val="4"/>
              <c:layout>
                <c:manualLayout>
                  <c:x val="2.9369030657798684E-3"/>
                  <c:y val="-8.60869871723610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AE0-4C03-A6B0-139BC6DBAF7F}"/>
                </c:ext>
              </c:extLst>
            </c:dLbl>
            <c:dLbl>
              <c:idx val="5"/>
              <c:layout>
                <c:manualLayout>
                  <c:x val="1.4684515328899613E-3"/>
                  <c:y val="-1.0760873396545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AE0-4C03-A6B0-139BC6DBAF7F}"/>
                </c:ext>
              </c:extLst>
            </c:dLbl>
            <c:dLbl>
              <c:idx val="6"/>
              <c:layout>
                <c:manualLayout>
                  <c:x val="-1.4684515328899613E-3"/>
                  <c:y val="-1.07608733965451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AE0-4C03-A6B0-139BC6DBAF7F}"/>
                </c:ext>
              </c:extLst>
            </c:dLbl>
            <c:dLbl>
              <c:idx val="7"/>
              <c:layout>
                <c:manualLayout>
                  <c:x val="-5.3842600878311998E-17"/>
                  <c:y val="-6.45652403792711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AE0-4C03-A6B0-139BC6DBAF7F}"/>
                </c:ext>
              </c:extLst>
            </c:dLbl>
            <c:dLbl>
              <c:idx val="8"/>
              <c:layout>
                <c:manualLayout>
                  <c:x val="-1.4684515328899613E-3"/>
                  <c:y val="-1.72173974344722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AE0-4C03-A6B0-139BC6DBAF7F}"/>
                </c:ext>
              </c:extLst>
            </c:dLbl>
            <c:dLbl>
              <c:idx val="9"/>
              <c:layout>
                <c:manualLayout>
                  <c:x val="3.3839692998334663E-2"/>
                  <c:y val="-4.30968394129689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AE0-4C03-A6B0-139BC6DBAF7F}"/>
                </c:ext>
              </c:extLst>
            </c:dLbl>
            <c:dLbl>
              <c:idx val="10"/>
              <c:layout>
                <c:manualLayout>
                  <c:x val="1.6187097241329374E-2"/>
                  <c:y val="-8.608717922277344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AE0-4C03-A6B0-139BC6DBAF7F}"/>
                </c:ext>
              </c:extLst>
            </c:dLbl>
            <c:dLbl>
              <c:idx val="11"/>
              <c:layout>
                <c:manualLayout>
                  <c:x val="2.0598020852874172E-2"/>
                  <c:y val="-1.79694519317160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AE0-4C03-A6B0-139BC6DBAF7F}"/>
                </c:ext>
              </c:extLst>
            </c:dLbl>
            <c:spPr>
              <a:no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[1]CAsistenciaUsuario!$B$14:$B$25</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[1]CAsistenciaUsuario!$J$14:$J$25</c:f>
              <c:numCache>
                <c:formatCode>0%</c:formatCode>
                <c:ptCount val="12"/>
                <c:pt idx="0">
                  <c:v>2.7987163221135907E-2</c:v>
                </c:pt>
                <c:pt idx="1">
                  <c:v>2.219363139273078E-2</c:v>
                </c:pt>
                <c:pt idx="2">
                  <c:v>1.6483516483516484E-2</c:v>
                </c:pt>
                <c:pt idx="3">
                  <c:v>2.1420948315291965E-2</c:v>
                </c:pt>
                <c:pt idx="4">
                  <c:v>2.8158749088981649E-2</c:v>
                </c:pt>
                <c:pt idx="5">
                  <c:v>1.6854879487611663E-2</c:v>
                </c:pt>
                <c:pt idx="6">
                  <c:v>1.3715424105432535E-2</c:v>
                </c:pt>
                <c:pt idx="7">
                  <c:v>1.6922811258849941E-2</c:v>
                </c:pt>
                <c:pt idx="8">
                  <c:v>1.821047102083698E-2</c:v>
                </c:pt>
                <c:pt idx="9">
                  <c:v>2.0554272517321018E-2</c:v>
                </c:pt>
                <c:pt idx="10">
                  <c:v>2.5540810761679696E-2</c:v>
                </c:pt>
                <c:pt idx="11">
                  <c:v>0</c:v>
                </c:pt>
              </c:numCache>
            </c:numRef>
          </c:val>
          <c:extLst>
            <c:ext xmlns:c16="http://schemas.microsoft.com/office/drawing/2014/chart" uri="{C3380CC4-5D6E-409C-BE32-E72D297353CC}">
              <c16:uniqueId val="{00000019-1AE0-4C03-A6B0-139BC6DBAF7F}"/>
            </c:ext>
          </c:extLst>
        </c:ser>
        <c:dLbls>
          <c:showLegendKey val="0"/>
          <c:showVal val="0"/>
          <c:showCatName val="0"/>
          <c:showSerName val="0"/>
          <c:showPercent val="0"/>
          <c:showBubbleSize val="0"/>
        </c:dLbls>
        <c:gapWidth val="102"/>
        <c:gapDepth val="116"/>
        <c:shape val="box"/>
        <c:axId val="1609942927"/>
        <c:axId val="1609943759"/>
        <c:axId val="0"/>
      </c:bar3DChart>
      <c:catAx>
        <c:axId val="160994292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09943759"/>
        <c:crosses val="autoZero"/>
        <c:auto val="1"/>
        <c:lblAlgn val="ctr"/>
        <c:lblOffset val="100"/>
        <c:noMultiLvlLbl val="0"/>
      </c:catAx>
      <c:valAx>
        <c:axId val="1609943759"/>
        <c:scaling>
          <c:orientation val="minMax"/>
        </c:scaling>
        <c:delete val="1"/>
        <c:axPos val="b"/>
        <c:majorGridlines>
          <c:spPr>
            <a:ln w="9525" cap="flat" cmpd="sng" algn="ctr">
              <a:noFill/>
              <a:round/>
            </a:ln>
            <a:effectLst/>
          </c:spPr>
        </c:majorGridlines>
        <c:numFmt formatCode="0.00%" sourceLinked="1"/>
        <c:majorTickMark val="none"/>
        <c:minorTickMark val="none"/>
        <c:tickLblPos val="nextTo"/>
        <c:crossAx val="1609942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SOLICITUDES RECIBIDAS</c:v>
                </c:pt>
              </c:strCache>
            </c:strRef>
          </c:tx>
          <c:spPr>
            <a:solidFill>
              <a:schemeClr val="accent1">
                <a:lumMod val="50000"/>
              </a:schemeClr>
            </a:solidFill>
            <a:ln>
              <a:noFill/>
            </a:ln>
            <a:effectLst/>
          </c:spPr>
          <c:invertIfNegative val="0"/>
          <c:cat>
            <c:strRef>
              <c:f>Sheet1!$A$2:$A$13</c:f>
              <c:strCache>
                <c:ptCount val="12"/>
                <c:pt idx="0">
                  <c:v>Enero  2024</c:v>
                </c:pt>
                <c:pt idx="1">
                  <c:v>Febrero 2024</c:v>
                </c:pt>
                <c:pt idx="2">
                  <c:v>Marzo 2024</c:v>
                </c:pt>
                <c:pt idx="3">
                  <c:v>Abril 2024</c:v>
                </c:pt>
                <c:pt idx="4">
                  <c:v>Mayo 2024</c:v>
                </c:pt>
                <c:pt idx="5">
                  <c:v>Junio 2024</c:v>
                </c:pt>
                <c:pt idx="6">
                  <c:v>Julio 2024</c:v>
                </c:pt>
                <c:pt idx="7">
                  <c:v>Agosto 2024</c:v>
                </c:pt>
                <c:pt idx="8">
                  <c:v>Septiembre 2024</c:v>
                </c:pt>
                <c:pt idx="9">
                  <c:v>Octubre 2024</c:v>
                </c:pt>
                <c:pt idx="10">
                  <c:v>Noviembre 2024</c:v>
                </c:pt>
                <c:pt idx="11">
                  <c:v>TOTAL</c:v>
                </c:pt>
              </c:strCache>
            </c:strRef>
          </c:cat>
          <c:val>
            <c:numRef>
              <c:f>Sheet1!$B$2:$B$13</c:f>
              <c:numCache>
                <c:formatCode>General</c:formatCode>
                <c:ptCount val="12"/>
                <c:pt idx="0">
                  <c:v>15</c:v>
                </c:pt>
                <c:pt idx="1">
                  <c:v>4</c:v>
                </c:pt>
                <c:pt idx="2">
                  <c:v>5</c:v>
                </c:pt>
                <c:pt idx="3">
                  <c:v>3</c:v>
                </c:pt>
                <c:pt idx="4">
                  <c:v>6</c:v>
                </c:pt>
                <c:pt idx="5">
                  <c:v>6</c:v>
                </c:pt>
                <c:pt idx="6">
                  <c:v>12</c:v>
                </c:pt>
                <c:pt idx="7">
                  <c:v>13</c:v>
                </c:pt>
                <c:pt idx="8">
                  <c:v>10</c:v>
                </c:pt>
                <c:pt idx="9">
                  <c:v>11</c:v>
                </c:pt>
                <c:pt idx="10">
                  <c:v>6</c:v>
                </c:pt>
                <c:pt idx="11">
                  <c:v>91</c:v>
                </c:pt>
              </c:numCache>
            </c:numRef>
          </c:val>
          <c:extLst>
            <c:ext xmlns:c16="http://schemas.microsoft.com/office/drawing/2014/chart" uri="{C3380CC4-5D6E-409C-BE32-E72D297353CC}">
              <c16:uniqueId val="{00000000-74CB-44F1-B402-E772EDFBB9AA}"/>
            </c:ext>
          </c:extLst>
        </c:ser>
        <c:ser>
          <c:idx val="1"/>
          <c:order val="1"/>
          <c:tx>
            <c:strRef>
              <c:f>Sheet1!$C$1</c:f>
              <c:strCache>
                <c:ptCount val="1"/>
                <c:pt idx="0">
                  <c:v>ANTES DE 10 DIAS</c:v>
                </c:pt>
              </c:strCache>
            </c:strRef>
          </c:tx>
          <c:spPr>
            <a:solidFill>
              <a:schemeClr val="accent1">
                <a:lumMod val="40000"/>
                <a:lumOff val="60000"/>
              </a:schemeClr>
            </a:solidFill>
            <a:ln>
              <a:noFill/>
            </a:ln>
            <a:effectLst/>
          </c:spPr>
          <c:invertIfNegative val="0"/>
          <c:cat>
            <c:strRef>
              <c:f>Sheet1!$A$2:$A$13</c:f>
              <c:strCache>
                <c:ptCount val="12"/>
                <c:pt idx="0">
                  <c:v>Enero  2024</c:v>
                </c:pt>
                <c:pt idx="1">
                  <c:v>Febrero 2024</c:v>
                </c:pt>
                <c:pt idx="2">
                  <c:v>Marzo 2024</c:v>
                </c:pt>
                <c:pt idx="3">
                  <c:v>Abril 2024</c:v>
                </c:pt>
                <c:pt idx="4">
                  <c:v>Mayo 2024</c:v>
                </c:pt>
                <c:pt idx="5">
                  <c:v>Junio 2024</c:v>
                </c:pt>
                <c:pt idx="6">
                  <c:v>Julio 2024</c:v>
                </c:pt>
                <c:pt idx="7">
                  <c:v>Agosto 2024</c:v>
                </c:pt>
                <c:pt idx="8">
                  <c:v>Septiembre 2024</c:v>
                </c:pt>
                <c:pt idx="9">
                  <c:v>Octubre 2024</c:v>
                </c:pt>
                <c:pt idx="10">
                  <c:v>Noviembre 2024</c:v>
                </c:pt>
                <c:pt idx="11">
                  <c:v>TOTAL</c:v>
                </c:pt>
              </c:strCache>
            </c:strRef>
          </c:cat>
          <c:val>
            <c:numRef>
              <c:f>Sheet1!$C$2:$C$13</c:f>
              <c:numCache>
                <c:formatCode>General</c:formatCode>
                <c:ptCount val="12"/>
                <c:pt idx="0">
                  <c:v>0</c:v>
                </c:pt>
                <c:pt idx="1">
                  <c:v>1</c:v>
                </c:pt>
                <c:pt idx="2">
                  <c:v>1</c:v>
                </c:pt>
                <c:pt idx="3">
                  <c:v>1</c:v>
                </c:pt>
                <c:pt idx="4">
                  <c:v>1</c:v>
                </c:pt>
                <c:pt idx="5">
                  <c:v>0</c:v>
                </c:pt>
                <c:pt idx="6">
                  <c:v>4</c:v>
                </c:pt>
                <c:pt idx="7">
                  <c:v>5</c:v>
                </c:pt>
                <c:pt idx="8">
                  <c:v>4</c:v>
                </c:pt>
                <c:pt idx="9">
                  <c:v>2</c:v>
                </c:pt>
                <c:pt idx="10">
                  <c:v>3</c:v>
                </c:pt>
                <c:pt idx="11">
                  <c:v>22</c:v>
                </c:pt>
              </c:numCache>
            </c:numRef>
          </c:val>
          <c:extLst>
            <c:ext xmlns:c16="http://schemas.microsoft.com/office/drawing/2014/chart" uri="{C3380CC4-5D6E-409C-BE32-E72D297353CC}">
              <c16:uniqueId val="{00000001-74CB-44F1-B402-E772EDFBB9AA}"/>
            </c:ext>
          </c:extLst>
        </c:ser>
        <c:ser>
          <c:idx val="2"/>
          <c:order val="2"/>
          <c:tx>
            <c:strRef>
              <c:f>Sheet1!$D$1</c:f>
              <c:strCache>
                <c:ptCount val="1"/>
                <c:pt idx="0">
                  <c:v> DE 10 A  15 DIAS </c:v>
                </c:pt>
              </c:strCache>
            </c:strRef>
          </c:tx>
          <c:spPr>
            <a:solidFill>
              <a:schemeClr val="accent1">
                <a:lumMod val="75000"/>
              </a:schemeClr>
            </a:solidFill>
            <a:ln>
              <a:noFill/>
            </a:ln>
            <a:effectLst/>
          </c:spPr>
          <c:invertIfNegative val="0"/>
          <c:cat>
            <c:strRef>
              <c:f>Sheet1!$A$2:$A$13</c:f>
              <c:strCache>
                <c:ptCount val="12"/>
                <c:pt idx="0">
                  <c:v>Enero  2024</c:v>
                </c:pt>
                <c:pt idx="1">
                  <c:v>Febrero 2024</c:v>
                </c:pt>
                <c:pt idx="2">
                  <c:v>Marzo 2024</c:v>
                </c:pt>
                <c:pt idx="3">
                  <c:v>Abril 2024</c:v>
                </c:pt>
                <c:pt idx="4">
                  <c:v>Mayo 2024</c:v>
                </c:pt>
                <c:pt idx="5">
                  <c:v>Junio 2024</c:v>
                </c:pt>
                <c:pt idx="6">
                  <c:v>Julio 2024</c:v>
                </c:pt>
                <c:pt idx="7">
                  <c:v>Agosto 2024</c:v>
                </c:pt>
                <c:pt idx="8">
                  <c:v>Septiembre 2024</c:v>
                </c:pt>
                <c:pt idx="9">
                  <c:v>Octubre 2024</c:v>
                </c:pt>
                <c:pt idx="10">
                  <c:v>Noviembre 2024</c:v>
                </c:pt>
                <c:pt idx="11">
                  <c:v>TOTAL</c:v>
                </c:pt>
              </c:strCache>
            </c:strRef>
          </c:cat>
          <c:val>
            <c:numRef>
              <c:f>Sheet1!$D$2:$D$13</c:f>
              <c:numCache>
                <c:formatCode>General</c:formatCode>
                <c:ptCount val="12"/>
                <c:pt idx="0">
                  <c:v>10</c:v>
                </c:pt>
                <c:pt idx="1">
                  <c:v>2</c:v>
                </c:pt>
                <c:pt idx="2">
                  <c:v>3</c:v>
                </c:pt>
                <c:pt idx="3">
                  <c:v>1</c:v>
                </c:pt>
                <c:pt idx="4">
                  <c:v>5</c:v>
                </c:pt>
                <c:pt idx="5">
                  <c:v>1</c:v>
                </c:pt>
                <c:pt idx="6">
                  <c:v>5</c:v>
                </c:pt>
                <c:pt idx="7">
                  <c:v>5</c:v>
                </c:pt>
                <c:pt idx="8">
                  <c:v>3</c:v>
                </c:pt>
                <c:pt idx="9">
                  <c:v>4</c:v>
                </c:pt>
                <c:pt idx="10">
                  <c:v>2</c:v>
                </c:pt>
                <c:pt idx="11">
                  <c:v>41</c:v>
                </c:pt>
              </c:numCache>
            </c:numRef>
          </c:val>
          <c:extLst>
            <c:ext xmlns:c16="http://schemas.microsoft.com/office/drawing/2014/chart" uri="{C3380CC4-5D6E-409C-BE32-E72D297353CC}">
              <c16:uniqueId val="{00000002-74CB-44F1-B402-E772EDFBB9AA}"/>
            </c:ext>
          </c:extLst>
        </c:ser>
        <c:ser>
          <c:idx val="3"/>
          <c:order val="3"/>
          <c:tx>
            <c:strRef>
              <c:f>Sheet1!$E$1</c:f>
              <c:strCache>
                <c:ptCount val="1"/>
                <c:pt idx="0">
                  <c:v>REFERIDAS</c:v>
                </c:pt>
              </c:strCache>
            </c:strRef>
          </c:tx>
          <c:spPr>
            <a:solidFill>
              <a:schemeClr val="tx2">
                <a:lumMod val="60000"/>
                <a:lumOff val="40000"/>
              </a:schemeClr>
            </a:solidFill>
            <a:ln>
              <a:noFill/>
            </a:ln>
            <a:effectLst/>
          </c:spPr>
          <c:invertIfNegative val="0"/>
          <c:cat>
            <c:strRef>
              <c:f>Sheet1!$A$2:$A$13</c:f>
              <c:strCache>
                <c:ptCount val="12"/>
                <c:pt idx="0">
                  <c:v>Enero  2024</c:v>
                </c:pt>
                <c:pt idx="1">
                  <c:v>Febrero 2024</c:v>
                </c:pt>
                <c:pt idx="2">
                  <c:v>Marzo 2024</c:v>
                </c:pt>
                <c:pt idx="3">
                  <c:v>Abril 2024</c:v>
                </c:pt>
                <c:pt idx="4">
                  <c:v>Mayo 2024</c:v>
                </c:pt>
                <c:pt idx="5">
                  <c:v>Junio 2024</c:v>
                </c:pt>
                <c:pt idx="6">
                  <c:v>Julio 2024</c:v>
                </c:pt>
                <c:pt idx="7">
                  <c:v>Agosto 2024</c:v>
                </c:pt>
                <c:pt idx="8">
                  <c:v>Septiembre 2024</c:v>
                </c:pt>
                <c:pt idx="9">
                  <c:v>Octubre 2024</c:v>
                </c:pt>
                <c:pt idx="10">
                  <c:v>Noviembre 2024</c:v>
                </c:pt>
                <c:pt idx="11">
                  <c:v>TOTAL</c:v>
                </c:pt>
              </c:strCache>
            </c:strRef>
          </c:cat>
          <c:val>
            <c:numRef>
              <c:f>Sheet1!$E$2:$E$13</c:f>
              <c:numCache>
                <c:formatCode>General</c:formatCode>
                <c:ptCount val="12"/>
                <c:pt idx="0">
                  <c:v>3</c:v>
                </c:pt>
                <c:pt idx="1">
                  <c:v>0</c:v>
                </c:pt>
                <c:pt idx="2">
                  <c:v>1</c:v>
                </c:pt>
                <c:pt idx="3">
                  <c:v>1</c:v>
                </c:pt>
                <c:pt idx="4">
                  <c:v>0</c:v>
                </c:pt>
                <c:pt idx="5">
                  <c:v>0</c:v>
                </c:pt>
                <c:pt idx="6">
                  <c:v>1</c:v>
                </c:pt>
                <c:pt idx="7">
                  <c:v>1</c:v>
                </c:pt>
                <c:pt idx="8">
                  <c:v>3</c:v>
                </c:pt>
                <c:pt idx="9">
                  <c:v>4</c:v>
                </c:pt>
                <c:pt idx="10">
                  <c:v>1</c:v>
                </c:pt>
                <c:pt idx="11">
                  <c:v>15</c:v>
                </c:pt>
              </c:numCache>
            </c:numRef>
          </c:val>
          <c:extLst>
            <c:ext xmlns:c16="http://schemas.microsoft.com/office/drawing/2014/chart" uri="{C3380CC4-5D6E-409C-BE32-E72D297353CC}">
              <c16:uniqueId val="{00000003-74CB-44F1-B402-E772EDFBB9AA}"/>
            </c:ext>
          </c:extLst>
        </c:ser>
        <c:ser>
          <c:idx val="4"/>
          <c:order val="4"/>
          <c:tx>
            <c:strRef>
              <c:f>Sheet1!$F$1</c:f>
              <c:strCache>
                <c:ptCount val="1"/>
                <c:pt idx="0">
                  <c:v>RECHAZADAS</c:v>
                </c:pt>
              </c:strCache>
            </c:strRef>
          </c:tx>
          <c:spPr>
            <a:solidFill>
              <a:schemeClr val="accent1">
                <a:lumMod val="75000"/>
              </a:schemeClr>
            </a:solidFill>
            <a:ln>
              <a:noFill/>
            </a:ln>
            <a:effectLst/>
          </c:spPr>
          <c:invertIfNegative val="0"/>
          <c:cat>
            <c:strRef>
              <c:f>Sheet1!$A$2:$A$13</c:f>
              <c:strCache>
                <c:ptCount val="12"/>
                <c:pt idx="0">
                  <c:v>Enero  2024</c:v>
                </c:pt>
                <c:pt idx="1">
                  <c:v>Febrero 2024</c:v>
                </c:pt>
                <c:pt idx="2">
                  <c:v>Marzo 2024</c:v>
                </c:pt>
                <c:pt idx="3">
                  <c:v>Abril 2024</c:v>
                </c:pt>
                <c:pt idx="4">
                  <c:v>Mayo 2024</c:v>
                </c:pt>
                <c:pt idx="5">
                  <c:v>Junio 2024</c:v>
                </c:pt>
                <c:pt idx="6">
                  <c:v>Julio 2024</c:v>
                </c:pt>
                <c:pt idx="7">
                  <c:v>Agosto 2024</c:v>
                </c:pt>
                <c:pt idx="8">
                  <c:v>Septiembre 2024</c:v>
                </c:pt>
                <c:pt idx="9">
                  <c:v>Octubre 2024</c:v>
                </c:pt>
                <c:pt idx="10">
                  <c:v>Noviembre 2024</c:v>
                </c:pt>
                <c:pt idx="11">
                  <c:v>TOTAL</c:v>
                </c:pt>
              </c:strCache>
            </c:strRef>
          </c:cat>
          <c:val>
            <c:numRef>
              <c:f>Sheet1!$F$2:$F$13</c:f>
              <c:numCache>
                <c:formatCode>General</c:formatCode>
                <c:ptCount val="12"/>
                <c:pt idx="0">
                  <c:v>2</c:v>
                </c:pt>
                <c:pt idx="1">
                  <c:v>1</c:v>
                </c:pt>
                <c:pt idx="2">
                  <c:v>0</c:v>
                </c:pt>
                <c:pt idx="3">
                  <c:v>0</c:v>
                </c:pt>
                <c:pt idx="4">
                  <c:v>1</c:v>
                </c:pt>
                <c:pt idx="5">
                  <c:v>5</c:v>
                </c:pt>
                <c:pt idx="6">
                  <c:v>2</c:v>
                </c:pt>
                <c:pt idx="7">
                  <c:v>2</c:v>
                </c:pt>
                <c:pt idx="8">
                  <c:v>0</c:v>
                </c:pt>
                <c:pt idx="9">
                  <c:v>1</c:v>
                </c:pt>
                <c:pt idx="10">
                  <c:v>0</c:v>
                </c:pt>
                <c:pt idx="11">
                  <c:v>14</c:v>
                </c:pt>
              </c:numCache>
            </c:numRef>
          </c:val>
          <c:extLst>
            <c:ext xmlns:c16="http://schemas.microsoft.com/office/drawing/2014/chart" uri="{C3380CC4-5D6E-409C-BE32-E72D297353CC}">
              <c16:uniqueId val="{00000004-74CB-44F1-B402-E772EDFBB9AA}"/>
            </c:ext>
          </c:extLst>
        </c:ser>
        <c:ser>
          <c:idx val="5"/>
          <c:order val="5"/>
          <c:tx>
            <c:strRef>
              <c:f>Sheet1!$G$1</c:f>
              <c:strCache>
                <c:ptCount val="1"/>
                <c:pt idx="0">
                  <c:v>FUERA DE PLAZO</c:v>
                </c:pt>
              </c:strCache>
            </c:strRef>
          </c:tx>
          <c:spPr>
            <a:solidFill>
              <a:schemeClr val="accent6">
                <a:lumMod val="60000"/>
              </a:schemeClr>
            </a:solidFill>
            <a:ln>
              <a:noFill/>
            </a:ln>
            <a:effectLst/>
          </c:spPr>
          <c:invertIfNegative val="0"/>
          <c:cat>
            <c:strRef>
              <c:f>Sheet1!$A$2:$A$13</c:f>
              <c:strCache>
                <c:ptCount val="12"/>
                <c:pt idx="0">
                  <c:v>Enero  2024</c:v>
                </c:pt>
                <c:pt idx="1">
                  <c:v>Febrero 2024</c:v>
                </c:pt>
                <c:pt idx="2">
                  <c:v>Marzo 2024</c:v>
                </c:pt>
                <c:pt idx="3">
                  <c:v>Abril 2024</c:v>
                </c:pt>
                <c:pt idx="4">
                  <c:v>Mayo 2024</c:v>
                </c:pt>
                <c:pt idx="5">
                  <c:v>Junio 2024</c:v>
                </c:pt>
                <c:pt idx="6">
                  <c:v>Julio 2024</c:v>
                </c:pt>
                <c:pt idx="7">
                  <c:v>Agosto 2024</c:v>
                </c:pt>
                <c:pt idx="8">
                  <c:v>Septiembre 2024</c:v>
                </c:pt>
                <c:pt idx="9">
                  <c:v>Octubre 2024</c:v>
                </c:pt>
                <c:pt idx="10">
                  <c:v>Noviembre 2024</c:v>
                </c:pt>
                <c:pt idx="11">
                  <c:v>TOTAL</c:v>
                </c:pt>
              </c:strCache>
            </c:strRef>
          </c:cat>
          <c:val>
            <c:numRef>
              <c:f>Sheet1!$G$2:$G$13</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5-74CB-44F1-B402-E772EDFBB9AA}"/>
            </c:ext>
          </c:extLst>
        </c:ser>
        <c:dLbls>
          <c:showLegendKey val="0"/>
          <c:showVal val="0"/>
          <c:showCatName val="0"/>
          <c:showSerName val="0"/>
          <c:showPercent val="0"/>
          <c:showBubbleSize val="0"/>
        </c:dLbls>
        <c:gapWidth val="219"/>
        <c:overlap val="-27"/>
        <c:axId val="426675584"/>
        <c:axId val="426676544"/>
      </c:barChart>
      <c:catAx>
        <c:axId val="42667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6676544"/>
        <c:crosses val="autoZero"/>
        <c:auto val="1"/>
        <c:lblAlgn val="ctr"/>
        <c:lblOffset val="100"/>
        <c:noMultiLvlLbl val="0"/>
      </c:catAx>
      <c:valAx>
        <c:axId val="426676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675584"/>
        <c:crosses val="autoZero"/>
        <c:crossBetween val="between"/>
      </c:valAx>
      <c:spPr>
        <a:noFill/>
        <a:ln>
          <a:noFill/>
        </a:ln>
        <a:effectLst/>
      </c:spPr>
    </c:plotArea>
    <c:legend>
      <c:legendPos val="b"/>
      <c:layout>
        <c:manualLayout>
          <c:xMode val="edge"/>
          <c:yMode val="edge"/>
          <c:x val="3.4270115904294747E-2"/>
          <c:y val="0.80414588252606167"/>
          <c:w val="0.95630105993858139"/>
          <c:h val="0.1621368708042832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sz="1100" b="0"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s-ES" sz="1100"/>
              <a:t>Gráfico. Indice de Satisfacción Enero – Diciembre 2024</a:t>
            </a:r>
            <a:endParaRPr lang="en-US" sz="1100"/>
          </a:p>
          <a:p>
            <a:pPr algn="ctr" rtl="0">
              <a:defRPr sz="1100"/>
            </a:pPr>
            <a:endParaRPr lang="en-US" sz="1100"/>
          </a:p>
        </c:rich>
      </c:tx>
      <c:layout>
        <c:manualLayout>
          <c:xMode val="edge"/>
          <c:yMode val="edge"/>
          <c:x val="0.18000400496782018"/>
          <c:y val="5.0651693000939746E-2"/>
        </c:manualLayout>
      </c:layout>
      <c:overlay val="0"/>
      <c:spPr>
        <a:noFill/>
        <a:ln>
          <a:noFill/>
        </a:ln>
        <a:effectLst/>
      </c:spPr>
      <c:txPr>
        <a:bodyPr rot="0" spcFirstLastPara="1" vertOverflow="ellipsis" vert="horz" wrap="square" anchor="ctr" anchorCtr="1"/>
        <a:lstStyle/>
        <a:p>
          <a:pPr algn="ctr" rtl="0">
            <a:defRPr sz="1100" b="0"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Hoja1!$D$5</c:f>
              <c:strCache>
                <c:ptCount val="1"/>
              </c:strCache>
            </c:strRef>
          </c:tx>
          <c:spPr>
            <a:solidFill>
              <a:schemeClr val="accent5">
                <a:lumMod val="50000"/>
              </a:schemeClr>
            </a:solidFill>
            <a:ln>
              <a:solidFill>
                <a:schemeClr val="tx2">
                  <a:lumMod val="90000"/>
                  <a:lumOff val="10000"/>
                </a:schemeClr>
              </a:solidFill>
            </a:ln>
            <a:effectLst/>
          </c:spPr>
          <c:invertIfNegative val="0"/>
          <c:dPt>
            <c:idx val="0"/>
            <c:invertIfNegative val="0"/>
            <c:bubble3D val="0"/>
            <c:spPr>
              <a:solidFill>
                <a:schemeClr val="accent1">
                  <a:lumMod val="50000"/>
                </a:schemeClr>
              </a:solidFill>
              <a:ln>
                <a:solidFill>
                  <a:schemeClr val="tx2">
                    <a:lumMod val="90000"/>
                    <a:lumOff val="10000"/>
                  </a:schemeClr>
                </a:solidFill>
              </a:ln>
              <a:effectLst/>
            </c:spPr>
            <c:extLst>
              <c:ext xmlns:c16="http://schemas.microsoft.com/office/drawing/2014/chart" uri="{C3380CC4-5D6E-409C-BE32-E72D297353CC}">
                <c16:uniqueId val="{00000001-B0C9-428D-9B27-F3135FE941A7}"/>
              </c:ext>
            </c:extLst>
          </c:dPt>
          <c:dPt>
            <c:idx val="1"/>
            <c:invertIfNegative val="0"/>
            <c:bubble3D val="0"/>
            <c:spPr>
              <a:solidFill>
                <a:schemeClr val="accent1">
                  <a:lumMod val="50000"/>
                </a:schemeClr>
              </a:solidFill>
              <a:ln>
                <a:solidFill>
                  <a:schemeClr val="tx2">
                    <a:lumMod val="90000"/>
                    <a:lumOff val="10000"/>
                  </a:schemeClr>
                </a:solidFill>
              </a:ln>
              <a:effectLst/>
            </c:spPr>
            <c:extLst>
              <c:ext xmlns:c16="http://schemas.microsoft.com/office/drawing/2014/chart" uri="{C3380CC4-5D6E-409C-BE32-E72D297353CC}">
                <c16:uniqueId val="{00000003-B0C9-428D-9B27-F3135FE941A7}"/>
              </c:ext>
            </c:extLst>
          </c:dPt>
          <c:dLbls>
            <c:dLbl>
              <c:idx val="0"/>
              <c:layout>
                <c:manualLayout>
                  <c:x val="-7.9093066174532028E-3"/>
                  <c:y val="-1.62659574095294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C9-428D-9B27-F3135FE941A7}"/>
                </c:ext>
              </c:extLst>
            </c:dLbl>
            <c:dLbl>
              <c:idx val="1"/>
              <c:layout>
                <c:manualLayout>
                  <c:x val="-9.6668186383067702E-17"/>
                  <c:y val="-2.51667139738374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C9-428D-9B27-F3135FE941A7}"/>
                </c:ext>
              </c:extLst>
            </c:dLbl>
            <c:spPr>
              <a:noFill/>
              <a:ln>
                <a:noFill/>
              </a:ln>
              <a:effectLst/>
            </c:spPr>
            <c:txPr>
              <a:bodyPr rot="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Hoja1!$C$6:$C$7</c:f>
              <c:strCache>
                <c:ptCount val="2"/>
                <c:pt idx="0">
                  <c:v>1er Semestre</c:v>
                </c:pt>
                <c:pt idx="1">
                  <c:v>2do Semestre </c:v>
                </c:pt>
              </c:strCache>
            </c:strRef>
          </c:cat>
          <c:val>
            <c:numRef>
              <c:f>Hoja1!$D$6:$D$7</c:f>
              <c:numCache>
                <c:formatCode>0%</c:formatCode>
                <c:ptCount val="2"/>
                <c:pt idx="0">
                  <c:v>0.96</c:v>
                </c:pt>
                <c:pt idx="1">
                  <c:v>0.94</c:v>
                </c:pt>
              </c:numCache>
            </c:numRef>
          </c:val>
          <c:extLst>
            <c:ext xmlns:c16="http://schemas.microsoft.com/office/drawing/2014/chart" uri="{C3380CC4-5D6E-409C-BE32-E72D297353CC}">
              <c16:uniqueId val="{00000004-B0C9-428D-9B27-F3135FE941A7}"/>
            </c:ext>
          </c:extLst>
        </c:ser>
        <c:dLbls>
          <c:dLblPos val="inEnd"/>
          <c:showLegendKey val="0"/>
          <c:showVal val="1"/>
          <c:showCatName val="0"/>
          <c:showSerName val="0"/>
          <c:showPercent val="0"/>
          <c:showBubbleSize val="0"/>
        </c:dLbls>
        <c:gapWidth val="219"/>
        <c:overlap val="-27"/>
        <c:axId val="1264879727"/>
        <c:axId val="1264876847"/>
      </c:barChart>
      <c:catAx>
        <c:axId val="1264879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1264876847"/>
        <c:crossesAt val="0.9"/>
        <c:auto val="1"/>
        <c:lblAlgn val="ctr"/>
        <c:lblOffset val="100"/>
        <c:noMultiLvlLbl val="0"/>
      </c:catAx>
      <c:valAx>
        <c:axId val="1264876847"/>
        <c:scaling>
          <c:orientation val="minMax"/>
          <c:min val="0.9"/>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126487972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bg1">
              <a:lumMod val="50000"/>
            </a:schemeClr>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Gráfico. </a:t>
            </a:r>
            <a:r>
              <a:rPr lang="es-DO" sz="1200" b="0" i="1"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Cantidad de quejas y sugerencias por mes</a:t>
            </a:r>
            <a:r>
              <a:rPr lang="en-US" sz="1200">
                <a:latin typeface="Times New Roman" panose="02020603050405020304" pitchFamily="18" charset="0"/>
                <a:cs typeface="Times New Roman" panose="02020603050405020304" pitchFamily="18" charset="0"/>
              </a:rPr>
              <a:t> </a:t>
            </a:r>
          </a:p>
        </c:rich>
      </c:tx>
      <c:layout>
        <c:manualLayout>
          <c:xMode val="edge"/>
          <c:yMode val="edge"/>
          <c:x val="0.18496183075154821"/>
          <c:y val="6.6404534331667125E-2"/>
        </c:manualLayout>
      </c:layout>
      <c:overlay val="0"/>
      <c:spPr>
        <a:noFill/>
        <a:ln>
          <a:noFill/>
        </a:ln>
        <a:effectLst/>
      </c:spPr>
      <c:txPr>
        <a:bodyPr rot="0" spcFirstLastPara="1" vertOverflow="ellipsis" vert="horz" wrap="square" anchor="ctr" anchorCtr="1"/>
        <a:lstStyle/>
        <a:p>
          <a:pPr>
            <a:defRPr sz="15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v>Quejas</c:v>
          </c:tx>
          <c:spPr>
            <a:solidFill>
              <a:schemeClr val="accent1">
                <a:lumMod val="50000"/>
              </a:schemeClr>
            </a:solidFill>
            <a:ln>
              <a:noFill/>
            </a:ln>
            <a:effectLst/>
          </c:spPr>
          <c:invertIfNegative val="0"/>
          <c:cat>
            <c:strLit>
              <c:ptCount val="12"/>
              <c:pt idx="0">
                <c:v>Ene</c:v>
              </c:pt>
              <c:pt idx="1">
                <c:v>Feb</c:v>
              </c:pt>
              <c:pt idx="2">
                <c:v>Mar</c:v>
              </c:pt>
              <c:pt idx="3">
                <c:v>Abr</c:v>
              </c:pt>
              <c:pt idx="4">
                <c:v>May</c:v>
              </c:pt>
              <c:pt idx="5">
                <c:v>Jun</c:v>
              </c:pt>
              <c:pt idx="6">
                <c:v>Jul</c:v>
              </c:pt>
              <c:pt idx="7">
                <c:v>Agos</c:v>
              </c:pt>
              <c:pt idx="8">
                <c:v>Sept</c:v>
              </c:pt>
              <c:pt idx="9">
                <c:v>Oct</c:v>
              </c:pt>
              <c:pt idx="10">
                <c:v>Nov</c:v>
              </c:pt>
              <c:pt idx="11">
                <c:v>Dic</c:v>
              </c:pt>
            </c:strLit>
          </c:cat>
          <c:val>
            <c:numLit>
              <c:formatCode>General</c:formatCode>
              <c:ptCount val="12"/>
              <c:pt idx="0">
                <c:v>39</c:v>
              </c:pt>
              <c:pt idx="1">
                <c:v>26</c:v>
              </c:pt>
              <c:pt idx="2">
                <c:v>22</c:v>
              </c:pt>
              <c:pt idx="3">
                <c:v>39</c:v>
              </c:pt>
              <c:pt idx="4">
                <c:v>52</c:v>
              </c:pt>
              <c:pt idx="5">
                <c:v>44</c:v>
              </c:pt>
              <c:pt idx="6">
                <c:v>56</c:v>
              </c:pt>
              <c:pt idx="7">
                <c:v>86</c:v>
              </c:pt>
              <c:pt idx="8">
                <c:v>72</c:v>
              </c:pt>
              <c:pt idx="9">
                <c:v>46</c:v>
              </c:pt>
              <c:pt idx="10">
                <c:v>53</c:v>
              </c:pt>
              <c:pt idx="11">
                <c:v>35</c:v>
              </c:pt>
            </c:numLit>
          </c:val>
          <c:extLst>
            <c:ext xmlns:c16="http://schemas.microsoft.com/office/drawing/2014/chart" uri="{C3380CC4-5D6E-409C-BE32-E72D297353CC}">
              <c16:uniqueId val="{00000000-E94F-4D30-823D-61EE5E67C714}"/>
            </c:ext>
          </c:extLst>
        </c:ser>
        <c:ser>
          <c:idx val="1"/>
          <c:order val="1"/>
          <c:tx>
            <c:v>Sugerencias</c:v>
          </c:tx>
          <c:spPr>
            <a:solidFill>
              <a:schemeClr val="bg2">
                <a:lumMod val="50000"/>
              </a:schemeClr>
            </a:solidFill>
            <a:ln>
              <a:noFill/>
            </a:ln>
            <a:effectLst/>
          </c:spPr>
          <c:invertIfNegative val="0"/>
          <c:cat>
            <c:strLit>
              <c:ptCount val="12"/>
              <c:pt idx="0">
                <c:v>Ene</c:v>
              </c:pt>
              <c:pt idx="1">
                <c:v>Feb</c:v>
              </c:pt>
              <c:pt idx="2">
                <c:v>Mar</c:v>
              </c:pt>
              <c:pt idx="3">
                <c:v>Abr</c:v>
              </c:pt>
              <c:pt idx="4">
                <c:v>May</c:v>
              </c:pt>
              <c:pt idx="5">
                <c:v>Jun</c:v>
              </c:pt>
              <c:pt idx="6">
                <c:v>Jul</c:v>
              </c:pt>
              <c:pt idx="7">
                <c:v>Agos</c:v>
              </c:pt>
              <c:pt idx="8">
                <c:v>Sept</c:v>
              </c:pt>
              <c:pt idx="9">
                <c:v>Oct</c:v>
              </c:pt>
              <c:pt idx="10">
                <c:v>Nov</c:v>
              </c:pt>
              <c:pt idx="11">
                <c:v>Dic</c:v>
              </c:pt>
            </c:strLit>
          </c:cat>
          <c:val>
            <c:numLit>
              <c:formatCode>General</c:formatCode>
              <c:ptCount val="12"/>
              <c:pt idx="0">
                <c:v>6</c:v>
              </c:pt>
              <c:pt idx="1">
                <c:v>3</c:v>
              </c:pt>
              <c:pt idx="2">
                <c:v>0</c:v>
              </c:pt>
              <c:pt idx="3">
                <c:v>0</c:v>
              </c:pt>
              <c:pt idx="4">
                <c:v>9</c:v>
              </c:pt>
              <c:pt idx="5">
                <c:v>5</c:v>
              </c:pt>
              <c:pt idx="6">
                <c:v>9</c:v>
              </c:pt>
              <c:pt idx="7">
                <c:v>19</c:v>
              </c:pt>
              <c:pt idx="8">
                <c:v>16</c:v>
              </c:pt>
              <c:pt idx="9">
                <c:v>32</c:v>
              </c:pt>
              <c:pt idx="10">
                <c:v>37</c:v>
              </c:pt>
              <c:pt idx="11">
                <c:v>31</c:v>
              </c:pt>
            </c:numLit>
          </c:val>
          <c:extLst>
            <c:ext xmlns:c16="http://schemas.microsoft.com/office/drawing/2014/chart" uri="{C3380CC4-5D6E-409C-BE32-E72D297353CC}">
              <c16:uniqueId val="{00000001-E94F-4D30-823D-61EE5E67C714}"/>
            </c:ext>
          </c:extLst>
        </c:ser>
        <c:dLbls>
          <c:showLegendKey val="0"/>
          <c:showVal val="0"/>
          <c:showCatName val="0"/>
          <c:showSerName val="0"/>
          <c:showPercent val="0"/>
          <c:showBubbleSize val="0"/>
        </c:dLbls>
        <c:gapWidth val="25"/>
        <c:overlap val="100"/>
        <c:axId val="1147080607"/>
        <c:axId val="1147086847"/>
      </c:barChart>
      <c:catAx>
        <c:axId val="1147080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147086847"/>
        <c:crosses val="autoZero"/>
        <c:auto val="1"/>
        <c:lblAlgn val="ctr"/>
        <c:lblOffset val="100"/>
        <c:noMultiLvlLbl val="0"/>
      </c:catAx>
      <c:valAx>
        <c:axId val="1147086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708060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Calificación</a:t>
            </a:r>
            <a:r>
              <a:rPr lang="en-US" sz="1200" b="1" baseline="0">
                <a:latin typeface="Times New Roman" panose="02020603050405020304" pitchFamily="18" charset="0"/>
                <a:cs typeface="Times New Roman" panose="02020603050405020304" pitchFamily="18" charset="0"/>
              </a:rPr>
              <a:t> Portal Transparencia</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26185541254935202"/>
          <c:y val="5.8910162002945507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Calificación</c:v>
                </c:pt>
              </c:strCache>
            </c:strRef>
          </c:tx>
          <c:spPr>
            <a:solidFill>
              <a:srgbClr val="4472C4">
                <a:lumMod val="50000"/>
              </a:srgbClr>
            </a:solidFill>
            <a:ln>
              <a:noFill/>
            </a:ln>
            <a:effectLst>
              <a:outerShdw blurRad="50800" dist="38100" dir="5400000" rotWithShape="0">
                <a:srgbClr val="000000">
                  <a:alpha val="60000"/>
                </a:srgbClr>
              </a:outerShdw>
            </a:effectLst>
            <a:scene3d>
              <a:camera prst="orthographicFront"/>
              <a:lightRig rig="threePt" dir="t"/>
            </a:scene3d>
            <a:sp3d>
              <a:bevelT w="63500" h="25400"/>
            </a:sp3d>
          </c:spPr>
          <c:invertIfNegative val="0"/>
          <c:dLbls>
            <c:dLbl>
              <c:idx val="1"/>
              <c:tx>
                <c:rich>
                  <a:bodyPr/>
                  <a:lstStyle/>
                  <a:p>
                    <a:r>
                      <a:rPr lang="en-US"/>
                      <a:t>99.68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D33-4935-82ED-53A84737CFA3}"/>
                </c:ext>
              </c:extLst>
            </c:dLbl>
            <c:dLbl>
              <c:idx val="2"/>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D33-4935-82ED-53A84737CFA3}"/>
                </c:ext>
              </c:extLst>
            </c:dLbl>
            <c:dLbl>
              <c:idx val="9"/>
              <c:layout>
                <c:manualLayout>
                  <c:x val="1.41110650642353E-2"/>
                  <c:y val="-1.5743763736850464E-3"/>
                </c:manualLayout>
              </c:layout>
              <c:tx>
                <c:rich>
                  <a:bodyPr/>
                  <a:lstStyle/>
                  <a:p>
                    <a:r>
                      <a:rPr lang="en-US"/>
                      <a:t>100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D33-4935-82ED-53A84737CFA3}"/>
                </c:ext>
              </c:extLst>
            </c:dLbl>
            <c:dLbl>
              <c:idx val="10"/>
              <c:delete val="1"/>
              <c:extLst>
                <c:ext xmlns:c15="http://schemas.microsoft.com/office/drawing/2012/chart" uri="{CE6537A1-D6FC-4f65-9D91-7224C49458BB}"/>
                <c:ext xmlns:c16="http://schemas.microsoft.com/office/drawing/2014/chart" uri="{C3380CC4-5D6E-409C-BE32-E72D297353CC}">
                  <c16:uniqueId val="{00000003-2D33-4935-82ED-53A84737CFA3}"/>
                </c:ext>
              </c:extLst>
            </c:dLbl>
            <c:dLbl>
              <c:idx val="11"/>
              <c:showLegendKey val="0"/>
              <c:showVal val="1"/>
              <c:showCatName val="0"/>
              <c:showSerName val="0"/>
              <c:showPercent val="0"/>
              <c:showBubbleSize val="0"/>
              <c:extLst>
                <c:ext xmlns:c15="http://schemas.microsoft.com/office/drawing/2012/chart" uri="{CE6537A1-D6FC-4f65-9D91-7224C49458BB}">
                  <c15:layout>
                    <c:manualLayout>
                      <c:w val="1.0187871252935486E-2"/>
                      <c:h val="9.5447154471544712E-2"/>
                    </c:manualLayout>
                  </c15:layout>
                </c:ext>
                <c:ext xmlns:c16="http://schemas.microsoft.com/office/drawing/2014/chart" uri="{C3380CC4-5D6E-409C-BE32-E72D297353CC}">
                  <c16:uniqueId val="{00000004-2D33-4935-82ED-53A84737CFA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Sheet1!$B$2:$B$13</c:f>
              <c:numCache>
                <c:formatCode>General</c:formatCode>
                <c:ptCount val="12"/>
                <c:pt idx="0">
                  <c:v>100</c:v>
                </c:pt>
                <c:pt idx="1">
                  <c:v>99.64</c:v>
                </c:pt>
                <c:pt idx="2">
                  <c:v>100</c:v>
                </c:pt>
                <c:pt idx="3">
                  <c:v>100</c:v>
                </c:pt>
                <c:pt idx="4">
                  <c:v>100</c:v>
                </c:pt>
                <c:pt idx="5">
                  <c:v>100</c:v>
                </c:pt>
                <c:pt idx="6">
                  <c:v>100</c:v>
                </c:pt>
                <c:pt idx="7">
                  <c:v>100</c:v>
                </c:pt>
                <c:pt idx="8">
                  <c:v>100</c:v>
                </c:pt>
                <c:pt idx="9">
                  <c:v>100</c:v>
                </c:pt>
              </c:numCache>
            </c:numRef>
          </c:val>
          <c:extLst>
            <c:ext xmlns:c16="http://schemas.microsoft.com/office/drawing/2014/chart" uri="{C3380CC4-5D6E-409C-BE32-E72D297353CC}">
              <c16:uniqueId val="{00000005-2D33-4935-82ED-53A84737CFA3}"/>
            </c:ext>
          </c:extLst>
        </c:ser>
        <c:dLbls>
          <c:showLegendKey val="0"/>
          <c:showVal val="1"/>
          <c:showCatName val="0"/>
          <c:showSerName val="0"/>
          <c:showPercent val="0"/>
          <c:showBubbleSize val="0"/>
        </c:dLbls>
        <c:gapWidth val="150"/>
        <c:shape val="box"/>
        <c:axId val="1124183376"/>
        <c:axId val="1045667200"/>
        <c:axId val="0"/>
      </c:bar3DChart>
      <c:catAx>
        <c:axId val="11241833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45667200"/>
        <c:crosses val="autoZero"/>
        <c:auto val="1"/>
        <c:lblAlgn val="ctr"/>
        <c:lblOffset val="100"/>
        <c:noMultiLvlLbl val="0"/>
      </c:catAx>
      <c:valAx>
        <c:axId val="1045667200"/>
        <c:scaling>
          <c:orientation val="minMax"/>
        </c:scaling>
        <c:delete val="1"/>
        <c:axPos val="l"/>
        <c:numFmt formatCode="General" sourceLinked="1"/>
        <c:majorTickMark val="out"/>
        <c:minorTickMark val="none"/>
        <c:tickLblPos val="nextTo"/>
        <c:crossAx val="1124183376"/>
        <c:crosses val="autoZero"/>
        <c:crossBetween val="between"/>
      </c:valAx>
      <c:spPr>
        <a:noFill/>
        <a:ln>
          <a:noFill/>
        </a:ln>
        <a:effectLst/>
      </c:spPr>
    </c:plotArea>
    <c:legend>
      <c:legendPos val="t"/>
      <c:layout>
        <c:manualLayout>
          <c:xMode val="edge"/>
          <c:yMode val="edge"/>
          <c:x val="0.37320411228776823"/>
          <c:y val="0.14568209461622175"/>
          <c:w val="0.23236599674332492"/>
          <c:h val="0.12055338443519302"/>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397711313130381E-4"/>
          <c:y val="0"/>
          <c:w val="0.70272604205221278"/>
          <c:h val="1"/>
        </c:manualLayout>
      </c:layout>
      <c:pie3DChart>
        <c:varyColors val="1"/>
        <c:ser>
          <c:idx val="0"/>
          <c:order val="0"/>
          <c:explosion val="73"/>
          <c:dPt>
            <c:idx val="0"/>
            <c:bubble3D val="0"/>
            <c:explosion val="44"/>
            <c:spPr>
              <a:solidFill>
                <a:schemeClr val="accent1">
                  <a:lumMod val="50000"/>
                </a:schemeClr>
              </a:solidFill>
              <a:ln>
                <a:noFill/>
              </a:ln>
              <a:effectLst/>
              <a:sp3d/>
            </c:spPr>
            <c:extLst>
              <c:ext xmlns:c16="http://schemas.microsoft.com/office/drawing/2014/chart" uri="{C3380CC4-5D6E-409C-BE32-E72D297353CC}">
                <c16:uniqueId val="{00000001-173B-4751-B1FE-5C2243AE954B}"/>
              </c:ext>
            </c:extLst>
          </c:dPt>
          <c:dPt>
            <c:idx val="1"/>
            <c:bubble3D val="0"/>
            <c:spPr>
              <a:solidFill>
                <a:schemeClr val="accent1">
                  <a:tint val="77000"/>
                </a:schemeClr>
              </a:solidFill>
              <a:ln>
                <a:noFill/>
              </a:ln>
              <a:effectLst/>
              <a:sp3d/>
            </c:spPr>
            <c:extLst>
              <c:ext xmlns:c16="http://schemas.microsoft.com/office/drawing/2014/chart" uri="{C3380CC4-5D6E-409C-BE32-E72D297353CC}">
                <c16:uniqueId val="{00000003-173B-4751-B1FE-5C2243AE954B}"/>
              </c:ext>
            </c:extLst>
          </c:dPt>
          <c:dLbls>
            <c:dLbl>
              <c:idx val="0"/>
              <c:layout>
                <c:manualLayout>
                  <c:x val="1.1278783217746261E-2"/>
                  <c:y val="3.7109794265407545E-2"/>
                </c:manualLayout>
              </c:layout>
              <c:tx>
                <c:rich>
                  <a:bodyPr/>
                  <a:lstStyle/>
                  <a:p>
                    <a:r>
                      <a:rPr lang="en-US"/>
                      <a:t>98.18%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73B-4751-B1FE-5C2243AE954B}"/>
                </c:ext>
              </c:extLst>
            </c:dLbl>
            <c:dLbl>
              <c:idx val="1"/>
              <c:tx>
                <c:rich>
                  <a:bodyPr/>
                  <a:lstStyle/>
                  <a:p>
                    <a:r>
                      <a:rPr lang="en-US" sz="900"/>
                      <a:t>1.82</a:t>
                    </a:r>
                    <a:r>
                      <a:rPr lang="en-US"/>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73B-4751-B1FE-5C2243AE954B}"/>
                </c:ext>
              </c:extLst>
            </c:dLbl>
            <c:spPr>
              <a:noFill/>
              <a:ln>
                <a:noFill/>
              </a:ln>
              <a:effectLst/>
            </c:spPr>
            <c:txPr>
              <a:bodyPr rot="0" spcFirstLastPara="1" vertOverflow="ellipsis" vert="horz" wrap="square" anchor="ctr" anchorCtr="1"/>
              <a:lstStyle/>
              <a:p>
                <a:pPr>
                  <a:defRPr sz="1050" b="0"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Sheet1!$A$3:$A$4</c:f>
              <c:strCache>
                <c:ptCount val="2"/>
                <c:pt idx="0">
                  <c:v>Tiempo De Disponibilidad </c:v>
                </c:pt>
                <c:pt idx="1">
                  <c:v>Tiempo Fuera de Servicio</c:v>
                </c:pt>
              </c:strCache>
            </c:strRef>
          </c:cat>
          <c:val>
            <c:numRef>
              <c:f>Sheet1!$B$3:$B$4</c:f>
              <c:numCache>
                <c:formatCode>0.00%</c:formatCode>
                <c:ptCount val="2"/>
                <c:pt idx="0">
                  <c:v>0.98950000000000005</c:v>
                </c:pt>
                <c:pt idx="1">
                  <c:v>1.0500000000000001E-2</c:v>
                </c:pt>
              </c:numCache>
            </c:numRef>
          </c:val>
          <c:extLst>
            <c:ext xmlns:c16="http://schemas.microsoft.com/office/drawing/2014/chart" uri="{C3380CC4-5D6E-409C-BE32-E72D297353CC}">
              <c16:uniqueId val="{00000004-173B-4751-B1FE-5C2243AE954B}"/>
            </c:ext>
          </c:extLst>
        </c:ser>
        <c:dLbls>
          <c:showLegendKey val="0"/>
          <c:showVal val="0"/>
          <c:showCatName val="0"/>
          <c:showSerName val="0"/>
          <c:showPercent val="0"/>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rtl="0">
              <a:defRPr sz="1000" b="0"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rtl="0">
              <a:defRPr sz="1000" b="0"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rtl="0">
            <a:defRPr sz="1000" b="0"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6350" cap="flat" cmpd="sng" algn="ctr">
      <a:solidFill>
        <a:schemeClr val="bg1"/>
      </a:solidFill>
      <a:prstDash val="solid"/>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Subindicador Planificación en Compras</a:t>
            </a:r>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Sheet1!$B$11</c:f>
              <c:strCache>
                <c:ptCount val="1"/>
                <c:pt idx="0">
                  <c:v>Puntuación</c:v>
                </c:pt>
              </c:strCache>
            </c:strRef>
          </c:tx>
          <c:spPr>
            <a:solidFill>
              <a:schemeClr val="accent5"/>
            </a:solidFill>
            <a:ln>
              <a:noFill/>
            </a:ln>
            <a:effectLst/>
            <a:sp3d/>
          </c:spPr>
          <c:invertIfNegative val="0"/>
          <c:dLbls>
            <c:dLbl>
              <c:idx val="0"/>
              <c:layout>
                <c:manualLayout>
                  <c:x val="1.1111111111111112E-2"/>
                  <c:y val="-3.67816003181946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F13-49CE-87AC-B32C29B7B6BF}"/>
                </c:ext>
              </c:extLst>
            </c:dLbl>
            <c:dLbl>
              <c:idx val="1"/>
              <c:layout>
                <c:manualLayout>
                  <c:x val="1.1111111111111112E-2"/>
                  <c:y val="-3.67816003181946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13-49CE-87AC-B32C29B7B6BF}"/>
                </c:ext>
              </c:extLst>
            </c:dLbl>
            <c:dLbl>
              <c:idx val="2"/>
              <c:layout>
                <c:manualLayout>
                  <c:x val="1.1111111111111179E-2"/>
                  <c:y val="-4.90421337575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13-49CE-87AC-B32C29B7B6BF}"/>
                </c:ext>
              </c:extLst>
            </c:dLbl>
            <c:spPr>
              <a:noFill/>
              <a:ln>
                <a:noFill/>
              </a:ln>
              <a:effectLst/>
            </c:spPr>
            <c:txPr>
              <a:bodyPr rot="0" spcFirstLastPara="1" vertOverflow="ellipsis" vert="horz" wrap="square" anchor="ctr" anchorCtr="1"/>
              <a:lstStyle/>
              <a:p>
                <a:pPr>
                  <a:defRPr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Sheet1!$A$12:$A$14</c:f>
              <c:strCache>
                <c:ptCount val="3"/>
                <c:pt idx="0">
                  <c:v>T1</c:v>
                </c:pt>
                <c:pt idx="1">
                  <c:v>T2</c:v>
                </c:pt>
                <c:pt idx="2">
                  <c:v>T3</c:v>
                </c:pt>
              </c:strCache>
            </c:strRef>
          </c:cat>
          <c:val>
            <c:numRef>
              <c:f>Sheet1!$B$12:$B$14</c:f>
              <c:numCache>
                <c:formatCode>General</c:formatCode>
                <c:ptCount val="3"/>
                <c:pt idx="0">
                  <c:v>18.920000000000002</c:v>
                </c:pt>
                <c:pt idx="1">
                  <c:v>19.03</c:v>
                </c:pt>
                <c:pt idx="2">
                  <c:v>17.18</c:v>
                </c:pt>
              </c:numCache>
            </c:numRef>
          </c:val>
          <c:extLst>
            <c:ext xmlns:c16="http://schemas.microsoft.com/office/drawing/2014/chart" uri="{C3380CC4-5D6E-409C-BE32-E72D297353CC}">
              <c16:uniqueId val="{00000003-AF13-49CE-87AC-B32C29B7B6BF}"/>
            </c:ext>
          </c:extLst>
        </c:ser>
        <c:dLbls>
          <c:showLegendKey val="0"/>
          <c:showVal val="0"/>
          <c:showCatName val="0"/>
          <c:showSerName val="0"/>
          <c:showPercent val="0"/>
          <c:showBubbleSize val="0"/>
        </c:dLbls>
        <c:gapWidth val="150"/>
        <c:shape val="box"/>
        <c:axId val="564924016"/>
        <c:axId val="564914864"/>
        <c:axId val="0"/>
      </c:bar3DChart>
      <c:catAx>
        <c:axId val="5649240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564914864"/>
        <c:crosses val="autoZero"/>
        <c:auto val="1"/>
        <c:lblAlgn val="ctr"/>
        <c:lblOffset val="100"/>
        <c:noMultiLvlLbl val="0"/>
      </c:catAx>
      <c:valAx>
        <c:axId val="56491486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564924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a:solidFill>
            <a:schemeClr val="bg1">
              <a:lumMod val="50000"/>
            </a:schemeClr>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40" b="1"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n-US" sz="1100">
                <a:solidFill>
                  <a:schemeClr val="bg1">
                    <a:lumMod val="50000"/>
                  </a:schemeClr>
                </a:solidFill>
              </a:rPr>
              <a:t>Gestión</a:t>
            </a:r>
            <a:r>
              <a:rPr lang="en-US">
                <a:solidFill>
                  <a:schemeClr val="bg1">
                    <a:lumMod val="50000"/>
                  </a:schemeClr>
                </a:solidFill>
              </a:rPr>
              <a:t> </a:t>
            </a:r>
            <a:r>
              <a:rPr lang="en-US" sz="1100">
                <a:solidFill>
                  <a:schemeClr val="bg1">
                    <a:lumMod val="50000"/>
                  </a:schemeClr>
                </a:solidFill>
              </a:rPr>
              <a:t>de Procesos</a:t>
            </a:r>
          </a:p>
        </c:rich>
      </c:tx>
      <c:overlay val="0"/>
      <c:spPr>
        <a:noFill/>
        <a:ln>
          <a:noFill/>
        </a:ln>
        <a:effectLst/>
      </c:spPr>
      <c:txPr>
        <a:bodyPr rot="0" spcFirstLastPara="1" vertOverflow="ellipsis" vert="horz" wrap="square" anchor="ctr" anchorCtr="1"/>
        <a:lstStyle/>
        <a:p>
          <a:pPr>
            <a:defRPr lang="en-US" sz="1440" b="1"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Sheet1!$B$29</c:f>
              <c:strCache>
                <c:ptCount val="1"/>
                <c:pt idx="0">
                  <c:v>Puntuación</c:v>
                </c:pt>
              </c:strCache>
            </c:strRef>
          </c:tx>
          <c:spPr>
            <a:solidFill>
              <a:schemeClr val="accent5"/>
            </a:solidFill>
            <a:ln>
              <a:noFill/>
            </a:ln>
            <a:effectLst/>
            <a:sp3d/>
          </c:spPr>
          <c:invertIfNegative val="0"/>
          <c:dLbls>
            <c:dLbl>
              <c:idx val="0"/>
              <c:layout>
                <c:manualLayout>
                  <c:x val="2.3222057419432108E-2"/>
                  <c:y val="-7.78588608901250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F7-4674-B886-E4FFADED8148}"/>
                </c:ext>
              </c:extLst>
            </c:dLbl>
            <c:dLbl>
              <c:idx val="1"/>
              <c:layout>
                <c:manualLayout>
                  <c:x val="1.9351714516193424E-2"/>
                  <c:y val="-5.83941456675937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F7-4674-B886-E4FFADED8148}"/>
                </c:ext>
              </c:extLst>
            </c:dLbl>
            <c:dLbl>
              <c:idx val="2"/>
              <c:layout>
                <c:manualLayout>
                  <c:x val="1.9351714516193351E-2"/>
                  <c:y val="-2.59529536300416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6F7-4674-B886-E4FFADED8148}"/>
                </c:ext>
              </c:extLst>
            </c:dLbl>
            <c:spPr>
              <a:noFill/>
              <a:ln>
                <a:noFill/>
              </a:ln>
              <a:effectLst/>
            </c:spPr>
            <c:txPr>
              <a:bodyPr rot="0" spcFirstLastPara="1" vertOverflow="ellipsis" vert="horz" wrap="square" anchor="ctr" anchorCtr="1"/>
              <a:lstStyle/>
              <a:p>
                <a:pPr>
                  <a:defRPr lang="en-US"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Sheet1!$A$30:$A$32</c:f>
              <c:strCache>
                <c:ptCount val="3"/>
                <c:pt idx="0">
                  <c:v>T1</c:v>
                </c:pt>
                <c:pt idx="1">
                  <c:v>T2</c:v>
                </c:pt>
                <c:pt idx="2">
                  <c:v>T3</c:v>
                </c:pt>
              </c:strCache>
            </c:strRef>
          </c:cat>
          <c:val>
            <c:numRef>
              <c:f>Sheet1!$B$30:$B$32</c:f>
              <c:numCache>
                <c:formatCode>General</c:formatCode>
                <c:ptCount val="3"/>
                <c:pt idx="0">
                  <c:v>14.66</c:v>
                </c:pt>
                <c:pt idx="1">
                  <c:v>14.86</c:v>
                </c:pt>
                <c:pt idx="2">
                  <c:v>15</c:v>
                </c:pt>
              </c:numCache>
            </c:numRef>
          </c:val>
          <c:extLst>
            <c:ext xmlns:c16="http://schemas.microsoft.com/office/drawing/2014/chart" uri="{C3380CC4-5D6E-409C-BE32-E72D297353CC}">
              <c16:uniqueId val="{00000003-36F7-4674-B886-E4FFADED8148}"/>
            </c:ext>
          </c:extLst>
        </c:ser>
        <c:dLbls>
          <c:showLegendKey val="0"/>
          <c:showVal val="0"/>
          <c:showCatName val="0"/>
          <c:showSerName val="0"/>
          <c:showPercent val="0"/>
          <c:showBubbleSize val="0"/>
        </c:dLbls>
        <c:gapWidth val="150"/>
        <c:shape val="box"/>
        <c:axId val="564951888"/>
        <c:axId val="564938992"/>
        <c:axId val="0"/>
      </c:bar3DChart>
      <c:catAx>
        <c:axId val="564951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564938992"/>
        <c:crosses val="autoZero"/>
        <c:auto val="1"/>
        <c:lblAlgn val="ctr"/>
        <c:lblOffset val="100"/>
        <c:noMultiLvlLbl val="0"/>
      </c:catAx>
      <c:valAx>
        <c:axId val="564938992"/>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5649518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lang="en-US"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40" b="1"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n-US" sz="1200"/>
              <a:t>Tiempo de Gestión de Procesos</a:t>
            </a:r>
          </a:p>
        </c:rich>
      </c:tx>
      <c:layout>
        <c:manualLayout>
          <c:xMode val="edge"/>
          <c:yMode val="edge"/>
          <c:x val="0.28965475782918437"/>
          <c:y val="7.7871512005191434E-2"/>
        </c:manualLayout>
      </c:layout>
      <c:overlay val="0"/>
      <c:spPr>
        <a:noFill/>
        <a:ln>
          <a:noFill/>
        </a:ln>
        <a:effectLst/>
      </c:spPr>
      <c:txPr>
        <a:bodyPr rot="0" spcFirstLastPara="1" vertOverflow="ellipsis" vert="horz" wrap="square" anchor="ctr" anchorCtr="1"/>
        <a:lstStyle/>
        <a:p>
          <a:pPr>
            <a:defRPr lang="en-US" sz="1440" b="1"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Sheet1!$B$47</c:f>
              <c:strCache>
                <c:ptCount val="1"/>
                <c:pt idx="0">
                  <c:v>Puntuación</c:v>
                </c:pt>
              </c:strCache>
            </c:strRef>
          </c:tx>
          <c:spPr>
            <a:solidFill>
              <a:schemeClr val="accent5"/>
            </a:solidFill>
            <a:ln>
              <a:noFill/>
            </a:ln>
            <a:effectLst/>
            <a:sp3d/>
          </c:spPr>
          <c:invertIfNegative val="0"/>
          <c:dLbls>
            <c:dLbl>
              <c:idx val="0"/>
              <c:layout>
                <c:manualLayout>
                  <c:x val="0"/>
                  <c:y val="-5.19059072600833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83-444C-B2D6-31C61E7D32CA}"/>
                </c:ext>
              </c:extLst>
            </c:dLbl>
            <c:dLbl>
              <c:idx val="1"/>
              <c:layout>
                <c:manualLayout>
                  <c:x val="2.3222057419432108E-2"/>
                  <c:y val="-3.89294304450625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583-444C-B2D6-31C61E7D32CA}"/>
                </c:ext>
              </c:extLst>
            </c:dLbl>
            <c:dLbl>
              <c:idx val="2"/>
              <c:layout>
                <c:manualLayout>
                  <c:x val="2.3222057419431966E-2"/>
                  <c:y val="-5.19059072600833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83-444C-B2D6-31C61E7D32CA}"/>
                </c:ext>
              </c:extLst>
            </c:dLbl>
            <c:spPr>
              <a:noFill/>
              <a:ln>
                <a:noFill/>
              </a:ln>
              <a:effectLst/>
            </c:spPr>
            <c:txPr>
              <a:bodyPr rot="0" spcFirstLastPara="1" vertOverflow="ellipsis" vert="horz" wrap="square" anchor="ctr" anchorCtr="1"/>
              <a:lstStyle/>
              <a:p>
                <a:pPr algn="l">
                  <a:defRPr lang="en-US"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Sheet1!$A$48:$A$50</c:f>
              <c:strCache>
                <c:ptCount val="3"/>
                <c:pt idx="0">
                  <c:v>T1</c:v>
                </c:pt>
                <c:pt idx="1">
                  <c:v>T2</c:v>
                </c:pt>
                <c:pt idx="2">
                  <c:v>T3</c:v>
                </c:pt>
              </c:strCache>
            </c:strRef>
          </c:cat>
          <c:val>
            <c:numRef>
              <c:f>Sheet1!$B$48:$B$50</c:f>
              <c:numCache>
                <c:formatCode>General</c:formatCode>
                <c:ptCount val="3"/>
                <c:pt idx="0">
                  <c:v>14</c:v>
                </c:pt>
                <c:pt idx="1">
                  <c:v>13</c:v>
                </c:pt>
                <c:pt idx="2">
                  <c:v>14.17</c:v>
                </c:pt>
              </c:numCache>
            </c:numRef>
          </c:val>
          <c:extLst>
            <c:ext xmlns:c16="http://schemas.microsoft.com/office/drawing/2014/chart" uri="{C3380CC4-5D6E-409C-BE32-E72D297353CC}">
              <c16:uniqueId val="{00000003-6583-444C-B2D6-31C61E7D32CA}"/>
            </c:ext>
          </c:extLst>
        </c:ser>
        <c:dLbls>
          <c:showLegendKey val="0"/>
          <c:showVal val="0"/>
          <c:showCatName val="0"/>
          <c:showSerName val="0"/>
          <c:showPercent val="0"/>
          <c:showBubbleSize val="0"/>
        </c:dLbls>
        <c:gapWidth val="150"/>
        <c:shape val="box"/>
        <c:axId val="564951888"/>
        <c:axId val="564938992"/>
        <c:axId val="0"/>
      </c:bar3DChart>
      <c:catAx>
        <c:axId val="564951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564938992"/>
        <c:crosses val="autoZero"/>
        <c:auto val="1"/>
        <c:lblAlgn val="ctr"/>
        <c:lblOffset val="100"/>
        <c:noMultiLvlLbl val="0"/>
      </c:catAx>
      <c:valAx>
        <c:axId val="564938992"/>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5649518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lang="en-US"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4563483539013323E-2"/>
          <c:y val="8.1458361997363754E-2"/>
          <c:w val="0.79510333053028559"/>
          <c:h val="0.65922036736916179"/>
        </c:manualLayout>
      </c:layout>
      <c:pie3DChart>
        <c:varyColors val="1"/>
        <c:ser>
          <c:idx val="0"/>
          <c:order val="0"/>
          <c:spPr>
            <a:ln>
              <a:noFill/>
            </a:ln>
          </c:spPr>
          <c:explosion val="4"/>
          <c:dPt>
            <c:idx val="0"/>
            <c:bubble3D val="0"/>
            <c:spPr>
              <a:solidFill>
                <a:schemeClr val="accent5">
                  <a:tint val="54000"/>
                </a:schemeClr>
              </a:solidFill>
              <a:ln w="25400">
                <a:noFill/>
              </a:ln>
              <a:effectLst/>
              <a:sp3d/>
            </c:spPr>
            <c:extLst>
              <c:ext xmlns:c16="http://schemas.microsoft.com/office/drawing/2014/chart" uri="{C3380CC4-5D6E-409C-BE32-E72D297353CC}">
                <c16:uniqueId val="{00000001-C159-4583-A8FA-9E2F60330C1D}"/>
              </c:ext>
            </c:extLst>
          </c:dPt>
          <c:dPt>
            <c:idx val="1"/>
            <c:bubble3D val="0"/>
            <c:spPr>
              <a:solidFill>
                <a:schemeClr val="accent5">
                  <a:tint val="77000"/>
                </a:schemeClr>
              </a:solidFill>
              <a:ln w="25400">
                <a:noFill/>
              </a:ln>
              <a:effectLst/>
              <a:sp3d/>
            </c:spPr>
            <c:extLst>
              <c:ext xmlns:c16="http://schemas.microsoft.com/office/drawing/2014/chart" uri="{C3380CC4-5D6E-409C-BE32-E72D297353CC}">
                <c16:uniqueId val="{00000003-C159-4583-A8FA-9E2F60330C1D}"/>
              </c:ext>
            </c:extLst>
          </c:dPt>
          <c:dPt>
            <c:idx val="2"/>
            <c:bubble3D val="0"/>
            <c:spPr>
              <a:solidFill>
                <a:schemeClr val="accent5"/>
              </a:solidFill>
              <a:ln w="25400">
                <a:noFill/>
              </a:ln>
              <a:effectLst/>
              <a:sp3d/>
            </c:spPr>
            <c:extLst>
              <c:ext xmlns:c16="http://schemas.microsoft.com/office/drawing/2014/chart" uri="{C3380CC4-5D6E-409C-BE32-E72D297353CC}">
                <c16:uniqueId val="{00000005-C159-4583-A8FA-9E2F60330C1D}"/>
              </c:ext>
            </c:extLst>
          </c:dPt>
          <c:dPt>
            <c:idx val="3"/>
            <c:bubble3D val="0"/>
            <c:spPr>
              <a:solidFill>
                <a:schemeClr val="accent5">
                  <a:shade val="76000"/>
                </a:schemeClr>
              </a:solidFill>
              <a:ln w="25400">
                <a:noFill/>
              </a:ln>
              <a:effectLst/>
              <a:sp3d/>
            </c:spPr>
            <c:extLst>
              <c:ext xmlns:c16="http://schemas.microsoft.com/office/drawing/2014/chart" uri="{C3380CC4-5D6E-409C-BE32-E72D297353CC}">
                <c16:uniqueId val="{00000007-C159-4583-A8FA-9E2F60330C1D}"/>
              </c:ext>
            </c:extLst>
          </c:dPt>
          <c:dPt>
            <c:idx val="4"/>
            <c:bubble3D val="0"/>
            <c:spPr>
              <a:solidFill>
                <a:schemeClr val="accent5">
                  <a:shade val="53000"/>
                </a:schemeClr>
              </a:solidFill>
              <a:ln w="25400">
                <a:noFill/>
              </a:ln>
              <a:effectLst/>
              <a:sp3d/>
            </c:spPr>
            <c:extLst>
              <c:ext xmlns:c16="http://schemas.microsoft.com/office/drawing/2014/chart" uri="{C3380CC4-5D6E-409C-BE32-E72D297353CC}">
                <c16:uniqueId val="{00000009-C159-4583-A8FA-9E2F60330C1D}"/>
              </c:ext>
            </c:extLst>
          </c:dPt>
          <c:dLbls>
            <c:dLbl>
              <c:idx val="0"/>
              <c:layout>
                <c:manualLayout>
                  <c:x val="6.515767881955932E-2"/>
                  <c:y val="-2.072139946290371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159-4583-A8FA-9E2F60330C1D}"/>
                </c:ext>
              </c:extLst>
            </c:dLbl>
            <c:dLbl>
              <c:idx val="1"/>
              <c:layout>
                <c:manualLayout>
                  <c:x val="2.0025149977323152E-2"/>
                  <c:y val="-0.11715600608566989"/>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159-4583-A8FA-9E2F60330C1D}"/>
                </c:ext>
              </c:extLst>
            </c:dLbl>
            <c:dLbl>
              <c:idx val="2"/>
              <c:layout>
                <c:manualLayout>
                  <c:x val="3.8371056997397672E-2"/>
                  <c:y val="-8.8845235092345889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159-4583-A8FA-9E2F60330C1D}"/>
                </c:ext>
              </c:extLst>
            </c:dLbl>
            <c:dLbl>
              <c:idx val="3"/>
              <c:layout>
                <c:manualLayout>
                  <c:x val="1.6300894427031476E-2"/>
                  <c:y val="3.9352885175644996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159-4583-A8FA-9E2F60330C1D}"/>
                </c:ext>
              </c:extLst>
            </c:dLbl>
            <c:dLbl>
              <c:idx val="4"/>
              <c:layout>
                <c:manualLayout>
                  <c:x val="1.8663914094501608E-2"/>
                  <c:y val="-0.31846755960852113"/>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159-4583-A8FA-9E2F60330C1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Sheet1!$G$2:$G$6</c:f>
              <c:strCache>
                <c:ptCount val="5"/>
                <c:pt idx="0">
                  <c:v>Comparación de Precios</c:v>
                </c:pt>
                <c:pt idx="1">
                  <c:v>Compras Menores</c:v>
                </c:pt>
                <c:pt idx="2">
                  <c:v>Compras por Debajo del Umbral</c:v>
                </c:pt>
                <c:pt idx="3">
                  <c:v>Licitación Pública Nacional</c:v>
                </c:pt>
                <c:pt idx="4">
                  <c:v>Procesos de Excepción</c:v>
                </c:pt>
              </c:strCache>
            </c:strRef>
          </c:cat>
          <c:val>
            <c:numRef>
              <c:f>Sheet1!$H$2:$H$6</c:f>
              <c:numCache>
                <c:formatCode>_("$"* #,##0.00_);_("$"* \(#,##0.00\);_("$"* "-"??_);_(@_)</c:formatCode>
                <c:ptCount val="5"/>
                <c:pt idx="0">
                  <c:v>64656902</c:v>
                </c:pt>
                <c:pt idx="1">
                  <c:v>43376766</c:v>
                </c:pt>
                <c:pt idx="2">
                  <c:v>10587640</c:v>
                </c:pt>
                <c:pt idx="3">
                  <c:v>57861686</c:v>
                </c:pt>
                <c:pt idx="4">
                  <c:v>195777787</c:v>
                </c:pt>
              </c:numCache>
            </c:numRef>
          </c:val>
          <c:extLst>
            <c:ext xmlns:c16="http://schemas.microsoft.com/office/drawing/2014/chart" uri="{C3380CC4-5D6E-409C-BE32-E72D297353CC}">
              <c16:uniqueId val="{0000000A-C159-4583-A8FA-9E2F60330C1D}"/>
            </c:ext>
          </c:extLst>
        </c:ser>
        <c:ser>
          <c:idx val="1"/>
          <c:order val="1"/>
          <c:dPt>
            <c:idx val="0"/>
            <c:bubble3D val="0"/>
            <c:spPr>
              <a:solidFill>
                <a:schemeClr val="accent5">
                  <a:tint val="5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C-C159-4583-A8FA-9E2F60330C1D}"/>
              </c:ext>
            </c:extLst>
          </c:dPt>
          <c:dPt>
            <c:idx val="1"/>
            <c:bubble3D val="0"/>
            <c:spPr>
              <a:solidFill>
                <a:schemeClr val="accent5">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E-C159-4583-A8FA-9E2F60330C1D}"/>
              </c:ext>
            </c:extLst>
          </c:dPt>
          <c:dPt>
            <c:idx val="2"/>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0-C159-4583-A8FA-9E2F60330C1D}"/>
              </c:ext>
            </c:extLst>
          </c:dPt>
          <c:dPt>
            <c:idx val="3"/>
            <c:bubble3D val="0"/>
            <c:spPr>
              <a:solidFill>
                <a:schemeClr val="accent5">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2-C159-4583-A8FA-9E2F60330C1D}"/>
              </c:ext>
            </c:extLst>
          </c:dPt>
          <c:dPt>
            <c:idx val="4"/>
            <c:bubble3D val="0"/>
            <c:spPr>
              <a:solidFill>
                <a:schemeClr val="accent5">
                  <a:shade val="5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4-C159-4583-A8FA-9E2F60330C1D}"/>
              </c:ext>
            </c:extLst>
          </c:dPt>
          <c:cat>
            <c:strRef>
              <c:f>Sheet1!$G$2:$G$6</c:f>
              <c:strCache>
                <c:ptCount val="5"/>
                <c:pt idx="0">
                  <c:v>Comparación de Precios</c:v>
                </c:pt>
                <c:pt idx="1">
                  <c:v>Compras Menores</c:v>
                </c:pt>
                <c:pt idx="2">
                  <c:v>Compras por Debajo del Umbral</c:v>
                </c:pt>
                <c:pt idx="3">
                  <c:v>Licitación Pública Nacional</c:v>
                </c:pt>
                <c:pt idx="4">
                  <c:v>Procesos de Excepción</c:v>
                </c:pt>
              </c:strCache>
            </c:strRef>
          </c:cat>
          <c:val>
            <c:numRef>
              <c:f>Sheet1!$I$2:$I$6</c:f>
              <c:numCache>
                <c:formatCode>0.0%</c:formatCode>
                <c:ptCount val="5"/>
                <c:pt idx="0">
                  <c:v>0.17368711747263002</c:v>
                </c:pt>
                <c:pt idx="1">
                  <c:v>0.11652252456860343</c:v>
                </c:pt>
                <c:pt idx="2">
                  <c:v>2.8441459698114156E-2</c:v>
                </c:pt>
                <c:pt idx="3">
                  <c:v>0.15543320423002069</c:v>
                </c:pt>
                <c:pt idx="4">
                  <c:v>0.52591569403063176</c:v>
                </c:pt>
              </c:numCache>
            </c:numRef>
          </c:val>
          <c:extLst>
            <c:ext xmlns:c16="http://schemas.microsoft.com/office/drawing/2014/chart" uri="{C3380CC4-5D6E-409C-BE32-E72D297353CC}">
              <c16:uniqueId val="{00000015-C159-4583-A8FA-9E2F60330C1D}"/>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5.7660831231047573E-2"/>
          <c:y val="0.80937049265930316"/>
          <c:w val="0.91448564075121674"/>
          <c:h val="0.167470412741068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5"/>
            </a:solidFill>
            <a:ln>
              <a:noFill/>
            </a:ln>
            <a:effectLst/>
            <a:sp3d/>
          </c:spPr>
          <c:invertIfNegative val="0"/>
          <c:dLbls>
            <c:dLbl>
              <c:idx val="0"/>
              <c:layout>
                <c:manualLayout>
                  <c:x val="3.4833086129148164E-2"/>
                  <c:y val="-6.488238407510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E2-4732-B87B-2D73BCFF5F08}"/>
                </c:ext>
              </c:extLst>
            </c:dLbl>
            <c:dLbl>
              <c:idx val="1"/>
              <c:layout>
                <c:manualLayout>
                  <c:x val="2.7092400322670792E-2"/>
                  <c:y val="-8.43470992976354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E2-4732-B87B-2D73BCFF5F08}"/>
                </c:ext>
              </c:extLst>
            </c:dLbl>
            <c:dLbl>
              <c:idx val="2"/>
              <c:layout>
                <c:manualLayout>
                  <c:x val="3.0962743225909476E-2"/>
                  <c:y val="-7.137062248261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E2-4732-B87B-2D73BCFF5F08}"/>
                </c:ext>
              </c:extLst>
            </c:dLbl>
            <c:spPr>
              <a:noFill/>
              <a:ln>
                <a:noFill/>
              </a:ln>
              <a:effectLst/>
            </c:spPr>
            <c:txPr>
              <a:bodyPr rot="0" spcFirstLastPara="1" vertOverflow="ellipsis" vert="horz" wrap="square" anchor="ctr" anchorCtr="1"/>
              <a:lstStyle/>
              <a:p>
                <a:pPr>
                  <a:defRPr lang="en-US"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Sheet1!$A$67:$A$69</c:f>
              <c:strCache>
                <c:ptCount val="3"/>
                <c:pt idx="0">
                  <c:v>T1</c:v>
                </c:pt>
                <c:pt idx="1">
                  <c:v>T2</c:v>
                </c:pt>
                <c:pt idx="2">
                  <c:v>T3</c:v>
                </c:pt>
              </c:strCache>
            </c:strRef>
          </c:cat>
          <c:val>
            <c:numRef>
              <c:f>Sheet1!$B$67:$B$69</c:f>
              <c:numCache>
                <c:formatCode>General</c:formatCode>
                <c:ptCount val="3"/>
                <c:pt idx="0">
                  <c:v>27.24</c:v>
                </c:pt>
                <c:pt idx="1">
                  <c:v>28.82</c:v>
                </c:pt>
                <c:pt idx="2">
                  <c:v>29.68</c:v>
                </c:pt>
              </c:numCache>
            </c:numRef>
          </c:val>
          <c:extLst>
            <c:ext xmlns:c16="http://schemas.microsoft.com/office/drawing/2014/chart" uri="{C3380CC4-5D6E-409C-BE32-E72D297353CC}">
              <c16:uniqueId val="{00000003-BAE2-4732-B87B-2D73BCFF5F08}"/>
            </c:ext>
          </c:extLst>
        </c:ser>
        <c:dLbls>
          <c:showLegendKey val="0"/>
          <c:showVal val="0"/>
          <c:showCatName val="0"/>
          <c:showSerName val="0"/>
          <c:showPercent val="0"/>
          <c:showBubbleSize val="0"/>
        </c:dLbls>
        <c:gapWidth val="150"/>
        <c:shape val="box"/>
        <c:axId val="564951888"/>
        <c:axId val="564938992"/>
        <c:axId val="0"/>
      </c:bar3DChart>
      <c:catAx>
        <c:axId val="564951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564938992"/>
        <c:crosses val="autoZero"/>
        <c:auto val="1"/>
        <c:lblAlgn val="ctr"/>
        <c:lblOffset val="100"/>
        <c:noMultiLvlLbl val="0"/>
      </c:catAx>
      <c:valAx>
        <c:axId val="564938992"/>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5649518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lang="en-US"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110672511582489E-2"/>
          <c:y val="8.4786610699790793E-2"/>
          <c:w val="0.92041960571531922"/>
          <c:h val="0.60285997504468714"/>
        </c:manualLayout>
      </c:layout>
      <c:bar3DChart>
        <c:barDir val="col"/>
        <c:grouping val="clustered"/>
        <c:varyColors val="0"/>
        <c:ser>
          <c:idx val="0"/>
          <c:order val="0"/>
          <c:tx>
            <c:strRef>
              <c:f>Sheet1!$B$84</c:f>
              <c:strCache>
                <c:ptCount val="1"/>
                <c:pt idx="0">
                  <c:v>Mipymes</c:v>
                </c:pt>
              </c:strCache>
            </c:strRef>
          </c:tx>
          <c:spPr>
            <a:solidFill>
              <a:schemeClr val="accent5">
                <a:tint val="77000"/>
              </a:schemeClr>
            </a:solidFill>
            <a:ln>
              <a:noFill/>
            </a:ln>
            <a:effectLst/>
            <a:sp3d/>
          </c:spPr>
          <c:invertIfNegative val="0"/>
          <c:dLbls>
            <c:dLbl>
              <c:idx val="0"/>
              <c:layout>
                <c:manualLayout>
                  <c:x val="1.944444444444442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1E-4748-881A-DF67B375F88F}"/>
                </c:ext>
              </c:extLst>
            </c:dLbl>
            <c:dLbl>
              <c:idx val="1"/>
              <c:layout>
                <c:manualLayout>
                  <c:x val="2.4999999999999949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1E-4748-881A-DF67B375F88F}"/>
                </c:ext>
              </c:extLst>
            </c:dLbl>
            <c:dLbl>
              <c:idx val="2"/>
              <c:layout>
                <c:manualLayout>
                  <c:x val="2.4999999999999897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1E-4748-881A-DF67B375F88F}"/>
                </c:ext>
              </c:extLst>
            </c:dLbl>
            <c:spPr>
              <a:noFill/>
              <a:ln>
                <a:noFill/>
              </a:ln>
              <a:effectLst/>
            </c:spPr>
            <c:txPr>
              <a:bodyPr rot="0" spcFirstLastPara="1" vertOverflow="ellipsis" vert="horz" wrap="square" anchor="ctr" anchorCtr="1"/>
              <a:lstStyle/>
              <a:p>
                <a:pPr>
                  <a:defRPr sz="11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Sheet1!$A$85:$A$87</c:f>
              <c:strCache>
                <c:ptCount val="3"/>
                <c:pt idx="0">
                  <c:v>T1</c:v>
                </c:pt>
                <c:pt idx="1">
                  <c:v>T2</c:v>
                </c:pt>
                <c:pt idx="2">
                  <c:v>T3</c:v>
                </c:pt>
              </c:strCache>
            </c:strRef>
          </c:cat>
          <c:val>
            <c:numRef>
              <c:f>Sheet1!$B$85:$B$87</c:f>
              <c:numCache>
                <c:formatCode>General</c:formatCode>
                <c:ptCount val="3"/>
                <c:pt idx="0">
                  <c:v>10</c:v>
                </c:pt>
                <c:pt idx="1">
                  <c:v>10</c:v>
                </c:pt>
                <c:pt idx="2">
                  <c:v>10</c:v>
                </c:pt>
              </c:numCache>
            </c:numRef>
          </c:val>
          <c:extLst>
            <c:ext xmlns:c16="http://schemas.microsoft.com/office/drawing/2014/chart" uri="{C3380CC4-5D6E-409C-BE32-E72D297353CC}">
              <c16:uniqueId val="{00000003-001E-4748-881A-DF67B375F88F}"/>
            </c:ext>
          </c:extLst>
        </c:ser>
        <c:ser>
          <c:idx val="1"/>
          <c:order val="1"/>
          <c:tx>
            <c:strRef>
              <c:f>Sheet1!$C$84</c:f>
              <c:strCache>
                <c:ptCount val="1"/>
                <c:pt idx="0">
                  <c:v>Mipymes Mujer</c:v>
                </c:pt>
              </c:strCache>
            </c:strRef>
          </c:tx>
          <c:spPr>
            <a:solidFill>
              <a:schemeClr val="accent5">
                <a:shade val="76000"/>
              </a:schemeClr>
            </a:solidFill>
            <a:ln>
              <a:noFill/>
            </a:ln>
            <a:effectLst/>
            <a:sp3d/>
          </c:spPr>
          <c:invertIfNegative val="0"/>
          <c:dLbls>
            <c:dLbl>
              <c:idx val="0"/>
              <c:layout>
                <c:manualLayout>
                  <c:x val="1.6666666666666666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1E-4748-881A-DF67B375F88F}"/>
                </c:ext>
              </c:extLst>
            </c:dLbl>
            <c:dLbl>
              <c:idx val="1"/>
              <c:layout>
                <c:manualLayout>
                  <c:x val="2.2222222222222223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01E-4748-881A-DF67B375F88F}"/>
                </c:ext>
              </c:extLst>
            </c:dLbl>
            <c:dLbl>
              <c:idx val="2"/>
              <c:layout>
                <c:manualLayout>
                  <c:x val="3.3015300568344987E-2"/>
                  <c:y val="-5.9055369275012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01E-4748-881A-DF67B375F88F}"/>
                </c:ext>
              </c:extLst>
            </c:dLbl>
            <c:spPr>
              <a:noFill/>
              <a:ln>
                <a:noFill/>
              </a:ln>
              <a:effectLst/>
            </c:spPr>
            <c:txPr>
              <a:bodyPr rot="0" spcFirstLastPara="1" vertOverflow="ellipsis" vert="horz" wrap="square" anchor="ctr" anchorCtr="1"/>
              <a:lstStyle/>
              <a:p>
                <a:pPr>
                  <a:defRPr sz="11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Sheet1!$A$85:$A$87</c:f>
              <c:strCache>
                <c:ptCount val="3"/>
                <c:pt idx="0">
                  <c:v>T1</c:v>
                </c:pt>
                <c:pt idx="1">
                  <c:v>T2</c:v>
                </c:pt>
                <c:pt idx="2">
                  <c:v>T3</c:v>
                </c:pt>
              </c:strCache>
            </c:strRef>
          </c:cat>
          <c:val>
            <c:numRef>
              <c:f>Sheet1!$C$85:$C$87</c:f>
              <c:numCache>
                <c:formatCode>General</c:formatCode>
                <c:ptCount val="3"/>
                <c:pt idx="0">
                  <c:v>10</c:v>
                </c:pt>
                <c:pt idx="1">
                  <c:v>8.5500000000000007</c:v>
                </c:pt>
                <c:pt idx="2">
                  <c:v>9.17</c:v>
                </c:pt>
              </c:numCache>
            </c:numRef>
          </c:val>
          <c:extLst>
            <c:ext xmlns:c16="http://schemas.microsoft.com/office/drawing/2014/chart" uri="{C3380CC4-5D6E-409C-BE32-E72D297353CC}">
              <c16:uniqueId val="{00000007-001E-4748-881A-DF67B375F88F}"/>
            </c:ext>
          </c:extLst>
        </c:ser>
        <c:dLbls>
          <c:showLegendKey val="0"/>
          <c:showVal val="0"/>
          <c:showCatName val="0"/>
          <c:showSerName val="0"/>
          <c:showPercent val="0"/>
          <c:showBubbleSize val="0"/>
        </c:dLbls>
        <c:gapWidth val="150"/>
        <c:shape val="box"/>
        <c:axId val="18274736"/>
        <c:axId val="18277232"/>
        <c:axId val="0"/>
      </c:bar3DChart>
      <c:catAx>
        <c:axId val="18274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18277232"/>
        <c:crosses val="autoZero"/>
        <c:auto val="1"/>
        <c:lblAlgn val="ctr"/>
        <c:lblOffset val="100"/>
        <c:noMultiLvlLbl val="0"/>
      </c:catAx>
      <c:valAx>
        <c:axId val="18277232"/>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18274736"/>
        <c:crosses val="autoZero"/>
        <c:crossBetween val="between"/>
      </c:valAx>
      <c:spPr>
        <a:noFill/>
        <a:ln>
          <a:noFill/>
        </a:ln>
        <a:effectLst/>
      </c:spPr>
    </c:plotArea>
    <c:legend>
      <c:legendPos val="b"/>
      <c:layout>
        <c:manualLayout>
          <c:xMode val="edge"/>
          <c:yMode val="edge"/>
          <c:x val="0.28148941474663952"/>
          <c:y val="0.78902821232856579"/>
          <c:w val="0.44757505245881202"/>
          <c:h val="0.12614816790932917"/>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b="1">
          <a:solidFill>
            <a:schemeClr val="bg1">
              <a:lumMod val="50000"/>
            </a:schemeClr>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withinLinear" id="18">
  <a:schemeClr val="accent5"/>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16.xml><?xml version="1.0" encoding="utf-8"?>
<cs:colorStyle xmlns:cs="http://schemas.microsoft.com/office/drawing/2012/chartStyle" xmlns:a="http://schemas.openxmlformats.org/drawingml/2006/main" meth="withinLinear" id="14">
  <a:schemeClr val="accent1"/>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Reversed" id="25">
  <a:schemeClr val="accent5"/>
</cs:colorStyle>
</file>

<file path=word/charts/colors5.xml><?xml version="1.0" encoding="utf-8"?>
<cs:colorStyle xmlns:cs="http://schemas.microsoft.com/office/drawing/2012/chartStyle" xmlns:a="http://schemas.openxmlformats.org/drawingml/2006/main" meth="withinLinearReversed" id="25">
  <a:schemeClr val="accent5"/>
</cs:colorStyle>
</file>

<file path=word/charts/colors6.xml><?xml version="1.0" encoding="utf-8"?>
<cs:colorStyle xmlns:cs="http://schemas.microsoft.com/office/drawing/2012/chartStyle" xmlns:a="http://schemas.openxmlformats.org/drawingml/2006/main" meth="withinLinearReversed" id="25">
  <a:schemeClr val="accent5"/>
</cs:colorStyle>
</file>

<file path=word/charts/colors7.xml><?xml version="1.0" encoding="utf-8"?>
<cs:colorStyle xmlns:cs="http://schemas.microsoft.com/office/drawing/2012/chartStyle" xmlns:a="http://schemas.openxmlformats.org/drawingml/2006/main" meth="withinLinearReversed" id="25">
  <a:schemeClr val="accent5"/>
</cs:colorStyle>
</file>

<file path=word/charts/colors8.xml><?xml version="1.0" encoding="utf-8"?>
<cs:colorStyle xmlns:cs="http://schemas.microsoft.com/office/drawing/2012/chartStyle" xmlns:a="http://schemas.openxmlformats.org/drawingml/2006/main" meth="withinLinearReversed" id="25">
  <a:schemeClr val="accent5"/>
</cs:colorStyle>
</file>

<file path=word/charts/colors9.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c744ef6-fcb6-4ebf-8af4-d63ebe266dc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A4164F3B929C41BEA62DC8E284B6A2" ma:contentTypeVersion="10" ma:contentTypeDescription="Create a new document." ma:contentTypeScope="" ma:versionID="0c4df9716579b27c5a75cd697a65d3e0">
  <xsd:schema xmlns:xsd="http://www.w3.org/2001/XMLSchema" xmlns:xs="http://www.w3.org/2001/XMLSchema" xmlns:p="http://schemas.microsoft.com/office/2006/metadata/properties" xmlns:ns3="0c744ef6-fcb6-4ebf-8af4-d63ebe266dc0" targetNamespace="http://schemas.microsoft.com/office/2006/metadata/properties" ma:root="true" ma:fieldsID="1b427301489be47d5dbb0669a63b2ce0" ns3:_="">
    <xsd:import namespace="0c744ef6-fcb6-4ebf-8af4-d63ebe266dc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744ef6-fcb6-4ebf-8af4-d63ebe266dc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customXml/itemProps2.xml><?xml version="1.0" encoding="utf-8"?>
<ds:datastoreItem xmlns:ds="http://schemas.openxmlformats.org/officeDocument/2006/customXml" ds:itemID="{EAA6A8AC-2F16-4F2C-93EC-4EF0745AC962}">
  <ds:schemaRefs>
    <ds:schemaRef ds:uri="http://schemas.microsoft.com/sharepoint/v3/contenttype/forms"/>
  </ds:schemaRefs>
</ds:datastoreItem>
</file>

<file path=customXml/itemProps3.xml><?xml version="1.0" encoding="utf-8"?>
<ds:datastoreItem xmlns:ds="http://schemas.openxmlformats.org/officeDocument/2006/customXml" ds:itemID="{A38519A3-737E-4B8A-97D7-2B1C18A05F79}">
  <ds:schemaRefs>
    <ds:schemaRef ds:uri="http://purl.org/dc/dcmitype/"/>
    <ds:schemaRef ds:uri="http://www.w3.org/XML/1998/namespace"/>
    <ds:schemaRef ds:uri="http://purl.org/dc/elements/1.1/"/>
    <ds:schemaRef ds:uri="0c744ef6-fcb6-4ebf-8af4-d63ebe266dc0"/>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2B86EADB-1DD2-40B1-80B0-568CCBA97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744ef6-fcb6-4ebf-8af4-d63ebe266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135</Pages>
  <Words>25307</Words>
  <Characters>144251</Characters>
  <Application>Microsoft Office Word</Application>
  <DocSecurity>0</DocSecurity>
  <Lines>1202</Lines>
  <Paragraphs>338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Johanny Salcedo de los Santos</cp:lastModifiedBy>
  <cp:revision>161</cp:revision>
  <cp:lastPrinted>2024-12-13T17:00:00Z</cp:lastPrinted>
  <dcterms:created xsi:type="dcterms:W3CDTF">2024-12-13T17:00:00Z</dcterms:created>
  <dcterms:modified xsi:type="dcterms:W3CDTF">2024-12-27T16:20:00Z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0x010100AFA4164F3B929C41BEA62DC8E284B6A2</vt:lpwstr>
  </property>
</Properties>
</file>