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4A924" w14:textId="625FACBB" w:rsidR="008D7F4E" w:rsidRPr="006A0747" w:rsidRDefault="00DF0B54" w:rsidP="008D7F4E">
      <w:pPr>
        <w:rPr>
          <w:rFonts w:ascii="Times New Roman" w:hAnsi="Times New Roman" w:cs="Times New Roman"/>
        </w:rPr>
      </w:pPr>
      <w:r w:rsidRPr="006A0747">
        <w:rPr>
          <w:rFonts w:ascii="Times New Roman" w:hAnsi="Times New Roman" w:cs="Times New Roman"/>
          <w:noProof/>
          <w:lang w:eastAsia="es-DO"/>
        </w:rPr>
        <w:drawing>
          <wp:anchor distT="0" distB="0" distL="114300" distR="114300" simplePos="0" relativeHeight="251658240" behindDoc="0" locked="0" layoutInCell="1" allowOverlap="1" wp14:anchorId="3F0A51DA" wp14:editId="2FC39AD1">
            <wp:simplePos x="0" y="0"/>
            <wp:positionH relativeFrom="column">
              <wp:posOffset>2376805</wp:posOffset>
            </wp:positionH>
            <wp:positionV relativeFrom="paragraph">
              <wp:posOffset>274955</wp:posOffset>
            </wp:positionV>
            <wp:extent cx="1280160" cy="120777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0160" cy="1207770"/>
                    </a:xfrm>
                    <a:prstGeom prst="rect">
                      <a:avLst/>
                    </a:prstGeom>
                  </pic:spPr>
                </pic:pic>
              </a:graphicData>
            </a:graphic>
            <wp14:sizeRelH relativeFrom="page">
              <wp14:pctWidth>0</wp14:pctWidth>
            </wp14:sizeRelH>
            <wp14:sizeRelV relativeFrom="page">
              <wp14:pctHeight>0</wp14:pctHeight>
            </wp14:sizeRelV>
          </wp:anchor>
        </w:drawing>
      </w:r>
      <w:r w:rsidR="000400C6" w:rsidRPr="006A0747">
        <w:rPr>
          <w:rFonts w:ascii="Times New Roman" w:hAnsi="Times New Roman" w:cs="Times New Roman"/>
        </w:rPr>
        <w:t xml:space="preserve"> </w:t>
      </w:r>
    </w:p>
    <w:p w14:paraId="24A9A258" w14:textId="3DC24FC8" w:rsidR="008D7F4E" w:rsidRPr="006A0747" w:rsidRDefault="008D7F4E" w:rsidP="008D7F4E">
      <w:pPr>
        <w:rPr>
          <w:rFonts w:ascii="Times New Roman" w:hAnsi="Times New Roman" w:cs="Times New Roman"/>
        </w:rPr>
      </w:pPr>
    </w:p>
    <w:p w14:paraId="1AC5E2C3" w14:textId="77777777" w:rsidR="008D7F4E" w:rsidRPr="006A0747" w:rsidRDefault="008D7F4E" w:rsidP="008D7F4E">
      <w:pPr>
        <w:rPr>
          <w:rFonts w:ascii="Times New Roman" w:hAnsi="Times New Roman" w:cs="Times New Roman"/>
        </w:rPr>
      </w:pPr>
    </w:p>
    <w:p w14:paraId="34990FAF" w14:textId="52B5DA41" w:rsidR="008D7F4E" w:rsidRPr="006A0747" w:rsidRDefault="008D7F4E" w:rsidP="008D7F4E">
      <w:pPr>
        <w:rPr>
          <w:rFonts w:ascii="Times New Roman" w:hAnsi="Times New Roman" w:cs="Times New Roman"/>
        </w:rPr>
      </w:pPr>
      <w:bookmarkStart w:id="0" w:name="_Hlk86404256"/>
      <w:bookmarkEnd w:id="0"/>
    </w:p>
    <w:p w14:paraId="6EFB72EE" w14:textId="272B2AD6" w:rsidR="008D7F4E" w:rsidRPr="006A0747" w:rsidRDefault="008D7F4E" w:rsidP="008D7F4E">
      <w:pPr>
        <w:rPr>
          <w:rFonts w:ascii="Times New Roman" w:hAnsi="Times New Roman" w:cs="Times New Roman"/>
        </w:rPr>
      </w:pPr>
    </w:p>
    <w:p w14:paraId="3F7503CE" w14:textId="172B5CFE" w:rsidR="008D7F4E" w:rsidRPr="006A0747" w:rsidRDefault="008D7F4E" w:rsidP="008D7F4E">
      <w:pPr>
        <w:rPr>
          <w:rFonts w:ascii="Times New Roman" w:hAnsi="Times New Roman" w:cs="Times New Roman"/>
        </w:rPr>
      </w:pPr>
    </w:p>
    <w:p w14:paraId="071FCCAE" w14:textId="759B330B" w:rsidR="008D7F4E" w:rsidRPr="006A0747" w:rsidRDefault="00A63A00" w:rsidP="008D7F4E">
      <w:pPr>
        <w:rPr>
          <w:rFonts w:ascii="Times New Roman" w:hAnsi="Times New Roman" w:cs="Times New Roman"/>
        </w:rPr>
      </w:pPr>
      <w:r w:rsidRPr="006A0747">
        <w:rPr>
          <w:rFonts w:ascii="Times New Roman" w:hAnsi="Times New Roman" w:cs="Times New Roman"/>
          <w:noProof/>
          <w:lang w:eastAsia="es-DO"/>
        </w:rPr>
        <mc:AlternateContent>
          <mc:Choice Requires="wps">
            <w:drawing>
              <wp:anchor distT="0" distB="0" distL="114300" distR="114300" simplePos="0" relativeHeight="251658243" behindDoc="0" locked="0" layoutInCell="1" allowOverlap="1" wp14:anchorId="49B1C421" wp14:editId="02D95F81">
                <wp:simplePos x="0" y="0"/>
                <wp:positionH relativeFrom="column">
                  <wp:posOffset>2137410</wp:posOffset>
                </wp:positionH>
                <wp:positionV relativeFrom="paragraph">
                  <wp:posOffset>11681</wp:posOffset>
                </wp:positionV>
                <wp:extent cx="1884680" cy="177165"/>
                <wp:effectExtent l="0" t="0" r="0" b="0"/>
                <wp:wrapNone/>
                <wp:docPr id="6" name="object 6"/>
                <wp:cNvGraphicFramePr/>
                <a:graphic xmlns:a="http://schemas.openxmlformats.org/drawingml/2006/main">
                  <a:graphicData uri="http://schemas.microsoft.com/office/word/2010/wordprocessingShape">
                    <wps:wsp>
                      <wps:cNvSpPr txBox="1"/>
                      <wps:spPr>
                        <a:xfrm>
                          <a:off x="0" y="0"/>
                          <a:ext cx="1884680" cy="177165"/>
                        </a:xfrm>
                        <a:prstGeom prst="rect">
                          <a:avLst/>
                        </a:prstGeom>
                      </wps:spPr>
                      <wps:txbx>
                        <w:txbxContent>
                          <w:p w14:paraId="65FDDD46" w14:textId="77777777" w:rsidR="008D7F4E" w:rsidRPr="006A0747" w:rsidRDefault="008D7F4E" w:rsidP="008D7F4E">
                            <w:pPr>
                              <w:spacing w:before="20"/>
                              <w:ind w:left="14"/>
                              <w:rPr>
                                <w:rFonts w:ascii="Times New Roman" w:hAnsi="Times New Roman" w:cs="Times New Roman"/>
                                <w:b/>
                                <w:bCs/>
                                <w:color w:val="D0B787"/>
                                <w:spacing w:val="9"/>
                                <w:kern w:val="24"/>
                                <w:sz w:val="20"/>
                                <w:szCs w:val="20"/>
                              </w:rPr>
                            </w:pPr>
                            <w:r w:rsidRPr="006A0747">
                              <w:rPr>
                                <w:rFonts w:ascii="Times New Roman" w:hAnsi="Times New Roman" w:cs="Times New Roman"/>
                                <w:b/>
                                <w:bCs/>
                                <w:color w:val="D0B787"/>
                                <w:spacing w:val="9"/>
                                <w:kern w:val="24"/>
                                <w:sz w:val="20"/>
                                <w:szCs w:val="20"/>
                              </w:rPr>
                              <w:t>REPÚBLICA</w:t>
                            </w:r>
                            <w:r w:rsidRPr="006A0747">
                              <w:rPr>
                                <w:rFonts w:ascii="Times New Roman" w:hAnsi="Times New Roman" w:cs="Times New Roman"/>
                                <w:b/>
                                <w:bCs/>
                                <w:color w:val="D0B787"/>
                                <w:spacing w:val="11"/>
                                <w:kern w:val="24"/>
                                <w:sz w:val="20"/>
                                <w:szCs w:val="20"/>
                              </w:rPr>
                              <w:t xml:space="preserve"> DOMINICANA</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9B1C421" id="_x0000_t202" coordsize="21600,21600" o:spt="202" path="m,l,21600r21600,l21600,xe">
                <v:stroke joinstyle="miter"/>
                <v:path gradientshapeok="t" o:connecttype="rect"/>
              </v:shapetype>
              <v:shape id="object 6" o:spid="_x0000_s1026" type="#_x0000_t202" style="position:absolute;margin-left:168.3pt;margin-top:.9pt;width:148.4pt;height:13.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" filled="f" stroked="f">
                <v:textbox inset="0,1pt,0,0">
                  <w:txbxContent>
                    <w:p w14:paraId="65FDDD46" w14:textId="77777777" w:rsidR="008D7F4E" w:rsidRPr="006A0747" w:rsidRDefault="008D7F4E" w:rsidP="008D7F4E">
                      <w:pPr>
                        <w:spacing w:before="20"/>
                        <w:ind w:left="14"/>
                        <w:rPr>
                          <w:rFonts w:ascii="Times New Roman" w:hAnsi="Times New Roman" w:cs="Times New Roman"/>
                          <w:b/>
                          <w:bCs/>
                          <w:color w:val="D0B787"/>
                          <w:spacing w:val="9"/>
                          <w:kern w:val="24"/>
                          <w:sz w:val="20"/>
                          <w:szCs w:val="20"/>
                        </w:rPr>
                      </w:pPr>
                      <w:r w:rsidRPr="006A0747">
                        <w:rPr>
                          <w:rFonts w:ascii="Times New Roman" w:hAnsi="Times New Roman" w:cs="Times New Roman"/>
                          <w:b/>
                          <w:bCs/>
                          <w:color w:val="D0B787"/>
                          <w:spacing w:val="9"/>
                          <w:kern w:val="24"/>
                          <w:sz w:val="20"/>
                          <w:szCs w:val="20"/>
                        </w:rPr>
                        <w:t>REPÚBLICA</w:t>
                      </w:r>
                      <w:r w:rsidRPr="006A0747">
                        <w:rPr>
                          <w:rFonts w:ascii="Times New Roman" w:hAnsi="Times New Roman" w:cs="Times New Roman"/>
                          <w:b/>
                          <w:bCs/>
                          <w:color w:val="D0B787"/>
                          <w:spacing w:val="11"/>
                          <w:kern w:val="24"/>
                          <w:sz w:val="20"/>
                          <w:szCs w:val="20"/>
                        </w:rPr>
                        <w:t xml:space="preserve"> DOMINICANA</w:t>
                      </w:r>
                    </w:p>
                  </w:txbxContent>
                </v:textbox>
              </v:shape>
            </w:pict>
          </mc:Fallback>
        </mc:AlternateContent>
      </w:r>
    </w:p>
    <w:p w14:paraId="69FBF6B1" w14:textId="7ADAC71B" w:rsidR="008D7F4E" w:rsidRPr="006A0747" w:rsidRDefault="008D7F4E" w:rsidP="008D7F4E">
      <w:pPr>
        <w:rPr>
          <w:rFonts w:ascii="Times New Roman" w:hAnsi="Times New Roman" w:cs="Times New Roman"/>
        </w:rPr>
      </w:pPr>
    </w:p>
    <w:p w14:paraId="0233C915" w14:textId="77777777" w:rsidR="008D7F4E" w:rsidRPr="006A0747" w:rsidRDefault="008D7F4E" w:rsidP="008D7F4E">
      <w:pPr>
        <w:rPr>
          <w:rFonts w:ascii="Times New Roman" w:hAnsi="Times New Roman" w:cs="Times New Roman"/>
        </w:rPr>
      </w:pPr>
    </w:p>
    <w:p w14:paraId="274DCED8" w14:textId="1680A5BE" w:rsidR="004F2DD5" w:rsidRPr="006A0747" w:rsidRDefault="00B619B6" w:rsidP="004F2DD5">
      <w:pPr>
        <w:rPr>
          <w:rFonts w:ascii="Times New Roman" w:hAnsi="Times New Roman" w:cs="Times New Roman"/>
        </w:rPr>
      </w:pPr>
      <w:r w:rsidRPr="006A0747">
        <w:rPr>
          <w:rFonts w:ascii="Times New Roman" w:hAnsi="Times New Roman" w:cs="Times New Roman"/>
          <w:noProof/>
          <w:lang w:eastAsia="es-DO"/>
        </w:rPr>
        <mc:AlternateContent>
          <mc:Choice Requires="wps">
            <w:drawing>
              <wp:anchor distT="0" distB="0" distL="114300" distR="114300" simplePos="0" relativeHeight="251658241" behindDoc="0" locked="0" layoutInCell="1" allowOverlap="1" wp14:anchorId="0C109D41" wp14:editId="2AFD811D">
                <wp:simplePos x="0" y="0"/>
                <wp:positionH relativeFrom="margin">
                  <wp:align>center</wp:align>
                </wp:positionH>
                <wp:positionV relativeFrom="paragraph">
                  <wp:posOffset>1316355</wp:posOffset>
                </wp:positionV>
                <wp:extent cx="4905375" cy="1200150"/>
                <wp:effectExtent l="0" t="0" r="0" b="0"/>
                <wp:wrapNone/>
                <wp:docPr id="4" name="object 4"/>
                <wp:cNvGraphicFramePr/>
                <a:graphic xmlns:a="http://schemas.openxmlformats.org/drawingml/2006/main">
                  <a:graphicData uri="http://schemas.microsoft.com/office/word/2010/wordprocessingShape">
                    <wps:wsp>
                      <wps:cNvSpPr txBox="1"/>
                      <wps:spPr>
                        <a:xfrm>
                          <a:off x="0" y="0"/>
                          <a:ext cx="4905375" cy="1200150"/>
                        </a:xfrm>
                        <a:prstGeom prst="rect">
                          <a:avLst/>
                        </a:prstGeom>
                      </wps:spPr>
                      <wps:txbx>
                        <w:txbxContent>
                          <w:p w14:paraId="0C3AA7DD" w14:textId="48ECB2D4" w:rsidR="008D7F4E" w:rsidRPr="006A0747" w:rsidRDefault="00B619B6" w:rsidP="008D7F4E">
                            <w:pPr>
                              <w:spacing w:after="0"/>
                              <w:jc w:val="center"/>
                              <w:rPr>
                                <w:rFonts w:ascii="Times New Roman" w:hAnsi="Times New Roman" w:cs="Times New Roman"/>
                                <w:b/>
                                <w:color w:val="D5B788"/>
                                <w:spacing w:val="60"/>
                                <w:kern w:val="24"/>
                                <w:sz w:val="56"/>
                                <w:szCs w:val="56"/>
                              </w:rPr>
                            </w:pPr>
                            <w:r w:rsidRPr="006A0747">
                              <w:rPr>
                                <w:rFonts w:ascii="Times New Roman" w:hAnsi="Times New Roman" w:cs="Times New Roman"/>
                                <w:b/>
                                <w:color w:val="D5B788"/>
                                <w:spacing w:val="60"/>
                                <w:kern w:val="24"/>
                                <w:sz w:val="56"/>
                                <w:szCs w:val="56"/>
                              </w:rPr>
                              <w:t>MEMORIA INSTITUCIONAL</w:t>
                            </w: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0C109D41" id="object 4" o:spid="_x0000_s1027" type="#_x0000_t202" style="position:absolute;margin-left:0;margin-top:103.65pt;width:386.25pt;height:94.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" filled="f" stroked="f">
                <v:textbox inset="0,1.35pt,0,0">
                  <w:txbxContent>
                    <w:p w14:paraId="0C3AA7DD" w14:textId="48ECB2D4" w:rsidR="008D7F4E" w:rsidRPr="006A0747" w:rsidRDefault="00B619B6" w:rsidP="008D7F4E">
                      <w:pPr>
                        <w:spacing w:after="0"/>
                        <w:jc w:val="center"/>
                        <w:rPr>
                          <w:rFonts w:ascii="Times New Roman" w:hAnsi="Times New Roman" w:cs="Times New Roman"/>
                          <w:b/>
                          <w:color w:val="D5B788"/>
                          <w:spacing w:val="60"/>
                          <w:kern w:val="24"/>
                          <w:sz w:val="56"/>
                          <w:szCs w:val="56"/>
                        </w:rPr>
                      </w:pPr>
                      <w:r w:rsidRPr="006A0747">
                        <w:rPr>
                          <w:rFonts w:ascii="Times New Roman" w:hAnsi="Times New Roman" w:cs="Times New Roman"/>
                          <w:b/>
                          <w:color w:val="D5B788"/>
                          <w:spacing w:val="60"/>
                          <w:kern w:val="24"/>
                          <w:sz w:val="56"/>
                          <w:szCs w:val="56"/>
                        </w:rPr>
                        <w:t>MEMORIA INSTITUCIONAL</w:t>
                      </w:r>
                    </w:p>
                  </w:txbxContent>
                </v:textbox>
                <w10:wrap anchorx="margin"/>
              </v:shape>
            </w:pict>
          </mc:Fallback>
        </mc:AlternateContent>
      </w:r>
      <w:r w:rsidR="00D171FD" w:rsidRPr="006A0747">
        <w:rPr>
          <w:rFonts w:ascii="Times New Roman" w:hAnsi="Times New Roman" w:cs="Times New Roman"/>
          <w:noProof/>
          <w:lang w:eastAsia="es-DO"/>
        </w:rPr>
        <mc:AlternateContent>
          <mc:Choice Requires="wps">
            <w:drawing>
              <wp:anchor distT="0" distB="0" distL="114300" distR="114300" simplePos="0" relativeHeight="251658242" behindDoc="0" locked="0" layoutInCell="1" allowOverlap="1" wp14:anchorId="6B2EB822" wp14:editId="5A813C92">
                <wp:simplePos x="0" y="0"/>
                <wp:positionH relativeFrom="margin">
                  <wp:align>center</wp:align>
                </wp:positionH>
                <wp:positionV relativeFrom="paragraph">
                  <wp:posOffset>2799080</wp:posOffset>
                </wp:positionV>
                <wp:extent cx="1782305" cy="534691"/>
                <wp:effectExtent l="0" t="0" r="0" b="0"/>
                <wp:wrapNone/>
                <wp:docPr id="5" name="object 5"/>
                <wp:cNvGraphicFramePr/>
                <a:graphic xmlns:a="http://schemas.openxmlformats.org/drawingml/2006/main">
                  <a:graphicData uri="http://schemas.microsoft.com/office/word/2010/wordprocessingShape">
                    <wps:wsp>
                      <wps:cNvSpPr txBox="1"/>
                      <wps:spPr>
                        <a:xfrm>
                          <a:off x="0" y="0"/>
                          <a:ext cx="1782305" cy="534691"/>
                        </a:xfrm>
                        <a:prstGeom prst="rect">
                          <a:avLst/>
                        </a:prstGeom>
                      </wps:spPr>
                      <wps:txbx>
                        <w:txbxContent>
                          <w:p w14:paraId="50ABDE0F" w14:textId="5F823F9B" w:rsidR="008D7F4E" w:rsidRPr="006A0747" w:rsidRDefault="00B619B6" w:rsidP="00D171FD">
                            <w:pPr>
                              <w:spacing w:before="20"/>
                              <w:ind w:left="14"/>
                              <w:jc w:val="center"/>
                              <w:rPr>
                                <w:rFonts w:ascii="Times New Roman" w:hAnsi="Times New Roman" w:cs="Times New Roman"/>
                                <w:b/>
                                <w:bCs/>
                                <w:color w:val="D5B788"/>
                                <w:spacing w:val="74"/>
                                <w:kern w:val="24"/>
                                <w:sz w:val="28"/>
                                <w:szCs w:val="28"/>
                              </w:rPr>
                            </w:pPr>
                            <w:r w:rsidRPr="006A0747">
                              <w:rPr>
                                <w:rFonts w:ascii="Times New Roman" w:hAnsi="Times New Roman" w:cs="Times New Roman"/>
                                <w:b/>
                                <w:bCs/>
                                <w:color w:val="D5B788"/>
                                <w:spacing w:val="68"/>
                                <w:kern w:val="24"/>
                                <w:sz w:val="28"/>
                                <w:szCs w:val="28"/>
                              </w:rPr>
                              <w:t xml:space="preserve">AÑO </w:t>
                            </w:r>
                            <w:r w:rsidR="008D7F4E" w:rsidRPr="006A0747">
                              <w:rPr>
                                <w:rFonts w:ascii="Times New Roman" w:hAnsi="Times New Roman" w:cs="Times New Roman"/>
                                <w:b/>
                                <w:bCs/>
                                <w:color w:val="D5B788"/>
                                <w:spacing w:val="68"/>
                                <w:kern w:val="24"/>
                                <w:sz w:val="28"/>
                                <w:szCs w:val="28"/>
                              </w:rPr>
                              <w:t>2</w:t>
                            </w:r>
                            <w:r w:rsidR="008D7F4E" w:rsidRPr="006A0747">
                              <w:rPr>
                                <w:rFonts w:ascii="Times New Roman" w:hAnsi="Times New Roman" w:cs="Times New Roman"/>
                                <w:b/>
                                <w:bCs/>
                                <w:color w:val="D5B788"/>
                                <w:spacing w:val="28"/>
                                <w:kern w:val="24"/>
                                <w:sz w:val="28"/>
                                <w:szCs w:val="28"/>
                              </w:rPr>
                              <w:t>0</w:t>
                            </w:r>
                            <w:r w:rsidR="008D7F4E" w:rsidRPr="006A0747">
                              <w:rPr>
                                <w:rFonts w:ascii="Times New Roman" w:hAnsi="Times New Roman" w:cs="Times New Roman"/>
                                <w:b/>
                                <w:bCs/>
                                <w:color w:val="D5B788"/>
                                <w:spacing w:val="-23"/>
                                <w:kern w:val="24"/>
                                <w:sz w:val="28"/>
                                <w:szCs w:val="28"/>
                              </w:rPr>
                              <w:t xml:space="preserve"> </w:t>
                            </w:r>
                            <w:r w:rsidR="008D7F4E" w:rsidRPr="006A0747">
                              <w:rPr>
                                <w:rFonts w:ascii="Times New Roman" w:hAnsi="Times New Roman" w:cs="Times New Roman"/>
                                <w:b/>
                                <w:bCs/>
                                <w:color w:val="D5B788"/>
                                <w:spacing w:val="68"/>
                                <w:kern w:val="24"/>
                                <w:sz w:val="28"/>
                                <w:szCs w:val="28"/>
                              </w:rPr>
                              <w:t>2</w:t>
                            </w:r>
                            <w:r w:rsidR="00AB70A4" w:rsidRPr="006A0747">
                              <w:rPr>
                                <w:rFonts w:ascii="Times New Roman" w:hAnsi="Times New Roman" w:cs="Times New Roman"/>
                                <w:b/>
                                <w:bCs/>
                                <w:color w:val="D5B788"/>
                                <w:spacing w:val="68"/>
                                <w:kern w:val="24"/>
                                <w:sz w:val="28"/>
                                <w:szCs w:val="28"/>
                              </w:rPr>
                              <w:t>4</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2EB822" id="object 5" o:spid="_x0000_s1028" type="#_x0000_t202" style="position:absolute;margin-left:0;margin-top:220.4pt;width:140.35pt;height:42.1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" filled="f" stroked="f">
                <v:textbox inset="0,1pt,0,0">
                  <w:txbxContent>
                    <w:p w14:paraId="50ABDE0F" w14:textId="5F823F9B" w:rsidR="008D7F4E" w:rsidRPr="006A0747" w:rsidRDefault="00B619B6" w:rsidP="00D171FD">
                      <w:pPr>
                        <w:spacing w:before="20"/>
                        <w:ind w:left="14"/>
                        <w:jc w:val="center"/>
                        <w:rPr>
                          <w:rFonts w:ascii="Times New Roman" w:hAnsi="Times New Roman" w:cs="Times New Roman"/>
                          <w:b/>
                          <w:bCs/>
                          <w:color w:val="D5B788"/>
                          <w:spacing w:val="74"/>
                          <w:kern w:val="24"/>
                          <w:sz w:val="28"/>
                          <w:szCs w:val="28"/>
                        </w:rPr>
                      </w:pPr>
                      <w:r w:rsidRPr="006A0747">
                        <w:rPr>
                          <w:rFonts w:ascii="Times New Roman" w:hAnsi="Times New Roman" w:cs="Times New Roman"/>
                          <w:b/>
                          <w:bCs/>
                          <w:color w:val="D5B788"/>
                          <w:spacing w:val="68"/>
                          <w:kern w:val="24"/>
                          <w:sz w:val="28"/>
                          <w:szCs w:val="28"/>
                        </w:rPr>
                        <w:t xml:space="preserve">AÑO </w:t>
                      </w:r>
                      <w:r w:rsidR="008D7F4E" w:rsidRPr="006A0747">
                        <w:rPr>
                          <w:rFonts w:ascii="Times New Roman" w:hAnsi="Times New Roman" w:cs="Times New Roman"/>
                          <w:b/>
                          <w:bCs/>
                          <w:color w:val="D5B788"/>
                          <w:spacing w:val="68"/>
                          <w:kern w:val="24"/>
                          <w:sz w:val="28"/>
                          <w:szCs w:val="28"/>
                        </w:rPr>
                        <w:t>2</w:t>
                      </w:r>
                      <w:r w:rsidR="008D7F4E" w:rsidRPr="006A0747">
                        <w:rPr>
                          <w:rFonts w:ascii="Times New Roman" w:hAnsi="Times New Roman" w:cs="Times New Roman"/>
                          <w:b/>
                          <w:bCs/>
                          <w:color w:val="D5B788"/>
                          <w:spacing w:val="28"/>
                          <w:kern w:val="24"/>
                          <w:sz w:val="28"/>
                          <w:szCs w:val="28"/>
                        </w:rPr>
                        <w:t>0</w:t>
                      </w:r>
                      <w:r w:rsidR="008D7F4E" w:rsidRPr="006A0747">
                        <w:rPr>
                          <w:rFonts w:ascii="Times New Roman" w:hAnsi="Times New Roman" w:cs="Times New Roman"/>
                          <w:b/>
                          <w:bCs/>
                          <w:color w:val="D5B788"/>
                          <w:spacing w:val="-23"/>
                          <w:kern w:val="24"/>
                          <w:sz w:val="28"/>
                          <w:szCs w:val="28"/>
                        </w:rPr>
                        <w:t xml:space="preserve"> </w:t>
                      </w:r>
                      <w:r w:rsidR="008D7F4E" w:rsidRPr="006A0747">
                        <w:rPr>
                          <w:rFonts w:ascii="Times New Roman" w:hAnsi="Times New Roman" w:cs="Times New Roman"/>
                          <w:b/>
                          <w:bCs/>
                          <w:color w:val="D5B788"/>
                          <w:spacing w:val="68"/>
                          <w:kern w:val="24"/>
                          <w:sz w:val="28"/>
                          <w:szCs w:val="28"/>
                        </w:rPr>
                        <w:t>2</w:t>
                      </w:r>
                      <w:r w:rsidR="00AB70A4" w:rsidRPr="006A0747">
                        <w:rPr>
                          <w:rFonts w:ascii="Times New Roman" w:hAnsi="Times New Roman" w:cs="Times New Roman"/>
                          <w:b/>
                          <w:bCs/>
                          <w:color w:val="D5B788"/>
                          <w:spacing w:val="68"/>
                          <w:kern w:val="24"/>
                          <w:sz w:val="28"/>
                          <w:szCs w:val="28"/>
                        </w:rPr>
                        <w:t>4</w:t>
                      </w:r>
                    </w:p>
                  </w:txbxContent>
                </v:textbox>
                <w10:wrap anchorx="margin"/>
              </v:shape>
            </w:pict>
          </mc:Fallback>
        </mc:AlternateContent>
      </w:r>
      <w:r w:rsidR="0089273D" w:rsidRPr="006A0747">
        <w:rPr>
          <w:rFonts w:ascii="Times New Roman" w:hAnsi="Times New Roman" w:cs="Times New Roman"/>
          <w:noProof/>
          <w:lang w:eastAsia="es-DO"/>
        </w:rPr>
        <mc:AlternateContent>
          <mc:Choice Requires="wps">
            <w:drawing>
              <wp:anchor distT="4294967295" distB="4294967295" distL="114300" distR="114300" simplePos="0" relativeHeight="251658247" behindDoc="0" locked="0" layoutInCell="1" allowOverlap="1" wp14:anchorId="209AF3DE" wp14:editId="003709D7">
                <wp:simplePos x="0" y="0"/>
                <wp:positionH relativeFrom="margin">
                  <wp:align>center</wp:align>
                </wp:positionH>
                <wp:positionV relativeFrom="paragraph">
                  <wp:posOffset>2533650</wp:posOffset>
                </wp:positionV>
                <wp:extent cx="463550" cy="0"/>
                <wp:effectExtent l="0" t="19050" r="317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7344384" id="Straight Connector 9" o:spid="_x0000_s1026" style="position:absolute;z-index:251658247;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99.5pt" to="36.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" strokecolor="#c8b688" strokeweight="2.25pt">
                <v:stroke joinstyle="miter"/>
                <o:lock v:ext="edit" shapetype="f"/>
                <w10:wrap anchorx="margin"/>
              </v:line>
            </w:pict>
          </mc:Fallback>
        </mc:AlternateContent>
      </w:r>
      <w:r w:rsidR="006160B6" w:rsidRPr="006A0747">
        <w:rPr>
          <w:rFonts w:ascii="Times New Roman" w:hAnsi="Times New Roman" w:cs="Times New Roman"/>
          <w:noProof/>
          <w:lang w:eastAsia="es-DO"/>
        </w:rPr>
        <mc:AlternateContent>
          <mc:Choice Requires="wps">
            <w:drawing>
              <wp:anchor distT="0" distB="0" distL="114300" distR="114300" simplePos="0" relativeHeight="251658245" behindDoc="0" locked="0" layoutInCell="1" allowOverlap="1" wp14:anchorId="4B9C2ACC" wp14:editId="4F295501">
                <wp:simplePos x="0" y="0"/>
                <wp:positionH relativeFrom="column">
                  <wp:posOffset>4719955</wp:posOffset>
                </wp:positionH>
                <wp:positionV relativeFrom="paragraph">
                  <wp:posOffset>8886825</wp:posOffset>
                </wp:positionV>
                <wp:extent cx="542925" cy="509270"/>
                <wp:effectExtent l="0" t="0" r="9525" b="5080"/>
                <wp:wrapNone/>
                <wp:docPr id="44"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509270"/>
                        </a:xfrm>
                        <a:custGeom>
                          <a:avLst/>
                          <a:gdLst/>
                          <a:ahLst/>
                          <a:cxnLst/>
                          <a:rect l="l" t="t" r="r" b="b"/>
                          <a:pathLst>
                            <a:path w="542925" h="509270">
                              <a:moveTo>
                                <a:pt x="469493" y="480745"/>
                              </a:moveTo>
                              <a:lnTo>
                                <a:pt x="443026" y="420751"/>
                              </a:lnTo>
                              <a:lnTo>
                                <a:pt x="411670" y="394119"/>
                              </a:lnTo>
                              <a:lnTo>
                                <a:pt x="345376" y="367334"/>
                              </a:lnTo>
                              <a:lnTo>
                                <a:pt x="301078" y="358165"/>
                              </a:lnTo>
                              <a:lnTo>
                                <a:pt x="246227" y="353021"/>
                              </a:lnTo>
                              <a:lnTo>
                                <a:pt x="178435" y="352831"/>
                              </a:lnTo>
                              <a:lnTo>
                                <a:pt x="95364" y="358508"/>
                              </a:lnTo>
                              <a:lnTo>
                                <a:pt x="247738" y="379996"/>
                              </a:lnTo>
                              <a:lnTo>
                                <a:pt x="335800" y="402526"/>
                              </a:lnTo>
                              <a:lnTo>
                                <a:pt x="393103" y="439928"/>
                              </a:lnTo>
                              <a:lnTo>
                                <a:pt x="453174" y="506006"/>
                              </a:lnTo>
                              <a:lnTo>
                                <a:pt x="454482" y="507199"/>
                              </a:lnTo>
                              <a:lnTo>
                                <a:pt x="457822" y="508825"/>
                              </a:lnTo>
                              <a:lnTo>
                                <a:pt x="462343" y="507949"/>
                              </a:lnTo>
                              <a:lnTo>
                                <a:pt x="467156" y="501599"/>
                              </a:lnTo>
                              <a:lnTo>
                                <a:pt x="469493" y="480745"/>
                              </a:lnTo>
                              <a:close/>
                            </a:path>
                            <a:path w="542925" h="509270">
                              <a:moveTo>
                                <a:pt x="521449" y="422846"/>
                              </a:moveTo>
                              <a:lnTo>
                                <a:pt x="487654" y="346379"/>
                              </a:lnTo>
                              <a:lnTo>
                                <a:pt x="430403" y="305701"/>
                              </a:lnTo>
                              <a:lnTo>
                                <a:pt x="392887" y="290309"/>
                              </a:lnTo>
                              <a:lnTo>
                                <a:pt x="322529" y="272478"/>
                              </a:lnTo>
                              <a:lnTo>
                                <a:pt x="274904" y="265658"/>
                              </a:lnTo>
                              <a:lnTo>
                                <a:pt x="218884" y="261848"/>
                              </a:lnTo>
                              <a:lnTo>
                                <a:pt x="154432" y="262255"/>
                              </a:lnTo>
                              <a:lnTo>
                                <a:pt x="81495" y="268097"/>
                              </a:lnTo>
                              <a:lnTo>
                                <a:pt x="0" y="280555"/>
                              </a:lnTo>
                              <a:lnTo>
                                <a:pt x="241833" y="283540"/>
                              </a:lnTo>
                              <a:lnTo>
                                <a:pt x="374916" y="302133"/>
                              </a:lnTo>
                              <a:lnTo>
                                <a:pt x="446468" y="352209"/>
                              </a:lnTo>
                              <a:lnTo>
                                <a:pt x="503732" y="449592"/>
                              </a:lnTo>
                              <a:lnTo>
                                <a:pt x="505193" y="451142"/>
                              </a:lnTo>
                              <a:lnTo>
                                <a:pt x="508774" y="453580"/>
                              </a:lnTo>
                              <a:lnTo>
                                <a:pt x="513181" y="453669"/>
                              </a:lnTo>
                              <a:lnTo>
                                <a:pt x="517182" y="448132"/>
                              </a:lnTo>
                              <a:lnTo>
                                <a:pt x="521449" y="422846"/>
                              </a:lnTo>
                              <a:close/>
                            </a:path>
                            <a:path w="542925" h="509270">
                              <a:moveTo>
                                <a:pt x="542658" y="361467"/>
                              </a:moveTo>
                              <a:lnTo>
                                <a:pt x="539229" y="301866"/>
                              </a:lnTo>
                              <a:lnTo>
                                <a:pt x="527697" y="269087"/>
                              </a:lnTo>
                              <a:lnTo>
                                <a:pt x="498741" y="251523"/>
                              </a:lnTo>
                              <a:lnTo>
                                <a:pt x="443001" y="237540"/>
                              </a:lnTo>
                              <a:lnTo>
                                <a:pt x="453275" y="232930"/>
                              </a:lnTo>
                              <a:lnTo>
                                <a:pt x="476542" y="216649"/>
                              </a:lnTo>
                              <a:lnTo>
                                <a:pt x="501421" y="185026"/>
                              </a:lnTo>
                              <a:lnTo>
                                <a:pt x="516547" y="134416"/>
                              </a:lnTo>
                              <a:lnTo>
                                <a:pt x="508228" y="82753"/>
                              </a:lnTo>
                              <a:lnTo>
                                <a:pt x="483108" y="44183"/>
                              </a:lnTo>
                              <a:lnTo>
                                <a:pt x="447649" y="18046"/>
                              </a:lnTo>
                              <a:lnTo>
                                <a:pt x="408343" y="3632"/>
                              </a:lnTo>
                              <a:lnTo>
                                <a:pt x="359117" y="0"/>
                              </a:lnTo>
                              <a:lnTo>
                                <a:pt x="172377" y="241"/>
                              </a:lnTo>
                              <a:lnTo>
                                <a:pt x="172288" y="165176"/>
                              </a:lnTo>
                              <a:lnTo>
                                <a:pt x="172542" y="206806"/>
                              </a:lnTo>
                              <a:lnTo>
                                <a:pt x="199491" y="209765"/>
                              </a:lnTo>
                              <a:lnTo>
                                <a:pt x="218147" y="212483"/>
                              </a:lnTo>
                              <a:lnTo>
                                <a:pt x="237210" y="216535"/>
                              </a:lnTo>
                              <a:lnTo>
                                <a:pt x="265417" y="223469"/>
                              </a:lnTo>
                              <a:lnTo>
                                <a:pt x="265417" y="77266"/>
                              </a:lnTo>
                              <a:lnTo>
                                <a:pt x="338963" y="77343"/>
                              </a:lnTo>
                              <a:lnTo>
                                <a:pt x="371525" y="83299"/>
                              </a:lnTo>
                              <a:lnTo>
                                <a:pt x="403936" y="103695"/>
                              </a:lnTo>
                              <a:lnTo>
                                <a:pt x="418338" y="147142"/>
                              </a:lnTo>
                              <a:lnTo>
                                <a:pt x="415925" y="194195"/>
                              </a:lnTo>
                              <a:lnTo>
                                <a:pt x="402196" y="218440"/>
                              </a:lnTo>
                              <a:lnTo>
                                <a:pt x="365506" y="227584"/>
                              </a:lnTo>
                              <a:lnTo>
                                <a:pt x="294233" y="229336"/>
                              </a:lnTo>
                              <a:lnTo>
                                <a:pt x="321665" y="235572"/>
                              </a:lnTo>
                              <a:lnTo>
                                <a:pt x="388099" y="256959"/>
                              </a:lnTo>
                              <a:lnTo>
                                <a:pt x="469709" y="297573"/>
                              </a:lnTo>
                              <a:lnTo>
                                <a:pt x="542658" y="361467"/>
                              </a:lnTo>
                              <a:close/>
                            </a:path>
                          </a:pathLst>
                        </a:custGeom>
                        <a:solidFill>
                          <a:srgbClr val="D5B78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6D457D1" id="Freeform: Shape 44" o:spid="_x0000_s1026" style="position:absolute;margin-left:371.65pt;margin-top:699.75pt;width:42.75pt;height:40.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2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" path="m469493,480745l443026,420751,411670,394119,345376,367334r-44298,-9169l246227,353021r-67792,-190l95364,358508r152374,21488l335800,402526r57303,37402l453174,506006r1308,1193l457822,508825r4521,-876l467156,501599r2337,-20854xem521449,422846l487654,346379,430403,305701,392887,290309,322529,272478r-47625,-6820l218884,261848r-64452,407l81495,268097,,280555r241833,2985l374916,302133r71552,50076l503732,449592r1461,1550l508774,453580r4407,89l517182,448132r4267,-25286xem542658,361467r-3429,-59601l527697,269087,498741,251523,443001,237540r10274,-4610l476542,216649r24879,-31623l516547,134416,508228,82753,483108,44183,447649,18046,408343,3632,359117,,172377,241r-89,164935l172542,206806r26949,2959l218147,212483r19063,4052l265417,223469r,-146203l338963,77343r32562,5956l403936,103695r14402,43447l415925,194195r-13729,24245l365506,227584r-71273,1752l321665,235572r66434,21387l469709,297573r72949,63894xe" fillcolor="#d5b788" stroked="f">
                <v:path arrowok="t"/>
              </v:shape>
            </w:pict>
          </mc:Fallback>
        </mc:AlternateContent>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4F2DD5" w:rsidRPr="006A0747">
        <w:rPr>
          <w:rFonts w:ascii="Times New Roman" w:hAnsi="Times New Roman" w:cs="Times New Roman"/>
        </w:rPr>
        <w:tab/>
      </w:r>
      <w:r w:rsidR="004F2DD5" w:rsidRPr="006A0747">
        <w:rPr>
          <w:rFonts w:ascii="Times New Roman" w:hAnsi="Times New Roman" w:cs="Times New Roman"/>
        </w:rPr>
        <w:tab/>
      </w:r>
      <w:r w:rsidR="004F2DD5" w:rsidRPr="006A0747">
        <w:rPr>
          <w:rFonts w:ascii="Times New Roman" w:hAnsi="Times New Roman" w:cs="Times New Roman"/>
        </w:rPr>
        <w:tab/>
      </w:r>
      <w:r w:rsidR="004F2DD5" w:rsidRPr="006A0747">
        <w:rPr>
          <w:rFonts w:ascii="Times New Roman" w:hAnsi="Times New Roman" w:cs="Times New Roman"/>
        </w:rPr>
        <w:tab/>
      </w:r>
      <w:r w:rsidR="004F2DD5" w:rsidRPr="006A0747">
        <w:rPr>
          <w:rFonts w:ascii="Times New Roman" w:hAnsi="Times New Roman" w:cs="Times New Roman"/>
        </w:rPr>
        <w:tab/>
      </w:r>
      <w:r w:rsidR="004F2DD5" w:rsidRPr="006A0747">
        <w:rPr>
          <w:rFonts w:ascii="Times New Roman" w:hAnsi="Times New Roman" w:cs="Times New Roman"/>
        </w:rPr>
        <w:tab/>
      </w:r>
      <w:r w:rsidR="004F2DD5" w:rsidRPr="006A0747">
        <w:rPr>
          <w:rFonts w:ascii="Times New Roman" w:hAnsi="Times New Roman" w:cs="Times New Roman"/>
        </w:rPr>
        <w:tab/>
      </w:r>
      <w:r w:rsidR="004F2DD5" w:rsidRPr="006A0747">
        <w:rPr>
          <w:rFonts w:ascii="Times New Roman" w:hAnsi="Times New Roman" w:cs="Times New Roman"/>
        </w:rPr>
        <w:tab/>
      </w:r>
      <w:r w:rsidR="004F2DD5" w:rsidRPr="006A0747">
        <w:rPr>
          <w:rFonts w:ascii="Times New Roman" w:hAnsi="Times New Roman" w:cs="Times New Roman"/>
        </w:rPr>
        <w:tab/>
      </w:r>
      <w:r w:rsidR="004F2DD5" w:rsidRPr="006A0747">
        <w:rPr>
          <w:rFonts w:ascii="Times New Roman" w:hAnsi="Times New Roman" w:cs="Times New Roman"/>
        </w:rPr>
        <w:tab/>
      </w:r>
      <w:r w:rsidR="004F2DD5" w:rsidRPr="006A0747">
        <w:rPr>
          <w:rFonts w:ascii="Times New Roman" w:hAnsi="Times New Roman" w:cs="Times New Roman"/>
        </w:rPr>
        <w:tab/>
      </w:r>
      <w:r w:rsidR="004F2DD5" w:rsidRPr="006A0747">
        <w:rPr>
          <w:rFonts w:ascii="Times New Roman" w:hAnsi="Times New Roman" w:cs="Times New Roman"/>
        </w:rPr>
        <w:tab/>
      </w:r>
      <w:r w:rsidR="004F2DD5" w:rsidRPr="006A0747">
        <w:rPr>
          <w:rFonts w:ascii="Times New Roman" w:hAnsi="Times New Roman" w:cs="Times New Roman"/>
        </w:rPr>
        <w:tab/>
      </w:r>
      <w:r w:rsidR="004F2DD5" w:rsidRPr="006A0747">
        <w:rPr>
          <w:rFonts w:ascii="Times New Roman" w:hAnsi="Times New Roman" w:cs="Times New Roman"/>
        </w:rPr>
        <w:tab/>
      </w:r>
      <w:r w:rsidR="004F2DD5" w:rsidRPr="006A0747">
        <w:rPr>
          <w:rFonts w:ascii="Times New Roman" w:hAnsi="Times New Roman" w:cs="Times New Roman"/>
        </w:rPr>
        <w:tab/>
      </w:r>
      <w:r w:rsidR="004F2DD5" w:rsidRPr="006A0747">
        <w:rPr>
          <w:rFonts w:ascii="Times New Roman" w:hAnsi="Times New Roman" w:cs="Times New Roman"/>
        </w:rPr>
        <w:tab/>
      </w:r>
      <w:r w:rsidR="004F2DD5" w:rsidRPr="006A0747">
        <w:rPr>
          <w:rFonts w:ascii="Times New Roman" w:hAnsi="Times New Roman" w:cs="Times New Roman"/>
        </w:rPr>
        <w:tab/>
      </w:r>
      <w:r w:rsidR="004F2DD5" w:rsidRPr="006A0747">
        <w:rPr>
          <w:rFonts w:ascii="Times New Roman" w:hAnsi="Times New Roman" w:cs="Times New Roman"/>
        </w:rPr>
        <w:tab/>
      </w:r>
      <w:r w:rsidR="004F2DD5" w:rsidRPr="006A0747">
        <w:rPr>
          <w:rFonts w:ascii="Times New Roman" w:hAnsi="Times New Roman" w:cs="Times New Roman"/>
        </w:rPr>
        <w:tab/>
      </w:r>
      <w:r w:rsidR="004F2DD5" w:rsidRPr="006A0747">
        <w:rPr>
          <w:rFonts w:ascii="Times New Roman" w:hAnsi="Times New Roman" w:cs="Times New Roman"/>
        </w:rPr>
        <w:tab/>
      </w:r>
      <w:r w:rsidR="004F2DD5" w:rsidRPr="006A0747">
        <w:rPr>
          <w:rFonts w:ascii="Times New Roman" w:hAnsi="Times New Roman" w:cs="Times New Roman"/>
        </w:rPr>
        <w:tab/>
      </w:r>
      <w:r w:rsidR="004F2DD5" w:rsidRPr="006A0747">
        <w:rPr>
          <w:rFonts w:ascii="Times New Roman" w:hAnsi="Times New Roman" w:cs="Times New Roman"/>
        </w:rPr>
        <w:tab/>
      </w:r>
      <w:r w:rsidR="004F2DD5" w:rsidRPr="006A0747">
        <w:rPr>
          <w:rFonts w:ascii="Times New Roman" w:hAnsi="Times New Roman" w:cs="Times New Roman"/>
        </w:rPr>
        <w:tab/>
      </w:r>
      <w:r w:rsidR="004F2DD5" w:rsidRPr="006A0747">
        <w:rPr>
          <w:rFonts w:ascii="Times New Roman" w:hAnsi="Times New Roman" w:cs="Times New Roman"/>
        </w:rPr>
        <w:tab/>
      </w:r>
      <w:r w:rsidR="004F2DD5" w:rsidRPr="006A0747">
        <w:rPr>
          <w:rFonts w:ascii="Times New Roman" w:hAnsi="Times New Roman" w:cs="Times New Roman"/>
        </w:rPr>
        <w:tab/>
      </w:r>
      <w:r w:rsidR="004F2DD5" w:rsidRPr="006A0747">
        <w:rPr>
          <w:rFonts w:ascii="Times New Roman" w:hAnsi="Times New Roman" w:cs="Times New Roman"/>
        </w:rPr>
        <w:tab/>
      </w:r>
      <w:r w:rsidR="004F2DD5" w:rsidRPr="006A0747">
        <w:rPr>
          <w:rFonts w:ascii="Times New Roman" w:hAnsi="Times New Roman" w:cs="Times New Roman"/>
        </w:rPr>
        <w:tab/>
      </w:r>
      <w:r w:rsidR="004F2DD5" w:rsidRPr="006A0747">
        <w:rPr>
          <w:rFonts w:ascii="Times New Roman" w:hAnsi="Times New Roman" w:cs="Times New Roman"/>
        </w:rPr>
        <w:tab/>
      </w:r>
      <w:r w:rsidR="004F2DD5" w:rsidRPr="006A0747">
        <w:rPr>
          <w:rFonts w:ascii="Times New Roman" w:hAnsi="Times New Roman" w:cs="Times New Roman"/>
        </w:rPr>
        <w:tab/>
      </w:r>
    </w:p>
    <w:p w14:paraId="6F050B88" w14:textId="3AB32219" w:rsidR="004F2DD5" w:rsidRPr="006A0747" w:rsidRDefault="004F2DD5" w:rsidP="004F2DD5">
      <w:pPr>
        <w:rPr>
          <w:rFonts w:ascii="Times New Roman" w:hAnsi="Times New Roman" w:cs="Times New Roman"/>
        </w:rPr>
      </w:pPr>
    </w:p>
    <w:p w14:paraId="17B5E9DF" w14:textId="2F6938F4" w:rsidR="008D7F4E" w:rsidRPr="006A0747" w:rsidRDefault="00A4193B" w:rsidP="008D7F4E">
      <w:pPr>
        <w:rPr>
          <w:rFonts w:ascii="Times New Roman" w:hAnsi="Times New Roman" w:cs="Times New Roman"/>
        </w:rPr>
      </w:pPr>
      <w:r w:rsidRPr="006A0747">
        <w:rPr>
          <w:rFonts w:ascii="Times New Roman" w:hAnsi="Times New Roman" w:cs="Times New Roman"/>
          <w:noProof/>
        </w:rPr>
        <w:drawing>
          <wp:anchor distT="0" distB="0" distL="114300" distR="114300" simplePos="0" relativeHeight="251658258" behindDoc="0" locked="0" layoutInCell="1" allowOverlap="1" wp14:anchorId="6E0C0587" wp14:editId="7A5390A0">
            <wp:simplePos x="0" y="0"/>
            <wp:positionH relativeFrom="margin">
              <wp:posOffset>3943350</wp:posOffset>
            </wp:positionH>
            <wp:positionV relativeFrom="paragraph">
              <wp:posOffset>175260</wp:posOffset>
            </wp:positionV>
            <wp:extent cx="2000250" cy="901065"/>
            <wp:effectExtent l="0" t="0" r="0" b="0"/>
            <wp:wrapNone/>
            <wp:docPr id="764419336" name="Imagen 764419336"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Imagen que contiene Logotipo&#10;&#10;Descripción generada automáticamente"/>
                    <pic:cNvPicPr/>
                  </pic:nvPicPr>
                  <pic:blipFill rotWithShape="1">
                    <a:blip r:embed="rId12" cstate="print">
                      <a:extLst>
                        <a:ext uri="{28A0092B-C50C-407E-A947-70E740481C1C}">
                          <a14:useLocalDpi xmlns:a14="http://schemas.microsoft.com/office/drawing/2010/main" val="0"/>
                        </a:ext>
                      </a:extLst>
                    </a:blip>
                    <a:srcRect t="12641"/>
                    <a:stretch/>
                  </pic:blipFill>
                  <pic:spPr bwMode="auto">
                    <a:xfrm>
                      <a:off x="0" y="0"/>
                      <a:ext cx="2000250" cy="901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30BBF" w:rsidRPr="006A0747">
        <w:rPr>
          <w:rFonts w:ascii="Times New Roman" w:hAnsi="Times New Roman" w:cs="Times New Roman"/>
          <w:noProof/>
          <w:lang w:eastAsia="es-DO"/>
        </w:rPr>
        <mc:AlternateContent>
          <mc:Choice Requires="wpg">
            <w:drawing>
              <wp:anchor distT="0" distB="0" distL="114300" distR="114300" simplePos="0" relativeHeight="251658257" behindDoc="0" locked="0" layoutInCell="1" allowOverlap="1" wp14:anchorId="7F7330D2" wp14:editId="1AD51240">
                <wp:simplePos x="0" y="0"/>
                <wp:positionH relativeFrom="margin">
                  <wp:align>left</wp:align>
                </wp:positionH>
                <wp:positionV relativeFrom="paragraph">
                  <wp:posOffset>57150</wp:posOffset>
                </wp:positionV>
                <wp:extent cx="2267585" cy="1005840"/>
                <wp:effectExtent l="0" t="0" r="0" b="3810"/>
                <wp:wrapNone/>
                <wp:docPr id="11" name="Group 11"/>
                <wp:cNvGraphicFramePr/>
                <a:graphic xmlns:a="http://schemas.openxmlformats.org/drawingml/2006/main">
                  <a:graphicData uri="http://schemas.microsoft.com/office/word/2010/wordprocessingGroup">
                    <wpg:wgp>
                      <wpg:cNvGrpSpPr/>
                      <wpg:grpSpPr>
                        <a:xfrm>
                          <a:off x="0" y="0"/>
                          <a:ext cx="2267585" cy="1005840"/>
                          <a:chOff x="0" y="0"/>
                          <a:chExt cx="2267585" cy="1005840"/>
                        </a:xfrm>
                      </wpg:grpSpPr>
                      <wps:wsp>
                        <wps:cNvPr id="34" name="Text Box 34"/>
                        <wps:cNvSpPr txBox="1">
                          <a:spLocks/>
                        </wps:cNvSpPr>
                        <wps:spPr>
                          <a:xfrm>
                            <a:off x="0" y="600075"/>
                            <a:ext cx="2267585" cy="371475"/>
                          </a:xfrm>
                          <a:prstGeom prst="rect">
                            <a:avLst/>
                          </a:prstGeom>
                        </wps:spPr>
                        <wps:txbx>
                          <w:txbxContent>
                            <w:p w14:paraId="043402B9" w14:textId="77777777" w:rsidR="004F2DD5" w:rsidRPr="006A0747" w:rsidRDefault="004F2DD5" w:rsidP="004F2DD5">
                              <w:pPr>
                                <w:pStyle w:val="Sinespaciado"/>
                                <w:rPr>
                                  <w:rFonts w:ascii="Arial MT" w:hAnsi="Arial MT" w:cs="Arial MT"/>
                                  <w:color w:val="D5B788"/>
                                  <w:spacing w:val="23"/>
                                  <w:kern w:val="24"/>
                                  <w:sz w:val="15"/>
                                  <w:szCs w:val="15"/>
                                  <w:lang w:val="es-DO"/>
                                </w:rPr>
                              </w:pPr>
                              <w:r w:rsidRPr="006A0747">
                                <w:rPr>
                                  <w:rFonts w:ascii="Arial MT" w:hAnsi="Arial MT" w:cs="Arial MT"/>
                                  <w:color w:val="D5B788"/>
                                  <w:spacing w:val="23"/>
                                  <w:kern w:val="24"/>
                                  <w:sz w:val="15"/>
                                  <w:szCs w:val="15"/>
                                  <w:lang w:val="es-DO"/>
                                </w:rPr>
                                <w:t>GOBIERNO DE LA</w:t>
                              </w:r>
                            </w:p>
                            <w:p w14:paraId="5A591A2B" w14:textId="77777777" w:rsidR="004F2DD5" w:rsidRPr="006A0747" w:rsidRDefault="004F2DD5" w:rsidP="004F2DD5">
                              <w:pPr>
                                <w:spacing w:before="13"/>
                                <w:ind w:left="14"/>
                                <w:rPr>
                                  <w:rFonts w:ascii="Georgia" w:hAnsi="Georgia" w:cs="Georgia"/>
                                  <w:b/>
                                  <w:bCs/>
                                  <w:color w:val="D5B788"/>
                                  <w:spacing w:val="18"/>
                                  <w:kern w:val="24"/>
                                </w:rPr>
                              </w:pPr>
                              <w:r w:rsidRPr="006A0747">
                                <w:rPr>
                                  <w:rFonts w:ascii="Georgia" w:hAnsi="Georgia" w:cs="Georgia"/>
                                  <w:b/>
                                  <w:bCs/>
                                  <w:color w:val="D5B788"/>
                                  <w:spacing w:val="18"/>
                                  <w:kern w:val="24"/>
                                </w:rPr>
                                <w:t>REPÚBLICA</w:t>
                              </w:r>
                              <w:r w:rsidRPr="006A0747">
                                <w:rPr>
                                  <w:rFonts w:ascii="Georgia" w:hAnsi="Georgia" w:cs="Georgia"/>
                                  <w:b/>
                                  <w:bCs/>
                                  <w:color w:val="D5B788"/>
                                  <w:spacing w:val="29"/>
                                  <w:kern w:val="24"/>
                                </w:rPr>
                                <w:t xml:space="preserve"> </w:t>
                              </w:r>
                              <w:r w:rsidRPr="006A0747">
                                <w:rPr>
                                  <w:rFonts w:ascii="Georgia" w:hAnsi="Georgia" w:cs="Georgia"/>
                                  <w:b/>
                                  <w:bCs/>
                                  <w:color w:val="D5B788"/>
                                  <w:spacing w:val="20"/>
                                  <w:kern w:val="24"/>
                                </w:rPr>
                                <w:t>DOMINICANA</w:t>
                              </w:r>
                            </w:p>
                          </w:txbxContent>
                        </wps:txbx>
                        <wps:bodyPr vert="horz" wrap="square" lIns="0" tIns="15240" rIns="0" bIns="0" rtlCol="0">
                          <a:noAutofit/>
                        </wps:bodyPr>
                      </wps:wsp>
                      <wpg:grpSp>
                        <wpg:cNvPr id="10" name="Group 10"/>
                        <wpg:cNvGrpSpPr/>
                        <wpg:grpSpPr>
                          <a:xfrm>
                            <a:off x="0" y="0"/>
                            <a:ext cx="612775" cy="1005840"/>
                            <a:chOff x="0" y="0"/>
                            <a:chExt cx="612775" cy="1005840"/>
                          </a:xfrm>
                        </wpg:grpSpPr>
                        <wps:wsp>
                          <wps:cNvPr id="33" name="Freeform: Shape 33"/>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35" name="Picture 35" descr="Icon&#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anchor>
            </w:drawing>
          </mc:Choice>
          <mc:Fallback>
            <w:pict>
              <v:group w14:anchorId="7F7330D2" id="Group 11" o:spid="_x0000_s1029" style="position:absolute;margin-left:0;margin-top:4.5pt;width:178.55pt;height:79.2pt;z-index:251658257;mso-position-horizontal:left;mso-position-horizontal-relative:margin" coordsize="226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">
                <v:shape id="Text Box 34" o:spid="_x0000_s1030" type="#_x0000_t202" style="position:absolute;top:6000;width:226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" filled="f" stroked="f">
                  <v:textbox inset="0,1.2pt,0,0">
                    <w:txbxContent>
                      <w:p w14:paraId="043402B9" w14:textId="77777777" w:rsidR="004F2DD5" w:rsidRPr="006A0747" w:rsidRDefault="004F2DD5" w:rsidP="004F2DD5">
                        <w:pPr>
                          <w:pStyle w:val="NoSpacing"/>
                          <w:rPr>
                            <w:rFonts w:ascii="Arial MT" w:hAnsi="Arial MT" w:cs="Arial MT"/>
                            <w:color w:val="D5B788"/>
                            <w:spacing w:val="23"/>
                            <w:kern w:val="24"/>
                            <w:sz w:val="15"/>
                            <w:szCs w:val="15"/>
                            <w:lang w:val="es-DO"/>
                          </w:rPr>
                        </w:pPr>
                        <w:r w:rsidRPr="006A0747">
                          <w:rPr>
                            <w:rFonts w:ascii="Arial MT" w:hAnsi="Arial MT" w:cs="Arial MT"/>
                            <w:color w:val="D5B788"/>
                            <w:spacing w:val="23"/>
                            <w:kern w:val="24"/>
                            <w:sz w:val="15"/>
                            <w:szCs w:val="15"/>
                            <w:lang w:val="es-DO"/>
                          </w:rPr>
                          <w:t>GOBIERNO DE LA</w:t>
                        </w:r>
                      </w:p>
                      <w:p w14:paraId="5A591A2B" w14:textId="77777777" w:rsidR="004F2DD5" w:rsidRPr="006A0747" w:rsidRDefault="004F2DD5" w:rsidP="004F2DD5">
                        <w:pPr>
                          <w:spacing w:before="13"/>
                          <w:ind w:left="14"/>
                          <w:rPr>
                            <w:rFonts w:ascii="Georgia" w:hAnsi="Georgia" w:cs="Georgia"/>
                            <w:b/>
                            <w:bCs/>
                            <w:color w:val="D5B788"/>
                            <w:spacing w:val="18"/>
                            <w:kern w:val="24"/>
                          </w:rPr>
                        </w:pPr>
                        <w:r w:rsidRPr="006A0747">
                          <w:rPr>
                            <w:rFonts w:ascii="Georgia" w:hAnsi="Georgia" w:cs="Georgia"/>
                            <w:b/>
                            <w:bCs/>
                            <w:color w:val="D5B788"/>
                            <w:spacing w:val="18"/>
                            <w:kern w:val="24"/>
                          </w:rPr>
                          <w:t>REPÚBLICA</w:t>
                        </w:r>
                        <w:r w:rsidRPr="006A0747">
                          <w:rPr>
                            <w:rFonts w:ascii="Georgia" w:hAnsi="Georgia" w:cs="Georgia"/>
                            <w:b/>
                            <w:bCs/>
                            <w:color w:val="D5B788"/>
                            <w:spacing w:val="29"/>
                            <w:kern w:val="24"/>
                          </w:rPr>
                          <w:t xml:space="preserve"> </w:t>
                        </w:r>
                        <w:r w:rsidRPr="006A0747">
                          <w:rPr>
                            <w:rFonts w:ascii="Georgia" w:hAnsi="Georgia" w:cs="Georgia"/>
                            <w:b/>
                            <w:bCs/>
                            <w:color w:val="D5B788"/>
                            <w:spacing w:val="20"/>
                            <w:kern w:val="24"/>
                          </w:rPr>
                          <w:t>DOMINICANA</w:t>
                        </w:r>
                      </w:p>
                    </w:txbxContent>
                  </v:textbox>
                </v:shape>
                <v:group id="Group 10" o:spid="_x0000_s1031"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Shape 33" o:spid="_x0000_s1032"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" path="m512457,l,,,24256r512457,l512457,xe" fillcolor="#d5b78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33"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">
                    <v:imagedata r:id="rId14" o:title="Icon&#10;&#10;Description automatically generated"/>
                  </v:shape>
                </v:group>
                <w10:wrap anchorx="margin"/>
              </v:group>
            </w:pict>
          </mc:Fallback>
        </mc:AlternateContent>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r w:rsidR="008D7F4E" w:rsidRPr="006A0747">
        <w:rPr>
          <w:rFonts w:ascii="Times New Roman" w:hAnsi="Times New Roman" w:cs="Times New Roman"/>
        </w:rPr>
        <w:tab/>
      </w:r>
    </w:p>
    <w:p w14:paraId="38D9CF2E" w14:textId="128B3177" w:rsidR="008D7F4E" w:rsidRPr="006A0747" w:rsidRDefault="008D7F4E" w:rsidP="008D7F4E">
      <w:pPr>
        <w:rPr>
          <w:rFonts w:ascii="Times New Roman" w:hAnsi="Times New Roman" w:cs="Times New Roman"/>
        </w:rPr>
      </w:pPr>
    </w:p>
    <w:p w14:paraId="16EDE6EA" w14:textId="51136D97" w:rsidR="008D7F4E" w:rsidRPr="006A0747" w:rsidRDefault="008D7F4E" w:rsidP="008D7F4E">
      <w:pPr>
        <w:rPr>
          <w:rFonts w:ascii="Times New Roman" w:hAnsi="Times New Roman" w:cs="Times New Roman"/>
          <w:b/>
        </w:rPr>
      </w:pPr>
    </w:p>
    <w:p w14:paraId="3FC05242" w14:textId="77777777" w:rsidR="008D7F4E" w:rsidRPr="006A0747" w:rsidRDefault="008D7F4E" w:rsidP="008D7F4E">
      <w:pPr>
        <w:rPr>
          <w:rFonts w:ascii="Times New Roman" w:hAnsi="Times New Roman" w:cs="Times New Roman"/>
        </w:rPr>
      </w:pPr>
    </w:p>
    <w:p w14:paraId="52109915" w14:textId="77777777" w:rsidR="008D7F4E" w:rsidRPr="006A0747" w:rsidRDefault="008D7F4E" w:rsidP="008D7F4E">
      <w:pPr>
        <w:rPr>
          <w:rFonts w:ascii="Times New Roman" w:hAnsi="Times New Roman" w:cs="Times New Roman"/>
        </w:rPr>
      </w:pPr>
    </w:p>
    <w:p w14:paraId="61CD95E4" w14:textId="75608CA4" w:rsidR="008D7F4E" w:rsidRPr="006A0747" w:rsidRDefault="008D7F4E" w:rsidP="008D7F4E">
      <w:pPr>
        <w:rPr>
          <w:rFonts w:ascii="Times New Roman" w:hAnsi="Times New Roman" w:cs="Times New Roman"/>
        </w:rPr>
      </w:pPr>
    </w:p>
    <w:p w14:paraId="26FC2ECF" w14:textId="1304E68D" w:rsidR="008D7F4E" w:rsidRPr="006A0747" w:rsidRDefault="008D7F4E" w:rsidP="008D7F4E">
      <w:pPr>
        <w:rPr>
          <w:rFonts w:ascii="Times New Roman" w:hAnsi="Times New Roman" w:cs="Times New Roman"/>
        </w:rPr>
      </w:pPr>
    </w:p>
    <w:p w14:paraId="339C9304" w14:textId="532ECEA5" w:rsidR="008D7F4E" w:rsidRPr="006A0747" w:rsidRDefault="008D7F4E" w:rsidP="008D7F4E">
      <w:pPr>
        <w:rPr>
          <w:rFonts w:ascii="Times New Roman" w:hAnsi="Times New Roman" w:cs="Times New Roman"/>
        </w:rPr>
      </w:pPr>
    </w:p>
    <w:p w14:paraId="45BA7FA9" w14:textId="77777777" w:rsidR="0087772C" w:rsidRPr="006A0747" w:rsidRDefault="0087772C" w:rsidP="008D7F4E">
      <w:pPr>
        <w:rPr>
          <w:rFonts w:ascii="Times New Roman" w:hAnsi="Times New Roman" w:cs="Times New Roman"/>
        </w:rPr>
      </w:pPr>
    </w:p>
    <w:p w14:paraId="18C0D5CD" w14:textId="6B0129B8" w:rsidR="008D7F4E" w:rsidRPr="006A0747" w:rsidRDefault="008D7F4E" w:rsidP="008D7F4E">
      <w:pPr>
        <w:rPr>
          <w:rFonts w:ascii="Times New Roman" w:hAnsi="Times New Roman" w:cs="Times New Roman"/>
        </w:rPr>
      </w:pPr>
    </w:p>
    <w:p w14:paraId="38D6C8AE" w14:textId="626E8B34" w:rsidR="008D7F4E" w:rsidRPr="006A0747" w:rsidRDefault="008D7F4E" w:rsidP="008D7F4E">
      <w:pPr>
        <w:rPr>
          <w:rFonts w:ascii="Times New Roman" w:hAnsi="Times New Roman" w:cs="Times New Roman"/>
        </w:rPr>
      </w:pPr>
    </w:p>
    <w:p w14:paraId="22DD7F53" w14:textId="11B7CA22" w:rsidR="008D7F4E" w:rsidRPr="006A0747" w:rsidRDefault="008D7F4E" w:rsidP="008D7F4E">
      <w:pPr>
        <w:rPr>
          <w:rFonts w:ascii="Times New Roman" w:hAnsi="Times New Roman" w:cs="Times New Roman"/>
        </w:rPr>
      </w:pPr>
    </w:p>
    <w:p w14:paraId="266A4AE7" w14:textId="5784A2EE" w:rsidR="008D7F4E" w:rsidRPr="006A0747" w:rsidRDefault="008D7F4E" w:rsidP="008D7F4E">
      <w:pPr>
        <w:rPr>
          <w:rFonts w:ascii="Times New Roman" w:hAnsi="Times New Roman" w:cs="Times New Roman"/>
        </w:rPr>
      </w:pPr>
    </w:p>
    <w:p w14:paraId="4AD822C2" w14:textId="77777777" w:rsidR="00E579DF" w:rsidRPr="006A0747" w:rsidRDefault="00E579DF" w:rsidP="008D7F4E">
      <w:pPr>
        <w:rPr>
          <w:rFonts w:ascii="Times New Roman" w:hAnsi="Times New Roman" w:cs="Times New Roman"/>
        </w:rPr>
      </w:pPr>
    </w:p>
    <w:p w14:paraId="5FE7893F" w14:textId="77777777" w:rsidR="00E579DF" w:rsidRPr="006A0747" w:rsidRDefault="00E579DF" w:rsidP="008D7F4E">
      <w:pPr>
        <w:rPr>
          <w:rFonts w:ascii="Times New Roman" w:hAnsi="Times New Roman" w:cs="Times New Roman"/>
        </w:rPr>
      </w:pPr>
    </w:p>
    <w:p w14:paraId="35EDBB94" w14:textId="77777777" w:rsidR="00E579DF" w:rsidRPr="006A0747" w:rsidRDefault="00E579DF" w:rsidP="008D7F4E">
      <w:pPr>
        <w:rPr>
          <w:rFonts w:ascii="Times New Roman" w:hAnsi="Times New Roman" w:cs="Times New Roman"/>
        </w:rPr>
      </w:pPr>
    </w:p>
    <w:p w14:paraId="5A37720D" w14:textId="7A7E0045" w:rsidR="008D7F4E" w:rsidRPr="006A0747" w:rsidRDefault="008D7F4E" w:rsidP="008D7F4E">
      <w:pPr>
        <w:rPr>
          <w:rFonts w:ascii="Times New Roman" w:hAnsi="Times New Roman" w:cs="Times New Roman"/>
        </w:rPr>
      </w:pPr>
    </w:p>
    <w:p w14:paraId="1C1F404E" w14:textId="5EC34BFF" w:rsidR="008D7F4E" w:rsidRPr="006A0747" w:rsidRDefault="00B619B6" w:rsidP="008D7F4E">
      <w:pPr>
        <w:rPr>
          <w:rFonts w:ascii="Times New Roman" w:hAnsi="Times New Roman" w:cs="Times New Roman"/>
        </w:rPr>
      </w:pPr>
      <w:r w:rsidRPr="006A0747">
        <w:rPr>
          <w:rFonts w:ascii="Times New Roman" w:hAnsi="Times New Roman" w:cs="Times New Roman"/>
          <w:noProof/>
          <w:lang w:eastAsia="es-DO"/>
        </w:rPr>
        <mc:AlternateContent>
          <mc:Choice Requires="wps">
            <w:drawing>
              <wp:anchor distT="0" distB="0" distL="114300" distR="114300" simplePos="0" relativeHeight="251658249" behindDoc="0" locked="0" layoutInCell="1" allowOverlap="1" wp14:anchorId="4D0BD95E" wp14:editId="3C5D415A">
                <wp:simplePos x="0" y="0"/>
                <wp:positionH relativeFrom="column">
                  <wp:posOffset>513080</wp:posOffset>
                </wp:positionH>
                <wp:positionV relativeFrom="paragraph">
                  <wp:posOffset>169959</wp:posOffset>
                </wp:positionV>
                <wp:extent cx="5305425" cy="1047750"/>
                <wp:effectExtent l="0" t="0" r="0" b="0"/>
                <wp:wrapNone/>
                <wp:docPr id="23" name="object 4"/>
                <wp:cNvGraphicFramePr/>
                <a:graphic xmlns:a="http://schemas.openxmlformats.org/drawingml/2006/main">
                  <a:graphicData uri="http://schemas.microsoft.com/office/word/2010/wordprocessingShape">
                    <wps:wsp>
                      <wps:cNvSpPr txBox="1"/>
                      <wps:spPr>
                        <a:xfrm>
                          <a:off x="0" y="0"/>
                          <a:ext cx="5305425" cy="1047750"/>
                        </a:xfrm>
                        <a:prstGeom prst="rect">
                          <a:avLst/>
                        </a:prstGeom>
                      </wps:spPr>
                      <wps:txbx>
                        <w:txbxContent>
                          <w:p w14:paraId="2F488BCC" w14:textId="42CCB3A7" w:rsidR="00C64CEF" w:rsidRPr="006A0747" w:rsidRDefault="00B619B6" w:rsidP="00C64CEF">
                            <w:pPr>
                              <w:spacing w:after="0"/>
                              <w:jc w:val="center"/>
                              <w:rPr>
                                <w:rFonts w:ascii="Times New Roman" w:hAnsi="Times New Roman" w:cs="Times New Roman"/>
                                <w:b/>
                                <w:color w:val="D5B788"/>
                                <w:spacing w:val="60"/>
                                <w:kern w:val="24"/>
                                <w:sz w:val="56"/>
                                <w:szCs w:val="56"/>
                              </w:rPr>
                            </w:pPr>
                            <w:r w:rsidRPr="006A0747">
                              <w:rPr>
                                <w:rFonts w:ascii="Times New Roman" w:hAnsi="Times New Roman" w:cs="Times New Roman"/>
                                <w:b/>
                                <w:color w:val="D5B788"/>
                                <w:spacing w:val="60"/>
                                <w:kern w:val="24"/>
                                <w:sz w:val="56"/>
                                <w:szCs w:val="56"/>
                              </w:rPr>
                              <w:t>MEMORIA INSTITUCIONAL</w:t>
                            </w: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4D0BD95E" id="_x0000_s1034" type="#_x0000_t202" style="position:absolute;margin-left:40.4pt;margin-top:13.4pt;width:417.75pt;height:8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" filled="f" stroked="f">
                <v:textbox inset="0,1.35pt,0,0">
                  <w:txbxContent>
                    <w:p w14:paraId="2F488BCC" w14:textId="42CCB3A7" w:rsidR="00C64CEF" w:rsidRPr="006A0747" w:rsidRDefault="00B619B6" w:rsidP="00C64CEF">
                      <w:pPr>
                        <w:spacing w:after="0"/>
                        <w:jc w:val="center"/>
                        <w:rPr>
                          <w:rFonts w:ascii="Times New Roman" w:hAnsi="Times New Roman" w:cs="Times New Roman"/>
                          <w:b/>
                          <w:color w:val="D5B788"/>
                          <w:spacing w:val="60"/>
                          <w:kern w:val="24"/>
                          <w:sz w:val="56"/>
                          <w:szCs w:val="56"/>
                        </w:rPr>
                      </w:pPr>
                      <w:r w:rsidRPr="006A0747">
                        <w:rPr>
                          <w:rFonts w:ascii="Times New Roman" w:hAnsi="Times New Roman" w:cs="Times New Roman"/>
                          <w:b/>
                          <w:color w:val="D5B788"/>
                          <w:spacing w:val="60"/>
                          <w:kern w:val="24"/>
                          <w:sz w:val="56"/>
                          <w:szCs w:val="56"/>
                        </w:rPr>
                        <w:t>MEMORIA INSTITUCIONAL</w:t>
                      </w:r>
                    </w:p>
                  </w:txbxContent>
                </v:textbox>
              </v:shape>
            </w:pict>
          </mc:Fallback>
        </mc:AlternateContent>
      </w:r>
    </w:p>
    <w:p w14:paraId="75F2B32B" w14:textId="6B4F5D83" w:rsidR="008D7F4E" w:rsidRPr="006A0747" w:rsidRDefault="008D7F4E" w:rsidP="008D7F4E">
      <w:pPr>
        <w:rPr>
          <w:rFonts w:ascii="Times New Roman" w:hAnsi="Times New Roman" w:cs="Times New Roman"/>
          <w:b/>
        </w:rPr>
      </w:pPr>
    </w:p>
    <w:p w14:paraId="7AD079B8" w14:textId="6A76E097" w:rsidR="008D7F4E" w:rsidRPr="006A0747" w:rsidRDefault="008D7F4E" w:rsidP="008D7F4E">
      <w:pPr>
        <w:rPr>
          <w:rFonts w:ascii="Times New Roman" w:hAnsi="Times New Roman" w:cs="Times New Roman"/>
        </w:rPr>
      </w:pPr>
    </w:p>
    <w:p w14:paraId="2ADA86D9" w14:textId="7BFC7FAB" w:rsidR="008D7F4E" w:rsidRPr="006A0747" w:rsidRDefault="008D7F4E" w:rsidP="008D7F4E">
      <w:pPr>
        <w:rPr>
          <w:rFonts w:ascii="Times New Roman" w:hAnsi="Times New Roman" w:cs="Times New Roman"/>
          <w:b/>
        </w:rPr>
      </w:pPr>
    </w:p>
    <w:p w14:paraId="163CEF29" w14:textId="27C73E5A" w:rsidR="00E739F8" w:rsidRPr="006A0747" w:rsidRDefault="001E07B9" w:rsidP="008D7F4E">
      <w:pPr>
        <w:rPr>
          <w:rFonts w:ascii="Times New Roman" w:hAnsi="Times New Roman" w:cs="Times New Roman"/>
          <w:b/>
        </w:rPr>
      </w:pPr>
      <w:r w:rsidRPr="006A0747">
        <w:rPr>
          <w:rFonts w:ascii="Times New Roman" w:hAnsi="Times New Roman" w:cs="Times New Roman"/>
          <w:noProof/>
          <w:lang w:eastAsia="es-DO"/>
        </w:rPr>
        <mc:AlternateContent>
          <mc:Choice Requires="wps">
            <w:drawing>
              <wp:anchor distT="4294967295" distB="4294967295" distL="114300" distR="114300" simplePos="0" relativeHeight="251658248" behindDoc="0" locked="0" layoutInCell="1" allowOverlap="1" wp14:anchorId="4E0C23B7" wp14:editId="71CC0F87">
                <wp:simplePos x="0" y="0"/>
                <wp:positionH relativeFrom="margin">
                  <wp:posOffset>2868295</wp:posOffset>
                </wp:positionH>
                <wp:positionV relativeFrom="paragraph">
                  <wp:posOffset>164741</wp:posOffset>
                </wp:positionV>
                <wp:extent cx="463550" cy="0"/>
                <wp:effectExtent l="0" t="19050" r="317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3772DCA" id="Straight Connector 22" o:spid="_x0000_s1026" style="position:absolute;z-index:2516582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25.85pt,12.95pt" to="262.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" strokecolor="#c8b688" strokeweight="2.25pt">
                <v:stroke joinstyle="miter"/>
                <o:lock v:ext="edit" shapetype="f"/>
                <w10:wrap anchorx="margin"/>
              </v:line>
            </w:pict>
          </mc:Fallback>
        </mc:AlternateContent>
      </w:r>
    </w:p>
    <w:p w14:paraId="3A86A8D9" w14:textId="21AFD6B1" w:rsidR="00E739F8" w:rsidRPr="006A0747" w:rsidRDefault="00D171FD" w:rsidP="008D7F4E">
      <w:pPr>
        <w:rPr>
          <w:rFonts w:ascii="Times New Roman" w:hAnsi="Times New Roman" w:cs="Times New Roman"/>
          <w:b/>
        </w:rPr>
      </w:pPr>
      <w:r w:rsidRPr="006A0747">
        <w:rPr>
          <w:rFonts w:ascii="Times New Roman" w:hAnsi="Times New Roman" w:cs="Times New Roman"/>
          <w:noProof/>
          <w:lang w:eastAsia="es-DO"/>
        </w:rPr>
        <mc:AlternateContent>
          <mc:Choice Requires="wps">
            <w:drawing>
              <wp:anchor distT="0" distB="0" distL="114300" distR="114300" simplePos="0" relativeHeight="251658256" behindDoc="0" locked="0" layoutInCell="1" allowOverlap="1" wp14:anchorId="73EA730C" wp14:editId="0E41E4DC">
                <wp:simplePos x="0" y="0"/>
                <wp:positionH relativeFrom="column">
                  <wp:posOffset>2247254</wp:posOffset>
                </wp:positionH>
                <wp:positionV relativeFrom="paragraph">
                  <wp:posOffset>84606</wp:posOffset>
                </wp:positionV>
                <wp:extent cx="1782305" cy="534691"/>
                <wp:effectExtent l="0" t="0" r="0" b="0"/>
                <wp:wrapNone/>
                <wp:docPr id="24" name="object 5"/>
                <wp:cNvGraphicFramePr/>
                <a:graphic xmlns:a="http://schemas.openxmlformats.org/drawingml/2006/main">
                  <a:graphicData uri="http://schemas.microsoft.com/office/word/2010/wordprocessingShape">
                    <wps:wsp>
                      <wps:cNvSpPr txBox="1"/>
                      <wps:spPr>
                        <a:xfrm>
                          <a:off x="0" y="0"/>
                          <a:ext cx="1782305" cy="534691"/>
                        </a:xfrm>
                        <a:prstGeom prst="rect">
                          <a:avLst/>
                        </a:prstGeom>
                      </wps:spPr>
                      <wps:txbx>
                        <w:txbxContent>
                          <w:p w14:paraId="77B9E864" w14:textId="19BD301E" w:rsidR="00D171FD" w:rsidRPr="006A0747" w:rsidRDefault="00B619B6" w:rsidP="00D171FD">
                            <w:pPr>
                              <w:spacing w:before="20"/>
                              <w:ind w:left="14"/>
                              <w:jc w:val="center"/>
                              <w:rPr>
                                <w:rFonts w:ascii="Times New Roman" w:hAnsi="Times New Roman" w:cs="Times New Roman"/>
                                <w:b/>
                                <w:bCs/>
                                <w:color w:val="D5B788"/>
                                <w:spacing w:val="74"/>
                                <w:kern w:val="24"/>
                                <w:sz w:val="28"/>
                                <w:szCs w:val="28"/>
                              </w:rPr>
                            </w:pPr>
                            <w:r w:rsidRPr="006A0747">
                              <w:rPr>
                                <w:rFonts w:ascii="Times New Roman" w:hAnsi="Times New Roman" w:cs="Times New Roman"/>
                                <w:b/>
                                <w:bCs/>
                                <w:color w:val="D5B788"/>
                                <w:spacing w:val="68"/>
                                <w:kern w:val="24"/>
                                <w:sz w:val="28"/>
                                <w:szCs w:val="28"/>
                              </w:rPr>
                              <w:t xml:space="preserve">AÑO </w:t>
                            </w:r>
                            <w:r w:rsidR="00D171FD" w:rsidRPr="006A0747">
                              <w:rPr>
                                <w:rFonts w:ascii="Times New Roman" w:hAnsi="Times New Roman" w:cs="Times New Roman"/>
                                <w:b/>
                                <w:bCs/>
                                <w:color w:val="D5B788"/>
                                <w:spacing w:val="68"/>
                                <w:kern w:val="24"/>
                                <w:sz w:val="28"/>
                                <w:szCs w:val="28"/>
                              </w:rPr>
                              <w:t>2</w:t>
                            </w:r>
                            <w:r w:rsidR="00D171FD" w:rsidRPr="006A0747">
                              <w:rPr>
                                <w:rFonts w:ascii="Times New Roman" w:hAnsi="Times New Roman" w:cs="Times New Roman"/>
                                <w:b/>
                                <w:bCs/>
                                <w:color w:val="D5B788"/>
                                <w:spacing w:val="28"/>
                                <w:kern w:val="24"/>
                                <w:sz w:val="28"/>
                                <w:szCs w:val="28"/>
                              </w:rPr>
                              <w:t>0</w:t>
                            </w:r>
                            <w:r w:rsidR="00D171FD" w:rsidRPr="006A0747">
                              <w:rPr>
                                <w:rFonts w:ascii="Times New Roman" w:hAnsi="Times New Roman" w:cs="Times New Roman"/>
                                <w:b/>
                                <w:bCs/>
                                <w:color w:val="D5B788"/>
                                <w:spacing w:val="-23"/>
                                <w:kern w:val="24"/>
                                <w:sz w:val="28"/>
                                <w:szCs w:val="28"/>
                              </w:rPr>
                              <w:t xml:space="preserve"> </w:t>
                            </w:r>
                            <w:r w:rsidR="00D171FD" w:rsidRPr="006A0747">
                              <w:rPr>
                                <w:rFonts w:ascii="Times New Roman" w:hAnsi="Times New Roman" w:cs="Times New Roman"/>
                                <w:b/>
                                <w:bCs/>
                                <w:color w:val="D5B788"/>
                                <w:spacing w:val="68"/>
                                <w:kern w:val="24"/>
                                <w:sz w:val="28"/>
                                <w:szCs w:val="28"/>
                              </w:rPr>
                              <w:t>24</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73EA730C" id="_x0000_s1035" type="#_x0000_t202" style="position:absolute;margin-left:176.95pt;margin-top:6.65pt;width:140.35pt;height:42.1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" filled="f" stroked="f">
                <v:textbox inset="0,1pt,0,0">
                  <w:txbxContent>
                    <w:p w14:paraId="77B9E864" w14:textId="19BD301E" w:rsidR="00D171FD" w:rsidRPr="006A0747" w:rsidRDefault="00B619B6" w:rsidP="00D171FD">
                      <w:pPr>
                        <w:spacing w:before="20"/>
                        <w:ind w:left="14"/>
                        <w:jc w:val="center"/>
                        <w:rPr>
                          <w:rFonts w:ascii="Times New Roman" w:hAnsi="Times New Roman" w:cs="Times New Roman"/>
                          <w:b/>
                          <w:bCs/>
                          <w:color w:val="D5B788"/>
                          <w:spacing w:val="74"/>
                          <w:kern w:val="24"/>
                          <w:sz w:val="28"/>
                          <w:szCs w:val="28"/>
                        </w:rPr>
                      </w:pPr>
                      <w:r w:rsidRPr="006A0747">
                        <w:rPr>
                          <w:rFonts w:ascii="Times New Roman" w:hAnsi="Times New Roman" w:cs="Times New Roman"/>
                          <w:b/>
                          <w:bCs/>
                          <w:color w:val="D5B788"/>
                          <w:spacing w:val="68"/>
                          <w:kern w:val="24"/>
                          <w:sz w:val="28"/>
                          <w:szCs w:val="28"/>
                        </w:rPr>
                        <w:t xml:space="preserve">AÑO </w:t>
                      </w:r>
                      <w:r w:rsidR="00D171FD" w:rsidRPr="006A0747">
                        <w:rPr>
                          <w:rFonts w:ascii="Times New Roman" w:hAnsi="Times New Roman" w:cs="Times New Roman"/>
                          <w:b/>
                          <w:bCs/>
                          <w:color w:val="D5B788"/>
                          <w:spacing w:val="68"/>
                          <w:kern w:val="24"/>
                          <w:sz w:val="28"/>
                          <w:szCs w:val="28"/>
                        </w:rPr>
                        <w:t>2</w:t>
                      </w:r>
                      <w:r w:rsidR="00D171FD" w:rsidRPr="006A0747">
                        <w:rPr>
                          <w:rFonts w:ascii="Times New Roman" w:hAnsi="Times New Roman" w:cs="Times New Roman"/>
                          <w:b/>
                          <w:bCs/>
                          <w:color w:val="D5B788"/>
                          <w:spacing w:val="28"/>
                          <w:kern w:val="24"/>
                          <w:sz w:val="28"/>
                          <w:szCs w:val="28"/>
                        </w:rPr>
                        <w:t>0</w:t>
                      </w:r>
                      <w:r w:rsidR="00D171FD" w:rsidRPr="006A0747">
                        <w:rPr>
                          <w:rFonts w:ascii="Times New Roman" w:hAnsi="Times New Roman" w:cs="Times New Roman"/>
                          <w:b/>
                          <w:bCs/>
                          <w:color w:val="D5B788"/>
                          <w:spacing w:val="-23"/>
                          <w:kern w:val="24"/>
                          <w:sz w:val="28"/>
                          <w:szCs w:val="28"/>
                        </w:rPr>
                        <w:t xml:space="preserve"> </w:t>
                      </w:r>
                      <w:r w:rsidR="00D171FD" w:rsidRPr="006A0747">
                        <w:rPr>
                          <w:rFonts w:ascii="Times New Roman" w:hAnsi="Times New Roman" w:cs="Times New Roman"/>
                          <w:b/>
                          <w:bCs/>
                          <w:color w:val="D5B788"/>
                          <w:spacing w:val="68"/>
                          <w:kern w:val="24"/>
                          <w:sz w:val="28"/>
                          <w:szCs w:val="28"/>
                        </w:rPr>
                        <w:t>24</w:t>
                      </w:r>
                    </w:p>
                  </w:txbxContent>
                </v:textbox>
              </v:shape>
            </w:pict>
          </mc:Fallback>
        </mc:AlternateContent>
      </w:r>
    </w:p>
    <w:p w14:paraId="1C74082E" w14:textId="28C0782E" w:rsidR="008D7F4E" w:rsidRPr="006A0747" w:rsidRDefault="008D7F4E" w:rsidP="008D7F4E">
      <w:pPr>
        <w:tabs>
          <w:tab w:val="left" w:pos="5229"/>
        </w:tabs>
        <w:rPr>
          <w:rFonts w:ascii="Times New Roman" w:hAnsi="Times New Roman" w:cs="Times New Roman"/>
        </w:rPr>
      </w:pPr>
      <w:r w:rsidRPr="006A0747">
        <w:rPr>
          <w:rFonts w:ascii="Times New Roman" w:hAnsi="Times New Roman" w:cs="Times New Roman"/>
        </w:rPr>
        <w:tab/>
      </w:r>
      <w:r w:rsidRPr="006A0747">
        <w:rPr>
          <w:rFonts w:ascii="Times New Roman" w:hAnsi="Times New Roman" w:cs="Times New Roman"/>
        </w:rPr>
        <w:tab/>
      </w:r>
      <w:r w:rsidRPr="006A0747">
        <w:rPr>
          <w:rFonts w:ascii="Times New Roman" w:hAnsi="Times New Roman" w:cs="Times New Roman"/>
        </w:rPr>
        <w:tab/>
      </w:r>
    </w:p>
    <w:p w14:paraId="2A6A7BEB" w14:textId="35E3FF32" w:rsidR="008D7F4E" w:rsidRPr="006A0747" w:rsidRDefault="008D7F4E" w:rsidP="008D7F4E">
      <w:pPr>
        <w:tabs>
          <w:tab w:val="left" w:pos="5229"/>
        </w:tabs>
        <w:rPr>
          <w:rFonts w:ascii="Times New Roman" w:hAnsi="Times New Roman" w:cs="Times New Roman"/>
        </w:rPr>
      </w:pPr>
    </w:p>
    <w:p w14:paraId="5220AA7B" w14:textId="7F7316F4" w:rsidR="008D7F4E" w:rsidRPr="006A0747" w:rsidRDefault="008D7F4E" w:rsidP="008D7F4E">
      <w:pPr>
        <w:tabs>
          <w:tab w:val="left" w:pos="5229"/>
        </w:tabs>
        <w:rPr>
          <w:rFonts w:ascii="Times New Roman" w:hAnsi="Times New Roman" w:cs="Times New Roman"/>
        </w:rPr>
      </w:pPr>
    </w:p>
    <w:p w14:paraId="04CE79E8" w14:textId="77777777" w:rsidR="00B45B38" w:rsidRPr="006A0747" w:rsidRDefault="00B45B38" w:rsidP="008D7F4E">
      <w:pPr>
        <w:tabs>
          <w:tab w:val="left" w:pos="5229"/>
        </w:tabs>
        <w:rPr>
          <w:rFonts w:ascii="Times New Roman" w:hAnsi="Times New Roman" w:cs="Times New Roman"/>
        </w:rPr>
      </w:pPr>
    </w:p>
    <w:p w14:paraId="59F2CBAA" w14:textId="324B693A" w:rsidR="00B45B38" w:rsidRPr="006A0747" w:rsidRDefault="00B45B38" w:rsidP="00B45B38">
      <w:pPr>
        <w:tabs>
          <w:tab w:val="left" w:pos="5229"/>
        </w:tabs>
        <w:jc w:val="center"/>
        <w:rPr>
          <w:rFonts w:ascii="Times New Roman" w:hAnsi="Times New Roman" w:cs="Times New Roman"/>
        </w:rPr>
      </w:pPr>
    </w:p>
    <w:p w14:paraId="6B439D31" w14:textId="36F6EB43" w:rsidR="00B45B38" w:rsidRPr="006A0747" w:rsidRDefault="00B45B38" w:rsidP="008D7F4E">
      <w:pPr>
        <w:tabs>
          <w:tab w:val="left" w:pos="5229"/>
        </w:tabs>
        <w:rPr>
          <w:rFonts w:ascii="Times New Roman" w:hAnsi="Times New Roman" w:cs="Times New Roman"/>
        </w:rPr>
      </w:pPr>
    </w:p>
    <w:p w14:paraId="4A390ECB" w14:textId="39AC2848" w:rsidR="008D7F4E" w:rsidRPr="006A0747" w:rsidRDefault="00E579DF" w:rsidP="008D7F4E">
      <w:pPr>
        <w:tabs>
          <w:tab w:val="left" w:pos="5229"/>
        </w:tabs>
        <w:rPr>
          <w:rFonts w:ascii="Times New Roman" w:hAnsi="Times New Roman" w:cs="Times New Roman"/>
        </w:rPr>
      </w:pPr>
      <w:r w:rsidRPr="006A0747">
        <w:rPr>
          <w:rFonts w:ascii="Times New Roman" w:hAnsi="Times New Roman" w:cs="Times New Roman"/>
          <w:noProof/>
          <w:lang w:eastAsia="es-DO"/>
        </w:rPr>
        <mc:AlternateContent>
          <mc:Choice Requires="wpg">
            <w:drawing>
              <wp:anchor distT="0" distB="0" distL="114300" distR="114300" simplePos="0" relativeHeight="251658260" behindDoc="0" locked="0" layoutInCell="1" allowOverlap="1" wp14:anchorId="4727C32C" wp14:editId="34001EC5">
                <wp:simplePos x="0" y="0"/>
                <wp:positionH relativeFrom="margin">
                  <wp:posOffset>0</wp:posOffset>
                </wp:positionH>
                <wp:positionV relativeFrom="paragraph">
                  <wp:posOffset>233266</wp:posOffset>
                </wp:positionV>
                <wp:extent cx="2267585" cy="972820"/>
                <wp:effectExtent l="0" t="0" r="0" b="0"/>
                <wp:wrapNone/>
                <wp:docPr id="19" name="Group 19"/>
                <wp:cNvGraphicFramePr/>
                <a:graphic xmlns:a="http://schemas.openxmlformats.org/drawingml/2006/main">
                  <a:graphicData uri="http://schemas.microsoft.com/office/word/2010/wordprocessingGroup">
                    <wpg:wgp>
                      <wpg:cNvGrpSpPr/>
                      <wpg:grpSpPr>
                        <a:xfrm>
                          <a:off x="0" y="0"/>
                          <a:ext cx="2267585" cy="972820"/>
                          <a:chOff x="0" y="0"/>
                          <a:chExt cx="2267585" cy="973054"/>
                        </a:xfrm>
                      </wpg:grpSpPr>
                      <wps:wsp>
                        <wps:cNvPr id="47" name="Text Box 47"/>
                        <wps:cNvSpPr txBox="1">
                          <a:spLocks/>
                        </wps:cNvSpPr>
                        <wps:spPr>
                          <a:xfrm>
                            <a:off x="0" y="601579"/>
                            <a:ext cx="2267585" cy="371475"/>
                          </a:xfrm>
                          <a:prstGeom prst="rect">
                            <a:avLst/>
                          </a:prstGeom>
                        </wps:spPr>
                        <wps:txbx>
                          <w:txbxContent>
                            <w:p w14:paraId="048A91A1" w14:textId="77777777" w:rsidR="00BB7662" w:rsidRPr="006A0747" w:rsidRDefault="00BB7662" w:rsidP="00BB7662">
                              <w:pPr>
                                <w:pStyle w:val="Sinespaciado"/>
                                <w:rPr>
                                  <w:rFonts w:ascii="Arial MT" w:hAnsi="Arial MT" w:cs="Arial MT"/>
                                  <w:color w:val="D5B788"/>
                                  <w:spacing w:val="23"/>
                                  <w:kern w:val="24"/>
                                  <w:sz w:val="15"/>
                                  <w:szCs w:val="15"/>
                                  <w:lang w:val="es-DO"/>
                                </w:rPr>
                              </w:pPr>
                              <w:r w:rsidRPr="006A0747">
                                <w:rPr>
                                  <w:rFonts w:ascii="Arial MT" w:hAnsi="Arial MT" w:cs="Arial MT"/>
                                  <w:color w:val="D5B788"/>
                                  <w:spacing w:val="23"/>
                                  <w:kern w:val="24"/>
                                  <w:sz w:val="15"/>
                                  <w:szCs w:val="15"/>
                                  <w:lang w:val="es-DO"/>
                                </w:rPr>
                                <w:t>GOBIERNO DE LA</w:t>
                              </w:r>
                            </w:p>
                            <w:p w14:paraId="5301737A" w14:textId="77777777" w:rsidR="00BB7662" w:rsidRPr="006A0747" w:rsidRDefault="00BB7662" w:rsidP="00BB7662">
                              <w:pPr>
                                <w:spacing w:before="13"/>
                                <w:ind w:left="14"/>
                                <w:rPr>
                                  <w:rFonts w:ascii="Georgia" w:hAnsi="Georgia" w:cs="Georgia"/>
                                  <w:b/>
                                  <w:bCs/>
                                  <w:color w:val="D5B788"/>
                                  <w:spacing w:val="18"/>
                                  <w:kern w:val="24"/>
                                </w:rPr>
                              </w:pPr>
                              <w:r w:rsidRPr="006A0747">
                                <w:rPr>
                                  <w:rFonts w:ascii="Georgia" w:hAnsi="Georgia" w:cs="Georgia"/>
                                  <w:b/>
                                  <w:bCs/>
                                  <w:color w:val="D5B788"/>
                                  <w:spacing w:val="18"/>
                                  <w:kern w:val="24"/>
                                </w:rPr>
                                <w:t>REPÚBLICA</w:t>
                              </w:r>
                              <w:r w:rsidRPr="006A0747">
                                <w:rPr>
                                  <w:rFonts w:ascii="Georgia" w:hAnsi="Georgia" w:cs="Georgia"/>
                                  <w:b/>
                                  <w:bCs/>
                                  <w:color w:val="D5B788"/>
                                  <w:spacing w:val="29"/>
                                  <w:kern w:val="24"/>
                                </w:rPr>
                                <w:t xml:space="preserve"> </w:t>
                              </w:r>
                              <w:r w:rsidRPr="006A0747">
                                <w:rPr>
                                  <w:rFonts w:ascii="Georgia" w:hAnsi="Georgia" w:cs="Georgia"/>
                                  <w:b/>
                                  <w:bCs/>
                                  <w:color w:val="D5B788"/>
                                  <w:spacing w:val="20"/>
                                  <w:kern w:val="24"/>
                                </w:rPr>
                                <w:t>DOMINICANA</w:t>
                              </w:r>
                            </w:p>
                          </w:txbxContent>
                        </wps:txbx>
                        <wps:bodyPr vert="horz" wrap="square" lIns="0" tIns="15240" rIns="0" bIns="0" rtlCol="0">
                          <a:noAutofit/>
                        </wps:bodyPr>
                      </wps:wsp>
                      <pic:pic xmlns:pic="http://schemas.openxmlformats.org/drawingml/2006/picture">
                        <pic:nvPicPr>
                          <pic:cNvPr id="49" name="Picture 49" descr="Icon&#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wgp>
                  </a:graphicData>
                </a:graphic>
              </wp:anchor>
            </w:drawing>
          </mc:Choice>
          <mc:Fallback>
            <w:pict>
              <v:group w14:anchorId="4727C32C" id="Group 19" o:spid="_x0000_s1036" style="position:absolute;margin-left:0;margin-top:18.35pt;width:178.55pt;height:76.6pt;z-index:251658260;mso-position-horizontal-relative:margin" coordsize="22675,97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">
                <v:shape id="Text Box 47" o:spid="_x0000_s1037" type="#_x0000_t202" style="position:absolute;top:6015;width:226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" filled="f" stroked="f">
                  <v:textbox inset="0,1.2pt,0,0">
                    <w:txbxContent>
                      <w:p w14:paraId="048A91A1" w14:textId="77777777" w:rsidR="00BB7662" w:rsidRPr="006A0747" w:rsidRDefault="00BB7662" w:rsidP="00BB7662">
                        <w:pPr>
                          <w:pStyle w:val="NoSpacing"/>
                          <w:rPr>
                            <w:rFonts w:ascii="Arial MT" w:hAnsi="Arial MT" w:cs="Arial MT"/>
                            <w:color w:val="D5B788"/>
                            <w:spacing w:val="23"/>
                            <w:kern w:val="24"/>
                            <w:sz w:val="15"/>
                            <w:szCs w:val="15"/>
                            <w:lang w:val="es-DO"/>
                          </w:rPr>
                        </w:pPr>
                        <w:r w:rsidRPr="006A0747">
                          <w:rPr>
                            <w:rFonts w:ascii="Arial MT" w:hAnsi="Arial MT" w:cs="Arial MT"/>
                            <w:color w:val="D5B788"/>
                            <w:spacing w:val="23"/>
                            <w:kern w:val="24"/>
                            <w:sz w:val="15"/>
                            <w:szCs w:val="15"/>
                            <w:lang w:val="es-DO"/>
                          </w:rPr>
                          <w:t>GOBIERNO DE LA</w:t>
                        </w:r>
                      </w:p>
                      <w:p w14:paraId="5301737A" w14:textId="77777777" w:rsidR="00BB7662" w:rsidRPr="006A0747" w:rsidRDefault="00BB7662" w:rsidP="00BB7662">
                        <w:pPr>
                          <w:spacing w:before="13"/>
                          <w:ind w:left="14"/>
                          <w:rPr>
                            <w:rFonts w:ascii="Georgia" w:hAnsi="Georgia" w:cs="Georgia"/>
                            <w:b/>
                            <w:bCs/>
                            <w:color w:val="D5B788"/>
                            <w:spacing w:val="18"/>
                            <w:kern w:val="24"/>
                          </w:rPr>
                        </w:pPr>
                        <w:r w:rsidRPr="006A0747">
                          <w:rPr>
                            <w:rFonts w:ascii="Georgia" w:hAnsi="Georgia" w:cs="Georgia"/>
                            <w:b/>
                            <w:bCs/>
                            <w:color w:val="D5B788"/>
                            <w:spacing w:val="18"/>
                            <w:kern w:val="24"/>
                          </w:rPr>
                          <w:t>REPÚBLICA</w:t>
                        </w:r>
                        <w:r w:rsidRPr="006A0747">
                          <w:rPr>
                            <w:rFonts w:ascii="Georgia" w:hAnsi="Georgia" w:cs="Georgia"/>
                            <w:b/>
                            <w:bCs/>
                            <w:color w:val="D5B788"/>
                            <w:spacing w:val="29"/>
                            <w:kern w:val="24"/>
                          </w:rPr>
                          <w:t xml:space="preserve"> </w:t>
                        </w:r>
                        <w:r w:rsidRPr="006A0747">
                          <w:rPr>
                            <w:rFonts w:ascii="Georgia" w:hAnsi="Georgia" w:cs="Georgia"/>
                            <w:b/>
                            <w:bCs/>
                            <w:color w:val="D5B788"/>
                            <w:spacing w:val="20"/>
                            <w:kern w:val="24"/>
                          </w:rPr>
                          <w:t>DOMINICANA</w:t>
                        </w:r>
                      </w:p>
                    </w:txbxContent>
                  </v:textbox>
                </v:shape>
                <v:shape id="Picture 49" o:spid="_x0000_s1038"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">
                  <v:imagedata r:id="rId14" o:title="Icon&#10;&#10;Description automatically generated"/>
                </v:shape>
                <w10:wrap anchorx="margin"/>
              </v:group>
            </w:pict>
          </mc:Fallback>
        </mc:AlternateContent>
      </w:r>
    </w:p>
    <w:p w14:paraId="09F960FC" w14:textId="54E1CF1C" w:rsidR="008D7F4E" w:rsidRPr="006A0747" w:rsidRDefault="00A4193B" w:rsidP="008D7F4E">
      <w:pPr>
        <w:tabs>
          <w:tab w:val="left" w:pos="5229"/>
        </w:tabs>
        <w:rPr>
          <w:rFonts w:ascii="Times New Roman" w:hAnsi="Times New Roman" w:cs="Times New Roman"/>
        </w:rPr>
      </w:pPr>
      <w:r w:rsidRPr="006A0747">
        <w:rPr>
          <w:rFonts w:ascii="Times New Roman" w:hAnsi="Times New Roman" w:cs="Times New Roman"/>
          <w:noProof/>
        </w:rPr>
        <w:drawing>
          <wp:anchor distT="0" distB="0" distL="114300" distR="114300" simplePos="0" relativeHeight="251658259" behindDoc="0" locked="0" layoutInCell="1" allowOverlap="1" wp14:anchorId="05FF93E9" wp14:editId="7D3FC016">
            <wp:simplePos x="0" y="0"/>
            <wp:positionH relativeFrom="margin">
              <wp:posOffset>3943350</wp:posOffset>
            </wp:positionH>
            <wp:positionV relativeFrom="paragraph">
              <wp:posOffset>75151</wp:posOffset>
            </wp:positionV>
            <wp:extent cx="2000250" cy="901065"/>
            <wp:effectExtent l="0" t="0" r="0" b="0"/>
            <wp:wrapNone/>
            <wp:docPr id="426318237" name="Imagen 426318237"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Imagen que contiene Logotipo&#10;&#10;Descripción generada automáticamente"/>
                    <pic:cNvPicPr/>
                  </pic:nvPicPr>
                  <pic:blipFill rotWithShape="1">
                    <a:blip r:embed="rId12" cstate="print">
                      <a:extLst>
                        <a:ext uri="{28A0092B-C50C-407E-A947-70E740481C1C}">
                          <a14:useLocalDpi xmlns:a14="http://schemas.microsoft.com/office/drawing/2010/main" val="0"/>
                        </a:ext>
                      </a:extLst>
                    </a:blip>
                    <a:srcRect t="12641"/>
                    <a:stretch/>
                  </pic:blipFill>
                  <pic:spPr bwMode="auto">
                    <a:xfrm>
                      <a:off x="0" y="0"/>
                      <a:ext cx="2000250" cy="901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955679" w14:textId="4BADA943" w:rsidR="00E80BF2" w:rsidRPr="006A0747" w:rsidRDefault="00E80BF2" w:rsidP="0034224F">
      <w:pPr>
        <w:tabs>
          <w:tab w:val="left" w:pos="5913"/>
        </w:tabs>
        <w:rPr>
          <w:rFonts w:ascii="Times New Roman" w:hAnsi="Times New Roman" w:cs="Times New Roman"/>
        </w:rPr>
      </w:pPr>
    </w:p>
    <w:p w14:paraId="64AE30BF" w14:textId="0047E600" w:rsidR="00E80BF2" w:rsidRPr="006A0747" w:rsidRDefault="00E80BF2">
      <w:pPr>
        <w:rPr>
          <w:rFonts w:ascii="Times New Roman" w:hAnsi="Times New Roman" w:cs="Times New Roman"/>
        </w:rPr>
      </w:pPr>
    </w:p>
    <w:p w14:paraId="158B666A" w14:textId="614F4046" w:rsidR="3E1D420C" w:rsidRPr="006A0747" w:rsidRDefault="00E579DF">
      <w:pPr>
        <w:rPr>
          <w:rFonts w:ascii="Times New Roman" w:hAnsi="Times New Roman" w:cs="Times New Roman"/>
        </w:rPr>
      </w:pPr>
      <w:r w:rsidRPr="006A0747">
        <w:rPr>
          <w:rFonts w:ascii="Times New Roman" w:hAnsi="Times New Roman" w:cs="Times New Roman"/>
          <w:noProof/>
          <w:lang w:eastAsia="es-DO"/>
        </w:rPr>
        <mc:AlternateContent>
          <mc:Choice Requires="wps">
            <w:drawing>
              <wp:anchor distT="0" distB="0" distL="114300" distR="114300" simplePos="0" relativeHeight="251658246" behindDoc="0" locked="0" layoutInCell="1" allowOverlap="1" wp14:anchorId="5EF24404" wp14:editId="63E6D087">
                <wp:simplePos x="0" y="0"/>
                <wp:positionH relativeFrom="margin">
                  <wp:posOffset>0</wp:posOffset>
                </wp:positionH>
                <wp:positionV relativeFrom="paragraph">
                  <wp:posOffset>111539</wp:posOffset>
                </wp:positionV>
                <wp:extent cx="513080" cy="24765"/>
                <wp:effectExtent l="0" t="0" r="0" b="0"/>
                <wp:wrapNone/>
                <wp:docPr id="51" name="Freeform: 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BF5585C" id="Freeform: Shape 51" o:spid="_x0000_s1026" style="position:absolute;margin-left:0;margin-top:8.8pt;width:40.4pt;height:1.9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51308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" path="m512457,l,,,24256r512457,l512457,xe" fillcolor="#d5b788" stroked="f">
                <v:path arrowok="t"/>
                <w10:wrap anchorx="margin"/>
              </v:shape>
            </w:pict>
          </mc:Fallback>
        </mc:AlternateContent>
      </w:r>
      <w:r w:rsidR="3E1D420C" w:rsidRPr="006A0747">
        <w:rPr>
          <w:rFonts w:ascii="Times New Roman" w:hAnsi="Times New Roman" w:cs="Times New Roman"/>
        </w:rPr>
        <w:br w:type="page"/>
      </w:r>
    </w:p>
    <w:p w14:paraId="31E2FE32" w14:textId="2317FF3C" w:rsidR="00545797" w:rsidRPr="006A0747" w:rsidRDefault="00545797" w:rsidP="00545797">
      <w:pPr>
        <w:jc w:val="center"/>
        <w:rPr>
          <w:rFonts w:ascii="Times New Roman" w:hAnsi="Times New Roman" w:cs="Times New Roman"/>
          <w:b/>
          <w:color w:val="767171"/>
          <w:spacing w:val="20"/>
          <w:sz w:val="28"/>
        </w:rPr>
      </w:pPr>
      <w:bookmarkStart w:id="1" w:name="_Hlk164245052"/>
      <w:r w:rsidRPr="006A0747">
        <w:rPr>
          <w:rFonts w:ascii="Times New Roman" w:hAnsi="Times New Roman" w:cs="Times New Roman"/>
          <w:b/>
          <w:color w:val="767171"/>
          <w:spacing w:val="20"/>
          <w:sz w:val="28"/>
        </w:rPr>
        <w:lastRenderedPageBreak/>
        <w:t>TABLA DE CONTENIDOS</w:t>
      </w:r>
    </w:p>
    <w:p w14:paraId="6C3E8713" w14:textId="043AA35F" w:rsidR="00545797" w:rsidRPr="006A0747" w:rsidRDefault="00545797" w:rsidP="00545797">
      <w:pPr>
        <w:rPr>
          <w:rFonts w:ascii="Times New Roman" w:hAnsi="Times New Roman" w:cs="Times New Roman"/>
          <w:color w:val="767171"/>
        </w:rPr>
      </w:pPr>
      <w:r w:rsidRPr="006A0747">
        <w:rPr>
          <w:rFonts w:ascii="Times New Roman" w:hAnsi="Times New Roman" w:cs="Times New Roman"/>
          <w:noProof/>
          <w:color w:val="767171"/>
          <w:lang w:eastAsia="es-DO"/>
        </w:rPr>
        <mc:AlternateContent>
          <mc:Choice Requires="wps">
            <w:drawing>
              <wp:anchor distT="0" distB="0" distL="114300" distR="114300" simplePos="0" relativeHeight="251658244" behindDoc="0" locked="0" layoutInCell="1" allowOverlap="1" wp14:anchorId="1E07F231" wp14:editId="1CF4A30A">
                <wp:simplePos x="0" y="0"/>
                <wp:positionH relativeFrom="margin">
                  <wp:posOffset>2743835</wp:posOffset>
                </wp:positionH>
                <wp:positionV relativeFrom="paragraph">
                  <wp:posOffset>87127</wp:posOffset>
                </wp:positionV>
                <wp:extent cx="463550" cy="0"/>
                <wp:effectExtent l="22860" t="15875" r="18415" b="2222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4FFAEFD" id="Straight Connector 18" o:spid="_x0000_s1026" style="position:absolute;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6.05pt,6.85pt" to="252.5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" strokecolor="#ee2a24" strokeweight="2.25pt">
                <v:stroke joinstyle="miter"/>
                <w10:wrap anchorx="margin"/>
              </v:line>
            </w:pict>
          </mc:Fallback>
        </mc:AlternateContent>
      </w:r>
    </w:p>
    <w:p w14:paraId="31BE4ADD" w14:textId="4EAB751E" w:rsidR="0044103D" w:rsidRPr="006A0747" w:rsidRDefault="00374CF4" w:rsidP="00D171FD">
      <w:pPr>
        <w:spacing w:after="0"/>
        <w:jc w:val="center"/>
        <w:rPr>
          <w:rFonts w:ascii="Times New Roman" w:hAnsi="Times New Roman" w:cs="Times New Roman"/>
          <w:color w:val="767171"/>
          <w:spacing w:val="20"/>
          <w:sz w:val="24"/>
          <w:szCs w:val="24"/>
        </w:rPr>
      </w:pPr>
      <w:r w:rsidRPr="006A0747">
        <w:rPr>
          <w:rFonts w:ascii="Times New Roman" w:hAnsi="Times New Roman" w:cs="Times New Roman"/>
          <w:color w:val="767171"/>
          <w:spacing w:val="20"/>
          <w:sz w:val="24"/>
          <w:szCs w:val="24"/>
        </w:rPr>
        <w:t>Memoria Institucional 2024</w:t>
      </w:r>
    </w:p>
    <w:p w14:paraId="0A66CF8E" w14:textId="77777777" w:rsidR="00F147C5" w:rsidRPr="006A0747" w:rsidRDefault="00F147C5" w:rsidP="00D171FD">
      <w:pPr>
        <w:spacing w:after="0"/>
        <w:jc w:val="center"/>
        <w:rPr>
          <w:rFonts w:ascii="Times New Roman" w:hAnsi="Times New Roman" w:cs="Times New Roman"/>
          <w:color w:val="2E74B5" w:themeColor="accent5" w:themeShade="BF"/>
          <w:spacing w:val="20"/>
          <w:sz w:val="24"/>
          <w:szCs w:val="24"/>
        </w:rPr>
      </w:pPr>
    </w:p>
    <w:sdt>
      <w:sdtPr>
        <w:rPr>
          <w:rFonts w:ascii="Times New Roman" w:eastAsiaTheme="minorEastAsia" w:hAnsi="Times New Roman" w:cs="Times New Roman"/>
          <w:color w:val="767171"/>
          <w:sz w:val="24"/>
          <w:szCs w:val="24"/>
        </w:rPr>
        <w:id w:val="965008165"/>
        <w:docPartObj>
          <w:docPartGallery w:val="Table of Contents"/>
          <w:docPartUnique/>
        </w:docPartObj>
      </w:sdtPr>
      <w:sdtEndPr>
        <w:rPr>
          <w:color w:val="767171" w:themeColor="background2" w:themeShade="80"/>
        </w:rPr>
      </w:sdtEndPr>
      <w:sdtContent>
        <w:p w14:paraId="3E1EE8A2" w14:textId="63196FFB" w:rsidR="00BC3E7B" w:rsidRPr="00BC3E7B" w:rsidRDefault="00D743AB">
          <w:pPr>
            <w:pStyle w:val="TDC1"/>
            <w:tabs>
              <w:tab w:val="left" w:pos="440"/>
              <w:tab w:val="right" w:leader="dot" w:pos="9350"/>
            </w:tabs>
            <w:rPr>
              <w:rFonts w:ascii="Times New Roman" w:eastAsiaTheme="minorEastAsia" w:hAnsi="Times New Roman" w:cs="Times New Roman"/>
              <w:noProof/>
              <w:color w:val="767171"/>
              <w:kern w:val="2"/>
              <w:sz w:val="24"/>
              <w:szCs w:val="24"/>
              <w:lang w:eastAsia="es-DO"/>
              <w14:ligatures w14:val="standardContextual"/>
            </w:rPr>
          </w:pPr>
          <w:r w:rsidRPr="00BC3E7B">
            <w:rPr>
              <w:rFonts w:ascii="Times New Roman" w:hAnsi="Times New Roman" w:cs="Times New Roman"/>
              <w:color w:val="767171"/>
              <w:sz w:val="24"/>
              <w:szCs w:val="24"/>
            </w:rPr>
            <w:fldChar w:fldCharType="begin"/>
          </w:r>
          <w:r w:rsidRPr="00BC3E7B">
            <w:rPr>
              <w:rFonts w:ascii="Times New Roman" w:hAnsi="Times New Roman" w:cs="Times New Roman"/>
              <w:color w:val="767171"/>
              <w:sz w:val="24"/>
              <w:szCs w:val="24"/>
            </w:rPr>
            <w:instrText xml:space="preserve"> TOC \o "1-3" \h \z \u </w:instrText>
          </w:r>
          <w:r w:rsidRPr="00BC3E7B">
            <w:rPr>
              <w:rFonts w:ascii="Times New Roman" w:hAnsi="Times New Roman" w:cs="Times New Roman"/>
              <w:color w:val="767171"/>
              <w:sz w:val="24"/>
              <w:szCs w:val="24"/>
            </w:rPr>
            <w:fldChar w:fldCharType="separate"/>
          </w:r>
          <w:hyperlink w:anchor="_Toc185274983" w:history="1">
            <w:r w:rsidR="00BC3E7B" w:rsidRPr="00BC3E7B">
              <w:rPr>
                <w:rStyle w:val="Hipervnculo"/>
                <w:rFonts w:ascii="Times New Roman" w:hAnsi="Times New Roman" w:cs="Times New Roman"/>
                <w:b/>
                <w:noProof/>
                <w:color w:val="767171"/>
                <w:sz w:val="24"/>
                <w:szCs w:val="24"/>
              </w:rPr>
              <w:t>I.</w:t>
            </w:r>
            <w:r w:rsidR="00BC3E7B" w:rsidRPr="00BC3E7B">
              <w:rPr>
                <w:rFonts w:ascii="Times New Roman" w:eastAsiaTheme="minorEastAsia" w:hAnsi="Times New Roman" w:cs="Times New Roman"/>
                <w:noProof/>
                <w:color w:val="767171"/>
                <w:kern w:val="2"/>
                <w:sz w:val="24"/>
                <w:szCs w:val="24"/>
                <w:lang w:eastAsia="es-DO"/>
                <w14:ligatures w14:val="standardContextual"/>
              </w:rPr>
              <w:tab/>
            </w:r>
            <w:r w:rsidR="00BC3E7B" w:rsidRPr="00BC3E7B">
              <w:rPr>
                <w:rStyle w:val="Hipervnculo"/>
                <w:rFonts w:ascii="Times New Roman" w:hAnsi="Times New Roman" w:cs="Times New Roman"/>
                <w:b/>
                <w:noProof/>
                <w:color w:val="767171"/>
                <w:sz w:val="24"/>
                <w:szCs w:val="24"/>
              </w:rPr>
              <w:t>RESUMEN EJECUTIVO</w:t>
            </w:r>
            <w:r w:rsidR="00BC3E7B" w:rsidRPr="00BC3E7B">
              <w:rPr>
                <w:rFonts w:ascii="Times New Roman" w:hAnsi="Times New Roman" w:cs="Times New Roman"/>
                <w:noProof/>
                <w:webHidden/>
                <w:color w:val="767171"/>
                <w:sz w:val="24"/>
                <w:szCs w:val="24"/>
              </w:rPr>
              <w:tab/>
            </w:r>
            <w:r w:rsidR="00BC3E7B" w:rsidRPr="00BC3E7B">
              <w:rPr>
                <w:rFonts w:ascii="Times New Roman" w:hAnsi="Times New Roman" w:cs="Times New Roman"/>
                <w:noProof/>
                <w:webHidden/>
                <w:color w:val="767171"/>
                <w:sz w:val="24"/>
                <w:szCs w:val="24"/>
              </w:rPr>
              <w:fldChar w:fldCharType="begin"/>
            </w:r>
            <w:r w:rsidR="00BC3E7B" w:rsidRPr="00BC3E7B">
              <w:rPr>
                <w:rFonts w:ascii="Times New Roman" w:hAnsi="Times New Roman" w:cs="Times New Roman"/>
                <w:noProof/>
                <w:webHidden/>
                <w:color w:val="767171"/>
                <w:sz w:val="24"/>
                <w:szCs w:val="24"/>
              </w:rPr>
              <w:instrText xml:space="preserve"> PAGEREF _Toc185274983 \h </w:instrText>
            </w:r>
            <w:r w:rsidR="00BC3E7B" w:rsidRPr="00BC3E7B">
              <w:rPr>
                <w:rFonts w:ascii="Times New Roman" w:hAnsi="Times New Roman" w:cs="Times New Roman"/>
                <w:noProof/>
                <w:webHidden/>
                <w:color w:val="767171"/>
                <w:sz w:val="24"/>
                <w:szCs w:val="24"/>
              </w:rPr>
            </w:r>
            <w:r w:rsidR="00BC3E7B" w:rsidRPr="00BC3E7B">
              <w:rPr>
                <w:rFonts w:ascii="Times New Roman" w:hAnsi="Times New Roman" w:cs="Times New Roman"/>
                <w:noProof/>
                <w:webHidden/>
                <w:color w:val="767171"/>
                <w:sz w:val="24"/>
                <w:szCs w:val="24"/>
              </w:rPr>
              <w:fldChar w:fldCharType="separate"/>
            </w:r>
            <w:r w:rsidR="00BC3E7B" w:rsidRPr="00BC3E7B">
              <w:rPr>
                <w:rFonts w:ascii="Times New Roman" w:hAnsi="Times New Roman" w:cs="Times New Roman"/>
                <w:noProof/>
                <w:webHidden/>
                <w:color w:val="767171"/>
                <w:sz w:val="24"/>
                <w:szCs w:val="24"/>
              </w:rPr>
              <w:t>1</w:t>
            </w:r>
            <w:r w:rsidR="00BC3E7B" w:rsidRPr="00BC3E7B">
              <w:rPr>
                <w:rFonts w:ascii="Times New Roman" w:hAnsi="Times New Roman" w:cs="Times New Roman"/>
                <w:noProof/>
                <w:webHidden/>
                <w:color w:val="767171"/>
                <w:sz w:val="24"/>
                <w:szCs w:val="24"/>
              </w:rPr>
              <w:fldChar w:fldCharType="end"/>
            </w:r>
          </w:hyperlink>
        </w:p>
        <w:p w14:paraId="42CF5882" w14:textId="4BDC3445" w:rsidR="00BC3E7B" w:rsidRPr="00BC3E7B" w:rsidRDefault="00BC3E7B">
          <w:pPr>
            <w:pStyle w:val="TDC1"/>
            <w:tabs>
              <w:tab w:val="left" w:pos="440"/>
              <w:tab w:val="right" w:leader="dot" w:pos="9350"/>
            </w:tabs>
            <w:rPr>
              <w:rFonts w:ascii="Times New Roman" w:eastAsiaTheme="minorEastAsia" w:hAnsi="Times New Roman" w:cs="Times New Roman"/>
              <w:noProof/>
              <w:color w:val="767171"/>
              <w:kern w:val="2"/>
              <w:sz w:val="24"/>
              <w:szCs w:val="24"/>
              <w:lang w:eastAsia="es-DO"/>
              <w14:ligatures w14:val="standardContextual"/>
            </w:rPr>
          </w:pPr>
          <w:hyperlink w:anchor="_Toc185274984" w:history="1">
            <w:r w:rsidRPr="00BC3E7B">
              <w:rPr>
                <w:rStyle w:val="Hipervnculo"/>
                <w:rFonts w:ascii="Times New Roman" w:hAnsi="Times New Roman" w:cs="Times New Roman"/>
                <w:b/>
                <w:noProof/>
                <w:color w:val="767171"/>
                <w:sz w:val="24"/>
                <w:szCs w:val="24"/>
              </w:rPr>
              <w:t>II.</w:t>
            </w:r>
            <w:r w:rsidRPr="00BC3E7B">
              <w:rPr>
                <w:rFonts w:ascii="Times New Roman" w:eastAsiaTheme="minorEastAsia" w:hAnsi="Times New Roman" w:cs="Times New Roman"/>
                <w:noProof/>
                <w:color w:val="767171"/>
                <w:kern w:val="2"/>
                <w:sz w:val="24"/>
                <w:szCs w:val="24"/>
                <w:lang w:eastAsia="es-DO"/>
                <w14:ligatures w14:val="standardContextual"/>
              </w:rPr>
              <w:tab/>
            </w:r>
            <w:r w:rsidRPr="00BC3E7B">
              <w:rPr>
                <w:rStyle w:val="Hipervnculo"/>
                <w:rFonts w:ascii="Times New Roman" w:hAnsi="Times New Roman" w:cs="Times New Roman"/>
                <w:b/>
                <w:noProof/>
                <w:color w:val="767171"/>
                <w:sz w:val="24"/>
                <w:szCs w:val="24"/>
              </w:rPr>
              <w:t>LOGROS ACUMULADOS DE LA GESTIÓN</w:t>
            </w:r>
            <w:r w:rsidRPr="00BC3E7B">
              <w:rPr>
                <w:rFonts w:ascii="Times New Roman" w:hAnsi="Times New Roman" w:cs="Times New Roman"/>
                <w:noProof/>
                <w:webHidden/>
                <w:color w:val="767171"/>
                <w:sz w:val="24"/>
                <w:szCs w:val="24"/>
              </w:rPr>
              <w:tab/>
            </w:r>
            <w:r w:rsidRPr="00BC3E7B">
              <w:rPr>
                <w:rFonts w:ascii="Times New Roman" w:hAnsi="Times New Roman" w:cs="Times New Roman"/>
                <w:noProof/>
                <w:webHidden/>
                <w:color w:val="767171"/>
                <w:sz w:val="24"/>
                <w:szCs w:val="24"/>
              </w:rPr>
              <w:fldChar w:fldCharType="begin"/>
            </w:r>
            <w:r w:rsidRPr="00BC3E7B">
              <w:rPr>
                <w:rFonts w:ascii="Times New Roman" w:hAnsi="Times New Roman" w:cs="Times New Roman"/>
                <w:noProof/>
                <w:webHidden/>
                <w:color w:val="767171"/>
                <w:sz w:val="24"/>
                <w:szCs w:val="24"/>
              </w:rPr>
              <w:instrText xml:space="preserve"> PAGEREF _Toc185274984 \h </w:instrText>
            </w:r>
            <w:r w:rsidRPr="00BC3E7B">
              <w:rPr>
                <w:rFonts w:ascii="Times New Roman" w:hAnsi="Times New Roman" w:cs="Times New Roman"/>
                <w:noProof/>
                <w:webHidden/>
                <w:color w:val="767171"/>
                <w:sz w:val="24"/>
                <w:szCs w:val="24"/>
              </w:rPr>
            </w:r>
            <w:r w:rsidRPr="00BC3E7B">
              <w:rPr>
                <w:rFonts w:ascii="Times New Roman" w:hAnsi="Times New Roman" w:cs="Times New Roman"/>
                <w:noProof/>
                <w:webHidden/>
                <w:color w:val="767171"/>
                <w:sz w:val="24"/>
                <w:szCs w:val="24"/>
              </w:rPr>
              <w:fldChar w:fldCharType="separate"/>
            </w:r>
            <w:r w:rsidRPr="00BC3E7B">
              <w:rPr>
                <w:rFonts w:ascii="Times New Roman" w:hAnsi="Times New Roman" w:cs="Times New Roman"/>
                <w:noProof/>
                <w:webHidden/>
                <w:color w:val="767171"/>
                <w:sz w:val="24"/>
                <w:szCs w:val="24"/>
              </w:rPr>
              <w:t>6</w:t>
            </w:r>
            <w:r w:rsidRPr="00BC3E7B">
              <w:rPr>
                <w:rFonts w:ascii="Times New Roman" w:hAnsi="Times New Roman" w:cs="Times New Roman"/>
                <w:noProof/>
                <w:webHidden/>
                <w:color w:val="767171"/>
                <w:sz w:val="24"/>
                <w:szCs w:val="24"/>
              </w:rPr>
              <w:fldChar w:fldCharType="end"/>
            </w:r>
          </w:hyperlink>
        </w:p>
        <w:p w14:paraId="27833BE9" w14:textId="6242CF57" w:rsidR="00BC3E7B" w:rsidRPr="00BC3E7B" w:rsidRDefault="00BC3E7B">
          <w:pPr>
            <w:pStyle w:val="TDC1"/>
            <w:tabs>
              <w:tab w:val="right" w:leader="dot" w:pos="9350"/>
            </w:tabs>
            <w:rPr>
              <w:rFonts w:ascii="Times New Roman" w:eastAsiaTheme="minorEastAsia" w:hAnsi="Times New Roman" w:cs="Times New Roman"/>
              <w:noProof/>
              <w:color w:val="767171"/>
              <w:kern w:val="2"/>
              <w:sz w:val="24"/>
              <w:szCs w:val="24"/>
              <w:lang w:eastAsia="es-DO"/>
              <w14:ligatures w14:val="standardContextual"/>
            </w:rPr>
          </w:pPr>
          <w:hyperlink w:anchor="_Toc185274985" w:history="1">
            <w:r w:rsidRPr="00BC3E7B">
              <w:rPr>
                <w:rStyle w:val="Hipervnculo"/>
                <w:rFonts w:ascii="Times New Roman" w:hAnsi="Times New Roman" w:cs="Times New Roman"/>
                <w:b/>
                <w:noProof/>
                <w:color w:val="767171"/>
                <w:sz w:val="24"/>
                <w:szCs w:val="24"/>
              </w:rPr>
              <w:t>III. INFORMACIÓN INSTITUCIONAL</w:t>
            </w:r>
            <w:r w:rsidRPr="00BC3E7B">
              <w:rPr>
                <w:rFonts w:ascii="Times New Roman" w:hAnsi="Times New Roman" w:cs="Times New Roman"/>
                <w:noProof/>
                <w:webHidden/>
                <w:color w:val="767171"/>
                <w:sz w:val="24"/>
                <w:szCs w:val="24"/>
              </w:rPr>
              <w:tab/>
            </w:r>
            <w:r w:rsidRPr="00BC3E7B">
              <w:rPr>
                <w:rFonts w:ascii="Times New Roman" w:hAnsi="Times New Roman" w:cs="Times New Roman"/>
                <w:noProof/>
                <w:webHidden/>
                <w:color w:val="767171"/>
                <w:sz w:val="24"/>
                <w:szCs w:val="24"/>
              </w:rPr>
              <w:fldChar w:fldCharType="begin"/>
            </w:r>
            <w:r w:rsidRPr="00BC3E7B">
              <w:rPr>
                <w:rFonts w:ascii="Times New Roman" w:hAnsi="Times New Roman" w:cs="Times New Roman"/>
                <w:noProof/>
                <w:webHidden/>
                <w:color w:val="767171"/>
                <w:sz w:val="24"/>
                <w:szCs w:val="24"/>
              </w:rPr>
              <w:instrText xml:space="preserve"> PAGEREF _Toc185274985 \h </w:instrText>
            </w:r>
            <w:r w:rsidRPr="00BC3E7B">
              <w:rPr>
                <w:rFonts w:ascii="Times New Roman" w:hAnsi="Times New Roman" w:cs="Times New Roman"/>
                <w:noProof/>
                <w:webHidden/>
                <w:color w:val="767171"/>
                <w:sz w:val="24"/>
                <w:szCs w:val="24"/>
              </w:rPr>
            </w:r>
            <w:r w:rsidRPr="00BC3E7B">
              <w:rPr>
                <w:rFonts w:ascii="Times New Roman" w:hAnsi="Times New Roman" w:cs="Times New Roman"/>
                <w:noProof/>
                <w:webHidden/>
                <w:color w:val="767171"/>
                <w:sz w:val="24"/>
                <w:szCs w:val="24"/>
              </w:rPr>
              <w:fldChar w:fldCharType="separate"/>
            </w:r>
            <w:r w:rsidRPr="00BC3E7B">
              <w:rPr>
                <w:rFonts w:ascii="Times New Roman" w:hAnsi="Times New Roman" w:cs="Times New Roman"/>
                <w:noProof/>
                <w:webHidden/>
                <w:color w:val="767171"/>
                <w:sz w:val="24"/>
                <w:szCs w:val="24"/>
              </w:rPr>
              <w:t>15</w:t>
            </w:r>
            <w:r w:rsidRPr="00BC3E7B">
              <w:rPr>
                <w:rFonts w:ascii="Times New Roman" w:hAnsi="Times New Roman" w:cs="Times New Roman"/>
                <w:noProof/>
                <w:webHidden/>
                <w:color w:val="767171"/>
                <w:sz w:val="24"/>
                <w:szCs w:val="24"/>
              </w:rPr>
              <w:fldChar w:fldCharType="end"/>
            </w:r>
          </w:hyperlink>
        </w:p>
        <w:p w14:paraId="709E1476" w14:textId="77D3D2E5" w:rsidR="00BC3E7B" w:rsidRPr="00BC3E7B" w:rsidRDefault="00BC3E7B">
          <w:pPr>
            <w:pStyle w:val="TDC2"/>
            <w:rPr>
              <w:rFonts w:eastAsiaTheme="minorEastAsia"/>
              <w:spacing w:val="0"/>
              <w:kern w:val="2"/>
              <w:lang w:eastAsia="es-DO"/>
              <w14:ligatures w14:val="standardContextual"/>
            </w:rPr>
          </w:pPr>
          <w:hyperlink w:anchor="_Toc185274986" w:history="1">
            <w:r w:rsidRPr="00BC3E7B">
              <w:rPr>
                <w:rStyle w:val="Hipervnculo"/>
                <w:b/>
                <w:color w:val="767171"/>
              </w:rPr>
              <w:t>2.1 Marco filosófico institucional</w:t>
            </w:r>
            <w:r w:rsidRPr="00BC3E7B">
              <w:rPr>
                <w:webHidden/>
              </w:rPr>
              <w:tab/>
            </w:r>
            <w:r w:rsidRPr="00BC3E7B">
              <w:rPr>
                <w:webHidden/>
              </w:rPr>
              <w:fldChar w:fldCharType="begin"/>
            </w:r>
            <w:r w:rsidRPr="00BC3E7B">
              <w:rPr>
                <w:webHidden/>
              </w:rPr>
              <w:instrText xml:space="preserve"> PAGEREF _Toc185274986 \h </w:instrText>
            </w:r>
            <w:r w:rsidRPr="00BC3E7B">
              <w:rPr>
                <w:webHidden/>
              </w:rPr>
            </w:r>
            <w:r w:rsidRPr="00BC3E7B">
              <w:rPr>
                <w:webHidden/>
              </w:rPr>
              <w:fldChar w:fldCharType="separate"/>
            </w:r>
            <w:r w:rsidRPr="00BC3E7B">
              <w:rPr>
                <w:webHidden/>
              </w:rPr>
              <w:t>15</w:t>
            </w:r>
            <w:r w:rsidRPr="00BC3E7B">
              <w:rPr>
                <w:webHidden/>
              </w:rPr>
              <w:fldChar w:fldCharType="end"/>
            </w:r>
          </w:hyperlink>
        </w:p>
        <w:p w14:paraId="7B83E342" w14:textId="6B605190" w:rsidR="00BC3E7B" w:rsidRPr="00BC3E7B" w:rsidRDefault="00BC3E7B">
          <w:pPr>
            <w:pStyle w:val="TDC3"/>
            <w:tabs>
              <w:tab w:val="right" w:leader="dot" w:pos="9350"/>
            </w:tabs>
            <w:rPr>
              <w:rFonts w:ascii="Times New Roman" w:eastAsiaTheme="minorEastAsia" w:hAnsi="Times New Roman" w:cs="Times New Roman"/>
              <w:noProof/>
              <w:color w:val="767171"/>
              <w:kern w:val="2"/>
              <w:sz w:val="24"/>
              <w:szCs w:val="24"/>
              <w:lang w:eastAsia="es-DO"/>
              <w14:ligatures w14:val="standardContextual"/>
            </w:rPr>
          </w:pPr>
          <w:hyperlink w:anchor="_Toc185274987" w:history="1">
            <w:r w:rsidRPr="00BC3E7B">
              <w:rPr>
                <w:rStyle w:val="Hipervnculo"/>
                <w:rFonts w:ascii="Times New Roman" w:hAnsi="Times New Roman" w:cs="Times New Roman"/>
                <w:noProof/>
                <w:color w:val="767171"/>
                <w:spacing w:val="20"/>
                <w:sz w:val="24"/>
                <w:szCs w:val="24"/>
              </w:rPr>
              <w:t xml:space="preserve">A. </w:t>
            </w:r>
            <w:r w:rsidRPr="00BC3E7B">
              <w:rPr>
                <w:rStyle w:val="Hipervnculo"/>
                <w:rFonts w:ascii="Times New Roman" w:eastAsia="Times New Roman" w:hAnsi="Times New Roman" w:cs="Times New Roman"/>
                <w:noProof/>
                <w:color w:val="767171"/>
                <w:spacing w:val="20"/>
                <w:sz w:val="24"/>
                <w:szCs w:val="24"/>
              </w:rPr>
              <w:t>Misión</w:t>
            </w:r>
            <w:r w:rsidRPr="00BC3E7B">
              <w:rPr>
                <w:rFonts w:ascii="Times New Roman" w:hAnsi="Times New Roman" w:cs="Times New Roman"/>
                <w:noProof/>
                <w:webHidden/>
                <w:color w:val="767171"/>
                <w:sz w:val="24"/>
                <w:szCs w:val="24"/>
              </w:rPr>
              <w:tab/>
            </w:r>
            <w:r w:rsidRPr="00BC3E7B">
              <w:rPr>
                <w:rFonts w:ascii="Times New Roman" w:hAnsi="Times New Roman" w:cs="Times New Roman"/>
                <w:noProof/>
                <w:webHidden/>
                <w:color w:val="767171"/>
                <w:sz w:val="24"/>
                <w:szCs w:val="24"/>
              </w:rPr>
              <w:fldChar w:fldCharType="begin"/>
            </w:r>
            <w:r w:rsidRPr="00BC3E7B">
              <w:rPr>
                <w:rFonts w:ascii="Times New Roman" w:hAnsi="Times New Roman" w:cs="Times New Roman"/>
                <w:noProof/>
                <w:webHidden/>
                <w:color w:val="767171"/>
                <w:sz w:val="24"/>
                <w:szCs w:val="24"/>
              </w:rPr>
              <w:instrText xml:space="preserve"> PAGEREF _Toc185274987 \h </w:instrText>
            </w:r>
            <w:r w:rsidRPr="00BC3E7B">
              <w:rPr>
                <w:rFonts w:ascii="Times New Roman" w:hAnsi="Times New Roman" w:cs="Times New Roman"/>
                <w:noProof/>
                <w:webHidden/>
                <w:color w:val="767171"/>
                <w:sz w:val="24"/>
                <w:szCs w:val="24"/>
              </w:rPr>
            </w:r>
            <w:r w:rsidRPr="00BC3E7B">
              <w:rPr>
                <w:rFonts w:ascii="Times New Roman" w:hAnsi="Times New Roman" w:cs="Times New Roman"/>
                <w:noProof/>
                <w:webHidden/>
                <w:color w:val="767171"/>
                <w:sz w:val="24"/>
                <w:szCs w:val="24"/>
              </w:rPr>
              <w:fldChar w:fldCharType="separate"/>
            </w:r>
            <w:r w:rsidRPr="00BC3E7B">
              <w:rPr>
                <w:rFonts w:ascii="Times New Roman" w:hAnsi="Times New Roman" w:cs="Times New Roman"/>
                <w:noProof/>
                <w:webHidden/>
                <w:color w:val="767171"/>
                <w:sz w:val="24"/>
                <w:szCs w:val="24"/>
              </w:rPr>
              <w:t>15</w:t>
            </w:r>
            <w:r w:rsidRPr="00BC3E7B">
              <w:rPr>
                <w:rFonts w:ascii="Times New Roman" w:hAnsi="Times New Roman" w:cs="Times New Roman"/>
                <w:noProof/>
                <w:webHidden/>
                <w:color w:val="767171"/>
                <w:sz w:val="24"/>
                <w:szCs w:val="24"/>
              </w:rPr>
              <w:fldChar w:fldCharType="end"/>
            </w:r>
          </w:hyperlink>
        </w:p>
        <w:p w14:paraId="0DB24681" w14:textId="52AF2402" w:rsidR="00BC3E7B" w:rsidRPr="00BC3E7B" w:rsidRDefault="00BC3E7B">
          <w:pPr>
            <w:pStyle w:val="TDC3"/>
            <w:tabs>
              <w:tab w:val="right" w:leader="dot" w:pos="9350"/>
            </w:tabs>
            <w:rPr>
              <w:rFonts w:ascii="Times New Roman" w:eastAsiaTheme="minorEastAsia" w:hAnsi="Times New Roman" w:cs="Times New Roman"/>
              <w:noProof/>
              <w:color w:val="767171"/>
              <w:kern w:val="2"/>
              <w:sz w:val="24"/>
              <w:szCs w:val="24"/>
              <w:lang w:eastAsia="es-DO"/>
              <w14:ligatures w14:val="standardContextual"/>
            </w:rPr>
          </w:pPr>
          <w:hyperlink w:anchor="_Toc185274988" w:history="1">
            <w:r w:rsidRPr="00BC3E7B">
              <w:rPr>
                <w:rStyle w:val="Hipervnculo"/>
                <w:rFonts w:ascii="Times New Roman" w:hAnsi="Times New Roman" w:cs="Times New Roman"/>
                <w:noProof/>
                <w:color w:val="767171"/>
                <w:spacing w:val="20"/>
                <w:sz w:val="24"/>
                <w:szCs w:val="24"/>
              </w:rPr>
              <w:t>B. Visión</w:t>
            </w:r>
            <w:r w:rsidRPr="00BC3E7B">
              <w:rPr>
                <w:rFonts w:ascii="Times New Roman" w:hAnsi="Times New Roman" w:cs="Times New Roman"/>
                <w:noProof/>
                <w:webHidden/>
                <w:color w:val="767171"/>
                <w:sz w:val="24"/>
                <w:szCs w:val="24"/>
              </w:rPr>
              <w:tab/>
            </w:r>
            <w:r w:rsidRPr="00BC3E7B">
              <w:rPr>
                <w:rFonts w:ascii="Times New Roman" w:hAnsi="Times New Roman" w:cs="Times New Roman"/>
                <w:noProof/>
                <w:webHidden/>
                <w:color w:val="767171"/>
                <w:sz w:val="24"/>
                <w:szCs w:val="24"/>
              </w:rPr>
              <w:fldChar w:fldCharType="begin"/>
            </w:r>
            <w:r w:rsidRPr="00BC3E7B">
              <w:rPr>
                <w:rFonts w:ascii="Times New Roman" w:hAnsi="Times New Roman" w:cs="Times New Roman"/>
                <w:noProof/>
                <w:webHidden/>
                <w:color w:val="767171"/>
                <w:sz w:val="24"/>
                <w:szCs w:val="24"/>
              </w:rPr>
              <w:instrText xml:space="preserve"> PAGEREF _Toc185274988 \h </w:instrText>
            </w:r>
            <w:r w:rsidRPr="00BC3E7B">
              <w:rPr>
                <w:rFonts w:ascii="Times New Roman" w:hAnsi="Times New Roman" w:cs="Times New Roman"/>
                <w:noProof/>
                <w:webHidden/>
                <w:color w:val="767171"/>
                <w:sz w:val="24"/>
                <w:szCs w:val="24"/>
              </w:rPr>
            </w:r>
            <w:r w:rsidRPr="00BC3E7B">
              <w:rPr>
                <w:rFonts w:ascii="Times New Roman" w:hAnsi="Times New Roman" w:cs="Times New Roman"/>
                <w:noProof/>
                <w:webHidden/>
                <w:color w:val="767171"/>
                <w:sz w:val="24"/>
                <w:szCs w:val="24"/>
              </w:rPr>
              <w:fldChar w:fldCharType="separate"/>
            </w:r>
            <w:r w:rsidRPr="00BC3E7B">
              <w:rPr>
                <w:rFonts w:ascii="Times New Roman" w:hAnsi="Times New Roman" w:cs="Times New Roman"/>
                <w:noProof/>
                <w:webHidden/>
                <w:color w:val="767171"/>
                <w:sz w:val="24"/>
                <w:szCs w:val="24"/>
              </w:rPr>
              <w:t>15</w:t>
            </w:r>
            <w:r w:rsidRPr="00BC3E7B">
              <w:rPr>
                <w:rFonts w:ascii="Times New Roman" w:hAnsi="Times New Roman" w:cs="Times New Roman"/>
                <w:noProof/>
                <w:webHidden/>
                <w:color w:val="767171"/>
                <w:sz w:val="24"/>
                <w:szCs w:val="24"/>
              </w:rPr>
              <w:fldChar w:fldCharType="end"/>
            </w:r>
          </w:hyperlink>
        </w:p>
        <w:p w14:paraId="0B476928" w14:textId="43F7B19B" w:rsidR="00BC3E7B" w:rsidRPr="00BC3E7B" w:rsidRDefault="00BC3E7B">
          <w:pPr>
            <w:pStyle w:val="TDC3"/>
            <w:tabs>
              <w:tab w:val="right" w:leader="dot" w:pos="9350"/>
            </w:tabs>
            <w:rPr>
              <w:rFonts w:ascii="Times New Roman" w:eastAsiaTheme="minorEastAsia" w:hAnsi="Times New Roman" w:cs="Times New Roman"/>
              <w:noProof/>
              <w:color w:val="767171"/>
              <w:kern w:val="2"/>
              <w:sz w:val="24"/>
              <w:szCs w:val="24"/>
              <w:lang w:eastAsia="es-DO"/>
              <w14:ligatures w14:val="standardContextual"/>
            </w:rPr>
          </w:pPr>
          <w:hyperlink w:anchor="_Toc185274989" w:history="1">
            <w:r w:rsidRPr="00BC3E7B">
              <w:rPr>
                <w:rStyle w:val="Hipervnculo"/>
                <w:rFonts w:ascii="Times New Roman" w:hAnsi="Times New Roman" w:cs="Times New Roman"/>
                <w:noProof/>
                <w:color w:val="767171"/>
                <w:spacing w:val="20"/>
                <w:sz w:val="24"/>
                <w:szCs w:val="24"/>
              </w:rPr>
              <w:t>C. Valores</w:t>
            </w:r>
            <w:r w:rsidRPr="00BC3E7B">
              <w:rPr>
                <w:rFonts w:ascii="Times New Roman" w:hAnsi="Times New Roman" w:cs="Times New Roman"/>
                <w:noProof/>
                <w:webHidden/>
                <w:color w:val="767171"/>
                <w:sz w:val="24"/>
                <w:szCs w:val="24"/>
              </w:rPr>
              <w:tab/>
            </w:r>
            <w:r w:rsidRPr="00BC3E7B">
              <w:rPr>
                <w:rFonts w:ascii="Times New Roman" w:hAnsi="Times New Roman" w:cs="Times New Roman"/>
                <w:noProof/>
                <w:webHidden/>
                <w:color w:val="767171"/>
                <w:sz w:val="24"/>
                <w:szCs w:val="24"/>
              </w:rPr>
              <w:fldChar w:fldCharType="begin"/>
            </w:r>
            <w:r w:rsidRPr="00BC3E7B">
              <w:rPr>
                <w:rFonts w:ascii="Times New Roman" w:hAnsi="Times New Roman" w:cs="Times New Roman"/>
                <w:noProof/>
                <w:webHidden/>
                <w:color w:val="767171"/>
                <w:sz w:val="24"/>
                <w:szCs w:val="24"/>
              </w:rPr>
              <w:instrText xml:space="preserve"> PAGEREF _Toc185274989 \h </w:instrText>
            </w:r>
            <w:r w:rsidRPr="00BC3E7B">
              <w:rPr>
                <w:rFonts w:ascii="Times New Roman" w:hAnsi="Times New Roman" w:cs="Times New Roman"/>
                <w:noProof/>
                <w:webHidden/>
                <w:color w:val="767171"/>
                <w:sz w:val="24"/>
                <w:szCs w:val="24"/>
              </w:rPr>
            </w:r>
            <w:r w:rsidRPr="00BC3E7B">
              <w:rPr>
                <w:rFonts w:ascii="Times New Roman" w:hAnsi="Times New Roman" w:cs="Times New Roman"/>
                <w:noProof/>
                <w:webHidden/>
                <w:color w:val="767171"/>
                <w:sz w:val="24"/>
                <w:szCs w:val="24"/>
              </w:rPr>
              <w:fldChar w:fldCharType="separate"/>
            </w:r>
            <w:r w:rsidRPr="00BC3E7B">
              <w:rPr>
                <w:rFonts w:ascii="Times New Roman" w:hAnsi="Times New Roman" w:cs="Times New Roman"/>
                <w:noProof/>
                <w:webHidden/>
                <w:color w:val="767171"/>
                <w:sz w:val="24"/>
                <w:szCs w:val="24"/>
              </w:rPr>
              <w:t>15</w:t>
            </w:r>
            <w:r w:rsidRPr="00BC3E7B">
              <w:rPr>
                <w:rFonts w:ascii="Times New Roman" w:hAnsi="Times New Roman" w:cs="Times New Roman"/>
                <w:noProof/>
                <w:webHidden/>
                <w:color w:val="767171"/>
                <w:sz w:val="24"/>
                <w:szCs w:val="24"/>
              </w:rPr>
              <w:fldChar w:fldCharType="end"/>
            </w:r>
          </w:hyperlink>
        </w:p>
        <w:p w14:paraId="4D99D00A" w14:textId="248A29EC" w:rsidR="00BC3E7B" w:rsidRPr="00BC3E7B" w:rsidRDefault="00BC3E7B">
          <w:pPr>
            <w:pStyle w:val="TDC2"/>
            <w:rPr>
              <w:rFonts w:eastAsiaTheme="minorEastAsia"/>
              <w:spacing w:val="0"/>
              <w:kern w:val="2"/>
              <w:lang w:eastAsia="es-DO"/>
              <w14:ligatures w14:val="standardContextual"/>
            </w:rPr>
          </w:pPr>
          <w:hyperlink w:anchor="_Toc185274990" w:history="1">
            <w:r w:rsidRPr="00BC3E7B">
              <w:rPr>
                <w:rStyle w:val="Hipervnculo"/>
                <w:b/>
                <w:color w:val="767171"/>
              </w:rPr>
              <w:t>2.2 Base legal</w:t>
            </w:r>
            <w:r w:rsidRPr="00BC3E7B">
              <w:rPr>
                <w:webHidden/>
              </w:rPr>
              <w:tab/>
            </w:r>
            <w:r w:rsidRPr="00BC3E7B">
              <w:rPr>
                <w:webHidden/>
              </w:rPr>
              <w:fldChar w:fldCharType="begin"/>
            </w:r>
            <w:r w:rsidRPr="00BC3E7B">
              <w:rPr>
                <w:webHidden/>
              </w:rPr>
              <w:instrText xml:space="preserve"> PAGEREF _Toc185274990 \h </w:instrText>
            </w:r>
            <w:r w:rsidRPr="00BC3E7B">
              <w:rPr>
                <w:webHidden/>
              </w:rPr>
            </w:r>
            <w:r w:rsidRPr="00BC3E7B">
              <w:rPr>
                <w:webHidden/>
              </w:rPr>
              <w:fldChar w:fldCharType="separate"/>
            </w:r>
            <w:r w:rsidRPr="00BC3E7B">
              <w:rPr>
                <w:webHidden/>
              </w:rPr>
              <w:t>16</w:t>
            </w:r>
            <w:r w:rsidRPr="00BC3E7B">
              <w:rPr>
                <w:webHidden/>
              </w:rPr>
              <w:fldChar w:fldCharType="end"/>
            </w:r>
          </w:hyperlink>
        </w:p>
        <w:p w14:paraId="20CEE56E" w14:textId="35535F53" w:rsidR="00BC3E7B" w:rsidRPr="00BC3E7B" w:rsidRDefault="00BC3E7B">
          <w:pPr>
            <w:pStyle w:val="TDC2"/>
            <w:rPr>
              <w:rFonts w:eastAsiaTheme="minorEastAsia"/>
              <w:spacing w:val="0"/>
              <w:kern w:val="2"/>
              <w:lang w:eastAsia="es-DO"/>
              <w14:ligatures w14:val="standardContextual"/>
            </w:rPr>
          </w:pPr>
          <w:hyperlink w:anchor="_Toc185274991" w:history="1">
            <w:r w:rsidRPr="00BC3E7B">
              <w:rPr>
                <w:rStyle w:val="Hipervnculo"/>
                <w:b/>
                <w:color w:val="767171"/>
              </w:rPr>
              <w:t>2.3 Estructura Organizativa</w:t>
            </w:r>
            <w:r w:rsidRPr="00BC3E7B">
              <w:rPr>
                <w:webHidden/>
              </w:rPr>
              <w:tab/>
            </w:r>
            <w:r w:rsidRPr="00BC3E7B">
              <w:rPr>
                <w:webHidden/>
              </w:rPr>
              <w:fldChar w:fldCharType="begin"/>
            </w:r>
            <w:r w:rsidRPr="00BC3E7B">
              <w:rPr>
                <w:webHidden/>
              </w:rPr>
              <w:instrText xml:space="preserve"> PAGEREF _Toc185274991 \h </w:instrText>
            </w:r>
            <w:r w:rsidRPr="00BC3E7B">
              <w:rPr>
                <w:webHidden/>
              </w:rPr>
            </w:r>
            <w:r w:rsidRPr="00BC3E7B">
              <w:rPr>
                <w:webHidden/>
              </w:rPr>
              <w:fldChar w:fldCharType="separate"/>
            </w:r>
            <w:r w:rsidRPr="00BC3E7B">
              <w:rPr>
                <w:webHidden/>
              </w:rPr>
              <w:t>17</w:t>
            </w:r>
            <w:r w:rsidRPr="00BC3E7B">
              <w:rPr>
                <w:webHidden/>
              </w:rPr>
              <w:fldChar w:fldCharType="end"/>
            </w:r>
          </w:hyperlink>
        </w:p>
        <w:p w14:paraId="3C445F9D" w14:textId="1A5B557C" w:rsidR="00BC3E7B" w:rsidRPr="00BC3E7B" w:rsidRDefault="00BC3E7B">
          <w:pPr>
            <w:pStyle w:val="TDC2"/>
            <w:rPr>
              <w:rFonts w:eastAsiaTheme="minorEastAsia"/>
              <w:spacing w:val="0"/>
              <w:kern w:val="2"/>
              <w:lang w:eastAsia="es-DO"/>
              <w14:ligatures w14:val="standardContextual"/>
            </w:rPr>
          </w:pPr>
          <w:hyperlink w:anchor="_Toc185274992" w:history="1">
            <w:r w:rsidRPr="00BC3E7B">
              <w:rPr>
                <w:rStyle w:val="Hipervnculo"/>
                <w:b/>
                <w:color w:val="767171"/>
              </w:rPr>
              <w:t>2.4 Planificación E</w:t>
            </w:r>
            <w:r w:rsidRPr="00BC3E7B">
              <w:rPr>
                <w:rStyle w:val="Hipervnculo"/>
                <w:b/>
                <w:color w:val="767171"/>
                <w:lang w:eastAsia="es-DO"/>
              </w:rPr>
              <w:t>stratégica Institucional</w:t>
            </w:r>
            <w:r w:rsidRPr="00BC3E7B">
              <w:rPr>
                <w:webHidden/>
              </w:rPr>
              <w:tab/>
            </w:r>
            <w:r w:rsidRPr="00BC3E7B">
              <w:rPr>
                <w:webHidden/>
              </w:rPr>
              <w:fldChar w:fldCharType="begin"/>
            </w:r>
            <w:r w:rsidRPr="00BC3E7B">
              <w:rPr>
                <w:webHidden/>
              </w:rPr>
              <w:instrText xml:space="preserve"> PAGEREF _Toc185274992 \h </w:instrText>
            </w:r>
            <w:r w:rsidRPr="00BC3E7B">
              <w:rPr>
                <w:webHidden/>
              </w:rPr>
            </w:r>
            <w:r w:rsidRPr="00BC3E7B">
              <w:rPr>
                <w:webHidden/>
              </w:rPr>
              <w:fldChar w:fldCharType="separate"/>
            </w:r>
            <w:r w:rsidRPr="00BC3E7B">
              <w:rPr>
                <w:webHidden/>
              </w:rPr>
              <w:t>17</w:t>
            </w:r>
            <w:r w:rsidRPr="00BC3E7B">
              <w:rPr>
                <w:webHidden/>
              </w:rPr>
              <w:fldChar w:fldCharType="end"/>
            </w:r>
          </w:hyperlink>
        </w:p>
        <w:p w14:paraId="2614DBC9" w14:textId="15AB45E2" w:rsidR="00BC3E7B" w:rsidRPr="00BC3E7B" w:rsidRDefault="00BC3E7B">
          <w:pPr>
            <w:pStyle w:val="TDC1"/>
            <w:tabs>
              <w:tab w:val="left" w:pos="720"/>
              <w:tab w:val="right" w:leader="dot" w:pos="9350"/>
            </w:tabs>
            <w:rPr>
              <w:rFonts w:ascii="Times New Roman" w:eastAsiaTheme="minorEastAsia" w:hAnsi="Times New Roman" w:cs="Times New Roman"/>
              <w:noProof/>
              <w:color w:val="767171"/>
              <w:kern w:val="2"/>
              <w:sz w:val="24"/>
              <w:szCs w:val="24"/>
              <w:lang w:eastAsia="es-DO"/>
              <w14:ligatures w14:val="standardContextual"/>
            </w:rPr>
          </w:pPr>
          <w:hyperlink w:anchor="_Toc185274993" w:history="1">
            <w:r w:rsidRPr="00BC3E7B">
              <w:rPr>
                <w:rStyle w:val="Hipervnculo"/>
                <w:rFonts w:ascii="Times New Roman" w:hAnsi="Times New Roman" w:cs="Times New Roman"/>
                <w:b/>
                <w:noProof/>
                <w:color w:val="767171"/>
                <w:sz w:val="24"/>
                <w:szCs w:val="24"/>
              </w:rPr>
              <w:t>IV.</w:t>
            </w:r>
            <w:r w:rsidRPr="00BC3E7B">
              <w:rPr>
                <w:rFonts w:ascii="Times New Roman" w:eastAsiaTheme="minorEastAsia" w:hAnsi="Times New Roman" w:cs="Times New Roman"/>
                <w:noProof/>
                <w:color w:val="767171"/>
                <w:kern w:val="2"/>
                <w:sz w:val="24"/>
                <w:szCs w:val="24"/>
                <w:lang w:eastAsia="es-DO"/>
                <w14:ligatures w14:val="standardContextual"/>
              </w:rPr>
              <w:tab/>
            </w:r>
            <w:r w:rsidRPr="00BC3E7B">
              <w:rPr>
                <w:rStyle w:val="Hipervnculo"/>
                <w:rFonts w:ascii="Times New Roman" w:hAnsi="Times New Roman" w:cs="Times New Roman"/>
                <w:b/>
                <w:noProof/>
                <w:color w:val="767171"/>
                <w:sz w:val="24"/>
                <w:szCs w:val="24"/>
              </w:rPr>
              <w:t>RESULTADOS MISIONALES</w:t>
            </w:r>
            <w:r w:rsidRPr="00BC3E7B">
              <w:rPr>
                <w:rFonts w:ascii="Times New Roman" w:hAnsi="Times New Roman" w:cs="Times New Roman"/>
                <w:noProof/>
                <w:webHidden/>
                <w:color w:val="767171"/>
                <w:sz w:val="24"/>
                <w:szCs w:val="24"/>
              </w:rPr>
              <w:tab/>
            </w:r>
            <w:r w:rsidRPr="00BC3E7B">
              <w:rPr>
                <w:rFonts w:ascii="Times New Roman" w:hAnsi="Times New Roman" w:cs="Times New Roman"/>
                <w:noProof/>
                <w:webHidden/>
                <w:color w:val="767171"/>
                <w:sz w:val="24"/>
                <w:szCs w:val="24"/>
              </w:rPr>
              <w:fldChar w:fldCharType="begin"/>
            </w:r>
            <w:r w:rsidRPr="00BC3E7B">
              <w:rPr>
                <w:rFonts w:ascii="Times New Roman" w:hAnsi="Times New Roman" w:cs="Times New Roman"/>
                <w:noProof/>
                <w:webHidden/>
                <w:color w:val="767171"/>
                <w:sz w:val="24"/>
                <w:szCs w:val="24"/>
              </w:rPr>
              <w:instrText xml:space="preserve"> PAGEREF _Toc185274993 \h </w:instrText>
            </w:r>
            <w:r w:rsidRPr="00BC3E7B">
              <w:rPr>
                <w:rFonts w:ascii="Times New Roman" w:hAnsi="Times New Roman" w:cs="Times New Roman"/>
                <w:noProof/>
                <w:webHidden/>
                <w:color w:val="767171"/>
                <w:sz w:val="24"/>
                <w:szCs w:val="24"/>
              </w:rPr>
            </w:r>
            <w:r w:rsidRPr="00BC3E7B">
              <w:rPr>
                <w:rFonts w:ascii="Times New Roman" w:hAnsi="Times New Roman" w:cs="Times New Roman"/>
                <w:noProof/>
                <w:webHidden/>
                <w:color w:val="767171"/>
                <w:sz w:val="24"/>
                <w:szCs w:val="24"/>
              </w:rPr>
              <w:fldChar w:fldCharType="separate"/>
            </w:r>
            <w:r w:rsidRPr="00BC3E7B">
              <w:rPr>
                <w:rFonts w:ascii="Times New Roman" w:hAnsi="Times New Roman" w:cs="Times New Roman"/>
                <w:noProof/>
                <w:webHidden/>
                <w:color w:val="767171"/>
                <w:sz w:val="24"/>
                <w:szCs w:val="24"/>
              </w:rPr>
              <w:t>20</w:t>
            </w:r>
            <w:r w:rsidRPr="00BC3E7B">
              <w:rPr>
                <w:rFonts w:ascii="Times New Roman" w:hAnsi="Times New Roman" w:cs="Times New Roman"/>
                <w:noProof/>
                <w:webHidden/>
                <w:color w:val="767171"/>
                <w:sz w:val="24"/>
                <w:szCs w:val="24"/>
              </w:rPr>
              <w:fldChar w:fldCharType="end"/>
            </w:r>
          </w:hyperlink>
        </w:p>
        <w:p w14:paraId="09406805" w14:textId="4543F5EF" w:rsidR="00BC3E7B" w:rsidRPr="00BC3E7B" w:rsidRDefault="00BC3E7B">
          <w:pPr>
            <w:pStyle w:val="TDC2"/>
            <w:rPr>
              <w:rFonts w:eastAsiaTheme="minorEastAsia"/>
              <w:spacing w:val="0"/>
              <w:kern w:val="2"/>
              <w:lang w:eastAsia="es-DO"/>
              <w14:ligatures w14:val="standardContextual"/>
            </w:rPr>
          </w:pPr>
          <w:hyperlink w:anchor="_Toc185274994" w:history="1">
            <w:r w:rsidRPr="00BC3E7B">
              <w:rPr>
                <w:rStyle w:val="Hipervnculo"/>
                <w:b/>
                <w:bCs/>
                <w:color w:val="767171"/>
              </w:rPr>
              <w:t>4.1</w:t>
            </w:r>
            <w:r w:rsidRPr="00BC3E7B">
              <w:rPr>
                <w:rFonts w:eastAsiaTheme="minorEastAsia"/>
                <w:spacing w:val="0"/>
                <w:kern w:val="2"/>
                <w:lang w:eastAsia="es-DO"/>
                <w14:ligatures w14:val="standardContextual"/>
              </w:rPr>
              <w:tab/>
            </w:r>
            <w:r w:rsidRPr="00BC3E7B">
              <w:rPr>
                <w:rStyle w:val="Hipervnculo"/>
                <w:b/>
                <w:color w:val="767171"/>
              </w:rPr>
              <w:t>Desempeño del sector financiero</w:t>
            </w:r>
            <w:r w:rsidRPr="00BC3E7B">
              <w:rPr>
                <w:webHidden/>
              </w:rPr>
              <w:tab/>
            </w:r>
            <w:r w:rsidRPr="00BC3E7B">
              <w:rPr>
                <w:webHidden/>
              </w:rPr>
              <w:fldChar w:fldCharType="begin"/>
            </w:r>
            <w:r w:rsidRPr="00BC3E7B">
              <w:rPr>
                <w:webHidden/>
              </w:rPr>
              <w:instrText xml:space="preserve"> PAGEREF _Toc185274994 \h </w:instrText>
            </w:r>
            <w:r w:rsidRPr="00BC3E7B">
              <w:rPr>
                <w:webHidden/>
              </w:rPr>
            </w:r>
            <w:r w:rsidRPr="00BC3E7B">
              <w:rPr>
                <w:webHidden/>
              </w:rPr>
              <w:fldChar w:fldCharType="separate"/>
            </w:r>
            <w:r w:rsidRPr="00BC3E7B">
              <w:rPr>
                <w:webHidden/>
              </w:rPr>
              <w:t>20</w:t>
            </w:r>
            <w:r w:rsidRPr="00BC3E7B">
              <w:rPr>
                <w:webHidden/>
              </w:rPr>
              <w:fldChar w:fldCharType="end"/>
            </w:r>
          </w:hyperlink>
        </w:p>
        <w:p w14:paraId="06E32B90" w14:textId="7767FC98" w:rsidR="00BC3E7B" w:rsidRPr="00BC3E7B" w:rsidRDefault="00BC3E7B">
          <w:pPr>
            <w:pStyle w:val="TDC2"/>
            <w:rPr>
              <w:rFonts w:eastAsiaTheme="minorEastAsia"/>
              <w:spacing w:val="0"/>
              <w:kern w:val="2"/>
              <w:lang w:eastAsia="es-DO"/>
              <w14:ligatures w14:val="standardContextual"/>
            </w:rPr>
          </w:pPr>
          <w:hyperlink w:anchor="_Toc185274995" w:history="1">
            <w:r w:rsidRPr="00BC3E7B">
              <w:rPr>
                <w:rStyle w:val="Hipervnculo"/>
                <w:b/>
                <w:bCs/>
                <w:color w:val="767171"/>
              </w:rPr>
              <w:t>4.2</w:t>
            </w:r>
            <w:r w:rsidRPr="00BC3E7B">
              <w:rPr>
                <w:rFonts w:eastAsiaTheme="minorEastAsia"/>
                <w:spacing w:val="0"/>
                <w:kern w:val="2"/>
                <w:lang w:eastAsia="es-DO"/>
                <w14:ligatures w14:val="standardContextual"/>
              </w:rPr>
              <w:tab/>
            </w:r>
            <w:r w:rsidRPr="00BC3E7B">
              <w:rPr>
                <w:rStyle w:val="Hipervnculo"/>
                <w:b/>
                <w:color w:val="767171"/>
              </w:rPr>
              <w:t>Supervisión de las Entidades Reguladas por la Autoridad Monetaria y Financiera</w:t>
            </w:r>
            <w:r w:rsidRPr="00BC3E7B">
              <w:rPr>
                <w:webHidden/>
              </w:rPr>
              <w:tab/>
            </w:r>
            <w:r w:rsidRPr="00BC3E7B">
              <w:rPr>
                <w:webHidden/>
              </w:rPr>
              <w:fldChar w:fldCharType="begin"/>
            </w:r>
            <w:r w:rsidRPr="00BC3E7B">
              <w:rPr>
                <w:webHidden/>
              </w:rPr>
              <w:instrText xml:space="preserve"> PAGEREF _Toc185274995 \h </w:instrText>
            </w:r>
            <w:r w:rsidRPr="00BC3E7B">
              <w:rPr>
                <w:webHidden/>
              </w:rPr>
            </w:r>
            <w:r w:rsidRPr="00BC3E7B">
              <w:rPr>
                <w:webHidden/>
              </w:rPr>
              <w:fldChar w:fldCharType="separate"/>
            </w:r>
            <w:r w:rsidRPr="00BC3E7B">
              <w:rPr>
                <w:webHidden/>
              </w:rPr>
              <w:t>22</w:t>
            </w:r>
            <w:r w:rsidRPr="00BC3E7B">
              <w:rPr>
                <w:webHidden/>
              </w:rPr>
              <w:fldChar w:fldCharType="end"/>
            </w:r>
          </w:hyperlink>
        </w:p>
        <w:p w14:paraId="540AD913" w14:textId="20D12DF5" w:rsidR="00BC3E7B" w:rsidRPr="00BC3E7B" w:rsidRDefault="00BC3E7B">
          <w:pPr>
            <w:pStyle w:val="TDC2"/>
            <w:rPr>
              <w:rFonts w:eastAsiaTheme="minorEastAsia"/>
              <w:spacing w:val="0"/>
              <w:kern w:val="2"/>
              <w:lang w:eastAsia="es-DO"/>
              <w14:ligatures w14:val="standardContextual"/>
            </w:rPr>
          </w:pPr>
          <w:hyperlink w:anchor="_Toc185274996" w:history="1">
            <w:r w:rsidRPr="00BC3E7B">
              <w:rPr>
                <w:rStyle w:val="Hipervnculo"/>
                <w:b/>
                <w:bCs/>
                <w:color w:val="767171"/>
              </w:rPr>
              <w:t>4.3</w:t>
            </w:r>
            <w:r w:rsidRPr="00BC3E7B">
              <w:rPr>
                <w:rFonts w:eastAsiaTheme="minorEastAsia"/>
                <w:spacing w:val="0"/>
                <w:kern w:val="2"/>
                <w:lang w:eastAsia="es-DO"/>
                <w14:ligatures w14:val="standardContextual"/>
              </w:rPr>
              <w:tab/>
            </w:r>
            <w:r w:rsidRPr="00BC3E7B">
              <w:rPr>
                <w:rStyle w:val="Hipervnculo"/>
                <w:b/>
                <w:color w:val="767171"/>
              </w:rPr>
              <w:t>Procesos Sancionadores</w:t>
            </w:r>
            <w:r w:rsidRPr="00BC3E7B">
              <w:rPr>
                <w:webHidden/>
              </w:rPr>
              <w:tab/>
            </w:r>
            <w:r w:rsidRPr="00BC3E7B">
              <w:rPr>
                <w:webHidden/>
              </w:rPr>
              <w:fldChar w:fldCharType="begin"/>
            </w:r>
            <w:r w:rsidRPr="00BC3E7B">
              <w:rPr>
                <w:webHidden/>
              </w:rPr>
              <w:instrText xml:space="preserve"> PAGEREF _Toc185274996 \h </w:instrText>
            </w:r>
            <w:r w:rsidRPr="00BC3E7B">
              <w:rPr>
                <w:webHidden/>
              </w:rPr>
            </w:r>
            <w:r w:rsidRPr="00BC3E7B">
              <w:rPr>
                <w:webHidden/>
              </w:rPr>
              <w:fldChar w:fldCharType="separate"/>
            </w:r>
            <w:r w:rsidRPr="00BC3E7B">
              <w:rPr>
                <w:webHidden/>
              </w:rPr>
              <w:t>28</w:t>
            </w:r>
            <w:r w:rsidRPr="00BC3E7B">
              <w:rPr>
                <w:webHidden/>
              </w:rPr>
              <w:fldChar w:fldCharType="end"/>
            </w:r>
          </w:hyperlink>
        </w:p>
        <w:p w14:paraId="3F369CB9" w14:textId="6747643E" w:rsidR="00BC3E7B" w:rsidRPr="00BC3E7B" w:rsidRDefault="00BC3E7B">
          <w:pPr>
            <w:pStyle w:val="TDC2"/>
            <w:rPr>
              <w:rFonts w:eastAsiaTheme="minorEastAsia"/>
              <w:spacing w:val="0"/>
              <w:kern w:val="2"/>
              <w:lang w:eastAsia="es-DO"/>
              <w14:ligatures w14:val="standardContextual"/>
            </w:rPr>
          </w:pPr>
          <w:hyperlink w:anchor="_Toc185274997" w:history="1">
            <w:r w:rsidRPr="00BC3E7B">
              <w:rPr>
                <w:rStyle w:val="Hipervnculo"/>
                <w:b/>
                <w:bCs/>
                <w:color w:val="767171"/>
              </w:rPr>
              <w:t>4.4</w:t>
            </w:r>
            <w:r w:rsidRPr="00BC3E7B">
              <w:rPr>
                <w:rFonts w:eastAsiaTheme="minorEastAsia"/>
                <w:spacing w:val="0"/>
                <w:kern w:val="2"/>
                <w:lang w:eastAsia="es-DO"/>
                <w14:ligatures w14:val="standardContextual"/>
              </w:rPr>
              <w:tab/>
            </w:r>
            <w:r w:rsidRPr="00BC3E7B">
              <w:rPr>
                <w:rStyle w:val="Hipervnculo"/>
                <w:b/>
                <w:color w:val="767171"/>
              </w:rPr>
              <w:t>Regulación</w:t>
            </w:r>
            <w:r w:rsidRPr="00BC3E7B">
              <w:rPr>
                <w:webHidden/>
              </w:rPr>
              <w:tab/>
            </w:r>
            <w:r w:rsidRPr="00BC3E7B">
              <w:rPr>
                <w:webHidden/>
              </w:rPr>
              <w:fldChar w:fldCharType="begin"/>
            </w:r>
            <w:r w:rsidRPr="00BC3E7B">
              <w:rPr>
                <w:webHidden/>
              </w:rPr>
              <w:instrText xml:space="preserve"> PAGEREF _Toc185274997 \h </w:instrText>
            </w:r>
            <w:r w:rsidRPr="00BC3E7B">
              <w:rPr>
                <w:webHidden/>
              </w:rPr>
            </w:r>
            <w:r w:rsidRPr="00BC3E7B">
              <w:rPr>
                <w:webHidden/>
              </w:rPr>
              <w:fldChar w:fldCharType="separate"/>
            </w:r>
            <w:r w:rsidRPr="00BC3E7B">
              <w:rPr>
                <w:webHidden/>
              </w:rPr>
              <w:t>30</w:t>
            </w:r>
            <w:r w:rsidRPr="00BC3E7B">
              <w:rPr>
                <w:webHidden/>
              </w:rPr>
              <w:fldChar w:fldCharType="end"/>
            </w:r>
          </w:hyperlink>
        </w:p>
        <w:p w14:paraId="2D27317C" w14:textId="154A21D9" w:rsidR="00BC3E7B" w:rsidRPr="00BC3E7B" w:rsidRDefault="00BC3E7B">
          <w:pPr>
            <w:pStyle w:val="TDC2"/>
            <w:rPr>
              <w:rFonts w:eastAsiaTheme="minorEastAsia"/>
              <w:spacing w:val="0"/>
              <w:kern w:val="2"/>
              <w:lang w:eastAsia="es-DO"/>
              <w14:ligatures w14:val="standardContextual"/>
            </w:rPr>
          </w:pPr>
          <w:hyperlink w:anchor="_Toc185274998" w:history="1">
            <w:r w:rsidRPr="00BC3E7B">
              <w:rPr>
                <w:rStyle w:val="Hipervnculo"/>
                <w:b/>
                <w:bCs/>
                <w:color w:val="767171"/>
              </w:rPr>
              <w:t>4.5</w:t>
            </w:r>
            <w:r w:rsidRPr="00BC3E7B">
              <w:rPr>
                <w:rFonts w:eastAsiaTheme="minorEastAsia"/>
                <w:spacing w:val="0"/>
                <w:kern w:val="2"/>
                <w:lang w:eastAsia="es-DO"/>
                <w14:ligatures w14:val="standardContextual"/>
              </w:rPr>
              <w:tab/>
            </w:r>
            <w:r w:rsidRPr="00BC3E7B">
              <w:rPr>
                <w:rStyle w:val="Hipervnculo"/>
                <w:b/>
                <w:color w:val="767171"/>
              </w:rPr>
              <w:t>Procesos de Registro y Autorizaciones</w:t>
            </w:r>
            <w:r w:rsidRPr="00BC3E7B">
              <w:rPr>
                <w:webHidden/>
              </w:rPr>
              <w:tab/>
            </w:r>
            <w:r w:rsidRPr="00BC3E7B">
              <w:rPr>
                <w:webHidden/>
              </w:rPr>
              <w:fldChar w:fldCharType="begin"/>
            </w:r>
            <w:r w:rsidRPr="00BC3E7B">
              <w:rPr>
                <w:webHidden/>
              </w:rPr>
              <w:instrText xml:space="preserve"> PAGEREF _Toc185274998 \h </w:instrText>
            </w:r>
            <w:r w:rsidRPr="00BC3E7B">
              <w:rPr>
                <w:webHidden/>
              </w:rPr>
            </w:r>
            <w:r w:rsidRPr="00BC3E7B">
              <w:rPr>
                <w:webHidden/>
              </w:rPr>
              <w:fldChar w:fldCharType="separate"/>
            </w:r>
            <w:r w:rsidRPr="00BC3E7B">
              <w:rPr>
                <w:webHidden/>
              </w:rPr>
              <w:t>40</w:t>
            </w:r>
            <w:r w:rsidRPr="00BC3E7B">
              <w:rPr>
                <w:webHidden/>
              </w:rPr>
              <w:fldChar w:fldCharType="end"/>
            </w:r>
          </w:hyperlink>
        </w:p>
        <w:p w14:paraId="53A23870" w14:textId="17925C8F" w:rsidR="00BC3E7B" w:rsidRPr="00BC3E7B" w:rsidRDefault="00BC3E7B">
          <w:pPr>
            <w:pStyle w:val="TDC2"/>
            <w:rPr>
              <w:rFonts w:eastAsiaTheme="minorEastAsia"/>
              <w:spacing w:val="0"/>
              <w:kern w:val="2"/>
              <w:lang w:eastAsia="es-DO"/>
              <w14:ligatures w14:val="standardContextual"/>
            </w:rPr>
          </w:pPr>
          <w:hyperlink w:anchor="_Toc185274999" w:history="1">
            <w:r w:rsidRPr="00BC3E7B">
              <w:rPr>
                <w:rStyle w:val="Hipervnculo"/>
                <w:b/>
                <w:bCs/>
                <w:color w:val="767171"/>
              </w:rPr>
              <w:t>4.6</w:t>
            </w:r>
            <w:r w:rsidRPr="00BC3E7B">
              <w:rPr>
                <w:rFonts w:eastAsiaTheme="minorEastAsia"/>
                <w:spacing w:val="0"/>
                <w:kern w:val="2"/>
                <w:lang w:eastAsia="es-DO"/>
                <w14:ligatures w14:val="standardContextual"/>
              </w:rPr>
              <w:tab/>
            </w:r>
            <w:r w:rsidRPr="00BC3E7B">
              <w:rPr>
                <w:rStyle w:val="Hipervnculo"/>
                <w:b/>
                <w:color w:val="767171"/>
              </w:rPr>
              <w:t>Sobre la Protección y Atención a los Usuarios Financieros</w:t>
            </w:r>
            <w:r w:rsidRPr="00BC3E7B">
              <w:rPr>
                <w:webHidden/>
              </w:rPr>
              <w:tab/>
            </w:r>
            <w:r w:rsidRPr="00BC3E7B">
              <w:rPr>
                <w:webHidden/>
              </w:rPr>
              <w:fldChar w:fldCharType="begin"/>
            </w:r>
            <w:r w:rsidRPr="00BC3E7B">
              <w:rPr>
                <w:webHidden/>
              </w:rPr>
              <w:instrText xml:space="preserve"> PAGEREF _Toc185274999 \h </w:instrText>
            </w:r>
            <w:r w:rsidRPr="00BC3E7B">
              <w:rPr>
                <w:webHidden/>
              </w:rPr>
            </w:r>
            <w:r w:rsidRPr="00BC3E7B">
              <w:rPr>
                <w:webHidden/>
              </w:rPr>
              <w:fldChar w:fldCharType="separate"/>
            </w:r>
            <w:r w:rsidRPr="00BC3E7B">
              <w:rPr>
                <w:webHidden/>
              </w:rPr>
              <w:t>41</w:t>
            </w:r>
            <w:r w:rsidRPr="00BC3E7B">
              <w:rPr>
                <w:webHidden/>
              </w:rPr>
              <w:fldChar w:fldCharType="end"/>
            </w:r>
          </w:hyperlink>
        </w:p>
        <w:p w14:paraId="115C0B17" w14:textId="5FB8C39E" w:rsidR="00BC3E7B" w:rsidRPr="00BC3E7B" w:rsidRDefault="00BC3E7B">
          <w:pPr>
            <w:pStyle w:val="TDC2"/>
            <w:rPr>
              <w:rFonts w:eastAsiaTheme="minorEastAsia"/>
              <w:spacing w:val="0"/>
              <w:kern w:val="2"/>
              <w:lang w:eastAsia="es-DO"/>
              <w14:ligatures w14:val="standardContextual"/>
            </w:rPr>
          </w:pPr>
          <w:hyperlink w:anchor="_Toc185275000" w:history="1">
            <w:r w:rsidRPr="00BC3E7B">
              <w:rPr>
                <w:rStyle w:val="Hipervnculo"/>
                <w:b/>
                <w:bCs/>
                <w:color w:val="767171"/>
              </w:rPr>
              <w:t>4.7</w:t>
            </w:r>
            <w:r w:rsidRPr="00BC3E7B">
              <w:rPr>
                <w:rFonts w:eastAsiaTheme="minorEastAsia"/>
                <w:spacing w:val="0"/>
                <w:kern w:val="2"/>
                <w:lang w:eastAsia="es-DO"/>
                <w14:ligatures w14:val="standardContextual"/>
              </w:rPr>
              <w:tab/>
            </w:r>
            <w:r w:rsidRPr="00BC3E7B">
              <w:rPr>
                <w:rStyle w:val="Hipervnculo"/>
                <w:b/>
                <w:color w:val="767171"/>
              </w:rPr>
              <w:t>Atención a los Ahorristas de Instituciones Financieras Intervenidas y en Liquidación</w:t>
            </w:r>
            <w:r w:rsidRPr="00BC3E7B">
              <w:rPr>
                <w:webHidden/>
              </w:rPr>
              <w:tab/>
            </w:r>
            <w:r w:rsidRPr="00BC3E7B">
              <w:rPr>
                <w:webHidden/>
              </w:rPr>
              <w:fldChar w:fldCharType="begin"/>
            </w:r>
            <w:r w:rsidRPr="00BC3E7B">
              <w:rPr>
                <w:webHidden/>
              </w:rPr>
              <w:instrText xml:space="preserve"> PAGEREF _Toc185275000 \h </w:instrText>
            </w:r>
            <w:r w:rsidRPr="00BC3E7B">
              <w:rPr>
                <w:webHidden/>
              </w:rPr>
            </w:r>
            <w:r w:rsidRPr="00BC3E7B">
              <w:rPr>
                <w:webHidden/>
              </w:rPr>
              <w:fldChar w:fldCharType="separate"/>
            </w:r>
            <w:r w:rsidRPr="00BC3E7B">
              <w:rPr>
                <w:webHidden/>
              </w:rPr>
              <w:t>48</w:t>
            </w:r>
            <w:r w:rsidRPr="00BC3E7B">
              <w:rPr>
                <w:webHidden/>
              </w:rPr>
              <w:fldChar w:fldCharType="end"/>
            </w:r>
          </w:hyperlink>
        </w:p>
        <w:p w14:paraId="13222223" w14:textId="03262E83" w:rsidR="00BC3E7B" w:rsidRPr="00BC3E7B" w:rsidRDefault="00BC3E7B">
          <w:pPr>
            <w:pStyle w:val="TDC2"/>
            <w:rPr>
              <w:rFonts w:eastAsiaTheme="minorEastAsia"/>
              <w:spacing w:val="0"/>
              <w:kern w:val="2"/>
              <w:lang w:eastAsia="es-DO"/>
              <w14:ligatures w14:val="standardContextual"/>
            </w:rPr>
          </w:pPr>
          <w:hyperlink w:anchor="_Toc185275001" w:history="1">
            <w:r w:rsidRPr="00BC3E7B">
              <w:rPr>
                <w:rStyle w:val="Hipervnculo"/>
                <w:b/>
                <w:bCs/>
                <w:color w:val="767171"/>
              </w:rPr>
              <w:t>4.8</w:t>
            </w:r>
            <w:r w:rsidRPr="00BC3E7B">
              <w:rPr>
                <w:rFonts w:eastAsiaTheme="minorEastAsia"/>
                <w:spacing w:val="0"/>
                <w:kern w:val="2"/>
                <w:lang w:eastAsia="es-DO"/>
                <w14:ligatures w14:val="standardContextual"/>
              </w:rPr>
              <w:tab/>
            </w:r>
            <w:r w:rsidRPr="00BC3E7B">
              <w:rPr>
                <w:rStyle w:val="Hipervnculo"/>
                <w:b/>
                <w:color w:val="767171"/>
              </w:rPr>
              <w:t>Promoción de la Innovación e Inclusión Financiera</w:t>
            </w:r>
            <w:r w:rsidRPr="00BC3E7B">
              <w:rPr>
                <w:webHidden/>
              </w:rPr>
              <w:tab/>
            </w:r>
            <w:r w:rsidRPr="00BC3E7B">
              <w:rPr>
                <w:webHidden/>
              </w:rPr>
              <w:fldChar w:fldCharType="begin"/>
            </w:r>
            <w:r w:rsidRPr="00BC3E7B">
              <w:rPr>
                <w:webHidden/>
              </w:rPr>
              <w:instrText xml:space="preserve"> PAGEREF _Toc185275001 \h </w:instrText>
            </w:r>
            <w:r w:rsidRPr="00BC3E7B">
              <w:rPr>
                <w:webHidden/>
              </w:rPr>
            </w:r>
            <w:r w:rsidRPr="00BC3E7B">
              <w:rPr>
                <w:webHidden/>
              </w:rPr>
              <w:fldChar w:fldCharType="separate"/>
            </w:r>
            <w:r w:rsidRPr="00BC3E7B">
              <w:rPr>
                <w:webHidden/>
              </w:rPr>
              <w:t>49</w:t>
            </w:r>
            <w:r w:rsidRPr="00BC3E7B">
              <w:rPr>
                <w:webHidden/>
              </w:rPr>
              <w:fldChar w:fldCharType="end"/>
            </w:r>
          </w:hyperlink>
        </w:p>
        <w:p w14:paraId="1F8455B5" w14:textId="219401EC" w:rsidR="00BC3E7B" w:rsidRPr="00BC3E7B" w:rsidRDefault="00BC3E7B">
          <w:pPr>
            <w:pStyle w:val="TDC2"/>
            <w:rPr>
              <w:rFonts w:eastAsiaTheme="minorEastAsia"/>
              <w:spacing w:val="0"/>
              <w:kern w:val="2"/>
              <w:lang w:eastAsia="es-DO"/>
              <w14:ligatures w14:val="standardContextual"/>
            </w:rPr>
          </w:pPr>
          <w:hyperlink w:anchor="_Toc185275002" w:history="1">
            <w:r w:rsidRPr="00BC3E7B">
              <w:rPr>
                <w:rStyle w:val="Hipervnculo"/>
                <w:b/>
                <w:bCs/>
                <w:color w:val="767171"/>
              </w:rPr>
              <w:t>4.9</w:t>
            </w:r>
            <w:r w:rsidRPr="00BC3E7B">
              <w:rPr>
                <w:rFonts w:eastAsiaTheme="minorEastAsia"/>
                <w:spacing w:val="0"/>
                <w:kern w:val="2"/>
                <w:lang w:eastAsia="es-DO"/>
                <w14:ligatures w14:val="standardContextual"/>
              </w:rPr>
              <w:tab/>
            </w:r>
            <w:r w:rsidRPr="00BC3E7B">
              <w:rPr>
                <w:rStyle w:val="Hipervnculo"/>
                <w:b/>
                <w:color w:val="767171"/>
              </w:rPr>
              <w:t>Estudios Económicos</w:t>
            </w:r>
            <w:r w:rsidRPr="00BC3E7B">
              <w:rPr>
                <w:webHidden/>
              </w:rPr>
              <w:tab/>
            </w:r>
            <w:r w:rsidRPr="00BC3E7B">
              <w:rPr>
                <w:webHidden/>
              </w:rPr>
              <w:fldChar w:fldCharType="begin"/>
            </w:r>
            <w:r w:rsidRPr="00BC3E7B">
              <w:rPr>
                <w:webHidden/>
              </w:rPr>
              <w:instrText xml:space="preserve"> PAGEREF _Toc185275002 \h </w:instrText>
            </w:r>
            <w:r w:rsidRPr="00BC3E7B">
              <w:rPr>
                <w:webHidden/>
              </w:rPr>
            </w:r>
            <w:r w:rsidRPr="00BC3E7B">
              <w:rPr>
                <w:webHidden/>
              </w:rPr>
              <w:fldChar w:fldCharType="separate"/>
            </w:r>
            <w:r w:rsidRPr="00BC3E7B">
              <w:rPr>
                <w:webHidden/>
              </w:rPr>
              <w:t>50</w:t>
            </w:r>
            <w:r w:rsidRPr="00BC3E7B">
              <w:rPr>
                <w:webHidden/>
              </w:rPr>
              <w:fldChar w:fldCharType="end"/>
            </w:r>
          </w:hyperlink>
        </w:p>
        <w:p w14:paraId="32D8D50D" w14:textId="1084746B" w:rsidR="00BC3E7B" w:rsidRPr="00BC3E7B" w:rsidRDefault="00BC3E7B">
          <w:pPr>
            <w:pStyle w:val="TDC1"/>
            <w:tabs>
              <w:tab w:val="left" w:pos="720"/>
              <w:tab w:val="right" w:leader="dot" w:pos="9350"/>
            </w:tabs>
            <w:rPr>
              <w:rFonts w:ascii="Times New Roman" w:eastAsiaTheme="minorEastAsia" w:hAnsi="Times New Roman" w:cs="Times New Roman"/>
              <w:noProof/>
              <w:color w:val="767171"/>
              <w:kern w:val="2"/>
              <w:sz w:val="24"/>
              <w:szCs w:val="24"/>
              <w:lang w:eastAsia="es-DO"/>
              <w14:ligatures w14:val="standardContextual"/>
            </w:rPr>
          </w:pPr>
          <w:hyperlink w:anchor="_Toc185275003" w:history="1">
            <w:r w:rsidRPr="00BC3E7B">
              <w:rPr>
                <w:rStyle w:val="Hipervnculo"/>
                <w:rFonts w:ascii="Times New Roman" w:hAnsi="Times New Roman" w:cs="Times New Roman"/>
                <w:b/>
                <w:noProof/>
                <w:color w:val="767171"/>
                <w:sz w:val="24"/>
                <w:szCs w:val="24"/>
              </w:rPr>
              <w:t>V.</w:t>
            </w:r>
            <w:r w:rsidRPr="00BC3E7B">
              <w:rPr>
                <w:rFonts w:ascii="Times New Roman" w:eastAsiaTheme="minorEastAsia" w:hAnsi="Times New Roman" w:cs="Times New Roman"/>
                <w:noProof/>
                <w:color w:val="767171"/>
                <w:kern w:val="2"/>
                <w:sz w:val="24"/>
                <w:szCs w:val="24"/>
                <w:lang w:eastAsia="es-DO"/>
                <w14:ligatures w14:val="standardContextual"/>
              </w:rPr>
              <w:tab/>
            </w:r>
            <w:r w:rsidRPr="00BC3E7B">
              <w:rPr>
                <w:rStyle w:val="Hipervnculo"/>
                <w:rFonts w:ascii="Times New Roman" w:hAnsi="Times New Roman" w:cs="Times New Roman"/>
                <w:b/>
                <w:noProof/>
                <w:color w:val="767171"/>
                <w:sz w:val="24"/>
                <w:szCs w:val="24"/>
              </w:rPr>
              <w:t>RESULTADOS ÁREAS TRANSVERSALES Y DE APOYO</w:t>
            </w:r>
            <w:r w:rsidRPr="00BC3E7B">
              <w:rPr>
                <w:rFonts w:ascii="Times New Roman" w:hAnsi="Times New Roman" w:cs="Times New Roman"/>
                <w:noProof/>
                <w:webHidden/>
                <w:color w:val="767171"/>
                <w:sz w:val="24"/>
                <w:szCs w:val="24"/>
              </w:rPr>
              <w:tab/>
            </w:r>
            <w:r w:rsidRPr="00BC3E7B">
              <w:rPr>
                <w:rFonts w:ascii="Times New Roman" w:hAnsi="Times New Roman" w:cs="Times New Roman"/>
                <w:noProof/>
                <w:webHidden/>
                <w:color w:val="767171"/>
                <w:sz w:val="24"/>
                <w:szCs w:val="24"/>
              </w:rPr>
              <w:fldChar w:fldCharType="begin"/>
            </w:r>
            <w:r w:rsidRPr="00BC3E7B">
              <w:rPr>
                <w:rFonts w:ascii="Times New Roman" w:hAnsi="Times New Roman" w:cs="Times New Roman"/>
                <w:noProof/>
                <w:webHidden/>
                <w:color w:val="767171"/>
                <w:sz w:val="24"/>
                <w:szCs w:val="24"/>
              </w:rPr>
              <w:instrText xml:space="preserve"> PAGEREF _Toc185275003 \h </w:instrText>
            </w:r>
            <w:r w:rsidRPr="00BC3E7B">
              <w:rPr>
                <w:rFonts w:ascii="Times New Roman" w:hAnsi="Times New Roman" w:cs="Times New Roman"/>
                <w:noProof/>
                <w:webHidden/>
                <w:color w:val="767171"/>
                <w:sz w:val="24"/>
                <w:szCs w:val="24"/>
              </w:rPr>
            </w:r>
            <w:r w:rsidRPr="00BC3E7B">
              <w:rPr>
                <w:rFonts w:ascii="Times New Roman" w:hAnsi="Times New Roman" w:cs="Times New Roman"/>
                <w:noProof/>
                <w:webHidden/>
                <w:color w:val="767171"/>
                <w:sz w:val="24"/>
                <w:szCs w:val="24"/>
              </w:rPr>
              <w:fldChar w:fldCharType="separate"/>
            </w:r>
            <w:r w:rsidRPr="00BC3E7B">
              <w:rPr>
                <w:rFonts w:ascii="Times New Roman" w:hAnsi="Times New Roman" w:cs="Times New Roman"/>
                <w:noProof/>
                <w:webHidden/>
                <w:color w:val="767171"/>
                <w:sz w:val="24"/>
                <w:szCs w:val="24"/>
              </w:rPr>
              <w:t>52</w:t>
            </w:r>
            <w:r w:rsidRPr="00BC3E7B">
              <w:rPr>
                <w:rFonts w:ascii="Times New Roman" w:hAnsi="Times New Roman" w:cs="Times New Roman"/>
                <w:noProof/>
                <w:webHidden/>
                <w:color w:val="767171"/>
                <w:sz w:val="24"/>
                <w:szCs w:val="24"/>
              </w:rPr>
              <w:fldChar w:fldCharType="end"/>
            </w:r>
          </w:hyperlink>
        </w:p>
        <w:p w14:paraId="43721476" w14:textId="105FA434" w:rsidR="00BC3E7B" w:rsidRPr="00BC3E7B" w:rsidRDefault="00BC3E7B">
          <w:pPr>
            <w:pStyle w:val="TDC2"/>
            <w:rPr>
              <w:rFonts w:eastAsiaTheme="minorEastAsia"/>
              <w:spacing w:val="0"/>
              <w:kern w:val="2"/>
              <w:lang w:eastAsia="es-DO"/>
              <w14:ligatures w14:val="standardContextual"/>
            </w:rPr>
          </w:pPr>
          <w:hyperlink w:anchor="_Toc185275004" w:history="1">
            <w:r w:rsidRPr="00BC3E7B">
              <w:rPr>
                <w:rStyle w:val="Hipervnculo"/>
                <w:b/>
                <w:bCs/>
                <w:color w:val="767171"/>
              </w:rPr>
              <w:t>5.1</w:t>
            </w:r>
            <w:r w:rsidRPr="00BC3E7B">
              <w:rPr>
                <w:rFonts w:eastAsiaTheme="minorEastAsia"/>
                <w:spacing w:val="0"/>
                <w:kern w:val="2"/>
                <w:lang w:eastAsia="es-DO"/>
                <w14:ligatures w14:val="standardContextual"/>
              </w:rPr>
              <w:tab/>
            </w:r>
            <w:r w:rsidRPr="00BC3E7B">
              <w:rPr>
                <w:rStyle w:val="Hipervnculo"/>
                <w:b/>
                <w:color w:val="767171"/>
              </w:rPr>
              <w:t>Desempeño administrativo – financiero</w:t>
            </w:r>
            <w:r w:rsidRPr="00BC3E7B">
              <w:rPr>
                <w:webHidden/>
              </w:rPr>
              <w:tab/>
            </w:r>
            <w:r w:rsidRPr="00BC3E7B">
              <w:rPr>
                <w:webHidden/>
              </w:rPr>
              <w:fldChar w:fldCharType="begin"/>
            </w:r>
            <w:r w:rsidRPr="00BC3E7B">
              <w:rPr>
                <w:webHidden/>
              </w:rPr>
              <w:instrText xml:space="preserve"> PAGEREF _Toc185275004 \h </w:instrText>
            </w:r>
            <w:r w:rsidRPr="00BC3E7B">
              <w:rPr>
                <w:webHidden/>
              </w:rPr>
            </w:r>
            <w:r w:rsidRPr="00BC3E7B">
              <w:rPr>
                <w:webHidden/>
              </w:rPr>
              <w:fldChar w:fldCharType="separate"/>
            </w:r>
            <w:r w:rsidRPr="00BC3E7B">
              <w:rPr>
                <w:webHidden/>
              </w:rPr>
              <w:t>52</w:t>
            </w:r>
            <w:r w:rsidRPr="00BC3E7B">
              <w:rPr>
                <w:webHidden/>
              </w:rPr>
              <w:fldChar w:fldCharType="end"/>
            </w:r>
          </w:hyperlink>
        </w:p>
        <w:p w14:paraId="0A87CA50" w14:textId="729EDFD2" w:rsidR="00BC3E7B" w:rsidRPr="00BC3E7B" w:rsidRDefault="00BC3E7B">
          <w:pPr>
            <w:pStyle w:val="TDC2"/>
            <w:rPr>
              <w:rFonts w:eastAsiaTheme="minorEastAsia"/>
              <w:spacing w:val="0"/>
              <w:kern w:val="2"/>
              <w:lang w:eastAsia="es-DO"/>
              <w14:ligatures w14:val="standardContextual"/>
            </w:rPr>
          </w:pPr>
          <w:hyperlink w:anchor="_Toc185275005" w:history="1">
            <w:r w:rsidRPr="00BC3E7B">
              <w:rPr>
                <w:rStyle w:val="Hipervnculo"/>
                <w:b/>
                <w:bCs/>
                <w:color w:val="767171"/>
              </w:rPr>
              <w:t>5.2</w:t>
            </w:r>
            <w:r w:rsidRPr="00BC3E7B">
              <w:rPr>
                <w:rFonts w:eastAsiaTheme="minorEastAsia"/>
                <w:spacing w:val="0"/>
                <w:kern w:val="2"/>
                <w:lang w:eastAsia="es-DO"/>
                <w14:ligatures w14:val="standardContextual"/>
              </w:rPr>
              <w:tab/>
            </w:r>
            <w:r w:rsidRPr="00BC3E7B">
              <w:rPr>
                <w:rStyle w:val="Hipervnculo"/>
                <w:b/>
                <w:color w:val="767171"/>
              </w:rPr>
              <w:t>Desempeño de los Recursos Humanos</w:t>
            </w:r>
            <w:r w:rsidRPr="00BC3E7B">
              <w:rPr>
                <w:webHidden/>
              </w:rPr>
              <w:tab/>
            </w:r>
            <w:r w:rsidRPr="00BC3E7B">
              <w:rPr>
                <w:webHidden/>
              </w:rPr>
              <w:fldChar w:fldCharType="begin"/>
            </w:r>
            <w:r w:rsidRPr="00BC3E7B">
              <w:rPr>
                <w:webHidden/>
              </w:rPr>
              <w:instrText xml:space="preserve"> PAGEREF _Toc185275005 \h </w:instrText>
            </w:r>
            <w:r w:rsidRPr="00BC3E7B">
              <w:rPr>
                <w:webHidden/>
              </w:rPr>
            </w:r>
            <w:r w:rsidRPr="00BC3E7B">
              <w:rPr>
                <w:webHidden/>
              </w:rPr>
              <w:fldChar w:fldCharType="separate"/>
            </w:r>
            <w:r w:rsidRPr="00BC3E7B">
              <w:rPr>
                <w:webHidden/>
              </w:rPr>
              <w:t>56</w:t>
            </w:r>
            <w:r w:rsidRPr="00BC3E7B">
              <w:rPr>
                <w:webHidden/>
              </w:rPr>
              <w:fldChar w:fldCharType="end"/>
            </w:r>
          </w:hyperlink>
        </w:p>
        <w:p w14:paraId="16691191" w14:textId="28FB0952" w:rsidR="00BC3E7B" w:rsidRPr="00BC3E7B" w:rsidRDefault="00BC3E7B">
          <w:pPr>
            <w:pStyle w:val="TDC2"/>
            <w:rPr>
              <w:rFonts w:eastAsiaTheme="minorEastAsia"/>
              <w:spacing w:val="0"/>
              <w:kern w:val="2"/>
              <w:lang w:eastAsia="es-DO"/>
              <w14:ligatures w14:val="standardContextual"/>
            </w:rPr>
          </w:pPr>
          <w:hyperlink w:anchor="_Toc185275006" w:history="1">
            <w:r w:rsidRPr="00BC3E7B">
              <w:rPr>
                <w:rStyle w:val="Hipervnculo"/>
                <w:b/>
                <w:bCs/>
                <w:color w:val="767171"/>
              </w:rPr>
              <w:t>5.3</w:t>
            </w:r>
            <w:r w:rsidRPr="00BC3E7B">
              <w:rPr>
                <w:rFonts w:eastAsiaTheme="minorEastAsia"/>
                <w:spacing w:val="0"/>
                <w:kern w:val="2"/>
                <w:lang w:eastAsia="es-DO"/>
                <w14:ligatures w14:val="standardContextual"/>
              </w:rPr>
              <w:tab/>
            </w:r>
            <w:r w:rsidRPr="00BC3E7B">
              <w:rPr>
                <w:rStyle w:val="Hipervnculo"/>
                <w:b/>
                <w:color w:val="767171"/>
              </w:rPr>
              <w:t>Fortalecimiento de los Procesos Jurídicos</w:t>
            </w:r>
            <w:r w:rsidRPr="00BC3E7B">
              <w:rPr>
                <w:webHidden/>
              </w:rPr>
              <w:tab/>
            </w:r>
            <w:r w:rsidRPr="00BC3E7B">
              <w:rPr>
                <w:webHidden/>
              </w:rPr>
              <w:fldChar w:fldCharType="begin"/>
            </w:r>
            <w:r w:rsidRPr="00BC3E7B">
              <w:rPr>
                <w:webHidden/>
              </w:rPr>
              <w:instrText xml:space="preserve"> PAGEREF _Toc185275006 \h </w:instrText>
            </w:r>
            <w:r w:rsidRPr="00BC3E7B">
              <w:rPr>
                <w:webHidden/>
              </w:rPr>
            </w:r>
            <w:r w:rsidRPr="00BC3E7B">
              <w:rPr>
                <w:webHidden/>
              </w:rPr>
              <w:fldChar w:fldCharType="separate"/>
            </w:r>
            <w:r w:rsidRPr="00BC3E7B">
              <w:rPr>
                <w:webHidden/>
              </w:rPr>
              <w:t>59</w:t>
            </w:r>
            <w:r w:rsidRPr="00BC3E7B">
              <w:rPr>
                <w:webHidden/>
              </w:rPr>
              <w:fldChar w:fldCharType="end"/>
            </w:r>
          </w:hyperlink>
        </w:p>
        <w:p w14:paraId="57D3AB7C" w14:textId="21542E89" w:rsidR="00BC3E7B" w:rsidRPr="00BC3E7B" w:rsidRDefault="00BC3E7B">
          <w:pPr>
            <w:pStyle w:val="TDC2"/>
            <w:rPr>
              <w:rFonts w:eastAsiaTheme="minorEastAsia"/>
              <w:spacing w:val="0"/>
              <w:kern w:val="2"/>
              <w:lang w:eastAsia="es-DO"/>
              <w14:ligatures w14:val="standardContextual"/>
            </w:rPr>
          </w:pPr>
          <w:hyperlink w:anchor="_Toc185275007" w:history="1">
            <w:r w:rsidRPr="00BC3E7B">
              <w:rPr>
                <w:rStyle w:val="Hipervnculo"/>
                <w:b/>
                <w:bCs/>
                <w:color w:val="767171"/>
              </w:rPr>
              <w:t>5.4</w:t>
            </w:r>
            <w:r w:rsidRPr="00BC3E7B">
              <w:rPr>
                <w:rFonts w:eastAsiaTheme="minorEastAsia"/>
                <w:spacing w:val="0"/>
                <w:kern w:val="2"/>
                <w:lang w:eastAsia="es-DO"/>
                <w14:ligatures w14:val="standardContextual"/>
              </w:rPr>
              <w:tab/>
            </w:r>
            <w:r w:rsidRPr="00BC3E7B">
              <w:rPr>
                <w:rStyle w:val="Hipervnculo"/>
                <w:b/>
                <w:color w:val="767171"/>
              </w:rPr>
              <w:t>Desempeño de la Tecnología</w:t>
            </w:r>
            <w:r w:rsidRPr="00BC3E7B">
              <w:rPr>
                <w:webHidden/>
              </w:rPr>
              <w:tab/>
            </w:r>
            <w:r w:rsidRPr="00BC3E7B">
              <w:rPr>
                <w:webHidden/>
              </w:rPr>
              <w:fldChar w:fldCharType="begin"/>
            </w:r>
            <w:r w:rsidRPr="00BC3E7B">
              <w:rPr>
                <w:webHidden/>
              </w:rPr>
              <w:instrText xml:space="preserve"> PAGEREF _Toc185275007 \h </w:instrText>
            </w:r>
            <w:r w:rsidRPr="00BC3E7B">
              <w:rPr>
                <w:webHidden/>
              </w:rPr>
            </w:r>
            <w:r w:rsidRPr="00BC3E7B">
              <w:rPr>
                <w:webHidden/>
              </w:rPr>
              <w:fldChar w:fldCharType="separate"/>
            </w:r>
            <w:r w:rsidRPr="00BC3E7B">
              <w:rPr>
                <w:webHidden/>
              </w:rPr>
              <w:t>59</w:t>
            </w:r>
            <w:r w:rsidRPr="00BC3E7B">
              <w:rPr>
                <w:webHidden/>
              </w:rPr>
              <w:fldChar w:fldCharType="end"/>
            </w:r>
          </w:hyperlink>
        </w:p>
        <w:p w14:paraId="6E669CA5" w14:textId="2D723C8F" w:rsidR="00BC3E7B" w:rsidRPr="00BC3E7B" w:rsidRDefault="00BC3E7B">
          <w:pPr>
            <w:pStyle w:val="TDC2"/>
            <w:rPr>
              <w:rFonts w:eastAsiaTheme="minorEastAsia"/>
              <w:spacing w:val="0"/>
              <w:kern w:val="2"/>
              <w:lang w:eastAsia="es-DO"/>
              <w14:ligatures w14:val="standardContextual"/>
            </w:rPr>
          </w:pPr>
          <w:hyperlink w:anchor="_Toc185275008" w:history="1">
            <w:r w:rsidRPr="00BC3E7B">
              <w:rPr>
                <w:rStyle w:val="Hipervnculo"/>
                <w:b/>
                <w:bCs/>
                <w:color w:val="767171"/>
              </w:rPr>
              <w:t>5.5</w:t>
            </w:r>
            <w:r w:rsidRPr="00BC3E7B">
              <w:rPr>
                <w:rFonts w:eastAsiaTheme="minorEastAsia"/>
                <w:spacing w:val="0"/>
                <w:kern w:val="2"/>
                <w:lang w:eastAsia="es-DO"/>
                <w14:ligatures w14:val="standardContextual"/>
              </w:rPr>
              <w:tab/>
            </w:r>
            <w:r w:rsidRPr="00BC3E7B">
              <w:rPr>
                <w:rStyle w:val="Hipervnculo"/>
                <w:b/>
                <w:color w:val="767171"/>
              </w:rPr>
              <w:t>Desempeño del Sistema de Planificación y Desarrollo Institucional</w:t>
            </w:r>
            <w:r w:rsidRPr="00BC3E7B">
              <w:rPr>
                <w:webHidden/>
              </w:rPr>
              <w:tab/>
            </w:r>
            <w:r w:rsidRPr="00BC3E7B">
              <w:rPr>
                <w:webHidden/>
              </w:rPr>
              <w:fldChar w:fldCharType="begin"/>
            </w:r>
            <w:r w:rsidRPr="00BC3E7B">
              <w:rPr>
                <w:webHidden/>
              </w:rPr>
              <w:instrText xml:space="preserve"> PAGEREF _Toc185275008 \h </w:instrText>
            </w:r>
            <w:r w:rsidRPr="00BC3E7B">
              <w:rPr>
                <w:webHidden/>
              </w:rPr>
            </w:r>
            <w:r w:rsidRPr="00BC3E7B">
              <w:rPr>
                <w:webHidden/>
              </w:rPr>
              <w:fldChar w:fldCharType="separate"/>
            </w:r>
            <w:r w:rsidRPr="00BC3E7B">
              <w:rPr>
                <w:webHidden/>
              </w:rPr>
              <w:t>62</w:t>
            </w:r>
            <w:r w:rsidRPr="00BC3E7B">
              <w:rPr>
                <w:webHidden/>
              </w:rPr>
              <w:fldChar w:fldCharType="end"/>
            </w:r>
          </w:hyperlink>
        </w:p>
        <w:p w14:paraId="719455A8" w14:textId="499CC671" w:rsidR="00BC3E7B" w:rsidRPr="00BC3E7B" w:rsidRDefault="00BC3E7B">
          <w:pPr>
            <w:pStyle w:val="TDC2"/>
            <w:rPr>
              <w:rFonts w:eastAsiaTheme="minorEastAsia"/>
              <w:spacing w:val="0"/>
              <w:kern w:val="2"/>
              <w:lang w:eastAsia="es-DO"/>
              <w14:ligatures w14:val="standardContextual"/>
            </w:rPr>
          </w:pPr>
          <w:hyperlink w:anchor="_Toc185275009" w:history="1">
            <w:r w:rsidRPr="00BC3E7B">
              <w:rPr>
                <w:rStyle w:val="Hipervnculo"/>
                <w:b/>
                <w:bCs/>
                <w:color w:val="767171"/>
              </w:rPr>
              <w:t>5.6</w:t>
            </w:r>
            <w:r w:rsidRPr="00BC3E7B">
              <w:rPr>
                <w:rFonts w:eastAsiaTheme="minorEastAsia"/>
                <w:spacing w:val="0"/>
                <w:kern w:val="2"/>
                <w:lang w:eastAsia="es-DO"/>
                <w14:ligatures w14:val="standardContextual"/>
              </w:rPr>
              <w:tab/>
            </w:r>
            <w:r w:rsidRPr="00BC3E7B">
              <w:rPr>
                <w:rStyle w:val="Hipervnculo"/>
                <w:b/>
                <w:color w:val="767171"/>
              </w:rPr>
              <w:t>Desarrollo organizacional y Sistema de Gestión Integrado</w:t>
            </w:r>
            <w:r w:rsidRPr="00BC3E7B">
              <w:rPr>
                <w:webHidden/>
              </w:rPr>
              <w:tab/>
            </w:r>
            <w:r w:rsidRPr="00BC3E7B">
              <w:rPr>
                <w:webHidden/>
              </w:rPr>
              <w:fldChar w:fldCharType="begin"/>
            </w:r>
            <w:r w:rsidRPr="00BC3E7B">
              <w:rPr>
                <w:webHidden/>
              </w:rPr>
              <w:instrText xml:space="preserve"> PAGEREF _Toc185275009 \h </w:instrText>
            </w:r>
            <w:r w:rsidRPr="00BC3E7B">
              <w:rPr>
                <w:webHidden/>
              </w:rPr>
            </w:r>
            <w:r w:rsidRPr="00BC3E7B">
              <w:rPr>
                <w:webHidden/>
              </w:rPr>
              <w:fldChar w:fldCharType="separate"/>
            </w:r>
            <w:r w:rsidRPr="00BC3E7B">
              <w:rPr>
                <w:webHidden/>
              </w:rPr>
              <w:t>63</w:t>
            </w:r>
            <w:r w:rsidRPr="00BC3E7B">
              <w:rPr>
                <w:webHidden/>
              </w:rPr>
              <w:fldChar w:fldCharType="end"/>
            </w:r>
          </w:hyperlink>
        </w:p>
        <w:p w14:paraId="62A707A3" w14:textId="13D3EAB3" w:rsidR="00BC3E7B" w:rsidRPr="00BC3E7B" w:rsidRDefault="00BC3E7B">
          <w:pPr>
            <w:pStyle w:val="TDC2"/>
            <w:rPr>
              <w:rFonts w:eastAsiaTheme="minorEastAsia"/>
              <w:spacing w:val="0"/>
              <w:kern w:val="2"/>
              <w:lang w:eastAsia="es-DO"/>
              <w14:ligatures w14:val="standardContextual"/>
            </w:rPr>
          </w:pPr>
          <w:hyperlink w:anchor="_Toc185275010" w:history="1">
            <w:r w:rsidRPr="00BC3E7B">
              <w:rPr>
                <w:rStyle w:val="Hipervnculo"/>
                <w:b/>
                <w:bCs/>
                <w:color w:val="767171"/>
              </w:rPr>
              <w:t>5.7</w:t>
            </w:r>
            <w:r w:rsidRPr="00BC3E7B">
              <w:rPr>
                <w:rFonts w:eastAsiaTheme="minorEastAsia"/>
                <w:spacing w:val="0"/>
                <w:kern w:val="2"/>
                <w:lang w:eastAsia="es-DO"/>
                <w14:ligatures w14:val="standardContextual"/>
              </w:rPr>
              <w:tab/>
            </w:r>
            <w:r w:rsidRPr="00BC3E7B">
              <w:rPr>
                <w:rStyle w:val="Hipervnculo"/>
                <w:b/>
                <w:color w:val="767171"/>
              </w:rPr>
              <w:t>Desempeño en Materia Comunicacional</w:t>
            </w:r>
            <w:r w:rsidRPr="00BC3E7B">
              <w:rPr>
                <w:webHidden/>
              </w:rPr>
              <w:tab/>
            </w:r>
            <w:r w:rsidRPr="00BC3E7B">
              <w:rPr>
                <w:webHidden/>
              </w:rPr>
              <w:fldChar w:fldCharType="begin"/>
            </w:r>
            <w:r w:rsidRPr="00BC3E7B">
              <w:rPr>
                <w:webHidden/>
              </w:rPr>
              <w:instrText xml:space="preserve"> PAGEREF _Toc185275010 \h </w:instrText>
            </w:r>
            <w:r w:rsidRPr="00BC3E7B">
              <w:rPr>
                <w:webHidden/>
              </w:rPr>
            </w:r>
            <w:r w:rsidRPr="00BC3E7B">
              <w:rPr>
                <w:webHidden/>
              </w:rPr>
              <w:fldChar w:fldCharType="separate"/>
            </w:r>
            <w:r w:rsidRPr="00BC3E7B">
              <w:rPr>
                <w:webHidden/>
              </w:rPr>
              <w:t>70</w:t>
            </w:r>
            <w:r w:rsidRPr="00BC3E7B">
              <w:rPr>
                <w:webHidden/>
              </w:rPr>
              <w:fldChar w:fldCharType="end"/>
            </w:r>
          </w:hyperlink>
        </w:p>
        <w:p w14:paraId="3CDCF0ED" w14:textId="38457E1A" w:rsidR="00BC3E7B" w:rsidRPr="00BC3E7B" w:rsidRDefault="00BC3E7B">
          <w:pPr>
            <w:pStyle w:val="TDC2"/>
            <w:rPr>
              <w:rFonts w:eastAsiaTheme="minorEastAsia"/>
              <w:spacing w:val="0"/>
              <w:kern w:val="2"/>
              <w:lang w:eastAsia="es-DO"/>
              <w14:ligatures w14:val="standardContextual"/>
            </w:rPr>
          </w:pPr>
          <w:hyperlink w:anchor="_Toc185275011" w:history="1">
            <w:r w:rsidRPr="00BC3E7B">
              <w:rPr>
                <w:rStyle w:val="Hipervnculo"/>
                <w:b/>
                <w:bCs/>
                <w:color w:val="767171"/>
              </w:rPr>
              <w:t>5.8</w:t>
            </w:r>
            <w:r w:rsidRPr="00BC3E7B">
              <w:rPr>
                <w:rFonts w:eastAsiaTheme="minorEastAsia"/>
                <w:spacing w:val="0"/>
                <w:kern w:val="2"/>
                <w:lang w:eastAsia="es-DO"/>
                <w14:ligatures w14:val="standardContextual"/>
              </w:rPr>
              <w:tab/>
            </w:r>
            <w:r w:rsidRPr="00BC3E7B">
              <w:rPr>
                <w:rStyle w:val="Hipervnculo"/>
                <w:b/>
                <w:color w:val="767171"/>
              </w:rPr>
              <w:t>Infraestructura Física</w:t>
            </w:r>
            <w:r w:rsidRPr="00BC3E7B">
              <w:rPr>
                <w:webHidden/>
              </w:rPr>
              <w:tab/>
            </w:r>
            <w:r w:rsidRPr="00BC3E7B">
              <w:rPr>
                <w:webHidden/>
              </w:rPr>
              <w:fldChar w:fldCharType="begin"/>
            </w:r>
            <w:r w:rsidRPr="00BC3E7B">
              <w:rPr>
                <w:webHidden/>
              </w:rPr>
              <w:instrText xml:space="preserve"> PAGEREF _Toc185275011 \h </w:instrText>
            </w:r>
            <w:r w:rsidRPr="00BC3E7B">
              <w:rPr>
                <w:webHidden/>
              </w:rPr>
            </w:r>
            <w:r w:rsidRPr="00BC3E7B">
              <w:rPr>
                <w:webHidden/>
              </w:rPr>
              <w:fldChar w:fldCharType="separate"/>
            </w:r>
            <w:r w:rsidRPr="00BC3E7B">
              <w:rPr>
                <w:webHidden/>
              </w:rPr>
              <w:t>73</w:t>
            </w:r>
            <w:r w:rsidRPr="00BC3E7B">
              <w:rPr>
                <w:webHidden/>
              </w:rPr>
              <w:fldChar w:fldCharType="end"/>
            </w:r>
          </w:hyperlink>
        </w:p>
        <w:p w14:paraId="03137F7B" w14:textId="70D13FB9" w:rsidR="00BC3E7B" w:rsidRPr="00BC3E7B" w:rsidRDefault="00BC3E7B">
          <w:pPr>
            <w:pStyle w:val="TDC1"/>
            <w:tabs>
              <w:tab w:val="left" w:pos="720"/>
              <w:tab w:val="right" w:leader="dot" w:pos="9350"/>
            </w:tabs>
            <w:rPr>
              <w:rFonts w:ascii="Times New Roman" w:eastAsiaTheme="minorEastAsia" w:hAnsi="Times New Roman" w:cs="Times New Roman"/>
              <w:noProof/>
              <w:color w:val="767171"/>
              <w:kern w:val="2"/>
              <w:sz w:val="24"/>
              <w:szCs w:val="24"/>
              <w:lang w:eastAsia="es-DO"/>
              <w14:ligatures w14:val="standardContextual"/>
            </w:rPr>
          </w:pPr>
          <w:hyperlink w:anchor="_Toc185275012" w:history="1">
            <w:r w:rsidRPr="00BC3E7B">
              <w:rPr>
                <w:rStyle w:val="Hipervnculo"/>
                <w:rFonts w:ascii="Times New Roman" w:hAnsi="Times New Roman" w:cs="Times New Roman"/>
                <w:b/>
                <w:noProof/>
                <w:color w:val="767171"/>
                <w:sz w:val="24"/>
                <w:szCs w:val="24"/>
              </w:rPr>
              <w:t>VI.</w:t>
            </w:r>
            <w:r w:rsidRPr="00BC3E7B">
              <w:rPr>
                <w:rFonts w:ascii="Times New Roman" w:eastAsiaTheme="minorEastAsia" w:hAnsi="Times New Roman" w:cs="Times New Roman"/>
                <w:noProof/>
                <w:color w:val="767171"/>
                <w:kern w:val="2"/>
                <w:sz w:val="24"/>
                <w:szCs w:val="24"/>
                <w:lang w:eastAsia="es-DO"/>
                <w14:ligatures w14:val="standardContextual"/>
              </w:rPr>
              <w:tab/>
            </w:r>
            <w:r w:rsidRPr="00BC3E7B">
              <w:rPr>
                <w:rStyle w:val="Hipervnculo"/>
                <w:rFonts w:ascii="Times New Roman" w:hAnsi="Times New Roman" w:cs="Times New Roman"/>
                <w:b/>
                <w:noProof/>
                <w:color w:val="767171"/>
                <w:sz w:val="24"/>
                <w:szCs w:val="24"/>
              </w:rPr>
              <w:t>SERVICIO AL CIUDADANO Y TRANSPARENCIA INSTITUCIONAL</w:t>
            </w:r>
            <w:r w:rsidRPr="00BC3E7B">
              <w:rPr>
                <w:rFonts w:ascii="Times New Roman" w:hAnsi="Times New Roman" w:cs="Times New Roman"/>
                <w:noProof/>
                <w:webHidden/>
                <w:color w:val="767171"/>
                <w:sz w:val="24"/>
                <w:szCs w:val="24"/>
              </w:rPr>
              <w:tab/>
            </w:r>
            <w:r w:rsidRPr="00BC3E7B">
              <w:rPr>
                <w:rFonts w:ascii="Times New Roman" w:hAnsi="Times New Roman" w:cs="Times New Roman"/>
                <w:noProof/>
                <w:webHidden/>
                <w:color w:val="767171"/>
                <w:sz w:val="24"/>
                <w:szCs w:val="24"/>
              </w:rPr>
              <w:fldChar w:fldCharType="begin"/>
            </w:r>
            <w:r w:rsidRPr="00BC3E7B">
              <w:rPr>
                <w:rFonts w:ascii="Times New Roman" w:hAnsi="Times New Roman" w:cs="Times New Roman"/>
                <w:noProof/>
                <w:webHidden/>
                <w:color w:val="767171"/>
                <w:sz w:val="24"/>
                <w:szCs w:val="24"/>
              </w:rPr>
              <w:instrText xml:space="preserve"> PAGEREF _Toc185275012 \h </w:instrText>
            </w:r>
            <w:r w:rsidRPr="00BC3E7B">
              <w:rPr>
                <w:rFonts w:ascii="Times New Roman" w:hAnsi="Times New Roman" w:cs="Times New Roman"/>
                <w:noProof/>
                <w:webHidden/>
                <w:color w:val="767171"/>
                <w:sz w:val="24"/>
                <w:szCs w:val="24"/>
              </w:rPr>
            </w:r>
            <w:r w:rsidRPr="00BC3E7B">
              <w:rPr>
                <w:rFonts w:ascii="Times New Roman" w:hAnsi="Times New Roman" w:cs="Times New Roman"/>
                <w:noProof/>
                <w:webHidden/>
                <w:color w:val="767171"/>
                <w:sz w:val="24"/>
                <w:szCs w:val="24"/>
              </w:rPr>
              <w:fldChar w:fldCharType="separate"/>
            </w:r>
            <w:r w:rsidRPr="00BC3E7B">
              <w:rPr>
                <w:rFonts w:ascii="Times New Roman" w:hAnsi="Times New Roman" w:cs="Times New Roman"/>
                <w:noProof/>
                <w:webHidden/>
                <w:color w:val="767171"/>
                <w:sz w:val="24"/>
                <w:szCs w:val="24"/>
              </w:rPr>
              <w:t>75</w:t>
            </w:r>
            <w:r w:rsidRPr="00BC3E7B">
              <w:rPr>
                <w:rFonts w:ascii="Times New Roman" w:hAnsi="Times New Roman" w:cs="Times New Roman"/>
                <w:noProof/>
                <w:webHidden/>
                <w:color w:val="767171"/>
                <w:sz w:val="24"/>
                <w:szCs w:val="24"/>
              </w:rPr>
              <w:fldChar w:fldCharType="end"/>
            </w:r>
          </w:hyperlink>
        </w:p>
        <w:p w14:paraId="1E0E3AD2" w14:textId="5BF10AAE" w:rsidR="00BC3E7B" w:rsidRPr="00BC3E7B" w:rsidRDefault="00BC3E7B">
          <w:pPr>
            <w:pStyle w:val="TDC2"/>
            <w:rPr>
              <w:rFonts w:eastAsiaTheme="minorEastAsia"/>
              <w:spacing w:val="0"/>
              <w:kern w:val="2"/>
              <w:lang w:eastAsia="es-DO"/>
              <w14:ligatures w14:val="standardContextual"/>
            </w:rPr>
          </w:pPr>
          <w:hyperlink w:anchor="_Toc185275013" w:history="1">
            <w:r w:rsidRPr="00BC3E7B">
              <w:rPr>
                <w:rStyle w:val="Hipervnculo"/>
                <w:b/>
                <w:bCs/>
                <w:color w:val="767171"/>
              </w:rPr>
              <w:t>6.1</w:t>
            </w:r>
            <w:r w:rsidRPr="00BC3E7B">
              <w:rPr>
                <w:rFonts w:eastAsiaTheme="minorEastAsia"/>
                <w:spacing w:val="0"/>
                <w:kern w:val="2"/>
                <w:lang w:eastAsia="es-DO"/>
                <w14:ligatures w14:val="standardContextual"/>
              </w:rPr>
              <w:tab/>
            </w:r>
            <w:r w:rsidRPr="00BC3E7B">
              <w:rPr>
                <w:rStyle w:val="Hipervnculo"/>
                <w:b/>
                <w:color w:val="767171"/>
              </w:rPr>
              <w:t>Nivel de cumplimiento Acceso a la Información</w:t>
            </w:r>
            <w:r w:rsidRPr="00BC3E7B">
              <w:rPr>
                <w:webHidden/>
              </w:rPr>
              <w:tab/>
            </w:r>
            <w:r w:rsidRPr="00BC3E7B">
              <w:rPr>
                <w:webHidden/>
              </w:rPr>
              <w:fldChar w:fldCharType="begin"/>
            </w:r>
            <w:r w:rsidRPr="00BC3E7B">
              <w:rPr>
                <w:webHidden/>
              </w:rPr>
              <w:instrText xml:space="preserve"> PAGEREF _Toc185275013 \h </w:instrText>
            </w:r>
            <w:r w:rsidRPr="00BC3E7B">
              <w:rPr>
                <w:webHidden/>
              </w:rPr>
            </w:r>
            <w:r w:rsidRPr="00BC3E7B">
              <w:rPr>
                <w:webHidden/>
              </w:rPr>
              <w:fldChar w:fldCharType="separate"/>
            </w:r>
            <w:r w:rsidRPr="00BC3E7B">
              <w:rPr>
                <w:webHidden/>
              </w:rPr>
              <w:t>75</w:t>
            </w:r>
            <w:r w:rsidRPr="00BC3E7B">
              <w:rPr>
                <w:webHidden/>
              </w:rPr>
              <w:fldChar w:fldCharType="end"/>
            </w:r>
          </w:hyperlink>
        </w:p>
        <w:p w14:paraId="22F3596B" w14:textId="3B7D9E90" w:rsidR="00BC3E7B" w:rsidRPr="00BC3E7B" w:rsidRDefault="00BC3E7B">
          <w:pPr>
            <w:pStyle w:val="TDC2"/>
            <w:rPr>
              <w:rFonts w:eastAsiaTheme="minorEastAsia"/>
              <w:spacing w:val="0"/>
              <w:kern w:val="2"/>
              <w:lang w:eastAsia="es-DO"/>
              <w14:ligatures w14:val="standardContextual"/>
            </w:rPr>
          </w:pPr>
          <w:hyperlink w:anchor="_Toc185275014" w:history="1">
            <w:r w:rsidRPr="00BC3E7B">
              <w:rPr>
                <w:rStyle w:val="Hipervnculo"/>
                <w:b/>
                <w:bCs/>
                <w:color w:val="767171"/>
              </w:rPr>
              <w:t>6.2</w:t>
            </w:r>
            <w:r w:rsidRPr="00BC3E7B">
              <w:rPr>
                <w:rFonts w:eastAsiaTheme="minorEastAsia"/>
                <w:spacing w:val="0"/>
                <w:kern w:val="2"/>
                <w:lang w:eastAsia="es-DO"/>
                <w14:ligatures w14:val="standardContextual"/>
              </w:rPr>
              <w:tab/>
            </w:r>
            <w:r w:rsidRPr="00BC3E7B">
              <w:rPr>
                <w:rStyle w:val="Hipervnculo"/>
                <w:b/>
                <w:color w:val="767171"/>
              </w:rPr>
              <w:t>Resultados de Sistema de Quejas, Reclamos y sugerencias</w:t>
            </w:r>
            <w:r w:rsidRPr="00BC3E7B">
              <w:rPr>
                <w:webHidden/>
              </w:rPr>
              <w:tab/>
            </w:r>
            <w:r w:rsidRPr="00BC3E7B">
              <w:rPr>
                <w:webHidden/>
              </w:rPr>
              <w:fldChar w:fldCharType="begin"/>
            </w:r>
            <w:r w:rsidRPr="00BC3E7B">
              <w:rPr>
                <w:webHidden/>
              </w:rPr>
              <w:instrText xml:space="preserve"> PAGEREF _Toc185275014 \h </w:instrText>
            </w:r>
            <w:r w:rsidRPr="00BC3E7B">
              <w:rPr>
                <w:webHidden/>
              </w:rPr>
            </w:r>
            <w:r w:rsidRPr="00BC3E7B">
              <w:rPr>
                <w:webHidden/>
              </w:rPr>
              <w:fldChar w:fldCharType="separate"/>
            </w:r>
            <w:r w:rsidRPr="00BC3E7B">
              <w:rPr>
                <w:webHidden/>
              </w:rPr>
              <w:t>75</w:t>
            </w:r>
            <w:r w:rsidRPr="00BC3E7B">
              <w:rPr>
                <w:webHidden/>
              </w:rPr>
              <w:fldChar w:fldCharType="end"/>
            </w:r>
          </w:hyperlink>
        </w:p>
        <w:p w14:paraId="6CBA2128" w14:textId="7C663ACA" w:rsidR="00BC3E7B" w:rsidRPr="00BC3E7B" w:rsidRDefault="00BC3E7B">
          <w:pPr>
            <w:pStyle w:val="TDC2"/>
            <w:rPr>
              <w:rFonts w:eastAsiaTheme="minorEastAsia"/>
              <w:spacing w:val="0"/>
              <w:kern w:val="2"/>
              <w:lang w:eastAsia="es-DO"/>
              <w14:ligatures w14:val="standardContextual"/>
            </w:rPr>
          </w:pPr>
          <w:hyperlink w:anchor="_Toc185275015" w:history="1">
            <w:r w:rsidRPr="00BC3E7B">
              <w:rPr>
                <w:rStyle w:val="Hipervnculo"/>
                <w:b/>
                <w:bCs/>
                <w:color w:val="767171"/>
              </w:rPr>
              <w:t>6.3</w:t>
            </w:r>
            <w:r w:rsidRPr="00BC3E7B">
              <w:rPr>
                <w:rFonts w:eastAsiaTheme="minorEastAsia"/>
                <w:spacing w:val="0"/>
                <w:kern w:val="2"/>
                <w:lang w:eastAsia="es-DO"/>
                <w14:ligatures w14:val="standardContextual"/>
              </w:rPr>
              <w:tab/>
            </w:r>
            <w:r w:rsidRPr="00BC3E7B">
              <w:rPr>
                <w:rStyle w:val="Hipervnculo"/>
                <w:b/>
                <w:color w:val="767171"/>
              </w:rPr>
              <w:t>Resultados de mediciones del Portal de transparencia</w:t>
            </w:r>
            <w:r w:rsidRPr="00BC3E7B">
              <w:rPr>
                <w:webHidden/>
              </w:rPr>
              <w:tab/>
            </w:r>
            <w:r w:rsidRPr="00BC3E7B">
              <w:rPr>
                <w:webHidden/>
              </w:rPr>
              <w:fldChar w:fldCharType="begin"/>
            </w:r>
            <w:r w:rsidRPr="00BC3E7B">
              <w:rPr>
                <w:webHidden/>
              </w:rPr>
              <w:instrText xml:space="preserve"> PAGEREF _Toc185275015 \h </w:instrText>
            </w:r>
            <w:r w:rsidRPr="00BC3E7B">
              <w:rPr>
                <w:webHidden/>
              </w:rPr>
            </w:r>
            <w:r w:rsidRPr="00BC3E7B">
              <w:rPr>
                <w:webHidden/>
              </w:rPr>
              <w:fldChar w:fldCharType="separate"/>
            </w:r>
            <w:r w:rsidRPr="00BC3E7B">
              <w:rPr>
                <w:webHidden/>
              </w:rPr>
              <w:t>75</w:t>
            </w:r>
            <w:r w:rsidRPr="00BC3E7B">
              <w:rPr>
                <w:webHidden/>
              </w:rPr>
              <w:fldChar w:fldCharType="end"/>
            </w:r>
          </w:hyperlink>
        </w:p>
        <w:p w14:paraId="3B96D9B7" w14:textId="0FE66406" w:rsidR="00BC3E7B" w:rsidRPr="00BC3E7B" w:rsidRDefault="00BC3E7B">
          <w:pPr>
            <w:pStyle w:val="TDC1"/>
            <w:tabs>
              <w:tab w:val="left" w:pos="720"/>
              <w:tab w:val="right" w:leader="dot" w:pos="9350"/>
            </w:tabs>
            <w:rPr>
              <w:rFonts w:ascii="Times New Roman" w:eastAsiaTheme="minorEastAsia" w:hAnsi="Times New Roman" w:cs="Times New Roman"/>
              <w:noProof/>
              <w:color w:val="767171"/>
              <w:kern w:val="2"/>
              <w:sz w:val="24"/>
              <w:szCs w:val="24"/>
              <w:lang w:eastAsia="es-DO"/>
              <w14:ligatures w14:val="standardContextual"/>
            </w:rPr>
          </w:pPr>
          <w:hyperlink w:anchor="_Toc185275016" w:history="1">
            <w:r w:rsidRPr="00BC3E7B">
              <w:rPr>
                <w:rStyle w:val="Hipervnculo"/>
                <w:rFonts w:ascii="Times New Roman" w:hAnsi="Times New Roman" w:cs="Times New Roman"/>
                <w:b/>
                <w:noProof/>
                <w:color w:val="767171"/>
                <w:sz w:val="24"/>
                <w:szCs w:val="24"/>
              </w:rPr>
              <w:t>VII.</w:t>
            </w:r>
            <w:r w:rsidRPr="00BC3E7B">
              <w:rPr>
                <w:rFonts w:ascii="Times New Roman" w:eastAsiaTheme="minorEastAsia" w:hAnsi="Times New Roman" w:cs="Times New Roman"/>
                <w:noProof/>
                <w:color w:val="767171"/>
                <w:kern w:val="2"/>
                <w:sz w:val="24"/>
                <w:szCs w:val="24"/>
                <w:lang w:eastAsia="es-DO"/>
                <w14:ligatures w14:val="standardContextual"/>
              </w:rPr>
              <w:tab/>
            </w:r>
            <w:r w:rsidRPr="00BC3E7B">
              <w:rPr>
                <w:rStyle w:val="Hipervnculo"/>
                <w:rFonts w:ascii="Times New Roman" w:hAnsi="Times New Roman" w:cs="Times New Roman"/>
                <w:b/>
                <w:noProof/>
                <w:color w:val="767171"/>
                <w:sz w:val="24"/>
                <w:szCs w:val="24"/>
              </w:rPr>
              <w:t>PROYECCIONES AL PRÓXIMO AÑO</w:t>
            </w:r>
            <w:r w:rsidRPr="00BC3E7B">
              <w:rPr>
                <w:rFonts w:ascii="Times New Roman" w:hAnsi="Times New Roman" w:cs="Times New Roman"/>
                <w:noProof/>
                <w:webHidden/>
                <w:color w:val="767171"/>
                <w:sz w:val="24"/>
                <w:szCs w:val="24"/>
              </w:rPr>
              <w:tab/>
            </w:r>
            <w:r w:rsidRPr="00BC3E7B">
              <w:rPr>
                <w:rFonts w:ascii="Times New Roman" w:hAnsi="Times New Roman" w:cs="Times New Roman"/>
                <w:noProof/>
                <w:webHidden/>
                <w:color w:val="767171"/>
                <w:sz w:val="24"/>
                <w:szCs w:val="24"/>
              </w:rPr>
              <w:fldChar w:fldCharType="begin"/>
            </w:r>
            <w:r w:rsidRPr="00BC3E7B">
              <w:rPr>
                <w:rFonts w:ascii="Times New Roman" w:hAnsi="Times New Roman" w:cs="Times New Roman"/>
                <w:noProof/>
                <w:webHidden/>
                <w:color w:val="767171"/>
                <w:sz w:val="24"/>
                <w:szCs w:val="24"/>
              </w:rPr>
              <w:instrText xml:space="preserve"> PAGEREF _Toc185275016 \h </w:instrText>
            </w:r>
            <w:r w:rsidRPr="00BC3E7B">
              <w:rPr>
                <w:rFonts w:ascii="Times New Roman" w:hAnsi="Times New Roman" w:cs="Times New Roman"/>
                <w:noProof/>
                <w:webHidden/>
                <w:color w:val="767171"/>
                <w:sz w:val="24"/>
                <w:szCs w:val="24"/>
              </w:rPr>
            </w:r>
            <w:r w:rsidRPr="00BC3E7B">
              <w:rPr>
                <w:rFonts w:ascii="Times New Roman" w:hAnsi="Times New Roman" w:cs="Times New Roman"/>
                <w:noProof/>
                <w:webHidden/>
                <w:color w:val="767171"/>
                <w:sz w:val="24"/>
                <w:szCs w:val="24"/>
              </w:rPr>
              <w:fldChar w:fldCharType="separate"/>
            </w:r>
            <w:r w:rsidRPr="00BC3E7B">
              <w:rPr>
                <w:rFonts w:ascii="Times New Roman" w:hAnsi="Times New Roman" w:cs="Times New Roman"/>
                <w:noProof/>
                <w:webHidden/>
                <w:color w:val="767171"/>
                <w:sz w:val="24"/>
                <w:szCs w:val="24"/>
              </w:rPr>
              <w:t>77</w:t>
            </w:r>
            <w:r w:rsidRPr="00BC3E7B">
              <w:rPr>
                <w:rFonts w:ascii="Times New Roman" w:hAnsi="Times New Roman" w:cs="Times New Roman"/>
                <w:noProof/>
                <w:webHidden/>
                <w:color w:val="767171"/>
                <w:sz w:val="24"/>
                <w:szCs w:val="24"/>
              </w:rPr>
              <w:fldChar w:fldCharType="end"/>
            </w:r>
          </w:hyperlink>
        </w:p>
        <w:p w14:paraId="252B27C2" w14:textId="06A666C6" w:rsidR="00BC3E7B" w:rsidRPr="00BC3E7B" w:rsidRDefault="00BC3E7B">
          <w:pPr>
            <w:pStyle w:val="TDC2"/>
            <w:rPr>
              <w:rFonts w:eastAsiaTheme="minorEastAsia"/>
              <w:spacing w:val="0"/>
              <w:kern w:val="2"/>
              <w:lang w:eastAsia="es-DO"/>
              <w14:ligatures w14:val="standardContextual"/>
            </w:rPr>
          </w:pPr>
          <w:hyperlink w:anchor="_Toc185275017" w:history="1">
            <w:r w:rsidRPr="00BC3E7B">
              <w:rPr>
                <w:rStyle w:val="Hipervnculo"/>
                <w:b/>
                <w:bCs/>
                <w:color w:val="767171"/>
              </w:rPr>
              <w:t>7.1</w:t>
            </w:r>
            <w:r w:rsidRPr="00BC3E7B">
              <w:rPr>
                <w:rFonts w:eastAsiaTheme="minorEastAsia"/>
                <w:spacing w:val="0"/>
                <w:kern w:val="2"/>
                <w:lang w:eastAsia="es-DO"/>
                <w14:ligatures w14:val="standardContextual"/>
              </w:rPr>
              <w:tab/>
            </w:r>
            <w:r w:rsidRPr="00BC3E7B">
              <w:rPr>
                <w:rStyle w:val="Hipervnculo"/>
                <w:b/>
                <w:color w:val="767171"/>
              </w:rPr>
              <w:t>Proyecciones de programas y proyectos para el 2025</w:t>
            </w:r>
            <w:r w:rsidRPr="00BC3E7B">
              <w:rPr>
                <w:webHidden/>
              </w:rPr>
              <w:tab/>
            </w:r>
            <w:r w:rsidRPr="00BC3E7B">
              <w:rPr>
                <w:webHidden/>
              </w:rPr>
              <w:fldChar w:fldCharType="begin"/>
            </w:r>
            <w:r w:rsidRPr="00BC3E7B">
              <w:rPr>
                <w:webHidden/>
              </w:rPr>
              <w:instrText xml:space="preserve"> PAGEREF _Toc185275017 \h </w:instrText>
            </w:r>
            <w:r w:rsidRPr="00BC3E7B">
              <w:rPr>
                <w:webHidden/>
              </w:rPr>
            </w:r>
            <w:r w:rsidRPr="00BC3E7B">
              <w:rPr>
                <w:webHidden/>
              </w:rPr>
              <w:fldChar w:fldCharType="separate"/>
            </w:r>
            <w:r w:rsidRPr="00BC3E7B">
              <w:rPr>
                <w:webHidden/>
              </w:rPr>
              <w:t>77</w:t>
            </w:r>
            <w:r w:rsidRPr="00BC3E7B">
              <w:rPr>
                <w:webHidden/>
              </w:rPr>
              <w:fldChar w:fldCharType="end"/>
            </w:r>
          </w:hyperlink>
        </w:p>
        <w:p w14:paraId="03A114FF" w14:textId="58437367" w:rsidR="00BC3E7B" w:rsidRPr="00BC3E7B" w:rsidRDefault="00BC3E7B">
          <w:pPr>
            <w:pStyle w:val="TDC1"/>
            <w:tabs>
              <w:tab w:val="left" w:pos="720"/>
              <w:tab w:val="right" w:leader="dot" w:pos="9350"/>
            </w:tabs>
            <w:rPr>
              <w:rFonts w:ascii="Times New Roman" w:eastAsiaTheme="minorEastAsia" w:hAnsi="Times New Roman" w:cs="Times New Roman"/>
              <w:noProof/>
              <w:color w:val="767171"/>
              <w:kern w:val="2"/>
              <w:sz w:val="24"/>
              <w:szCs w:val="24"/>
              <w:lang w:eastAsia="es-DO"/>
              <w14:ligatures w14:val="standardContextual"/>
            </w:rPr>
          </w:pPr>
          <w:hyperlink w:anchor="_Toc185275018" w:history="1">
            <w:r w:rsidRPr="00BC3E7B">
              <w:rPr>
                <w:rStyle w:val="Hipervnculo"/>
                <w:rFonts w:ascii="Times New Roman" w:hAnsi="Times New Roman" w:cs="Times New Roman"/>
                <w:b/>
                <w:noProof/>
                <w:color w:val="767171"/>
                <w:sz w:val="24"/>
                <w:szCs w:val="24"/>
              </w:rPr>
              <w:t>VIII.</w:t>
            </w:r>
            <w:r w:rsidRPr="00BC3E7B">
              <w:rPr>
                <w:rFonts w:ascii="Times New Roman" w:eastAsiaTheme="minorEastAsia" w:hAnsi="Times New Roman" w:cs="Times New Roman"/>
                <w:noProof/>
                <w:color w:val="767171"/>
                <w:kern w:val="2"/>
                <w:sz w:val="24"/>
                <w:szCs w:val="24"/>
                <w:lang w:eastAsia="es-DO"/>
                <w14:ligatures w14:val="standardContextual"/>
              </w:rPr>
              <w:tab/>
            </w:r>
            <w:r w:rsidRPr="00BC3E7B">
              <w:rPr>
                <w:rStyle w:val="Hipervnculo"/>
                <w:rFonts w:ascii="Times New Roman" w:hAnsi="Times New Roman" w:cs="Times New Roman"/>
                <w:b/>
                <w:noProof/>
                <w:color w:val="767171"/>
                <w:sz w:val="24"/>
                <w:szCs w:val="24"/>
              </w:rPr>
              <w:t>ANEXOS</w:t>
            </w:r>
            <w:r w:rsidRPr="00BC3E7B">
              <w:rPr>
                <w:rFonts w:ascii="Times New Roman" w:hAnsi="Times New Roman" w:cs="Times New Roman"/>
                <w:noProof/>
                <w:webHidden/>
                <w:color w:val="767171"/>
                <w:sz w:val="24"/>
                <w:szCs w:val="24"/>
              </w:rPr>
              <w:tab/>
            </w:r>
            <w:r w:rsidRPr="00BC3E7B">
              <w:rPr>
                <w:rFonts w:ascii="Times New Roman" w:hAnsi="Times New Roman" w:cs="Times New Roman"/>
                <w:noProof/>
                <w:webHidden/>
                <w:color w:val="767171"/>
                <w:sz w:val="24"/>
                <w:szCs w:val="24"/>
              </w:rPr>
              <w:fldChar w:fldCharType="begin"/>
            </w:r>
            <w:r w:rsidRPr="00BC3E7B">
              <w:rPr>
                <w:rFonts w:ascii="Times New Roman" w:hAnsi="Times New Roman" w:cs="Times New Roman"/>
                <w:noProof/>
                <w:webHidden/>
                <w:color w:val="767171"/>
                <w:sz w:val="24"/>
                <w:szCs w:val="24"/>
              </w:rPr>
              <w:instrText xml:space="preserve"> PAGEREF _Toc185275018 \h </w:instrText>
            </w:r>
            <w:r w:rsidRPr="00BC3E7B">
              <w:rPr>
                <w:rFonts w:ascii="Times New Roman" w:hAnsi="Times New Roman" w:cs="Times New Roman"/>
                <w:noProof/>
                <w:webHidden/>
                <w:color w:val="767171"/>
                <w:sz w:val="24"/>
                <w:szCs w:val="24"/>
              </w:rPr>
            </w:r>
            <w:r w:rsidRPr="00BC3E7B">
              <w:rPr>
                <w:rFonts w:ascii="Times New Roman" w:hAnsi="Times New Roman" w:cs="Times New Roman"/>
                <w:noProof/>
                <w:webHidden/>
                <w:color w:val="767171"/>
                <w:sz w:val="24"/>
                <w:szCs w:val="24"/>
              </w:rPr>
              <w:fldChar w:fldCharType="separate"/>
            </w:r>
            <w:r w:rsidRPr="00BC3E7B">
              <w:rPr>
                <w:rFonts w:ascii="Times New Roman" w:hAnsi="Times New Roman" w:cs="Times New Roman"/>
                <w:noProof/>
                <w:webHidden/>
                <w:color w:val="767171"/>
                <w:sz w:val="24"/>
                <w:szCs w:val="24"/>
              </w:rPr>
              <w:t>79</w:t>
            </w:r>
            <w:r w:rsidRPr="00BC3E7B">
              <w:rPr>
                <w:rFonts w:ascii="Times New Roman" w:hAnsi="Times New Roman" w:cs="Times New Roman"/>
                <w:noProof/>
                <w:webHidden/>
                <w:color w:val="767171"/>
                <w:sz w:val="24"/>
                <w:szCs w:val="24"/>
              </w:rPr>
              <w:fldChar w:fldCharType="end"/>
            </w:r>
          </w:hyperlink>
        </w:p>
        <w:p w14:paraId="55AF341B" w14:textId="4AFA36EA" w:rsidR="00BC3E7B" w:rsidRPr="00BC3E7B" w:rsidRDefault="00BC3E7B">
          <w:pPr>
            <w:pStyle w:val="TDC2"/>
            <w:rPr>
              <w:rFonts w:eastAsiaTheme="minorEastAsia"/>
              <w:spacing w:val="0"/>
              <w:kern w:val="2"/>
              <w:lang w:eastAsia="es-DO"/>
              <w14:ligatures w14:val="standardContextual"/>
            </w:rPr>
          </w:pPr>
          <w:hyperlink w:anchor="_Toc185275020" w:history="1">
            <w:r w:rsidRPr="00BC3E7B">
              <w:rPr>
                <w:rStyle w:val="Hipervnculo"/>
                <w:b/>
                <w:bCs/>
                <w:color w:val="767171"/>
              </w:rPr>
              <w:t>8.1</w:t>
            </w:r>
            <w:r w:rsidRPr="00BC3E7B">
              <w:rPr>
                <w:rFonts w:eastAsiaTheme="minorEastAsia"/>
                <w:spacing w:val="0"/>
                <w:kern w:val="2"/>
                <w:lang w:eastAsia="es-DO"/>
                <w14:ligatures w14:val="standardContextual"/>
              </w:rPr>
              <w:tab/>
            </w:r>
            <w:r w:rsidRPr="00BC3E7B">
              <w:rPr>
                <w:rStyle w:val="Hipervnculo"/>
                <w:b/>
                <w:color w:val="767171"/>
              </w:rPr>
              <w:t>Matriz Logros Relevantes – Ejecución Trimestral - Datos Cuantitativos.</w:t>
            </w:r>
            <w:r w:rsidRPr="00BC3E7B">
              <w:rPr>
                <w:webHidden/>
              </w:rPr>
              <w:tab/>
            </w:r>
            <w:r w:rsidRPr="00BC3E7B">
              <w:rPr>
                <w:webHidden/>
              </w:rPr>
              <w:fldChar w:fldCharType="begin"/>
            </w:r>
            <w:r w:rsidRPr="00BC3E7B">
              <w:rPr>
                <w:webHidden/>
              </w:rPr>
              <w:instrText xml:space="preserve"> PAGEREF _Toc185275020 \h </w:instrText>
            </w:r>
            <w:r w:rsidRPr="00BC3E7B">
              <w:rPr>
                <w:webHidden/>
              </w:rPr>
            </w:r>
            <w:r w:rsidRPr="00BC3E7B">
              <w:rPr>
                <w:webHidden/>
              </w:rPr>
              <w:fldChar w:fldCharType="separate"/>
            </w:r>
            <w:r w:rsidRPr="00BC3E7B">
              <w:rPr>
                <w:webHidden/>
              </w:rPr>
              <w:t>79</w:t>
            </w:r>
            <w:r w:rsidRPr="00BC3E7B">
              <w:rPr>
                <w:webHidden/>
              </w:rPr>
              <w:fldChar w:fldCharType="end"/>
            </w:r>
          </w:hyperlink>
        </w:p>
        <w:p w14:paraId="3D6ED5DD" w14:textId="636DF45E" w:rsidR="00BC3E7B" w:rsidRPr="00BC3E7B" w:rsidRDefault="00BC3E7B">
          <w:pPr>
            <w:pStyle w:val="TDC2"/>
            <w:rPr>
              <w:rFonts w:eastAsiaTheme="minorEastAsia"/>
              <w:spacing w:val="0"/>
              <w:kern w:val="2"/>
              <w:lang w:eastAsia="es-DO"/>
              <w14:ligatures w14:val="standardContextual"/>
            </w:rPr>
          </w:pPr>
          <w:hyperlink w:anchor="_Toc185275021" w:history="1">
            <w:r w:rsidRPr="00BC3E7B">
              <w:rPr>
                <w:rStyle w:val="Hipervnculo"/>
                <w:b/>
                <w:bCs/>
                <w:color w:val="767171"/>
              </w:rPr>
              <w:t>8.2</w:t>
            </w:r>
            <w:r w:rsidRPr="00BC3E7B">
              <w:rPr>
                <w:rFonts w:eastAsiaTheme="minorEastAsia"/>
                <w:spacing w:val="0"/>
                <w:kern w:val="2"/>
                <w:lang w:eastAsia="es-DO"/>
                <w14:ligatures w14:val="standardContextual"/>
              </w:rPr>
              <w:tab/>
            </w:r>
            <w:r w:rsidRPr="00BC3E7B">
              <w:rPr>
                <w:rStyle w:val="Hipervnculo"/>
                <w:b/>
                <w:color w:val="767171"/>
              </w:rPr>
              <w:t>Matriz de Gestión Presupuestaria Anual</w:t>
            </w:r>
            <w:r w:rsidRPr="00BC3E7B">
              <w:rPr>
                <w:webHidden/>
              </w:rPr>
              <w:tab/>
            </w:r>
            <w:r w:rsidRPr="00BC3E7B">
              <w:rPr>
                <w:webHidden/>
              </w:rPr>
              <w:fldChar w:fldCharType="begin"/>
            </w:r>
            <w:r w:rsidRPr="00BC3E7B">
              <w:rPr>
                <w:webHidden/>
              </w:rPr>
              <w:instrText xml:space="preserve"> PAGEREF _Toc185275021 \h </w:instrText>
            </w:r>
            <w:r w:rsidRPr="00BC3E7B">
              <w:rPr>
                <w:webHidden/>
              </w:rPr>
            </w:r>
            <w:r w:rsidRPr="00BC3E7B">
              <w:rPr>
                <w:webHidden/>
              </w:rPr>
              <w:fldChar w:fldCharType="separate"/>
            </w:r>
            <w:r w:rsidRPr="00BC3E7B">
              <w:rPr>
                <w:webHidden/>
              </w:rPr>
              <w:t>82</w:t>
            </w:r>
            <w:r w:rsidRPr="00BC3E7B">
              <w:rPr>
                <w:webHidden/>
              </w:rPr>
              <w:fldChar w:fldCharType="end"/>
            </w:r>
          </w:hyperlink>
        </w:p>
        <w:p w14:paraId="600F41E5" w14:textId="65A69C6E" w:rsidR="00BC3E7B" w:rsidRPr="00BC3E7B" w:rsidRDefault="00BC3E7B">
          <w:pPr>
            <w:pStyle w:val="TDC2"/>
            <w:rPr>
              <w:rFonts w:eastAsiaTheme="minorEastAsia"/>
              <w:spacing w:val="0"/>
              <w:kern w:val="2"/>
              <w:lang w:eastAsia="es-DO"/>
              <w14:ligatures w14:val="standardContextual"/>
            </w:rPr>
          </w:pPr>
          <w:hyperlink w:anchor="_Toc185275022" w:history="1">
            <w:r w:rsidRPr="00BC3E7B">
              <w:rPr>
                <w:rStyle w:val="Hipervnculo"/>
                <w:b/>
                <w:bCs/>
                <w:color w:val="767171"/>
              </w:rPr>
              <w:t>8.3</w:t>
            </w:r>
            <w:r w:rsidRPr="00BC3E7B">
              <w:rPr>
                <w:rFonts w:eastAsiaTheme="minorEastAsia"/>
                <w:spacing w:val="0"/>
                <w:kern w:val="2"/>
                <w:lang w:eastAsia="es-DO"/>
                <w14:ligatures w14:val="standardContextual"/>
              </w:rPr>
              <w:tab/>
            </w:r>
            <w:r w:rsidRPr="00BC3E7B">
              <w:rPr>
                <w:rStyle w:val="Hipervnculo"/>
                <w:b/>
                <w:color w:val="767171"/>
              </w:rPr>
              <w:t>Matriz de Principales Indicadores del POA - enero-octubre 2024</w:t>
            </w:r>
            <w:r w:rsidRPr="00BC3E7B">
              <w:rPr>
                <w:webHidden/>
              </w:rPr>
              <w:tab/>
            </w:r>
            <w:r w:rsidRPr="00BC3E7B">
              <w:rPr>
                <w:webHidden/>
              </w:rPr>
              <w:fldChar w:fldCharType="begin"/>
            </w:r>
            <w:r w:rsidRPr="00BC3E7B">
              <w:rPr>
                <w:webHidden/>
              </w:rPr>
              <w:instrText xml:space="preserve"> PAGEREF _Toc185275022 \h </w:instrText>
            </w:r>
            <w:r w:rsidRPr="00BC3E7B">
              <w:rPr>
                <w:webHidden/>
              </w:rPr>
            </w:r>
            <w:r w:rsidRPr="00BC3E7B">
              <w:rPr>
                <w:webHidden/>
              </w:rPr>
              <w:fldChar w:fldCharType="separate"/>
            </w:r>
            <w:r w:rsidRPr="00BC3E7B">
              <w:rPr>
                <w:webHidden/>
              </w:rPr>
              <w:t>84</w:t>
            </w:r>
            <w:r w:rsidRPr="00BC3E7B">
              <w:rPr>
                <w:webHidden/>
              </w:rPr>
              <w:fldChar w:fldCharType="end"/>
            </w:r>
          </w:hyperlink>
        </w:p>
        <w:p w14:paraId="445FDA63" w14:textId="6F9CD350" w:rsidR="00BC3E7B" w:rsidRPr="00BC3E7B" w:rsidRDefault="00BC3E7B">
          <w:pPr>
            <w:pStyle w:val="TDC2"/>
            <w:rPr>
              <w:rFonts w:eastAsiaTheme="minorEastAsia"/>
              <w:spacing w:val="0"/>
              <w:kern w:val="2"/>
              <w:lang w:eastAsia="es-DO"/>
              <w14:ligatures w14:val="standardContextual"/>
            </w:rPr>
          </w:pPr>
          <w:hyperlink w:anchor="_Toc185275023" w:history="1">
            <w:r w:rsidRPr="00BC3E7B">
              <w:rPr>
                <w:rStyle w:val="Hipervnculo"/>
                <w:b/>
                <w:bCs/>
                <w:color w:val="767171"/>
              </w:rPr>
              <w:t>8.4</w:t>
            </w:r>
            <w:r w:rsidRPr="00BC3E7B">
              <w:rPr>
                <w:rFonts w:eastAsiaTheme="minorEastAsia"/>
                <w:spacing w:val="0"/>
                <w:kern w:val="2"/>
                <w:lang w:eastAsia="es-DO"/>
                <w14:ligatures w14:val="standardContextual"/>
              </w:rPr>
              <w:tab/>
            </w:r>
            <w:r w:rsidRPr="00BC3E7B">
              <w:rPr>
                <w:rStyle w:val="Hipervnculo"/>
                <w:b/>
                <w:color w:val="767171"/>
              </w:rPr>
              <w:t>Plan Anual de Compras y Contrataciones año 2024</w:t>
            </w:r>
            <w:r w:rsidRPr="00BC3E7B">
              <w:rPr>
                <w:webHidden/>
              </w:rPr>
              <w:tab/>
            </w:r>
            <w:r w:rsidRPr="00BC3E7B">
              <w:rPr>
                <w:webHidden/>
              </w:rPr>
              <w:fldChar w:fldCharType="begin"/>
            </w:r>
            <w:r w:rsidRPr="00BC3E7B">
              <w:rPr>
                <w:webHidden/>
              </w:rPr>
              <w:instrText xml:space="preserve"> PAGEREF _Toc185275023 \h </w:instrText>
            </w:r>
            <w:r w:rsidRPr="00BC3E7B">
              <w:rPr>
                <w:webHidden/>
              </w:rPr>
            </w:r>
            <w:r w:rsidRPr="00BC3E7B">
              <w:rPr>
                <w:webHidden/>
              </w:rPr>
              <w:fldChar w:fldCharType="separate"/>
            </w:r>
            <w:r w:rsidRPr="00BC3E7B">
              <w:rPr>
                <w:webHidden/>
              </w:rPr>
              <w:t>99</w:t>
            </w:r>
            <w:r w:rsidRPr="00BC3E7B">
              <w:rPr>
                <w:webHidden/>
              </w:rPr>
              <w:fldChar w:fldCharType="end"/>
            </w:r>
          </w:hyperlink>
        </w:p>
        <w:p w14:paraId="65C35247" w14:textId="2C49ECE5" w:rsidR="00D743AB" w:rsidRPr="006A0747" w:rsidRDefault="00D743AB">
          <w:pPr>
            <w:rPr>
              <w:rFonts w:ascii="Times New Roman" w:hAnsi="Times New Roman" w:cs="Times New Roman"/>
              <w:color w:val="2E74B5" w:themeColor="accent5" w:themeShade="BF"/>
            </w:rPr>
          </w:pPr>
          <w:r w:rsidRPr="00BC3E7B">
            <w:rPr>
              <w:rFonts w:ascii="Times New Roman" w:hAnsi="Times New Roman" w:cs="Times New Roman"/>
              <w:color w:val="767171"/>
              <w:sz w:val="24"/>
              <w:szCs w:val="24"/>
            </w:rPr>
            <w:fldChar w:fldCharType="end"/>
          </w:r>
        </w:p>
      </w:sdtContent>
    </w:sdt>
    <w:p w14:paraId="1DBDA006" w14:textId="4D806799" w:rsidR="001240D0" w:rsidRPr="006A0747" w:rsidRDefault="001240D0">
      <w:pPr>
        <w:rPr>
          <w:rFonts w:ascii="Times New Roman" w:hAnsi="Times New Roman" w:cs="Times New Roman"/>
          <w:color w:val="2E74B5" w:themeColor="accent5" w:themeShade="BF"/>
        </w:rPr>
        <w:sectPr w:rsidR="001240D0" w:rsidRPr="006A0747" w:rsidSect="009904DB">
          <w:footerReference w:type="first" r:id="rId15"/>
          <w:pgSz w:w="12240" w:h="15840"/>
          <w:pgMar w:top="1440" w:right="1440" w:bottom="1440" w:left="1440" w:header="720" w:footer="720" w:gutter="0"/>
          <w:cols w:space="720"/>
          <w:docGrid w:linePitch="360"/>
        </w:sectPr>
      </w:pPr>
    </w:p>
    <w:p w14:paraId="2C8B145D" w14:textId="77777777" w:rsidR="00A41996" w:rsidRPr="006A0747" w:rsidRDefault="00A41996" w:rsidP="000813B9">
      <w:pPr>
        <w:pStyle w:val="Ttulo1"/>
        <w:numPr>
          <w:ilvl w:val="0"/>
          <w:numId w:val="1"/>
        </w:numPr>
        <w:ind w:left="709"/>
        <w:jc w:val="center"/>
        <w:rPr>
          <w:rFonts w:cs="Times New Roman"/>
          <w:b/>
          <w:color w:val="767171"/>
        </w:rPr>
      </w:pPr>
      <w:bookmarkStart w:id="2" w:name="_Toc134102955"/>
      <w:bookmarkStart w:id="3" w:name="_Toc185274983"/>
      <w:bookmarkStart w:id="4" w:name="_Hlk86403204"/>
      <w:r w:rsidRPr="006A0747">
        <w:rPr>
          <w:rFonts w:cs="Times New Roman"/>
          <w:b/>
          <w:color w:val="767171"/>
        </w:rPr>
        <w:lastRenderedPageBreak/>
        <w:t>RESUMEN EJECUTIVO</w:t>
      </w:r>
      <w:bookmarkEnd w:id="2"/>
      <w:bookmarkEnd w:id="3"/>
    </w:p>
    <w:p w14:paraId="6E98FEA3" w14:textId="77777777" w:rsidR="00A41996" w:rsidRPr="006A0747" w:rsidRDefault="00A41996" w:rsidP="00A41996">
      <w:pPr>
        <w:jc w:val="both"/>
        <w:rPr>
          <w:rFonts w:ascii="Times New Roman" w:eastAsia="Calibri" w:hAnsi="Times New Roman" w:cs="Times New Roman"/>
          <w:color w:val="767171"/>
          <w:sz w:val="18"/>
        </w:rPr>
      </w:pPr>
      <w:r w:rsidRPr="006A0747">
        <w:rPr>
          <w:rFonts w:ascii="Times New Roman" w:eastAsia="Calibri" w:hAnsi="Times New Roman" w:cs="Times New Roman"/>
          <w:noProof/>
          <w:color w:val="767171"/>
          <w:sz w:val="18"/>
          <w:lang w:eastAsia="es-DO"/>
        </w:rPr>
        <mc:AlternateContent>
          <mc:Choice Requires="wps">
            <w:drawing>
              <wp:anchor distT="0" distB="0" distL="114300" distR="114300" simplePos="0" relativeHeight="251658250" behindDoc="0" locked="0" layoutInCell="1" allowOverlap="1" wp14:anchorId="55667419" wp14:editId="03569F3A">
                <wp:simplePos x="0" y="0"/>
                <wp:positionH relativeFrom="margin">
                  <wp:posOffset>2254250</wp:posOffset>
                </wp:positionH>
                <wp:positionV relativeFrom="paragraph">
                  <wp:posOffset>116527</wp:posOffset>
                </wp:positionV>
                <wp:extent cx="463550" cy="0"/>
                <wp:effectExtent l="0" t="19050" r="317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143053C" id="Straight Connector 21" o:spid="_x0000_s1026" style="position:absolute;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9.2pt" to="214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" strokecolor="#ee2a24" strokeweight="2.25pt">
                <v:stroke joinstyle="miter"/>
                <w10:wrap anchorx="margin"/>
              </v:line>
            </w:pict>
          </mc:Fallback>
        </mc:AlternateContent>
      </w:r>
    </w:p>
    <w:p w14:paraId="6AFE71B3" w14:textId="4740F558" w:rsidR="0044103D" w:rsidRPr="006A0747" w:rsidRDefault="00374CF4" w:rsidP="0044103D">
      <w:pPr>
        <w:spacing w:after="0"/>
        <w:jc w:val="center"/>
        <w:rPr>
          <w:rFonts w:ascii="Times New Roman" w:hAnsi="Times New Roman" w:cs="Times New Roman"/>
          <w:color w:val="767171"/>
          <w:spacing w:val="20"/>
          <w:sz w:val="24"/>
          <w:szCs w:val="24"/>
        </w:rPr>
      </w:pPr>
      <w:r w:rsidRPr="006A0747">
        <w:rPr>
          <w:rFonts w:ascii="Times New Roman" w:hAnsi="Times New Roman" w:cs="Times New Roman"/>
          <w:color w:val="767171"/>
          <w:spacing w:val="20"/>
          <w:sz w:val="24"/>
          <w:szCs w:val="24"/>
        </w:rPr>
        <w:t>Memoria Institucional 2024</w:t>
      </w:r>
    </w:p>
    <w:p w14:paraId="4E6CA584" w14:textId="77777777" w:rsidR="00A41996" w:rsidRPr="006A0747" w:rsidRDefault="00A41996" w:rsidP="00A41996">
      <w:pPr>
        <w:spacing w:line="360" w:lineRule="auto"/>
        <w:jc w:val="both"/>
        <w:rPr>
          <w:rFonts w:ascii="Times New Roman" w:eastAsia="Calibri" w:hAnsi="Times New Roman" w:cs="Times New Roman"/>
          <w:color w:val="767171"/>
          <w:spacing w:val="20"/>
          <w:sz w:val="24"/>
          <w:szCs w:val="24"/>
        </w:rPr>
      </w:pPr>
    </w:p>
    <w:p w14:paraId="72252BF4" w14:textId="79C6B3BB" w:rsidR="0081493D" w:rsidRPr="006A0747" w:rsidRDefault="00001B11" w:rsidP="00A41996">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La Superintendencia de Bancos (SB), en cumplimiento </w:t>
      </w:r>
      <w:r w:rsidR="1F8BAE1D" w:rsidRPr="006A0747">
        <w:rPr>
          <w:rFonts w:ascii="Times New Roman" w:eastAsia="Calibri" w:hAnsi="Times New Roman" w:cs="Times New Roman"/>
          <w:color w:val="767171"/>
          <w:spacing w:val="20"/>
          <w:sz w:val="24"/>
          <w:szCs w:val="24"/>
        </w:rPr>
        <w:t>del</w:t>
      </w:r>
      <w:r w:rsidRPr="006A0747">
        <w:rPr>
          <w:rFonts w:ascii="Times New Roman" w:eastAsia="Calibri" w:hAnsi="Times New Roman" w:cs="Times New Roman"/>
          <w:color w:val="767171"/>
          <w:spacing w:val="20"/>
          <w:sz w:val="24"/>
          <w:szCs w:val="24"/>
        </w:rPr>
        <w:t xml:space="preserve"> literal B del artículo 20 de la Ley Monetaria y Financiera No. 183-02, </w:t>
      </w:r>
      <w:r w:rsidR="1F8BAE1D" w:rsidRPr="006A0747">
        <w:rPr>
          <w:rFonts w:ascii="Times New Roman" w:eastAsia="Calibri" w:hAnsi="Times New Roman" w:cs="Times New Roman"/>
          <w:color w:val="767171"/>
          <w:spacing w:val="20"/>
          <w:sz w:val="24"/>
          <w:szCs w:val="24"/>
        </w:rPr>
        <w:t>presenta</w:t>
      </w:r>
      <w:r w:rsidRPr="006A0747">
        <w:rPr>
          <w:rFonts w:ascii="Times New Roman" w:eastAsia="Calibri" w:hAnsi="Times New Roman" w:cs="Times New Roman"/>
          <w:color w:val="767171"/>
          <w:spacing w:val="20"/>
          <w:sz w:val="24"/>
          <w:szCs w:val="24"/>
        </w:rPr>
        <w:t xml:space="preserve"> su memoria de rendición de cuentas </w:t>
      </w:r>
      <w:r w:rsidR="1F8BAE1D" w:rsidRPr="006A0747">
        <w:rPr>
          <w:rFonts w:ascii="Times New Roman" w:eastAsia="Calibri" w:hAnsi="Times New Roman" w:cs="Times New Roman"/>
          <w:color w:val="767171"/>
          <w:spacing w:val="20"/>
          <w:sz w:val="24"/>
          <w:szCs w:val="24"/>
        </w:rPr>
        <w:t>del</w:t>
      </w:r>
      <w:r w:rsidRPr="006A0747">
        <w:rPr>
          <w:rFonts w:ascii="Times New Roman" w:eastAsia="Calibri" w:hAnsi="Times New Roman" w:cs="Times New Roman"/>
          <w:color w:val="767171"/>
          <w:spacing w:val="20"/>
          <w:sz w:val="24"/>
          <w:szCs w:val="24"/>
        </w:rPr>
        <w:t xml:space="preserve"> </w:t>
      </w:r>
      <w:r w:rsidR="0017419A" w:rsidRPr="006A0747">
        <w:rPr>
          <w:rFonts w:ascii="Times New Roman" w:eastAsia="Calibri" w:hAnsi="Times New Roman" w:cs="Times New Roman"/>
          <w:color w:val="767171"/>
          <w:spacing w:val="20"/>
          <w:sz w:val="24"/>
          <w:szCs w:val="24"/>
        </w:rPr>
        <w:t>año</w:t>
      </w:r>
      <w:r w:rsidR="1F8BAE1D" w:rsidRPr="006A0747">
        <w:rPr>
          <w:rFonts w:ascii="Times New Roman" w:eastAsia="Calibri" w:hAnsi="Times New Roman" w:cs="Times New Roman"/>
          <w:color w:val="767171"/>
          <w:spacing w:val="20"/>
          <w:sz w:val="24"/>
          <w:szCs w:val="24"/>
        </w:rPr>
        <w:t xml:space="preserve"> 2024.</w:t>
      </w:r>
      <w:r w:rsidRPr="006A0747">
        <w:rPr>
          <w:rFonts w:ascii="Times New Roman" w:eastAsia="Calibri" w:hAnsi="Times New Roman" w:cs="Times New Roman"/>
          <w:color w:val="767171"/>
          <w:spacing w:val="20"/>
          <w:sz w:val="24"/>
          <w:szCs w:val="24"/>
        </w:rPr>
        <w:t xml:space="preserve"> En esta, se exponen los principales logros desarrollados por la institución, en consonancia con la referida ley, el Plan Estratégico Institucional 2021-2024</w:t>
      </w:r>
      <w:r w:rsidR="00661D89" w:rsidRPr="006A0747">
        <w:rPr>
          <w:rFonts w:ascii="Times New Roman" w:eastAsia="Calibri" w:hAnsi="Times New Roman" w:cs="Times New Roman"/>
          <w:color w:val="767171"/>
          <w:spacing w:val="20"/>
          <w:sz w:val="24"/>
          <w:szCs w:val="24"/>
        </w:rPr>
        <w:t>,</w:t>
      </w:r>
      <w:r w:rsidRPr="006A0747">
        <w:rPr>
          <w:rFonts w:ascii="Times New Roman" w:eastAsia="Calibri" w:hAnsi="Times New Roman" w:cs="Times New Roman"/>
          <w:color w:val="767171"/>
          <w:spacing w:val="20"/>
          <w:sz w:val="24"/>
          <w:szCs w:val="24"/>
        </w:rPr>
        <w:t xml:space="preserve"> y demás metas y compromisos nacionales e internacionales asumidos.</w:t>
      </w:r>
    </w:p>
    <w:p w14:paraId="387157B9" w14:textId="3A1397D3" w:rsidR="00106AAC" w:rsidRPr="006A0747" w:rsidRDefault="00347DA2" w:rsidP="00106AAC">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Durante el </w:t>
      </w:r>
      <w:r w:rsidR="006B3B15" w:rsidRPr="006A0747">
        <w:rPr>
          <w:rFonts w:ascii="Times New Roman" w:eastAsia="Calibri" w:hAnsi="Times New Roman" w:cs="Times New Roman"/>
          <w:color w:val="767171"/>
          <w:spacing w:val="20"/>
          <w:sz w:val="24"/>
          <w:szCs w:val="24"/>
        </w:rPr>
        <w:t>año 2024</w:t>
      </w:r>
      <w:r w:rsidRPr="006A0747">
        <w:rPr>
          <w:rFonts w:ascii="Times New Roman" w:eastAsia="Calibri" w:hAnsi="Times New Roman" w:cs="Times New Roman"/>
          <w:color w:val="767171"/>
          <w:spacing w:val="20"/>
          <w:sz w:val="24"/>
          <w:szCs w:val="24"/>
        </w:rPr>
        <w:t>,</w:t>
      </w:r>
      <w:r w:rsidR="00DF44B7" w:rsidRPr="006A0747">
        <w:rPr>
          <w:rFonts w:ascii="Times New Roman" w:eastAsia="Calibri" w:hAnsi="Times New Roman" w:cs="Times New Roman"/>
          <w:color w:val="767171"/>
          <w:spacing w:val="20"/>
          <w:sz w:val="24"/>
          <w:szCs w:val="24"/>
        </w:rPr>
        <w:t xml:space="preserve"> </w:t>
      </w:r>
      <w:r w:rsidR="00106AAC" w:rsidRPr="006A0747">
        <w:rPr>
          <w:rFonts w:ascii="Times New Roman" w:eastAsia="Calibri" w:hAnsi="Times New Roman" w:cs="Times New Roman"/>
          <w:color w:val="767171"/>
          <w:spacing w:val="20"/>
          <w:sz w:val="24"/>
          <w:szCs w:val="24"/>
        </w:rPr>
        <w:t>el sector bancario de la República Dominicana mantuvo indicadores de desempeño saludables y presenta niveles de rentabilidad, solvencia y liquidez adecuadas para responder oportunamente a los cambios en las condiciones de mercado y la situación económica.</w:t>
      </w:r>
    </w:p>
    <w:p w14:paraId="0D310624" w14:textId="0670D4E1" w:rsidR="008D25F7" w:rsidRPr="006A0747" w:rsidRDefault="005A477A" w:rsidP="00A41996">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De acuerdo con el informe trimestral de desempeño del sistema financiero, a septiembre 2024</w:t>
      </w:r>
      <w:r w:rsidR="00850D72" w:rsidRPr="006A0747">
        <w:rPr>
          <w:rFonts w:ascii="Times New Roman" w:eastAsia="Calibri" w:hAnsi="Times New Roman" w:cs="Times New Roman"/>
          <w:color w:val="767171"/>
          <w:spacing w:val="20"/>
          <w:sz w:val="24"/>
          <w:szCs w:val="24"/>
        </w:rPr>
        <w:t>, e</w:t>
      </w:r>
      <w:r w:rsidR="00AE2B52" w:rsidRPr="006A0747">
        <w:rPr>
          <w:rFonts w:ascii="Times New Roman" w:eastAsia="Calibri" w:hAnsi="Times New Roman" w:cs="Times New Roman"/>
          <w:color w:val="767171"/>
          <w:spacing w:val="20"/>
          <w:sz w:val="24"/>
          <w:szCs w:val="24"/>
        </w:rPr>
        <w:t xml:space="preserve">l sistema financiero presentó utilidades antes de impuestos sobre la renta por RD$78,428 millones, con un indicador de rentabilidad del patrimonio (ROE) de 24.2%. Asimismo, la rentabilidad promedio de los activos (ROA) se mantuvo en un 2.9%. </w:t>
      </w:r>
      <w:r w:rsidR="009E58CA" w:rsidRPr="006A0747">
        <w:rPr>
          <w:rFonts w:ascii="Times New Roman" w:eastAsia="Calibri" w:hAnsi="Times New Roman" w:cs="Times New Roman"/>
          <w:color w:val="767171"/>
          <w:spacing w:val="20"/>
          <w:sz w:val="24"/>
          <w:szCs w:val="24"/>
        </w:rPr>
        <w:t>Los activos totales de la banca dominicana ascendieron a RD$3.72 billones (59.4% del PIB) al cierre de septiembre de este año, luego de un crecimiento interanual de 10.6% equivalente a RD$366 mil millones</w:t>
      </w:r>
      <w:r w:rsidR="00850D72" w:rsidRPr="006A0747">
        <w:rPr>
          <w:rFonts w:ascii="Times New Roman" w:eastAsia="Calibri" w:hAnsi="Times New Roman" w:cs="Times New Roman"/>
          <w:color w:val="767171"/>
          <w:spacing w:val="20"/>
          <w:sz w:val="24"/>
          <w:szCs w:val="24"/>
        </w:rPr>
        <w:t>.</w:t>
      </w:r>
    </w:p>
    <w:p w14:paraId="67CEBA1D" w14:textId="018B275B" w:rsidR="00060BFA" w:rsidRPr="006A0747" w:rsidRDefault="003B4989" w:rsidP="00A41996">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La</w:t>
      </w:r>
      <w:r w:rsidR="00060BFA" w:rsidRPr="006A0747">
        <w:rPr>
          <w:rFonts w:ascii="Times New Roman" w:eastAsia="Calibri" w:hAnsi="Times New Roman" w:cs="Times New Roman"/>
          <w:color w:val="767171"/>
          <w:spacing w:val="20"/>
          <w:sz w:val="24"/>
          <w:szCs w:val="24"/>
        </w:rPr>
        <w:t xml:space="preserve"> </w:t>
      </w:r>
      <w:r w:rsidR="009D242B" w:rsidRPr="006A0747">
        <w:rPr>
          <w:rFonts w:ascii="Times New Roman" w:eastAsia="Calibri" w:hAnsi="Times New Roman" w:cs="Times New Roman"/>
          <w:color w:val="767171"/>
          <w:spacing w:val="20"/>
          <w:sz w:val="24"/>
          <w:szCs w:val="24"/>
        </w:rPr>
        <w:t>SB</w:t>
      </w:r>
      <w:r w:rsidR="00060BFA" w:rsidRPr="006A0747">
        <w:rPr>
          <w:rFonts w:ascii="Times New Roman" w:eastAsia="Calibri" w:hAnsi="Times New Roman" w:cs="Times New Roman"/>
          <w:color w:val="767171"/>
          <w:spacing w:val="20"/>
          <w:sz w:val="24"/>
          <w:szCs w:val="24"/>
        </w:rPr>
        <w:t xml:space="preserve"> realizó</w:t>
      </w:r>
      <w:r w:rsidRPr="006A0747">
        <w:rPr>
          <w:rFonts w:ascii="Times New Roman" w:eastAsia="Calibri" w:hAnsi="Times New Roman" w:cs="Times New Roman"/>
          <w:color w:val="767171"/>
          <w:spacing w:val="20"/>
          <w:sz w:val="24"/>
          <w:szCs w:val="24"/>
        </w:rPr>
        <w:t>, en el año 2024,</w:t>
      </w:r>
      <w:r w:rsidR="00060BFA" w:rsidRPr="006A0747">
        <w:rPr>
          <w:rFonts w:ascii="Times New Roman" w:eastAsia="Calibri" w:hAnsi="Times New Roman" w:cs="Times New Roman"/>
          <w:color w:val="767171"/>
          <w:spacing w:val="20"/>
          <w:sz w:val="24"/>
          <w:szCs w:val="24"/>
        </w:rPr>
        <w:t xml:space="preserve"> noventa y seis (96) inspecciones in-situ y extra-situ. De esas inspecciones, treinta y siete (37) fueron realizadas </w:t>
      </w:r>
      <w:r w:rsidR="00EB60A9" w:rsidRPr="006A0747">
        <w:rPr>
          <w:rFonts w:ascii="Times New Roman" w:eastAsia="Calibri" w:hAnsi="Times New Roman" w:cs="Times New Roman"/>
          <w:color w:val="767171"/>
          <w:spacing w:val="20"/>
          <w:sz w:val="24"/>
          <w:szCs w:val="24"/>
        </w:rPr>
        <w:t>a</w:t>
      </w:r>
      <w:r w:rsidR="00060BFA" w:rsidRPr="006A0747">
        <w:rPr>
          <w:rFonts w:ascii="Times New Roman" w:eastAsia="Calibri" w:hAnsi="Times New Roman" w:cs="Times New Roman"/>
          <w:color w:val="767171"/>
          <w:spacing w:val="20"/>
          <w:sz w:val="24"/>
          <w:szCs w:val="24"/>
        </w:rPr>
        <w:t xml:space="preserve"> Bancos de Servicios Múltiples, diecisiete (17) </w:t>
      </w:r>
      <w:r w:rsidR="00EB60A9" w:rsidRPr="006A0747">
        <w:rPr>
          <w:rFonts w:ascii="Times New Roman" w:eastAsia="Calibri" w:hAnsi="Times New Roman" w:cs="Times New Roman"/>
          <w:color w:val="767171"/>
          <w:spacing w:val="20"/>
          <w:sz w:val="24"/>
          <w:szCs w:val="24"/>
        </w:rPr>
        <w:t>a</w:t>
      </w:r>
      <w:r w:rsidR="00060BFA" w:rsidRPr="006A0747">
        <w:rPr>
          <w:rFonts w:ascii="Times New Roman" w:eastAsia="Calibri" w:hAnsi="Times New Roman" w:cs="Times New Roman"/>
          <w:color w:val="767171"/>
          <w:spacing w:val="20"/>
          <w:sz w:val="24"/>
          <w:szCs w:val="24"/>
        </w:rPr>
        <w:t xml:space="preserve"> Asociaciones de Ahorros y Préstamos, dieciséis (16) </w:t>
      </w:r>
      <w:r w:rsidR="00056139" w:rsidRPr="006A0747">
        <w:rPr>
          <w:rFonts w:ascii="Times New Roman" w:eastAsia="Calibri" w:hAnsi="Times New Roman" w:cs="Times New Roman"/>
          <w:color w:val="767171"/>
          <w:spacing w:val="20"/>
          <w:sz w:val="24"/>
          <w:szCs w:val="24"/>
        </w:rPr>
        <w:t>a</w:t>
      </w:r>
      <w:r w:rsidR="00060BFA" w:rsidRPr="006A0747">
        <w:rPr>
          <w:rFonts w:ascii="Times New Roman" w:eastAsia="Calibri" w:hAnsi="Times New Roman" w:cs="Times New Roman"/>
          <w:color w:val="767171"/>
          <w:spacing w:val="20"/>
          <w:sz w:val="24"/>
          <w:szCs w:val="24"/>
        </w:rPr>
        <w:t xml:space="preserve"> Bancos de </w:t>
      </w:r>
      <w:r w:rsidR="00060BFA" w:rsidRPr="006A0747">
        <w:rPr>
          <w:rFonts w:ascii="Times New Roman" w:eastAsia="Calibri" w:hAnsi="Times New Roman" w:cs="Times New Roman"/>
          <w:color w:val="767171"/>
          <w:spacing w:val="20"/>
          <w:sz w:val="24"/>
          <w:szCs w:val="24"/>
        </w:rPr>
        <w:lastRenderedPageBreak/>
        <w:t xml:space="preserve">Ahorro y Crédito, cinco (5) correspondieron a Corporaciones de Crédito, tres (3) a Entidades Estatales, trece (13) </w:t>
      </w:r>
      <w:r w:rsidR="00056139" w:rsidRPr="006A0747">
        <w:rPr>
          <w:rFonts w:ascii="Times New Roman" w:eastAsia="Calibri" w:hAnsi="Times New Roman" w:cs="Times New Roman"/>
          <w:color w:val="767171"/>
          <w:spacing w:val="20"/>
          <w:sz w:val="24"/>
          <w:szCs w:val="24"/>
        </w:rPr>
        <w:t>a</w:t>
      </w:r>
      <w:r w:rsidR="00060BFA" w:rsidRPr="006A0747">
        <w:rPr>
          <w:rFonts w:ascii="Times New Roman" w:eastAsia="Calibri" w:hAnsi="Times New Roman" w:cs="Times New Roman"/>
          <w:color w:val="767171"/>
          <w:spacing w:val="20"/>
          <w:sz w:val="24"/>
          <w:szCs w:val="24"/>
        </w:rPr>
        <w:t xml:space="preserve"> Entidades Cambiarias y Remesadoras, cuatro (4) </w:t>
      </w:r>
      <w:r w:rsidR="00056139" w:rsidRPr="006A0747">
        <w:rPr>
          <w:rFonts w:ascii="Times New Roman" w:eastAsia="Calibri" w:hAnsi="Times New Roman" w:cs="Times New Roman"/>
          <w:color w:val="767171"/>
          <w:spacing w:val="20"/>
          <w:sz w:val="24"/>
          <w:szCs w:val="24"/>
        </w:rPr>
        <w:t xml:space="preserve">a </w:t>
      </w:r>
      <w:r w:rsidR="00060BFA" w:rsidRPr="006A0747">
        <w:rPr>
          <w:rFonts w:ascii="Times New Roman" w:eastAsia="Calibri" w:hAnsi="Times New Roman" w:cs="Times New Roman"/>
          <w:color w:val="767171"/>
          <w:spacing w:val="20"/>
          <w:sz w:val="24"/>
          <w:szCs w:val="24"/>
        </w:rPr>
        <w:t xml:space="preserve">Sociedades Fiduciarias y una (1) </w:t>
      </w:r>
      <w:r w:rsidR="00056139" w:rsidRPr="006A0747">
        <w:rPr>
          <w:rFonts w:ascii="Times New Roman" w:eastAsia="Calibri" w:hAnsi="Times New Roman" w:cs="Times New Roman"/>
          <w:color w:val="767171"/>
          <w:spacing w:val="20"/>
          <w:sz w:val="24"/>
          <w:szCs w:val="24"/>
        </w:rPr>
        <w:t>a</w:t>
      </w:r>
      <w:r w:rsidR="003A7E83" w:rsidRPr="006A0747">
        <w:rPr>
          <w:rFonts w:ascii="Times New Roman" w:eastAsia="Calibri" w:hAnsi="Times New Roman" w:cs="Times New Roman"/>
          <w:color w:val="767171"/>
          <w:spacing w:val="20"/>
          <w:sz w:val="24"/>
          <w:szCs w:val="24"/>
        </w:rPr>
        <w:t xml:space="preserve"> una</w:t>
      </w:r>
      <w:r w:rsidR="00060BFA" w:rsidRPr="006A0747">
        <w:rPr>
          <w:rFonts w:ascii="Times New Roman" w:eastAsia="Calibri" w:hAnsi="Times New Roman" w:cs="Times New Roman"/>
          <w:color w:val="767171"/>
          <w:spacing w:val="20"/>
          <w:sz w:val="24"/>
          <w:szCs w:val="24"/>
        </w:rPr>
        <w:t xml:space="preserve"> Entidad de Intermediación Financiera que ofrece servicios fiduciarios.</w:t>
      </w:r>
    </w:p>
    <w:p w14:paraId="0720F544" w14:textId="3E4CB55C" w:rsidR="00941251" w:rsidRPr="006A0747" w:rsidRDefault="008D25F7" w:rsidP="0085140A">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L</w:t>
      </w:r>
      <w:r w:rsidR="00074560" w:rsidRPr="006A0747">
        <w:rPr>
          <w:rFonts w:ascii="Times New Roman" w:eastAsia="Calibri" w:hAnsi="Times New Roman" w:cs="Times New Roman"/>
          <w:color w:val="767171"/>
          <w:spacing w:val="20"/>
          <w:sz w:val="24"/>
          <w:szCs w:val="24"/>
        </w:rPr>
        <w:t xml:space="preserve">a </w:t>
      </w:r>
      <w:r w:rsidR="003A7E83" w:rsidRPr="006A0747">
        <w:rPr>
          <w:rFonts w:ascii="Times New Roman" w:eastAsia="Calibri" w:hAnsi="Times New Roman" w:cs="Times New Roman"/>
          <w:color w:val="767171"/>
          <w:spacing w:val="20"/>
          <w:sz w:val="24"/>
          <w:szCs w:val="24"/>
        </w:rPr>
        <w:t>institución</w:t>
      </w:r>
      <w:r w:rsidRPr="006A0747">
        <w:rPr>
          <w:rFonts w:ascii="Times New Roman" w:eastAsia="Calibri" w:hAnsi="Times New Roman" w:cs="Times New Roman"/>
          <w:color w:val="767171"/>
          <w:spacing w:val="20"/>
          <w:sz w:val="24"/>
          <w:szCs w:val="24"/>
        </w:rPr>
        <w:t xml:space="preserve"> también</w:t>
      </w:r>
      <w:r w:rsidR="00074560" w:rsidRPr="006A0747">
        <w:rPr>
          <w:rFonts w:ascii="Times New Roman" w:eastAsia="Calibri" w:hAnsi="Times New Roman" w:cs="Times New Roman"/>
          <w:color w:val="767171"/>
          <w:spacing w:val="20"/>
          <w:sz w:val="24"/>
          <w:szCs w:val="24"/>
        </w:rPr>
        <w:t xml:space="preserve"> ha trabajado </w:t>
      </w:r>
      <w:r w:rsidR="3B1BFFBF" w:rsidRPr="006A0747">
        <w:rPr>
          <w:rFonts w:ascii="Times New Roman" w:eastAsia="Calibri" w:hAnsi="Times New Roman" w:cs="Times New Roman"/>
          <w:color w:val="767171"/>
          <w:spacing w:val="20"/>
          <w:sz w:val="24"/>
          <w:szCs w:val="24"/>
        </w:rPr>
        <w:t>activamente</w:t>
      </w:r>
      <w:r w:rsidR="00074560" w:rsidRPr="006A0747">
        <w:rPr>
          <w:rFonts w:ascii="Times New Roman" w:eastAsia="Calibri" w:hAnsi="Times New Roman" w:cs="Times New Roman"/>
          <w:color w:val="767171"/>
          <w:spacing w:val="20"/>
          <w:sz w:val="24"/>
          <w:szCs w:val="24"/>
        </w:rPr>
        <w:t xml:space="preserve"> en la implementación y actualización de normativas y políticas que promueven la transparencia, la eficiencia y solidez del sector financiero.</w:t>
      </w:r>
      <w:r w:rsidR="001D5FB5" w:rsidRPr="006A0747">
        <w:rPr>
          <w:rFonts w:ascii="Times New Roman" w:eastAsia="Calibri" w:hAnsi="Times New Roman" w:cs="Times New Roman"/>
          <w:color w:val="767171"/>
          <w:spacing w:val="20"/>
          <w:sz w:val="24"/>
          <w:szCs w:val="24"/>
        </w:rPr>
        <w:t xml:space="preserve"> </w:t>
      </w:r>
      <w:r w:rsidR="00251972" w:rsidRPr="006A0747">
        <w:rPr>
          <w:rFonts w:ascii="Times New Roman" w:eastAsia="Calibri" w:hAnsi="Times New Roman" w:cs="Times New Roman"/>
          <w:color w:val="767171"/>
          <w:spacing w:val="20"/>
          <w:sz w:val="24"/>
          <w:szCs w:val="24"/>
        </w:rPr>
        <w:t>Durante el año</w:t>
      </w:r>
      <w:r w:rsidR="00074560" w:rsidRPr="006A0747">
        <w:rPr>
          <w:rFonts w:ascii="Times New Roman" w:eastAsia="Calibri" w:hAnsi="Times New Roman" w:cs="Times New Roman"/>
          <w:color w:val="767171"/>
          <w:spacing w:val="20"/>
          <w:sz w:val="24"/>
          <w:szCs w:val="24"/>
        </w:rPr>
        <w:t xml:space="preserve"> </w:t>
      </w:r>
      <w:r w:rsidR="00A442D1" w:rsidRPr="006A0747">
        <w:rPr>
          <w:rFonts w:ascii="Times New Roman" w:eastAsia="Calibri" w:hAnsi="Times New Roman" w:cs="Times New Roman"/>
          <w:color w:val="767171"/>
          <w:spacing w:val="20"/>
          <w:sz w:val="24"/>
          <w:szCs w:val="24"/>
        </w:rPr>
        <w:t>fueron emitid</w:t>
      </w:r>
      <w:r w:rsidR="006F1E71" w:rsidRPr="006A0747">
        <w:rPr>
          <w:rFonts w:ascii="Times New Roman" w:eastAsia="Calibri" w:hAnsi="Times New Roman" w:cs="Times New Roman"/>
          <w:color w:val="767171"/>
          <w:spacing w:val="20"/>
          <w:sz w:val="24"/>
          <w:szCs w:val="24"/>
        </w:rPr>
        <w:t>as 15</w:t>
      </w:r>
      <w:r w:rsidR="28CE9433" w:rsidRPr="006A0747">
        <w:rPr>
          <w:rFonts w:ascii="Times New Roman" w:eastAsia="Calibri" w:hAnsi="Times New Roman" w:cs="Times New Roman"/>
          <w:color w:val="767171"/>
          <w:spacing w:val="20"/>
          <w:sz w:val="24"/>
          <w:szCs w:val="24"/>
        </w:rPr>
        <w:t xml:space="preserve"> normativa</w:t>
      </w:r>
      <w:r w:rsidR="08D5C47A" w:rsidRPr="006A0747">
        <w:rPr>
          <w:rFonts w:ascii="Times New Roman" w:eastAsia="Calibri" w:hAnsi="Times New Roman" w:cs="Times New Roman"/>
          <w:color w:val="767171"/>
          <w:spacing w:val="20"/>
          <w:sz w:val="24"/>
          <w:szCs w:val="24"/>
        </w:rPr>
        <w:t>s</w:t>
      </w:r>
      <w:r w:rsidR="0021A752" w:rsidRPr="006A0747">
        <w:rPr>
          <w:rFonts w:ascii="Times New Roman" w:eastAsia="Calibri" w:hAnsi="Times New Roman" w:cs="Times New Roman"/>
          <w:color w:val="767171"/>
          <w:spacing w:val="20"/>
          <w:sz w:val="24"/>
          <w:szCs w:val="24"/>
        </w:rPr>
        <w:t xml:space="preserve">, </w:t>
      </w:r>
      <w:r w:rsidR="0042488E" w:rsidRPr="006A0747">
        <w:rPr>
          <w:rFonts w:ascii="Times New Roman" w:eastAsia="Calibri" w:hAnsi="Times New Roman" w:cs="Times New Roman"/>
          <w:color w:val="767171"/>
          <w:spacing w:val="20"/>
          <w:sz w:val="24"/>
          <w:szCs w:val="24"/>
        </w:rPr>
        <w:t xml:space="preserve">entre </w:t>
      </w:r>
      <w:r w:rsidR="00EB523A" w:rsidRPr="006A0747">
        <w:rPr>
          <w:rFonts w:ascii="Times New Roman" w:eastAsia="Calibri" w:hAnsi="Times New Roman" w:cs="Times New Roman"/>
          <w:color w:val="767171"/>
          <w:spacing w:val="20"/>
          <w:sz w:val="24"/>
          <w:szCs w:val="24"/>
        </w:rPr>
        <w:t>las</w:t>
      </w:r>
      <w:r w:rsidR="00D506A2" w:rsidRPr="006A0747">
        <w:rPr>
          <w:rFonts w:ascii="Times New Roman" w:eastAsia="Calibri" w:hAnsi="Times New Roman" w:cs="Times New Roman"/>
          <w:color w:val="767171"/>
          <w:spacing w:val="20"/>
          <w:sz w:val="24"/>
          <w:szCs w:val="24"/>
        </w:rPr>
        <w:t xml:space="preserve"> Circulares </w:t>
      </w:r>
      <w:r w:rsidR="004A1E2B" w:rsidRPr="006A0747">
        <w:rPr>
          <w:rFonts w:ascii="Times New Roman" w:eastAsia="Calibri" w:hAnsi="Times New Roman" w:cs="Times New Roman"/>
          <w:color w:val="767171"/>
          <w:spacing w:val="20"/>
          <w:sz w:val="24"/>
          <w:szCs w:val="24"/>
        </w:rPr>
        <w:t>tenemos, la</w:t>
      </w:r>
      <w:r w:rsidR="6571864D" w:rsidRPr="006A0747">
        <w:rPr>
          <w:rFonts w:ascii="Times New Roman" w:eastAsia="Calibri" w:hAnsi="Times New Roman" w:cs="Times New Roman"/>
          <w:color w:val="767171"/>
          <w:spacing w:val="20"/>
          <w:sz w:val="24"/>
          <w:szCs w:val="24"/>
        </w:rPr>
        <w:t xml:space="preserve"> </w:t>
      </w:r>
      <w:r w:rsidR="4923DC2D" w:rsidRPr="006A0747">
        <w:rPr>
          <w:rFonts w:ascii="Times New Roman" w:eastAsia="Calibri" w:hAnsi="Times New Roman" w:cs="Times New Roman"/>
          <w:color w:val="767171"/>
          <w:spacing w:val="20"/>
          <w:sz w:val="24"/>
          <w:szCs w:val="24"/>
        </w:rPr>
        <w:t xml:space="preserve">modifican la normativa sobre transparencia en depósitos de cheques, </w:t>
      </w:r>
      <w:r w:rsidR="4354DE30" w:rsidRPr="006A0747">
        <w:rPr>
          <w:rFonts w:ascii="Times New Roman" w:eastAsia="Calibri" w:hAnsi="Times New Roman" w:cs="Times New Roman"/>
          <w:color w:val="767171"/>
          <w:spacing w:val="20"/>
          <w:sz w:val="24"/>
          <w:szCs w:val="24"/>
        </w:rPr>
        <w:t xml:space="preserve">actualizan </w:t>
      </w:r>
      <w:r w:rsidR="311F01E7" w:rsidRPr="006A0747">
        <w:rPr>
          <w:rFonts w:ascii="Times New Roman" w:eastAsia="Calibri" w:hAnsi="Times New Roman" w:cs="Times New Roman"/>
          <w:color w:val="767171"/>
          <w:spacing w:val="20"/>
          <w:sz w:val="24"/>
          <w:szCs w:val="24"/>
        </w:rPr>
        <w:t xml:space="preserve">el aplicativo web </w:t>
      </w:r>
      <w:r w:rsidR="4923DC2D" w:rsidRPr="006A0747">
        <w:rPr>
          <w:rFonts w:ascii="Times New Roman" w:eastAsia="Calibri" w:hAnsi="Times New Roman" w:cs="Times New Roman"/>
          <w:color w:val="767171"/>
          <w:spacing w:val="20"/>
          <w:sz w:val="24"/>
          <w:szCs w:val="24"/>
        </w:rPr>
        <w:t>para</w:t>
      </w:r>
      <w:r w:rsidR="7CCB0139" w:rsidRPr="006A0747">
        <w:rPr>
          <w:rFonts w:ascii="Times New Roman" w:eastAsia="Calibri" w:hAnsi="Times New Roman" w:cs="Times New Roman"/>
          <w:color w:val="767171"/>
          <w:spacing w:val="20"/>
          <w:sz w:val="24"/>
          <w:szCs w:val="24"/>
        </w:rPr>
        <w:t xml:space="preserve"> el envío de</w:t>
      </w:r>
      <w:r w:rsidR="4923DC2D" w:rsidRPr="006A0747">
        <w:rPr>
          <w:rFonts w:ascii="Times New Roman" w:eastAsia="Calibri" w:hAnsi="Times New Roman" w:cs="Times New Roman"/>
          <w:color w:val="767171"/>
          <w:spacing w:val="20"/>
          <w:sz w:val="24"/>
          <w:szCs w:val="24"/>
        </w:rPr>
        <w:t xml:space="preserve"> reportes regulatorios, y clasifican los acuerdos de pago de tarjetas como créditos reestructurados</w:t>
      </w:r>
      <w:r w:rsidR="00AA4139" w:rsidRPr="006A0747">
        <w:rPr>
          <w:rFonts w:ascii="Times New Roman" w:eastAsia="Calibri" w:hAnsi="Times New Roman" w:cs="Times New Roman"/>
          <w:color w:val="767171"/>
          <w:spacing w:val="20"/>
          <w:sz w:val="24"/>
          <w:szCs w:val="24"/>
        </w:rPr>
        <w:t xml:space="preserve">, entre otros cambios. </w:t>
      </w:r>
      <w:r w:rsidR="00D506A2" w:rsidRPr="006A0747">
        <w:rPr>
          <w:rFonts w:ascii="Times New Roman" w:eastAsia="Calibri" w:hAnsi="Times New Roman" w:cs="Times New Roman"/>
          <w:color w:val="767171"/>
          <w:spacing w:val="20"/>
          <w:sz w:val="24"/>
          <w:szCs w:val="24"/>
        </w:rPr>
        <w:t xml:space="preserve">Entre los </w:t>
      </w:r>
      <w:r w:rsidR="00EB134F" w:rsidRPr="006A0747">
        <w:rPr>
          <w:rFonts w:ascii="Times New Roman" w:eastAsia="Calibri" w:hAnsi="Times New Roman" w:cs="Times New Roman"/>
          <w:color w:val="767171"/>
          <w:spacing w:val="20"/>
          <w:sz w:val="24"/>
          <w:szCs w:val="24"/>
        </w:rPr>
        <w:t xml:space="preserve">instructivos, </w:t>
      </w:r>
      <w:r w:rsidR="004A1E2B" w:rsidRPr="006A0747">
        <w:rPr>
          <w:rFonts w:ascii="Times New Roman" w:eastAsia="Calibri" w:hAnsi="Times New Roman" w:cs="Times New Roman"/>
          <w:color w:val="767171"/>
          <w:spacing w:val="20"/>
          <w:sz w:val="24"/>
          <w:szCs w:val="24"/>
        </w:rPr>
        <w:t xml:space="preserve">tenemos el </w:t>
      </w:r>
      <w:r w:rsidR="0085140A" w:rsidRPr="006A0747">
        <w:rPr>
          <w:rFonts w:ascii="Times New Roman" w:eastAsia="Calibri" w:hAnsi="Times New Roman" w:cs="Times New Roman"/>
          <w:color w:val="767171"/>
          <w:spacing w:val="20"/>
          <w:sz w:val="24"/>
          <w:szCs w:val="24"/>
        </w:rPr>
        <w:t>Instructivo para la Conformación y Determinación de las Concentraciones Individuales y por Grupos de Riesgo, cual tiene por finalidad establecer los lineamientos mínimos que deberán cumplir las EIF, y que utilizará la Superintendencia de Bancos para la conformación de los Grupos de Riesgo, así también, el Instructivo sobre las Sociedades de Información Crediticia (SIC): con el objetivo de recopilar y procesar información crediticia para ofertar los servicios de suministro, consulta e intercambio de historial crediticio de las personas físicas o jurídicas.</w:t>
      </w:r>
    </w:p>
    <w:p w14:paraId="08206B57" w14:textId="70D73AEF" w:rsidR="00C80F3A" w:rsidRPr="006A0747" w:rsidRDefault="00297472" w:rsidP="00C80F3A">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As</w:t>
      </w:r>
      <w:r w:rsidR="000839CE" w:rsidRPr="006A0747">
        <w:rPr>
          <w:rFonts w:ascii="Times New Roman" w:eastAsia="Calibri" w:hAnsi="Times New Roman" w:cs="Times New Roman"/>
          <w:color w:val="767171"/>
          <w:spacing w:val="20"/>
          <w:sz w:val="24"/>
          <w:szCs w:val="24"/>
        </w:rPr>
        <w:t>i</w:t>
      </w:r>
      <w:r w:rsidRPr="006A0747">
        <w:rPr>
          <w:rFonts w:ascii="Times New Roman" w:eastAsia="Calibri" w:hAnsi="Times New Roman" w:cs="Times New Roman"/>
          <w:color w:val="767171"/>
          <w:spacing w:val="20"/>
          <w:sz w:val="24"/>
          <w:szCs w:val="24"/>
        </w:rPr>
        <w:t>mismo</w:t>
      </w:r>
      <w:r w:rsidR="00C80F3A" w:rsidRPr="006A0747">
        <w:rPr>
          <w:rFonts w:ascii="Times New Roman" w:eastAsia="Calibri" w:hAnsi="Times New Roman" w:cs="Times New Roman"/>
          <w:color w:val="767171"/>
          <w:spacing w:val="20"/>
          <w:sz w:val="24"/>
          <w:szCs w:val="24"/>
        </w:rPr>
        <w:t xml:space="preserve">, la </w:t>
      </w:r>
      <w:r w:rsidR="000839CE" w:rsidRPr="006A0747">
        <w:rPr>
          <w:rFonts w:ascii="Times New Roman" w:eastAsia="Calibri" w:hAnsi="Times New Roman" w:cs="Times New Roman"/>
          <w:color w:val="767171"/>
          <w:spacing w:val="20"/>
          <w:sz w:val="24"/>
          <w:szCs w:val="24"/>
        </w:rPr>
        <w:t>SB</w:t>
      </w:r>
      <w:r w:rsidR="00C16AEB" w:rsidRPr="006A0747">
        <w:rPr>
          <w:rFonts w:ascii="Times New Roman" w:eastAsia="Calibri" w:hAnsi="Times New Roman" w:cs="Times New Roman"/>
          <w:color w:val="767171"/>
          <w:spacing w:val="20"/>
          <w:sz w:val="24"/>
          <w:szCs w:val="24"/>
        </w:rPr>
        <w:t>,</w:t>
      </w:r>
      <w:r w:rsidR="00C80F3A" w:rsidRPr="006A0747">
        <w:rPr>
          <w:rFonts w:ascii="Times New Roman" w:eastAsia="Calibri" w:hAnsi="Times New Roman" w:cs="Times New Roman"/>
          <w:color w:val="767171"/>
          <w:spacing w:val="20"/>
          <w:sz w:val="24"/>
          <w:szCs w:val="24"/>
        </w:rPr>
        <w:t xml:space="preserve"> a través de </w:t>
      </w:r>
      <w:r w:rsidR="3DE19D02" w:rsidRPr="006A0747">
        <w:rPr>
          <w:rFonts w:ascii="Times New Roman" w:eastAsia="Calibri" w:hAnsi="Times New Roman" w:cs="Times New Roman"/>
          <w:color w:val="767171"/>
          <w:spacing w:val="20"/>
          <w:sz w:val="24"/>
          <w:szCs w:val="24"/>
        </w:rPr>
        <w:t xml:space="preserve">la Oficina de Atención y Protección de los </w:t>
      </w:r>
      <w:r w:rsidR="2B1E0573" w:rsidRPr="006A0747">
        <w:rPr>
          <w:rFonts w:ascii="Times New Roman" w:eastAsia="Calibri" w:hAnsi="Times New Roman" w:cs="Times New Roman"/>
          <w:color w:val="767171"/>
          <w:spacing w:val="20"/>
          <w:sz w:val="24"/>
          <w:szCs w:val="24"/>
        </w:rPr>
        <w:t>Usuarios</w:t>
      </w:r>
      <w:r w:rsidR="3DE19D02" w:rsidRPr="006A0747">
        <w:rPr>
          <w:rFonts w:ascii="Times New Roman" w:eastAsia="Calibri" w:hAnsi="Times New Roman" w:cs="Times New Roman"/>
          <w:color w:val="767171"/>
          <w:spacing w:val="20"/>
          <w:sz w:val="24"/>
          <w:szCs w:val="24"/>
        </w:rPr>
        <w:t xml:space="preserve"> Financieros (</w:t>
      </w:r>
      <w:r w:rsidR="00C80F3A" w:rsidRPr="006A0747">
        <w:rPr>
          <w:rFonts w:ascii="Times New Roman" w:eastAsia="Calibri" w:hAnsi="Times New Roman" w:cs="Times New Roman"/>
          <w:color w:val="767171"/>
          <w:spacing w:val="20"/>
          <w:sz w:val="24"/>
          <w:szCs w:val="24"/>
        </w:rPr>
        <w:t>ProUsuario</w:t>
      </w:r>
      <w:r w:rsidR="5D53F59D" w:rsidRPr="006A0747">
        <w:rPr>
          <w:rFonts w:ascii="Times New Roman" w:eastAsia="Calibri" w:hAnsi="Times New Roman" w:cs="Times New Roman"/>
          <w:color w:val="767171"/>
          <w:spacing w:val="20"/>
          <w:sz w:val="24"/>
          <w:szCs w:val="24"/>
        </w:rPr>
        <w:t>)</w:t>
      </w:r>
      <w:r w:rsidR="00A56BB1" w:rsidRPr="006A0747">
        <w:rPr>
          <w:rFonts w:ascii="Times New Roman" w:eastAsia="Calibri" w:hAnsi="Times New Roman" w:cs="Times New Roman"/>
          <w:color w:val="767171"/>
          <w:spacing w:val="20"/>
          <w:sz w:val="24"/>
          <w:szCs w:val="24"/>
        </w:rPr>
        <w:t>,</w:t>
      </w:r>
      <w:r w:rsidR="008C0B9D" w:rsidRPr="006A0747">
        <w:rPr>
          <w:rFonts w:ascii="Times New Roman" w:eastAsia="Calibri" w:hAnsi="Times New Roman" w:cs="Times New Roman"/>
          <w:color w:val="767171"/>
          <w:spacing w:val="20"/>
          <w:sz w:val="24"/>
          <w:szCs w:val="24"/>
        </w:rPr>
        <w:t xml:space="preserve"> </w:t>
      </w:r>
      <w:r w:rsidR="00C80F3A" w:rsidRPr="006A0747">
        <w:rPr>
          <w:rFonts w:ascii="Times New Roman" w:eastAsia="Calibri" w:hAnsi="Times New Roman" w:cs="Times New Roman"/>
          <w:color w:val="767171"/>
          <w:spacing w:val="20"/>
          <w:sz w:val="24"/>
          <w:szCs w:val="24"/>
        </w:rPr>
        <w:t xml:space="preserve">registró </w:t>
      </w:r>
      <w:r w:rsidR="004459E4" w:rsidRPr="006A0747">
        <w:rPr>
          <w:rFonts w:ascii="Times New Roman" w:eastAsia="Calibri" w:hAnsi="Times New Roman" w:cs="Times New Roman"/>
          <w:color w:val="767171"/>
          <w:spacing w:val="20"/>
          <w:sz w:val="24"/>
          <w:szCs w:val="24"/>
        </w:rPr>
        <w:t>2</w:t>
      </w:r>
      <w:r w:rsidR="00735BAE" w:rsidRPr="006A0747">
        <w:rPr>
          <w:rFonts w:ascii="Times New Roman" w:eastAsia="Calibri" w:hAnsi="Times New Roman" w:cs="Times New Roman"/>
          <w:color w:val="767171"/>
          <w:spacing w:val="20"/>
          <w:sz w:val="24"/>
          <w:szCs w:val="24"/>
        </w:rPr>
        <w:t>32,212</w:t>
      </w:r>
      <w:r w:rsidR="00C80F3A" w:rsidRPr="006A0747">
        <w:rPr>
          <w:rFonts w:ascii="Times New Roman" w:eastAsia="Calibri" w:hAnsi="Times New Roman" w:cs="Times New Roman"/>
          <w:color w:val="767171"/>
          <w:spacing w:val="20"/>
          <w:sz w:val="24"/>
          <w:szCs w:val="24"/>
        </w:rPr>
        <w:t xml:space="preserve"> contactos, un aumento del </w:t>
      </w:r>
      <w:r w:rsidR="00A6109D" w:rsidRPr="006A0747">
        <w:rPr>
          <w:rFonts w:ascii="Times New Roman" w:eastAsia="Calibri" w:hAnsi="Times New Roman" w:cs="Times New Roman"/>
          <w:color w:val="767171"/>
          <w:spacing w:val="20"/>
          <w:sz w:val="24"/>
          <w:szCs w:val="24"/>
        </w:rPr>
        <w:t>46</w:t>
      </w:r>
      <w:r w:rsidR="00C80F3A" w:rsidRPr="006A0747">
        <w:rPr>
          <w:rFonts w:ascii="Times New Roman" w:eastAsia="Calibri" w:hAnsi="Times New Roman" w:cs="Times New Roman"/>
          <w:color w:val="767171"/>
          <w:spacing w:val="20"/>
          <w:sz w:val="24"/>
          <w:szCs w:val="24"/>
        </w:rPr>
        <w:t xml:space="preserve">% respecto al mismo período del año </w:t>
      </w:r>
      <w:r w:rsidR="00A6109D" w:rsidRPr="006A0747">
        <w:rPr>
          <w:rFonts w:ascii="Times New Roman" w:eastAsia="Calibri" w:hAnsi="Times New Roman" w:cs="Times New Roman"/>
          <w:color w:val="767171"/>
          <w:spacing w:val="20"/>
          <w:sz w:val="24"/>
          <w:szCs w:val="24"/>
        </w:rPr>
        <w:t>2023</w:t>
      </w:r>
      <w:r w:rsidR="00C80F3A" w:rsidRPr="006A0747">
        <w:rPr>
          <w:rFonts w:ascii="Times New Roman" w:eastAsia="Calibri" w:hAnsi="Times New Roman" w:cs="Times New Roman"/>
          <w:color w:val="767171"/>
          <w:spacing w:val="20"/>
          <w:sz w:val="24"/>
          <w:szCs w:val="24"/>
        </w:rPr>
        <w:t xml:space="preserve">. El </w:t>
      </w:r>
      <w:r w:rsidR="007733DC" w:rsidRPr="006A0747">
        <w:rPr>
          <w:rFonts w:ascii="Times New Roman" w:eastAsia="Calibri" w:hAnsi="Times New Roman" w:cs="Times New Roman"/>
          <w:color w:val="767171"/>
          <w:spacing w:val="20"/>
          <w:sz w:val="24"/>
          <w:szCs w:val="24"/>
        </w:rPr>
        <w:t>36</w:t>
      </w:r>
      <w:r w:rsidR="00C80F3A" w:rsidRPr="006A0747">
        <w:rPr>
          <w:rFonts w:ascii="Times New Roman" w:eastAsia="Calibri" w:hAnsi="Times New Roman" w:cs="Times New Roman"/>
          <w:color w:val="767171"/>
          <w:spacing w:val="20"/>
          <w:sz w:val="24"/>
          <w:szCs w:val="24"/>
        </w:rPr>
        <w:t>% de estos contactos fueron presenciales</w:t>
      </w:r>
      <w:r w:rsidR="0C56667E" w:rsidRPr="006A0747">
        <w:rPr>
          <w:rFonts w:ascii="Times New Roman" w:eastAsia="Calibri" w:hAnsi="Times New Roman" w:cs="Times New Roman"/>
          <w:color w:val="767171"/>
          <w:spacing w:val="20"/>
          <w:sz w:val="24"/>
          <w:szCs w:val="24"/>
        </w:rPr>
        <w:t>, telefónicos y otras vías alternas</w:t>
      </w:r>
      <w:r w:rsidR="00C80F3A" w:rsidRPr="006A0747">
        <w:rPr>
          <w:rFonts w:ascii="Times New Roman" w:eastAsia="Calibri" w:hAnsi="Times New Roman" w:cs="Times New Roman"/>
          <w:color w:val="767171"/>
          <w:spacing w:val="20"/>
          <w:sz w:val="24"/>
          <w:szCs w:val="24"/>
        </w:rPr>
        <w:t xml:space="preserve">, mientras que el </w:t>
      </w:r>
      <w:r w:rsidR="007733DC" w:rsidRPr="006A0747">
        <w:rPr>
          <w:rFonts w:ascii="Times New Roman" w:eastAsia="Calibri" w:hAnsi="Times New Roman" w:cs="Times New Roman"/>
          <w:color w:val="767171"/>
          <w:spacing w:val="20"/>
          <w:sz w:val="24"/>
          <w:szCs w:val="24"/>
        </w:rPr>
        <w:t>64</w:t>
      </w:r>
      <w:r w:rsidR="00C80F3A" w:rsidRPr="006A0747">
        <w:rPr>
          <w:rFonts w:ascii="Times New Roman" w:eastAsia="Calibri" w:hAnsi="Times New Roman" w:cs="Times New Roman"/>
          <w:color w:val="767171"/>
          <w:spacing w:val="20"/>
          <w:sz w:val="24"/>
          <w:szCs w:val="24"/>
        </w:rPr>
        <w:t>% se realizaron mediante canales de autoservicio.</w:t>
      </w:r>
      <w:r w:rsidR="008C0B9D" w:rsidRPr="006A0747">
        <w:rPr>
          <w:rFonts w:ascii="Times New Roman" w:eastAsia="Calibri" w:hAnsi="Times New Roman" w:cs="Times New Roman"/>
          <w:color w:val="767171"/>
          <w:spacing w:val="20"/>
          <w:sz w:val="24"/>
          <w:szCs w:val="24"/>
        </w:rPr>
        <w:t xml:space="preserve"> Adicional, </w:t>
      </w:r>
      <w:r w:rsidR="00DD3B96" w:rsidRPr="006A0747">
        <w:rPr>
          <w:rFonts w:ascii="Times New Roman" w:eastAsia="Calibri" w:hAnsi="Times New Roman" w:cs="Times New Roman"/>
          <w:color w:val="767171"/>
          <w:spacing w:val="20"/>
          <w:sz w:val="24"/>
          <w:szCs w:val="24"/>
        </w:rPr>
        <w:t>cabe</w:t>
      </w:r>
      <w:r w:rsidR="008C0B9D" w:rsidRPr="006A0747">
        <w:rPr>
          <w:rFonts w:ascii="Times New Roman" w:eastAsia="Calibri" w:hAnsi="Times New Roman" w:cs="Times New Roman"/>
          <w:color w:val="767171"/>
          <w:spacing w:val="20"/>
          <w:sz w:val="24"/>
          <w:szCs w:val="24"/>
        </w:rPr>
        <w:t xml:space="preserve"> </w:t>
      </w:r>
      <w:r w:rsidR="00B672F6" w:rsidRPr="006A0747">
        <w:rPr>
          <w:rFonts w:ascii="Times New Roman" w:eastAsia="Calibri" w:hAnsi="Times New Roman" w:cs="Times New Roman"/>
          <w:color w:val="767171"/>
          <w:spacing w:val="20"/>
          <w:sz w:val="24"/>
          <w:szCs w:val="24"/>
        </w:rPr>
        <w:t>destacar</w:t>
      </w:r>
      <w:r w:rsidR="008C0B9D" w:rsidRPr="006A0747">
        <w:rPr>
          <w:rFonts w:ascii="Times New Roman" w:eastAsia="Calibri" w:hAnsi="Times New Roman" w:cs="Times New Roman"/>
          <w:color w:val="767171"/>
          <w:spacing w:val="20"/>
          <w:sz w:val="24"/>
          <w:szCs w:val="24"/>
        </w:rPr>
        <w:t xml:space="preserve"> que la </w:t>
      </w:r>
      <w:r w:rsidR="00063509" w:rsidRPr="006A0747">
        <w:rPr>
          <w:rFonts w:ascii="Times New Roman" w:eastAsia="Calibri" w:hAnsi="Times New Roman" w:cs="Times New Roman"/>
          <w:color w:val="767171"/>
          <w:spacing w:val="20"/>
          <w:sz w:val="24"/>
          <w:szCs w:val="24"/>
        </w:rPr>
        <w:t xml:space="preserve">aplicación de </w:t>
      </w:r>
      <w:r w:rsidR="008C0B9D" w:rsidRPr="006A0747">
        <w:rPr>
          <w:rFonts w:ascii="Times New Roman" w:eastAsia="Calibri" w:hAnsi="Times New Roman" w:cs="Times New Roman"/>
          <w:color w:val="767171"/>
          <w:spacing w:val="20"/>
          <w:sz w:val="24"/>
          <w:szCs w:val="24"/>
        </w:rPr>
        <w:t xml:space="preserve">ProUsuario </w:t>
      </w:r>
      <w:r w:rsidR="00063509" w:rsidRPr="006A0747">
        <w:rPr>
          <w:rFonts w:ascii="Times New Roman" w:eastAsia="Calibri" w:hAnsi="Times New Roman" w:cs="Times New Roman"/>
          <w:color w:val="767171"/>
          <w:spacing w:val="20"/>
          <w:sz w:val="24"/>
          <w:szCs w:val="24"/>
        </w:rPr>
        <w:t>digital</w:t>
      </w:r>
      <w:r w:rsidR="008C0B9D" w:rsidRPr="006A0747">
        <w:rPr>
          <w:rFonts w:ascii="Times New Roman" w:eastAsia="Calibri" w:hAnsi="Times New Roman" w:cs="Times New Roman"/>
          <w:color w:val="767171"/>
          <w:spacing w:val="20"/>
          <w:sz w:val="24"/>
          <w:szCs w:val="24"/>
        </w:rPr>
        <w:t xml:space="preserve"> </w:t>
      </w:r>
      <w:r w:rsidR="001E6FB6" w:rsidRPr="006A0747">
        <w:rPr>
          <w:rFonts w:ascii="Times New Roman" w:eastAsia="Calibri" w:hAnsi="Times New Roman" w:cs="Times New Roman"/>
          <w:color w:val="767171"/>
          <w:spacing w:val="20"/>
          <w:sz w:val="24"/>
          <w:szCs w:val="24"/>
        </w:rPr>
        <w:t>cuenta con</w:t>
      </w:r>
      <w:r w:rsidR="004115D9" w:rsidRPr="006A0747">
        <w:rPr>
          <w:rFonts w:ascii="Times New Roman" w:eastAsia="Calibri" w:hAnsi="Times New Roman" w:cs="Times New Roman"/>
          <w:color w:val="767171"/>
          <w:spacing w:val="20"/>
          <w:sz w:val="24"/>
          <w:szCs w:val="24"/>
        </w:rPr>
        <w:t xml:space="preserve"> 340,000 descargas</w:t>
      </w:r>
      <w:r w:rsidR="00AB3811" w:rsidRPr="006A0747">
        <w:rPr>
          <w:rFonts w:ascii="Times New Roman" w:eastAsia="Calibri" w:hAnsi="Times New Roman" w:cs="Times New Roman"/>
          <w:color w:val="767171"/>
          <w:spacing w:val="20"/>
          <w:sz w:val="24"/>
          <w:szCs w:val="24"/>
        </w:rPr>
        <w:t xml:space="preserve"> a la fecha</w:t>
      </w:r>
      <w:r w:rsidR="005F6703" w:rsidRPr="006A0747">
        <w:rPr>
          <w:rFonts w:ascii="Times New Roman" w:eastAsia="Calibri" w:hAnsi="Times New Roman" w:cs="Times New Roman"/>
          <w:color w:val="767171"/>
          <w:spacing w:val="20"/>
          <w:sz w:val="24"/>
          <w:szCs w:val="24"/>
        </w:rPr>
        <w:t>.</w:t>
      </w:r>
    </w:p>
    <w:p w14:paraId="5F483DD5" w14:textId="40EB5642" w:rsidR="00F006FA" w:rsidRPr="006A0747" w:rsidRDefault="331FC9FA" w:rsidP="3E1D420C">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lastRenderedPageBreak/>
        <w:t>En términos de gestión de casos, ProUsuario</w:t>
      </w:r>
      <w:r w:rsidR="00AF2202" w:rsidRPr="006A0747">
        <w:rPr>
          <w:rFonts w:ascii="Times New Roman" w:eastAsia="Calibri" w:hAnsi="Times New Roman" w:cs="Times New Roman"/>
          <w:color w:val="767171"/>
          <w:spacing w:val="20"/>
          <w:sz w:val="24"/>
          <w:szCs w:val="24"/>
        </w:rPr>
        <w:t xml:space="preserve"> </w:t>
      </w:r>
      <w:r w:rsidR="00AD2783" w:rsidRPr="006A0747">
        <w:rPr>
          <w:rFonts w:ascii="Times New Roman" w:eastAsia="Calibri" w:hAnsi="Times New Roman" w:cs="Times New Roman"/>
          <w:color w:val="767171"/>
          <w:spacing w:val="20"/>
          <w:sz w:val="24"/>
          <w:szCs w:val="24"/>
        </w:rPr>
        <w:t>procesó</w:t>
      </w:r>
      <w:r w:rsidR="00F006FA" w:rsidRPr="006A0747">
        <w:rPr>
          <w:rFonts w:ascii="Times New Roman" w:eastAsia="Calibri" w:hAnsi="Times New Roman" w:cs="Times New Roman"/>
          <w:color w:val="767171"/>
          <w:spacing w:val="20"/>
          <w:sz w:val="24"/>
          <w:szCs w:val="24"/>
        </w:rPr>
        <w:t xml:space="preserve"> un total de 4,878 casos de reclamaciones y 694 reconsideraciones, 11% más que la cantidad recibida en comparación al año anterior.</w:t>
      </w:r>
      <w:r w:rsidR="00BB075D" w:rsidRPr="006A0747">
        <w:rPr>
          <w:rFonts w:ascii="Times New Roman" w:eastAsia="Calibri" w:hAnsi="Times New Roman" w:cs="Times New Roman"/>
          <w:color w:val="767171"/>
          <w:spacing w:val="20"/>
          <w:sz w:val="24"/>
          <w:szCs w:val="24"/>
        </w:rPr>
        <w:t xml:space="preserve"> De las </w:t>
      </w:r>
      <w:r w:rsidR="006B7267" w:rsidRPr="006A0747">
        <w:rPr>
          <w:rFonts w:ascii="Times New Roman" w:eastAsia="Calibri" w:hAnsi="Times New Roman" w:cs="Times New Roman"/>
          <w:color w:val="767171"/>
          <w:spacing w:val="20"/>
          <w:sz w:val="24"/>
          <w:szCs w:val="24"/>
        </w:rPr>
        <w:t>4,</w:t>
      </w:r>
      <w:r w:rsidR="007435FE" w:rsidRPr="006A0747">
        <w:rPr>
          <w:rFonts w:ascii="Times New Roman" w:eastAsia="Calibri" w:hAnsi="Times New Roman" w:cs="Times New Roman"/>
          <w:color w:val="767171"/>
          <w:spacing w:val="20"/>
          <w:sz w:val="24"/>
          <w:szCs w:val="24"/>
        </w:rPr>
        <w:t xml:space="preserve">878 </w:t>
      </w:r>
      <w:r w:rsidR="00BB075D" w:rsidRPr="006A0747">
        <w:rPr>
          <w:rFonts w:ascii="Times New Roman" w:eastAsia="Calibri" w:hAnsi="Times New Roman" w:cs="Times New Roman"/>
          <w:color w:val="767171"/>
          <w:spacing w:val="20"/>
          <w:sz w:val="24"/>
          <w:szCs w:val="24"/>
        </w:rPr>
        <w:t>reclamaciones respondidas, 2,711 correspondieron a respuestas favorables, representando un 55</w:t>
      </w:r>
      <w:r w:rsidR="00CB7E0D" w:rsidRPr="006A0747">
        <w:rPr>
          <w:rFonts w:ascii="Times New Roman" w:eastAsia="Calibri" w:hAnsi="Times New Roman" w:cs="Times New Roman"/>
          <w:color w:val="767171"/>
          <w:spacing w:val="20"/>
          <w:sz w:val="24"/>
          <w:szCs w:val="24"/>
        </w:rPr>
        <w:t>% del</w:t>
      </w:r>
      <w:r w:rsidR="00BB075D" w:rsidRPr="006A0747">
        <w:rPr>
          <w:rFonts w:ascii="Times New Roman" w:eastAsia="Calibri" w:hAnsi="Times New Roman" w:cs="Times New Roman"/>
          <w:color w:val="767171"/>
          <w:spacing w:val="20"/>
          <w:sz w:val="24"/>
          <w:szCs w:val="24"/>
        </w:rPr>
        <w:t xml:space="preserve"> total de las respuestas. Como resultado de gestiones realizadas, las EIF involucradas fueron instruidas a acreditar más de RD$ 124.9M</w:t>
      </w:r>
      <w:r w:rsidR="004F32B0" w:rsidRPr="006A0747">
        <w:rPr>
          <w:rFonts w:ascii="Times New Roman" w:eastAsia="Calibri" w:hAnsi="Times New Roman" w:cs="Times New Roman"/>
          <w:color w:val="767171"/>
          <w:spacing w:val="20"/>
          <w:sz w:val="24"/>
          <w:szCs w:val="24"/>
        </w:rPr>
        <w:t>M</w:t>
      </w:r>
      <w:r w:rsidR="00BB075D" w:rsidRPr="006A0747">
        <w:rPr>
          <w:rFonts w:ascii="Times New Roman" w:eastAsia="Calibri" w:hAnsi="Times New Roman" w:cs="Times New Roman"/>
          <w:color w:val="767171"/>
          <w:spacing w:val="20"/>
          <w:sz w:val="24"/>
          <w:szCs w:val="24"/>
        </w:rPr>
        <w:t xml:space="preserve"> en beneficio de los usuarios reclamantes.</w:t>
      </w:r>
    </w:p>
    <w:p w14:paraId="69D6AFB7" w14:textId="0DA673E5" w:rsidR="00C80F3A" w:rsidRPr="006A0747" w:rsidRDefault="00820F62" w:rsidP="00C80F3A">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En adición, s</w:t>
      </w:r>
      <w:r w:rsidR="00C80F3A" w:rsidRPr="006A0747">
        <w:rPr>
          <w:rFonts w:ascii="Times New Roman" w:eastAsia="Calibri" w:hAnsi="Times New Roman" w:cs="Times New Roman"/>
          <w:color w:val="767171"/>
          <w:spacing w:val="20"/>
          <w:sz w:val="24"/>
          <w:szCs w:val="24"/>
        </w:rPr>
        <w:t>e introdujo la funcionalidad "</w:t>
      </w:r>
      <w:r w:rsidR="2116204A" w:rsidRPr="006A0747">
        <w:rPr>
          <w:rFonts w:ascii="Times New Roman" w:eastAsia="Calibri" w:hAnsi="Times New Roman" w:cs="Times New Roman"/>
          <w:color w:val="767171"/>
          <w:spacing w:val="20"/>
          <w:sz w:val="24"/>
          <w:szCs w:val="24"/>
        </w:rPr>
        <w:t>l</w:t>
      </w:r>
      <w:r w:rsidR="00C80F3A" w:rsidRPr="006A0747">
        <w:rPr>
          <w:rFonts w:ascii="Times New Roman" w:eastAsia="Calibri" w:hAnsi="Times New Roman" w:cs="Times New Roman"/>
          <w:color w:val="767171"/>
          <w:spacing w:val="20"/>
          <w:sz w:val="24"/>
          <w:szCs w:val="24"/>
        </w:rPr>
        <w:t xml:space="preserve">lamadas no deseadas" en la </w:t>
      </w:r>
      <w:r w:rsidR="1A1D663C" w:rsidRPr="006A0747">
        <w:rPr>
          <w:rFonts w:ascii="Times New Roman" w:eastAsia="Calibri" w:hAnsi="Times New Roman" w:cs="Times New Roman"/>
          <w:color w:val="767171"/>
          <w:spacing w:val="20"/>
          <w:sz w:val="24"/>
          <w:szCs w:val="24"/>
        </w:rPr>
        <w:t>a</w:t>
      </w:r>
      <w:r w:rsidR="00C80F3A" w:rsidRPr="006A0747">
        <w:rPr>
          <w:rFonts w:ascii="Times New Roman" w:eastAsia="Calibri" w:hAnsi="Times New Roman" w:cs="Times New Roman"/>
          <w:color w:val="767171"/>
          <w:spacing w:val="20"/>
          <w:sz w:val="24"/>
          <w:szCs w:val="24"/>
        </w:rPr>
        <w:t>plicación</w:t>
      </w:r>
      <w:r w:rsidR="2AB05C09" w:rsidRPr="006A0747">
        <w:rPr>
          <w:rFonts w:ascii="Times New Roman" w:eastAsia="Calibri" w:hAnsi="Times New Roman" w:cs="Times New Roman"/>
          <w:color w:val="767171"/>
          <w:spacing w:val="20"/>
          <w:sz w:val="24"/>
          <w:szCs w:val="24"/>
        </w:rPr>
        <w:t xml:space="preserve"> web y </w:t>
      </w:r>
      <w:r w:rsidR="76AC9128" w:rsidRPr="006A0747">
        <w:rPr>
          <w:rFonts w:ascii="Times New Roman" w:eastAsia="Calibri" w:hAnsi="Times New Roman" w:cs="Times New Roman"/>
          <w:color w:val="767171"/>
          <w:spacing w:val="20"/>
          <w:sz w:val="24"/>
          <w:szCs w:val="24"/>
        </w:rPr>
        <w:t>móvil</w:t>
      </w:r>
      <w:r w:rsidR="2AB05C09" w:rsidRPr="006A0747">
        <w:rPr>
          <w:rFonts w:ascii="Times New Roman" w:eastAsia="Calibri" w:hAnsi="Times New Roman" w:cs="Times New Roman"/>
          <w:color w:val="767171"/>
          <w:spacing w:val="20"/>
          <w:sz w:val="24"/>
          <w:szCs w:val="24"/>
        </w:rPr>
        <w:t xml:space="preserve"> de</w:t>
      </w:r>
      <w:r w:rsidR="00C80F3A" w:rsidRPr="006A0747">
        <w:rPr>
          <w:rFonts w:ascii="Times New Roman" w:eastAsia="Calibri" w:hAnsi="Times New Roman" w:cs="Times New Roman"/>
          <w:color w:val="767171"/>
          <w:spacing w:val="20"/>
          <w:sz w:val="24"/>
          <w:szCs w:val="24"/>
        </w:rPr>
        <w:t xml:space="preserve"> ProUsuario</w:t>
      </w:r>
      <w:r w:rsidR="561ADBF2" w:rsidRPr="006A0747">
        <w:rPr>
          <w:rFonts w:ascii="Times New Roman" w:eastAsia="Calibri" w:hAnsi="Times New Roman" w:cs="Times New Roman"/>
          <w:color w:val="767171"/>
          <w:spacing w:val="20"/>
          <w:sz w:val="24"/>
          <w:szCs w:val="24"/>
        </w:rPr>
        <w:t xml:space="preserve"> Digital</w:t>
      </w:r>
      <w:r w:rsidR="00C80F3A" w:rsidRPr="006A0747">
        <w:rPr>
          <w:rFonts w:ascii="Times New Roman" w:eastAsia="Calibri" w:hAnsi="Times New Roman" w:cs="Times New Roman"/>
          <w:color w:val="767171"/>
          <w:spacing w:val="20"/>
          <w:sz w:val="24"/>
          <w:szCs w:val="24"/>
        </w:rPr>
        <w:t xml:space="preserve">, permitiendo a usuarios gestionar </w:t>
      </w:r>
      <w:r w:rsidR="75324616" w:rsidRPr="006A0747">
        <w:rPr>
          <w:rFonts w:ascii="Times New Roman" w:eastAsia="Calibri" w:hAnsi="Times New Roman" w:cs="Times New Roman"/>
          <w:color w:val="767171"/>
          <w:spacing w:val="20"/>
          <w:sz w:val="24"/>
          <w:szCs w:val="24"/>
        </w:rPr>
        <w:t xml:space="preserve">de una forma más ágil </w:t>
      </w:r>
      <w:r w:rsidR="00C80F3A" w:rsidRPr="006A0747">
        <w:rPr>
          <w:rFonts w:ascii="Times New Roman" w:eastAsia="Calibri" w:hAnsi="Times New Roman" w:cs="Times New Roman"/>
          <w:color w:val="767171"/>
          <w:spacing w:val="20"/>
          <w:sz w:val="24"/>
          <w:szCs w:val="24"/>
        </w:rPr>
        <w:t>su inclusión o exclusión en listas de contacto para ofertas comerciales</w:t>
      </w:r>
      <w:r w:rsidR="1805170B" w:rsidRPr="006A0747">
        <w:rPr>
          <w:rFonts w:ascii="Times New Roman" w:eastAsia="Calibri" w:hAnsi="Times New Roman" w:cs="Times New Roman"/>
          <w:color w:val="767171"/>
          <w:spacing w:val="20"/>
          <w:sz w:val="24"/>
          <w:szCs w:val="24"/>
        </w:rPr>
        <w:t>. A</w:t>
      </w:r>
      <w:r w:rsidR="00ED0CBB" w:rsidRPr="006A0747">
        <w:rPr>
          <w:rFonts w:ascii="Times New Roman" w:eastAsia="Calibri" w:hAnsi="Times New Roman" w:cs="Times New Roman"/>
          <w:color w:val="767171"/>
          <w:spacing w:val="20"/>
          <w:sz w:val="24"/>
          <w:szCs w:val="24"/>
        </w:rPr>
        <w:t xml:space="preserve"> </w:t>
      </w:r>
      <w:r w:rsidR="1805170B" w:rsidRPr="006A0747">
        <w:rPr>
          <w:rFonts w:ascii="Times New Roman" w:eastAsia="Calibri" w:hAnsi="Times New Roman" w:cs="Times New Roman"/>
          <w:color w:val="767171"/>
          <w:spacing w:val="20"/>
          <w:sz w:val="24"/>
          <w:szCs w:val="24"/>
        </w:rPr>
        <w:t>la fecha,</w:t>
      </w:r>
      <w:r w:rsidR="00C80F3A" w:rsidRPr="006A0747">
        <w:rPr>
          <w:rFonts w:ascii="Times New Roman" w:eastAsia="Calibri" w:hAnsi="Times New Roman" w:cs="Times New Roman"/>
          <w:color w:val="767171"/>
          <w:spacing w:val="20"/>
          <w:sz w:val="24"/>
          <w:szCs w:val="24"/>
        </w:rPr>
        <w:t xml:space="preserve"> más de </w:t>
      </w:r>
      <w:r w:rsidR="00CF438E" w:rsidRPr="006A0747">
        <w:rPr>
          <w:rFonts w:ascii="Times New Roman" w:eastAsia="Calibri" w:hAnsi="Times New Roman" w:cs="Times New Roman"/>
          <w:color w:val="767171"/>
          <w:spacing w:val="20"/>
          <w:sz w:val="24"/>
          <w:szCs w:val="24"/>
        </w:rPr>
        <w:t>12</w:t>
      </w:r>
      <w:r w:rsidR="00C80F3A" w:rsidRPr="006A0747">
        <w:rPr>
          <w:rFonts w:ascii="Times New Roman" w:eastAsia="Calibri" w:hAnsi="Times New Roman" w:cs="Times New Roman"/>
          <w:color w:val="767171"/>
          <w:spacing w:val="20"/>
          <w:sz w:val="24"/>
          <w:szCs w:val="24"/>
        </w:rPr>
        <w:t xml:space="preserve">,000 usuarios </w:t>
      </w:r>
      <w:r w:rsidR="1EA07C7A" w:rsidRPr="006A0747">
        <w:rPr>
          <w:rFonts w:ascii="Times New Roman" w:eastAsia="Calibri" w:hAnsi="Times New Roman" w:cs="Times New Roman"/>
          <w:color w:val="767171"/>
          <w:spacing w:val="20"/>
          <w:sz w:val="24"/>
          <w:szCs w:val="24"/>
        </w:rPr>
        <w:t>han realizado</w:t>
      </w:r>
      <w:r w:rsidR="00C80F3A" w:rsidRPr="006A0747">
        <w:rPr>
          <w:rFonts w:ascii="Times New Roman" w:eastAsia="Calibri" w:hAnsi="Times New Roman" w:cs="Times New Roman"/>
          <w:color w:val="767171"/>
          <w:spacing w:val="20"/>
          <w:sz w:val="24"/>
          <w:szCs w:val="24"/>
        </w:rPr>
        <w:t xml:space="preserve"> </w:t>
      </w:r>
      <w:r w:rsidR="00A305E3" w:rsidRPr="006A0747">
        <w:rPr>
          <w:rFonts w:ascii="Times New Roman" w:eastAsia="Calibri" w:hAnsi="Times New Roman" w:cs="Times New Roman"/>
          <w:color w:val="767171"/>
          <w:spacing w:val="20"/>
          <w:sz w:val="24"/>
          <w:szCs w:val="24"/>
        </w:rPr>
        <w:t>más</w:t>
      </w:r>
      <w:r w:rsidR="00C80F3A" w:rsidRPr="006A0747">
        <w:rPr>
          <w:rFonts w:ascii="Times New Roman" w:eastAsia="Calibri" w:hAnsi="Times New Roman" w:cs="Times New Roman"/>
          <w:color w:val="767171"/>
          <w:spacing w:val="20"/>
          <w:sz w:val="24"/>
          <w:szCs w:val="24"/>
        </w:rPr>
        <w:t xml:space="preserve"> de </w:t>
      </w:r>
      <w:r w:rsidR="009E36AF" w:rsidRPr="006A0747">
        <w:rPr>
          <w:rFonts w:ascii="Times New Roman" w:eastAsia="Calibri" w:hAnsi="Times New Roman" w:cs="Times New Roman"/>
          <w:color w:val="767171"/>
          <w:spacing w:val="20"/>
          <w:sz w:val="24"/>
          <w:szCs w:val="24"/>
        </w:rPr>
        <w:t>400</w:t>
      </w:r>
      <w:r w:rsidR="00C80F3A" w:rsidRPr="006A0747">
        <w:rPr>
          <w:rFonts w:ascii="Times New Roman" w:eastAsia="Calibri" w:hAnsi="Times New Roman" w:cs="Times New Roman"/>
          <w:color w:val="767171"/>
          <w:spacing w:val="20"/>
          <w:sz w:val="24"/>
          <w:szCs w:val="24"/>
        </w:rPr>
        <w:t>,000 solicitudes</w:t>
      </w:r>
      <w:r w:rsidR="0013638A" w:rsidRPr="006A0747">
        <w:rPr>
          <w:rFonts w:ascii="Times New Roman" w:eastAsia="Calibri" w:hAnsi="Times New Roman" w:cs="Times New Roman"/>
          <w:color w:val="767171"/>
          <w:spacing w:val="20"/>
          <w:sz w:val="24"/>
          <w:szCs w:val="24"/>
        </w:rPr>
        <w:t xml:space="preserve"> para no recibir las llamadas no deseadas de las entid</w:t>
      </w:r>
      <w:r w:rsidR="00B635EA" w:rsidRPr="006A0747">
        <w:rPr>
          <w:rFonts w:ascii="Times New Roman" w:eastAsia="Calibri" w:hAnsi="Times New Roman" w:cs="Times New Roman"/>
          <w:color w:val="767171"/>
          <w:spacing w:val="20"/>
          <w:sz w:val="24"/>
          <w:szCs w:val="24"/>
        </w:rPr>
        <w:t>ades,</w:t>
      </w:r>
      <w:r w:rsidR="00C80F3A" w:rsidRPr="006A0747">
        <w:rPr>
          <w:rFonts w:ascii="Times New Roman" w:eastAsia="Calibri" w:hAnsi="Times New Roman" w:cs="Times New Roman"/>
          <w:color w:val="767171"/>
          <w:spacing w:val="20"/>
          <w:sz w:val="24"/>
          <w:szCs w:val="24"/>
        </w:rPr>
        <w:t xml:space="preserve"> con un cumplimiento del 91% por parte de las entidades supervisadas.</w:t>
      </w:r>
    </w:p>
    <w:p w14:paraId="45754F2E" w14:textId="1FEA498A" w:rsidR="00686C55" w:rsidRPr="006A0747" w:rsidRDefault="244F0C9E" w:rsidP="00765FED">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Por medio de la iniciativa “Dinero Busca Dueño”, </w:t>
      </w:r>
      <w:r w:rsidR="4688F2D4" w:rsidRPr="006A0747">
        <w:rPr>
          <w:rFonts w:ascii="Times New Roman" w:eastAsia="Calibri" w:hAnsi="Times New Roman" w:cs="Times New Roman"/>
          <w:color w:val="767171"/>
          <w:spacing w:val="20"/>
          <w:sz w:val="24"/>
          <w:szCs w:val="24"/>
        </w:rPr>
        <w:t>la S</w:t>
      </w:r>
      <w:r w:rsidR="003457F7" w:rsidRPr="006A0747">
        <w:rPr>
          <w:rFonts w:ascii="Times New Roman" w:eastAsia="Calibri" w:hAnsi="Times New Roman" w:cs="Times New Roman"/>
          <w:color w:val="767171"/>
          <w:spacing w:val="20"/>
          <w:sz w:val="24"/>
          <w:szCs w:val="24"/>
        </w:rPr>
        <w:t xml:space="preserve">uperintendencia de </w:t>
      </w:r>
      <w:r w:rsidR="4688F2D4" w:rsidRPr="006A0747">
        <w:rPr>
          <w:rFonts w:ascii="Times New Roman" w:eastAsia="Calibri" w:hAnsi="Times New Roman" w:cs="Times New Roman"/>
          <w:color w:val="767171"/>
          <w:spacing w:val="20"/>
          <w:sz w:val="24"/>
          <w:szCs w:val="24"/>
        </w:rPr>
        <w:t>B</w:t>
      </w:r>
      <w:r w:rsidR="003457F7" w:rsidRPr="006A0747">
        <w:rPr>
          <w:rFonts w:ascii="Times New Roman" w:eastAsia="Calibri" w:hAnsi="Times New Roman" w:cs="Times New Roman"/>
          <w:color w:val="767171"/>
          <w:spacing w:val="20"/>
          <w:sz w:val="24"/>
          <w:szCs w:val="24"/>
        </w:rPr>
        <w:t>ancos</w:t>
      </w:r>
      <w:r w:rsidR="00492DCF" w:rsidRPr="006A0747">
        <w:rPr>
          <w:rFonts w:ascii="Times New Roman" w:eastAsia="Calibri" w:hAnsi="Times New Roman" w:cs="Times New Roman"/>
          <w:color w:val="767171"/>
          <w:spacing w:val="20"/>
          <w:sz w:val="24"/>
          <w:szCs w:val="24"/>
        </w:rPr>
        <w:t xml:space="preserve"> </w:t>
      </w:r>
      <w:r w:rsidR="71D74A35" w:rsidRPr="006A0747">
        <w:rPr>
          <w:rFonts w:ascii="Times New Roman" w:eastAsia="Calibri" w:hAnsi="Times New Roman" w:cs="Times New Roman"/>
          <w:color w:val="767171"/>
          <w:spacing w:val="20"/>
          <w:sz w:val="24"/>
          <w:szCs w:val="24"/>
        </w:rPr>
        <w:t>logró</w:t>
      </w:r>
      <w:r w:rsidR="00492DCF" w:rsidRPr="006A0747">
        <w:rPr>
          <w:rFonts w:ascii="Times New Roman" w:eastAsia="Calibri" w:hAnsi="Times New Roman" w:cs="Times New Roman"/>
          <w:color w:val="767171"/>
          <w:spacing w:val="20"/>
          <w:sz w:val="24"/>
          <w:szCs w:val="24"/>
        </w:rPr>
        <w:t xml:space="preserve"> compensar a más de </w:t>
      </w:r>
      <w:r w:rsidR="00384CB5" w:rsidRPr="006A0747">
        <w:rPr>
          <w:rFonts w:ascii="Times New Roman" w:eastAsia="Calibri" w:hAnsi="Times New Roman" w:cs="Times New Roman"/>
          <w:color w:val="767171"/>
          <w:spacing w:val="20"/>
          <w:sz w:val="24"/>
          <w:szCs w:val="24"/>
        </w:rPr>
        <w:t>624</w:t>
      </w:r>
      <w:r w:rsidR="00492DCF" w:rsidRPr="006A0747">
        <w:rPr>
          <w:rFonts w:ascii="Times New Roman" w:eastAsia="Calibri" w:hAnsi="Times New Roman" w:cs="Times New Roman"/>
          <w:color w:val="767171"/>
          <w:spacing w:val="20"/>
          <w:sz w:val="24"/>
          <w:szCs w:val="24"/>
        </w:rPr>
        <w:t xml:space="preserve"> ahorristas con el 100% de los ahorros que </w:t>
      </w:r>
      <w:r w:rsidR="30A1658A" w:rsidRPr="006A0747">
        <w:rPr>
          <w:rFonts w:ascii="Times New Roman" w:eastAsia="Calibri" w:hAnsi="Times New Roman" w:cs="Times New Roman"/>
          <w:color w:val="767171"/>
          <w:spacing w:val="20"/>
          <w:sz w:val="24"/>
          <w:szCs w:val="24"/>
        </w:rPr>
        <w:t xml:space="preserve">se les </w:t>
      </w:r>
      <w:r w:rsidR="7438A9E0" w:rsidRPr="006A0747">
        <w:rPr>
          <w:rFonts w:ascii="Times New Roman" w:eastAsia="Calibri" w:hAnsi="Times New Roman" w:cs="Times New Roman"/>
          <w:color w:val="767171"/>
          <w:spacing w:val="20"/>
          <w:sz w:val="24"/>
          <w:szCs w:val="24"/>
        </w:rPr>
        <w:t>adeudaba</w:t>
      </w:r>
      <w:r w:rsidR="30A1658A" w:rsidRPr="006A0747">
        <w:rPr>
          <w:rFonts w:ascii="Times New Roman" w:eastAsia="Calibri" w:hAnsi="Times New Roman" w:cs="Times New Roman"/>
          <w:color w:val="767171"/>
          <w:spacing w:val="20"/>
          <w:sz w:val="24"/>
          <w:szCs w:val="24"/>
        </w:rPr>
        <w:t xml:space="preserve"> de </w:t>
      </w:r>
      <w:r w:rsidR="572B31D0" w:rsidRPr="006A0747">
        <w:rPr>
          <w:rFonts w:ascii="Times New Roman" w:eastAsia="Calibri" w:hAnsi="Times New Roman" w:cs="Times New Roman"/>
          <w:color w:val="767171"/>
          <w:spacing w:val="20"/>
          <w:sz w:val="24"/>
          <w:szCs w:val="24"/>
        </w:rPr>
        <w:t>e</w:t>
      </w:r>
      <w:r w:rsidR="00492DCF" w:rsidRPr="006A0747">
        <w:rPr>
          <w:rFonts w:ascii="Times New Roman" w:eastAsia="Calibri" w:hAnsi="Times New Roman" w:cs="Times New Roman"/>
          <w:color w:val="767171"/>
          <w:spacing w:val="20"/>
          <w:sz w:val="24"/>
          <w:szCs w:val="24"/>
        </w:rPr>
        <w:t xml:space="preserve">ntidades </w:t>
      </w:r>
      <w:r w:rsidR="655EE832" w:rsidRPr="006A0747">
        <w:rPr>
          <w:rFonts w:ascii="Times New Roman" w:eastAsia="Calibri" w:hAnsi="Times New Roman" w:cs="Times New Roman"/>
          <w:color w:val="767171"/>
          <w:spacing w:val="20"/>
          <w:sz w:val="24"/>
          <w:szCs w:val="24"/>
        </w:rPr>
        <w:t>de intermediación f</w:t>
      </w:r>
      <w:r w:rsidR="00492DCF" w:rsidRPr="006A0747">
        <w:rPr>
          <w:rFonts w:ascii="Times New Roman" w:eastAsia="Calibri" w:hAnsi="Times New Roman" w:cs="Times New Roman"/>
          <w:color w:val="767171"/>
          <w:spacing w:val="20"/>
          <w:sz w:val="24"/>
          <w:szCs w:val="24"/>
        </w:rPr>
        <w:t>inanciera en proceso de liquidación</w:t>
      </w:r>
      <w:r w:rsidR="01C26E3C" w:rsidRPr="006A0747">
        <w:rPr>
          <w:rFonts w:ascii="Times New Roman" w:eastAsia="Calibri" w:hAnsi="Times New Roman" w:cs="Times New Roman"/>
          <w:color w:val="767171"/>
          <w:spacing w:val="20"/>
          <w:sz w:val="24"/>
          <w:szCs w:val="24"/>
        </w:rPr>
        <w:t xml:space="preserve"> y/o disolución</w:t>
      </w:r>
      <w:r w:rsidR="00492DCF" w:rsidRPr="006A0747">
        <w:rPr>
          <w:rFonts w:ascii="Times New Roman" w:eastAsia="Calibri" w:hAnsi="Times New Roman" w:cs="Times New Roman"/>
          <w:color w:val="767171"/>
          <w:spacing w:val="20"/>
          <w:sz w:val="24"/>
          <w:szCs w:val="24"/>
        </w:rPr>
        <w:t xml:space="preserve">. </w:t>
      </w:r>
      <w:r w:rsidR="00BF64B6" w:rsidRPr="006A0747">
        <w:rPr>
          <w:rFonts w:ascii="Times New Roman" w:eastAsia="Calibri" w:hAnsi="Times New Roman" w:cs="Times New Roman"/>
          <w:color w:val="767171"/>
          <w:spacing w:val="20"/>
          <w:sz w:val="24"/>
          <w:szCs w:val="24"/>
        </w:rPr>
        <w:t>Los montos</w:t>
      </w:r>
      <w:r w:rsidR="00AE6EA2" w:rsidRPr="006A0747">
        <w:rPr>
          <w:rFonts w:ascii="Times New Roman" w:eastAsia="Calibri" w:hAnsi="Times New Roman" w:cs="Times New Roman"/>
          <w:color w:val="767171"/>
          <w:spacing w:val="20"/>
          <w:sz w:val="24"/>
          <w:szCs w:val="24"/>
        </w:rPr>
        <w:t xml:space="preserve"> devueltos a través del programa</w:t>
      </w:r>
      <w:r w:rsidR="00BF64B6" w:rsidRPr="006A0747">
        <w:rPr>
          <w:rFonts w:ascii="Times New Roman" w:eastAsia="Calibri" w:hAnsi="Times New Roman" w:cs="Times New Roman"/>
          <w:color w:val="767171"/>
          <w:spacing w:val="20"/>
          <w:sz w:val="24"/>
          <w:szCs w:val="24"/>
        </w:rPr>
        <w:t xml:space="preserve"> ascendieron a </w:t>
      </w:r>
      <w:r w:rsidR="00AE6EA2" w:rsidRPr="006A0747">
        <w:rPr>
          <w:rFonts w:ascii="Times New Roman" w:eastAsia="Calibri" w:hAnsi="Times New Roman" w:cs="Times New Roman"/>
          <w:color w:val="767171"/>
          <w:spacing w:val="20"/>
          <w:sz w:val="24"/>
          <w:szCs w:val="24"/>
        </w:rPr>
        <w:t xml:space="preserve">RD$ </w:t>
      </w:r>
      <w:r w:rsidR="00BF64B6" w:rsidRPr="006A0747">
        <w:rPr>
          <w:rFonts w:ascii="Times New Roman" w:eastAsia="Calibri" w:hAnsi="Times New Roman" w:cs="Times New Roman"/>
          <w:color w:val="767171"/>
          <w:spacing w:val="20"/>
          <w:sz w:val="24"/>
          <w:szCs w:val="24"/>
        </w:rPr>
        <w:t>57</w:t>
      </w:r>
      <w:r w:rsidR="00A2319D" w:rsidRPr="006A0747">
        <w:rPr>
          <w:rFonts w:ascii="Times New Roman" w:eastAsia="Calibri" w:hAnsi="Times New Roman" w:cs="Times New Roman"/>
          <w:color w:val="767171"/>
          <w:spacing w:val="20"/>
          <w:sz w:val="24"/>
          <w:szCs w:val="24"/>
        </w:rPr>
        <w:t>MM</w:t>
      </w:r>
      <w:r w:rsidR="00AE6EA2" w:rsidRPr="006A0747">
        <w:rPr>
          <w:rFonts w:ascii="Times New Roman" w:eastAsia="Calibri" w:hAnsi="Times New Roman" w:cs="Times New Roman"/>
          <w:color w:val="767171"/>
          <w:spacing w:val="20"/>
          <w:sz w:val="24"/>
          <w:szCs w:val="24"/>
        </w:rPr>
        <w:t>.</w:t>
      </w:r>
    </w:p>
    <w:p w14:paraId="376E8678" w14:textId="70F11732" w:rsidR="000A182C" w:rsidRPr="006A0747" w:rsidRDefault="00D05F8E" w:rsidP="000A182C">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A nivel interno, </w:t>
      </w:r>
      <w:r w:rsidR="000A182C" w:rsidRPr="006A0747">
        <w:rPr>
          <w:rFonts w:ascii="Times New Roman" w:eastAsia="Calibri" w:hAnsi="Times New Roman" w:cs="Times New Roman"/>
          <w:color w:val="767171"/>
          <w:spacing w:val="20"/>
          <w:sz w:val="24"/>
          <w:szCs w:val="24"/>
        </w:rPr>
        <w:t xml:space="preserve">la </w:t>
      </w:r>
      <w:r w:rsidR="00145A77" w:rsidRPr="006A0747">
        <w:rPr>
          <w:rFonts w:ascii="Times New Roman" w:eastAsia="Calibri" w:hAnsi="Times New Roman" w:cs="Times New Roman"/>
          <w:color w:val="767171"/>
          <w:spacing w:val="20"/>
          <w:sz w:val="24"/>
          <w:szCs w:val="24"/>
        </w:rPr>
        <w:t>SB</w:t>
      </w:r>
      <w:r w:rsidR="000A182C" w:rsidRPr="006A0747">
        <w:rPr>
          <w:rFonts w:ascii="Times New Roman" w:eastAsia="Calibri" w:hAnsi="Times New Roman" w:cs="Times New Roman"/>
          <w:color w:val="767171"/>
          <w:spacing w:val="20"/>
          <w:sz w:val="24"/>
          <w:szCs w:val="24"/>
        </w:rPr>
        <w:t xml:space="preserve"> culminó un proceso de transformación profunda, extensa e integral de sus instalaciones físicas. Desde hace décadas, las instalaciones requerían ser renovadas para </w:t>
      </w:r>
      <w:r w:rsidR="00BB6878" w:rsidRPr="006A0747">
        <w:rPr>
          <w:rFonts w:ascii="Times New Roman" w:eastAsia="Calibri" w:hAnsi="Times New Roman" w:cs="Times New Roman"/>
          <w:color w:val="767171"/>
          <w:spacing w:val="20"/>
          <w:sz w:val="24"/>
          <w:szCs w:val="24"/>
        </w:rPr>
        <w:t>garantizar un entorno más seguro para todos sus colaboradores,</w:t>
      </w:r>
      <w:r w:rsidR="000A182C" w:rsidRPr="006A0747">
        <w:rPr>
          <w:rFonts w:ascii="Times New Roman" w:eastAsia="Calibri" w:hAnsi="Times New Roman" w:cs="Times New Roman"/>
          <w:color w:val="767171"/>
          <w:spacing w:val="20"/>
          <w:sz w:val="24"/>
          <w:szCs w:val="24"/>
        </w:rPr>
        <w:t xml:space="preserve"> mejorar el uso efectivo del espacio para las operaciones diarias y </w:t>
      </w:r>
      <w:r w:rsidR="00E55DC6" w:rsidRPr="006A0747">
        <w:rPr>
          <w:rFonts w:ascii="Times New Roman" w:eastAsia="Calibri" w:hAnsi="Times New Roman" w:cs="Times New Roman"/>
          <w:color w:val="767171"/>
          <w:spacing w:val="20"/>
          <w:sz w:val="24"/>
          <w:szCs w:val="24"/>
        </w:rPr>
        <w:t>dar</w:t>
      </w:r>
      <w:r w:rsidR="000A182C" w:rsidRPr="006A0747">
        <w:rPr>
          <w:rFonts w:ascii="Times New Roman" w:eastAsia="Calibri" w:hAnsi="Times New Roman" w:cs="Times New Roman"/>
          <w:color w:val="767171"/>
          <w:spacing w:val="20"/>
          <w:sz w:val="24"/>
          <w:szCs w:val="24"/>
        </w:rPr>
        <w:t xml:space="preserve"> cumplimiento </w:t>
      </w:r>
      <w:r w:rsidR="00E55DC6" w:rsidRPr="006A0747">
        <w:rPr>
          <w:rFonts w:ascii="Times New Roman" w:eastAsia="Calibri" w:hAnsi="Times New Roman" w:cs="Times New Roman"/>
          <w:color w:val="767171"/>
          <w:spacing w:val="20"/>
          <w:sz w:val="24"/>
          <w:szCs w:val="24"/>
        </w:rPr>
        <w:t>a</w:t>
      </w:r>
      <w:r w:rsidR="000A182C" w:rsidRPr="006A0747">
        <w:rPr>
          <w:rFonts w:ascii="Times New Roman" w:eastAsia="Calibri" w:hAnsi="Times New Roman" w:cs="Times New Roman"/>
          <w:color w:val="767171"/>
          <w:spacing w:val="20"/>
          <w:sz w:val="24"/>
          <w:szCs w:val="24"/>
        </w:rPr>
        <w:t xml:space="preserve"> las normativas vigentes.</w:t>
      </w:r>
    </w:p>
    <w:p w14:paraId="262979FE" w14:textId="77777777" w:rsidR="000A182C" w:rsidRPr="006A0747" w:rsidRDefault="000A182C" w:rsidP="000A182C">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Los proyectos abarcaron la renovación del edificio central y la Oficina Regional Norte en Santiago, además de las oficinas de </w:t>
      </w:r>
      <w:r w:rsidRPr="006A0747">
        <w:rPr>
          <w:rFonts w:ascii="Times New Roman" w:eastAsia="Calibri" w:hAnsi="Times New Roman" w:cs="Times New Roman"/>
          <w:color w:val="767171"/>
          <w:spacing w:val="20"/>
          <w:sz w:val="24"/>
          <w:szCs w:val="24"/>
        </w:rPr>
        <w:lastRenderedPageBreak/>
        <w:t xml:space="preserve">ProUsuario e IFIL en Santo Domingo. En adición se habilitó una sede secundaria conocida como SB2, para albergar las operaciones de los departamentos Administrativo y Financiero, y Gestión Humana. </w:t>
      </w:r>
    </w:p>
    <w:p w14:paraId="3674AF21" w14:textId="5580EA24" w:rsidR="00E52FD8" w:rsidRPr="006A0747" w:rsidRDefault="00E079B6" w:rsidP="00A41996">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Durante el año 2024</w:t>
      </w:r>
      <w:r w:rsidR="0044569B" w:rsidRPr="006A0747">
        <w:rPr>
          <w:rFonts w:ascii="Times New Roman" w:eastAsia="Calibri" w:hAnsi="Times New Roman" w:cs="Times New Roman"/>
          <w:color w:val="767171"/>
          <w:spacing w:val="20"/>
          <w:sz w:val="24"/>
          <w:szCs w:val="24"/>
        </w:rPr>
        <w:t>,</w:t>
      </w:r>
      <w:r w:rsidR="00E52FD8" w:rsidRPr="006A0747">
        <w:rPr>
          <w:rFonts w:ascii="Times New Roman" w:eastAsia="Calibri" w:hAnsi="Times New Roman" w:cs="Times New Roman"/>
          <w:color w:val="767171"/>
          <w:spacing w:val="20"/>
          <w:sz w:val="24"/>
          <w:szCs w:val="24"/>
        </w:rPr>
        <w:t xml:space="preserve"> la </w:t>
      </w:r>
      <w:r w:rsidRPr="006A0747">
        <w:rPr>
          <w:rFonts w:ascii="Times New Roman" w:eastAsia="Calibri" w:hAnsi="Times New Roman" w:cs="Times New Roman"/>
          <w:color w:val="767171"/>
          <w:spacing w:val="20"/>
          <w:sz w:val="24"/>
          <w:szCs w:val="24"/>
        </w:rPr>
        <w:t>SB recibió</w:t>
      </w:r>
      <w:r w:rsidR="00AD5D39" w:rsidRPr="006A0747">
        <w:rPr>
          <w:rFonts w:ascii="Times New Roman" w:eastAsia="Calibri" w:hAnsi="Times New Roman" w:cs="Times New Roman"/>
          <w:color w:val="767171"/>
          <w:spacing w:val="20"/>
          <w:sz w:val="24"/>
          <w:szCs w:val="24"/>
        </w:rPr>
        <w:t xml:space="preserve"> las siguientes certificaciones y reconocimientos</w:t>
      </w:r>
      <w:r w:rsidR="00CF4B54" w:rsidRPr="006A0747">
        <w:rPr>
          <w:rFonts w:ascii="Times New Roman" w:eastAsia="Calibri" w:hAnsi="Times New Roman" w:cs="Times New Roman"/>
          <w:color w:val="767171"/>
          <w:spacing w:val="20"/>
          <w:sz w:val="24"/>
          <w:szCs w:val="24"/>
        </w:rPr>
        <w:t>:</w:t>
      </w:r>
    </w:p>
    <w:p w14:paraId="03E18455" w14:textId="71B371B6" w:rsidR="00A47846" w:rsidRPr="006A0747" w:rsidRDefault="000B7445">
      <w:pPr>
        <w:pStyle w:val="Prrafodelista"/>
        <w:numPr>
          <w:ilvl w:val="0"/>
          <w:numId w:val="9"/>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Rec</w:t>
      </w:r>
      <w:r w:rsidR="00DB2D57" w:rsidRPr="006A0747">
        <w:rPr>
          <w:rFonts w:ascii="Times New Roman" w:eastAsia="Calibri" w:hAnsi="Times New Roman" w:cs="Times New Roman"/>
          <w:color w:val="767171"/>
          <w:spacing w:val="20"/>
          <w:sz w:val="24"/>
          <w:szCs w:val="24"/>
        </w:rPr>
        <w:t>ertificación</w:t>
      </w:r>
      <w:r w:rsidRPr="006A0747">
        <w:rPr>
          <w:rFonts w:ascii="Times New Roman" w:eastAsia="Calibri" w:hAnsi="Times New Roman" w:cs="Times New Roman"/>
          <w:color w:val="767171"/>
          <w:spacing w:val="20"/>
          <w:sz w:val="24"/>
          <w:szCs w:val="24"/>
        </w:rPr>
        <w:t xml:space="preserve"> de la norma ISO 9001:2015 sobre Sistema de Gestión de la Calidad, que certifica procesos seleccionados de la ProUsuario y los departamentos de Registros y Autorizaciones, Sanciones</w:t>
      </w:r>
      <w:r w:rsidR="00A47846" w:rsidRPr="006A0747">
        <w:rPr>
          <w:rFonts w:ascii="Times New Roman" w:eastAsia="Calibri" w:hAnsi="Times New Roman" w:cs="Times New Roman"/>
          <w:color w:val="767171"/>
          <w:spacing w:val="20"/>
          <w:sz w:val="24"/>
          <w:szCs w:val="24"/>
        </w:rPr>
        <w:t xml:space="preserve"> </w:t>
      </w:r>
      <w:r w:rsidRPr="006A0747">
        <w:rPr>
          <w:rFonts w:ascii="Times New Roman" w:eastAsia="Calibri" w:hAnsi="Times New Roman" w:cs="Times New Roman"/>
          <w:color w:val="767171"/>
          <w:spacing w:val="20"/>
          <w:sz w:val="24"/>
          <w:szCs w:val="24"/>
        </w:rPr>
        <w:t xml:space="preserve">y </w:t>
      </w:r>
      <w:r w:rsidR="00EA2598" w:rsidRPr="006A0747">
        <w:rPr>
          <w:rFonts w:ascii="Times New Roman" w:eastAsia="Calibri" w:hAnsi="Times New Roman" w:cs="Times New Roman"/>
          <w:color w:val="767171"/>
          <w:spacing w:val="20"/>
          <w:sz w:val="24"/>
          <w:szCs w:val="24"/>
        </w:rPr>
        <w:t>P</w:t>
      </w:r>
      <w:r w:rsidR="009D242B" w:rsidRPr="006A0747">
        <w:rPr>
          <w:rFonts w:ascii="Times New Roman" w:eastAsia="Calibri" w:hAnsi="Times New Roman" w:cs="Times New Roman"/>
          <w:color w:val="767171"/>
          <w:spacing w:val="20"/>
          <w:sz w:val="24"/>
          <w:szCs w:val="24"/>
        </w:rPr>
        <w:t xml:space="preserve">revención de </w:t>
      </w:r>
      <w:r w:rsidR="00EA2598" w:rsidRPr="006A0747">
        <w:rPr>
          <w:rFonts w:ascii="Times New Roman" w:eastAsia="Calibri" w:hAnsi="Times New Roman" w:cs="Times New Roman"/>
          <w:color w:val="767171"/>
          <w:spacing w:val="20"/>
          <w:sz w:val="24"/>
          <w:szCs w:val="24"/>
        </w:rPr>
        <w:t>L</w:t>
      </w:r>
      <w:r w:rsidR="009D242B" w:rsidRPr="006A0747">
        <w:rPr>
          <w:rFonts w:ascii="Times New Roman" w:eastAsia="Calibri" w:hAnsi="Times New Roman" w:cs="Times New Roman"/>
          <w:color w:val="767171"/>
          <w:spacing w:val="20"/>
          <w:sz w:val="24"/>
          <w:szCs w:val="24"/>
        </w:rPr>
        <w:t xml:space="preserve">avado de </w:t>
      </w:r>
      <w:r w:rsidR="00EA2598" w:rsidRPr="006A0747">
        <w:rPr>
          <w:rFonts w:ascii="Times New Roman" w:eastAsia="Calibri" w:hAnsi="Times New Roman" w:cs="Times New Roman"/>
          <w:color w:val="767171"/>
          <w:spacing w:val="20"/>
          <w:sz w:val="24"/>
          <w:szCs w:val="24"/>
        </w:rPr>
        <w:t>A</w:t>
      </w:r>
      <w:r w:rsidR="009D242B" w:rsidRPr="006A0747">
        <w:rPr>
          <w:rFonts w:ascii="Times New Roman" w:eastAsia="Calibri" w:hAnsi="Times New Roman" w:cs="Times New Roman"/>
          <w:color w:val="767171"/>
          <w:spacing w:val="20"/>
          <w:sz w:val="24"/>
          <w:szCs w:val="24"/>
        </w:rPr>
        <w:t xml:space="preserve">ctivos y </w:t>
      </w:r>
      <w:r w:rsidR="00EA2598" w:rsidRPr="006A0747">
        <w:rPr>
          <w:rFonts w:ascii="Times New Roman" w:eastAsia="Calibri" w:hAnsi="Times New Roman" w:cs="Times New Roman"/>
          <w:color w:val="767171"/>
          <w:spacing w:val="20"/>
          <w:sz w:val="24"/>
          <w:szCs w:val="24"/>
        </w:rPr>
        <w:t>F</w:t>
      </w:r>
      <w:r w:rsidR="009D242B" w:rsidRPr="006A0747">
        <w:rPr>
          <w:rFonts w:ascii="Times New Roman" w:eastAsia="Calibri" w:hAnsi="Times New Roman" w:cs="Times New Roman"/>
          <w:color w:val="767171"/>
          <w:spacing w:val="20"/>
          <w:sz w:val="24"/>
          <w:szCs w:val="24"/>
        </w:rPr>
        <w:t xml:space="preserve">inanciamiento del </w:t>
      </w:r>
      <w:r w:rsidR="00EA2598" w:rsidRPr="006A0747">
        <w:rPr>
          <w:rFonts w:ascii="Times New Roman" w:eastAsia="Calibri" w:hAnsi="Times New Roman" w:cs="Times New Roman"/>
          <w:color w:val="767171"/>
          <w:spacing w:val="20"/>
          <w:sz w:val="24"/>
          <w:szCs w:val="24"/>
        </w:rPr>
        <w:t>T</w:t>
      </w:r>
      <w:r w:rsidR="009D242B" w:rsidRPr="006A0747">
        <w:rPr>
          <w:rFonts w:ascii="Times New Roman" w:eastAsia="Calibri" w:hAnsi="Times New Roman" w:cs="Times New Roman"/>
          <w:color w:val="767171"/>
          <w:spacing w:val="20"/>
          <w:sz w:val="24"/>
          <w:szCs w:val="24"/>
        </w:rPr>
        <w:t>errorismo (</w:t>
      </w:r>
      <w:r w:rsidRPr="006A0747">
        <w:rPr>
          <w:rFonts w:ascii="Times New Roman" w:eastAsia="Calibri" w:hAnsi="Times New Roman" w:cs="Times New Roman"/>
          <w:color w:val="767171"/>
          <w:spacing w:val="20"/>
          <w:sz w:val="24"/>
          <w:szCs w:val="24"/>
        </w:rPr>
        <w:t>PLAFT</w:t>
      </w:r>
      <w:r w:rsidR="009D242B" w:rsidRPr="006A0747">
        <w:rPr>
          <w:rFonts w:ascii="Times New Roman" w:eastAsia="Calibri" w:hAnsi="Times New Roman" w:cs="Times New Roman"/>
          <w:color w:val="767171"/>
          <w:spacing w:val="20"/>
          <w:sz w:val="24"/>
          <w:szCs w:val="24"/>
        </w:rPr>
        <w:t>)</w:t>
      </w:r>
      <w:r w:rsidRPr="006A0747">
        <w:rPr>
          <w:rFonts w:ascii="Times New Roman" w:eastAsia="Calibri" w:hAnsi="Times New Roman" w:cs="Times New Roman"/>
          <w:color w:val="767171"/>
          <w:spacing w:val="20"/>
          <w:sz w:val="24"/>
          <w:szCs w:val="24"/>
        </w:rPr>
        <w:t>.</w:t>
      </w:r>
      <w:r w:rsidR="00A47846" w:rsidRPr="006A0747">
        <w:rPr>
          <w:rFonts w:ascii="Times New Roman" w:eastAsia="Calibri" w:hAnsi="Times New Roman" w:cs="Times New Roman"/>
          <w:color w:val="767171"/>
          <w:spacing w:val="20"/>
          <w:sz w:val="24"/>
          <w:szCs w:val="24"/>
        </w:rPr>
        <w:t xml:space="preserve"> En adición, </w:t>
      </w:r>
      <w:r w:rsidR="00773619" w:rsidRPr="006A0747">
        <w:rPr>
          <w:rFonts w:ascii="Times New Roman" w:eastAsia="Calibri" w:hAnsi="Times New Roman" w:cs="Times New Roman"/>
          <w:color w:val="767171"/>
          <w:spacing w:val="20"/>
          <w:sz w:val="24"/>
          <w:szCs w:val="24"/>
        </w:rPr>
        <w:t xml:space="preserve">se amplió </w:t>
      </w:r>
      <w:r w:rsidR="00A47846" w:rsidRPr="006A0747">
        <w:rPr>
          <w:rFonts w:ascii="Times New Roman" w:eastAsia="Calibri" w:hAnsi="Times New Roman" w:cs="Times New Roman"/>
          <w:color w:val="767171"/>
          <w:spacing w:val="20"/>
          <w:sz w:val="24"/>
          <w:szCs w:val="24"/>
        </w:rPr>
        <w:t xml:space="preserve">el alcance a los procesos de </w:t>
      </w:r>
      <w:r w:rsidR="00DB2D57" w:rsidRPr="006A0747">
        <w:rPr>
          <w:rFonts w:ascii="Times New Roman" w:eastAsia="Calibri" w:hAnsi="Times New Roman" w:cs="Times New Roman"/>
          <w:color w:val="767171"/>
          <w:spacing w:val="20"/>
          <w:sz w:val="24"/>
          <w:szCs w:val="24"/>
        </w:rPr>
        <w:t>Monitoreo</w:t>
      </w:r>
      <w:r w:rsidR="00A47846" w:rsidRPr="006A0747">
        <w:rPr>
          <w:rFonts w:ascii="Times New Roman" w:eastAsia="Calibri" w:hAnsi="Times New Roman" w:cs="Times New Roman"/>
          <w:color w:val="767171"/>
          <w:spacing w:val="20"/>
          <w:sz w:val="24"/>
          <w:szCs w:val="24"/>
        </w:rPr>
        <w:t xml:space="preserve"> de Riesgos de Entidades, y </w:t>
      </w:r>
      <w:r w:rsidR="00106927" w:rsidRPr="006A0747">
        <w:rPr>
          <w:rFonts w:ascii="Times New Roman" w:eastAsia="Calibri" w:hAnsi="Times New Roman" w:cs="Times New Roman"/>
          <w:color w:val="767171"/>
          <w:spacing w:val="20"/>
          <w:sz w:val="24"/>
          <w:szCs w:val="24"/>
        </w:rPr>
        <w:t xml:space="preserve">el </w:t>
      </w:r>
      <w:r w:rsidR="00A47846" w:rsidRPr="006A0747">
        <w:rPr>
          <w:rFonts w:ascii="Times New Roman" w:eastAsia="Calibri" w:hAnsi="Times New Roman" w:cs="Times New Roman"/>
          <w:color w:val="767171"/>
          <w:spacing w:val="20"/>
          <w:sz w:val="24"/>
          <w:szCs w:val="24"/>
        </w:rPr>
        <w:t>Registro y Evaluación de Auditores Externos Autorizados.</w:t>
      </w:r>
    </w:p>
    <w:p w14:paraId="7BCD04FA" w14:textId="686CAE2A" w:rsidR="000B7445" w:rsidRPr="006A0747" w:rsidRDefault="000B7445">
      <w:pPr>
        <w:pStyle w:val="Prrafodelista"/>
        <w:numPr>
          <w:ilvl w:val="0"/>
          <w:numId w:val="9"/>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Rec</w:t>
      </w:r>
      <w:r w:rsidR="00DB2D57" w:rsidRPr="006A0747">
        <w:rPr>
          <w:rFonts w:ascii="Times New Roman" w:eastAsia="Calibri" w:hAnsi="Times New Roman" w:cs="Times New Roman"/>
          <w:color w:val="767171"/>
          <w:spacing w:val="20"/>
          <w:sz w:val="24"/>
          <w:szCs w:val="24"/>
        </w:rPr>
        <w:t>ertificación</w:t>
      </w:r>
      <w:r w:rsidRPr="006A0747">
        <w:rPr>
          <w:rFonts w:ascii="Times New Roman" w:eastAsia="Calibri" w:hAnsi="Times New Roman" w:cs="Times New Roman"/>
          <w:color w:val="767171"/>
          <w:spacing w:val="20"/>
          <w:sz w:val="24"/>
          <w:szCs w:val="24"/>
        </w:rPr>
        <w:t xml:space="preserve"> ISO 37001:2016 Sistema de Gestión Antisoborno, con alcance sobre los proc</w:t>
      </w:r>
      <w:r w:rsidR="008B6C63" w:rsidRPr="006A0747">
        <w:rPr>
          <w:rFonts w:ascii="Times New Roman" w:eastAsia="Calibri" w:hAnsi="Times New Roman" w:cs="Times New Roman"/>
          <w:color w:val="767171"/>
          <w:spacing w:val="20"/>
          <w:sz w:val="24"/>
          <w:szCs w:val="24"/>
        </w:rPr>
        <w:t>esos</w:t>
      </w:r>
      <w:r w:rsidRPr="006A0747">
        <w:rPr>
          <w:rFonts w:ascii="Times New Roman" w:eastAsia="Calibri" w:hAnsi="Times New Roman" w:cs="Times New Roman"/>
          <w:color w:val="767171"/>
          <w:spacing w:val="20"/>
          <w:sz w:val="24"/>
          <w:szCs w:val="24"/>
        </w:rPr>
        <w:t xml:space="preserve"> de los departamentos de Sanciones, PLAFT</w:t>
      </w:r>
      <w:r w:rsidR="000B7AF5" w:rsidRPr="006A0747">
        <w:rPr>
          <w:rFonts w:ascii="Times New Roman" w:eastAsia="Calibri" w:hAnsi="Times New Roman" w:cs="Times New Roman"/>
          <w:color w:val="767171"/>
          <w:spacing w:val="20"/>
          <w:sz w:val="24"/>
          <w:szCs w:val="24"/>
        </w:rPr>
        <w:t>,</w:t>
      </w:r>
      <w:r w:rsidRPr="006A0747">
        <w:rPr>
          <w:rFonts w:ascii="Times New Roman" w:eastAsia="Calibri" w:hAnsi="Times New Roman" w:cs="Times New Roman"/>
          <w:color w:val="767171"/>
          <w:spacing w:val="20"/>
          <w:sz w:val="24"/>
          <w:szCs w:val="24"/>
        </w:rPr>
        <w:t xml:space="preserve"> y Compras y Contrataciones.</w:t>
      </w:r>
    </w:p>
    <w:p w14:paraId="0344F1D8" w14:textId="6BF8195E" w:rsidR="000B7445" w:rsidRPr="006A0747" w:rsidRDefault="000B7445">
      <w:pPr>
        <w:pStyle w:val="Prrafodelista"/>
        <w:numPr>
          <w:ilvl w:val="0"/>
          <w:numId w:val="9"/>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Certificación ISO 27001</w:t>
      </w:r>
      <w:r w:rsidR="00D80129" w:rsidRPr="006A0747">
        <w:rPr>
          <w:rFonts w:ascii="Times New Roman" w:eastAsia="Calibri" w:hAnsi="Times New Roman" w:cs="Times New Roman"/>
          <w:color w:val="767171"/>
          <w:spacing w:val="20"/>
          <w:sz w:val="24"/>
          <w:szCs w:val="24"/>
        </w:rPr>
        <w:t>:2022</w:t>
      </w:r>
      <w:r w:rsidRPr="006A0747">
        <w:rPr>
          <w:rFonts w:ascii="Times New Roman" w:eastAsia="Calibri" w:hAnsi="Times New Roman" w:cs="Times New Roman"/>
          <w:color w:val="767171"/>
          <w:spacing w:val="20"/>
          <w:sz w:val="24"/>
          <w:szCs w:val="24"/>
        </w:rPr>
        <w:t xml:space="preserve"> sobre Seguridad de la </w:t>
      </w:r>
      <w:r w:rsidR="00311A3F" w:rsidRPr="006A0747">
        <w:rPr>
          <w:rFonts w:ascii="Times New Roman" w:eastAsia="Calibri" w:hAnsi="Times New Roman" w:cs="Times New Roman"/>
          <w:color w:val="767171"/>
          <w:spacing w:val="20"/>
          <w:sz w:val="24"/>
          <w:szCs w:val="24"/>
        </w:rPr>
        <w:t>Información</w:t>
      </w:r>
      <w:r w:rsidR="00E34978" w:rsidRPr="006A0747">
        <w:rPr>
          <w:rFonts w:ascii="Times New Roman" w:eastAsia="Calibri" w:hAnsi="Times New Roman" w:cs="Times New Roman"/>
          <w:color w:val="767171"/>
          <w:spacing w:val="20"/>
          <w:sz w:val="24"/>
          <w:szCs w:val="24"/>
        </w:rPr>
        <w:t>.</w:t>
      </w:r>
      <w:r w:rsidR="00311A3F" w:rsidRPr="006A0747">
        <w:rPr>
          <w:rFonts w:ascii="Times New Roman" w:eastAsia="Calibri" w:hAnsi="Times New Roman" w:cs="Times New Roman"/>
          <w:color w:val="767171"/>
          <w:spacing w:val="20"/>
          <w:sz w:val="24"/>
          <w:szCs w:val="24"/>
        </w:rPr>
        <w:t xml:space="preserve"> </w:t>
      </w:r>
      <w:r w:rsidR="00E34978" w:rsidRPr="006A0747">
        <w:rPr>
          <w:rFonts w:ascii="Times New Roman" w:eastAsia="Calibri" w:hAnsi="Times New Roman" w:cs="Times New Roman"/>
          <w:color w:val="767171"/>
          <w:spacing w:val="20"/>
          <w:sz w:val="24"/>
          <w:szCs w:val="24"/>
        </w:rPr>
        <w:t>E</w:t>
      </w:r>
      <w:r w:rsidR="00311A3F" w:rsidRPr="006A0747">
        <w:rPr>
          <w:rFonts w:ascii="Times New Roman" w:eastAsia="Calibri" w:hAnsi="Times New Roman" w:cs="Times New Roman"/>
          <w:color w:val="767171"/>
          <w:spacing w:val="20"/>
          <w:sz w:val="24"/>
          <w:szCs w:val="24"/>
        </w:rPr>
        <w:t>l</w:t>
      </w:r>
      <w:r w:rsidRPr="006A0747">
        <w:rPr>
          <w:rFonts w:ascii="Times New Roman" w:eastAsia="Calibri" w:hAnsi="Times New Roman" w:cs="Times New Roman"/>
          <w:color w:val="767171"/>
          <w:spacing w:val="20"/>
          <w:sz w:val="24"/>
          <w:szCs w:val="24"/>
        </w:rPr>
        <w:t xml:space="preserve"> alcance de la certificación se centró en los procesos de ProUsuario</w:t>
      </w:r>
      <w:r w:rsidR="00455F01" w:rsidRPr="006A0747">
        <w:rPr>
          <w:rFonts w:ascii="Times New Roman" w:eastAsia="Calibri" w:hAnsi="Times New Roman" w:cs="Times New Roman"/>
          <w:color w:val="767171"/>
          <w:spacing w:val="20"/>
          <w:sz w:val="24"/>
          <w:szCs w:val="24"/>
        </w:rPr>
        <w:t>,</w:t>
      </w:r>
      <w:r w:rsidRPr="006A0747">
        <w:rPr>
          <w:rFonts w:ascii="Times New Roman" w:eastAsia="Calibri" w:hAnsi="Times New Roman" w:cs="Times New Roman"/>
          <w:color w:val="767171"/>
          <w:spacing w:val="20"/>
          <w:sz w:val="24"/>
          <w:szCs w:val="24"/>
        </w:rPr>
        <w:t xml:space="preserve"> y Registros y Autorizaciones.</w:t>
      </w:r>
    </w:p>
    <w:p w14:paraId="5400617D" w14:textId="2BC20D71" w:rsidR="000B7445" w:rsidRPr="006A0747" w:rsidRDefault="000B7445">
      <w:pPr>
        <w:pStyle w:val="Prrafodelista"/>
        <w:numPr>
          <w:ilvl w:val="0"/>
          <w:numId w:val="9"/>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Certificación ISO 22301</w:t>
      </w:r>
      <w:r w:rsidR="00036081" w:rsidRPr="006A0747">
        <w:rPr>
          <w:rFonts w:ascii="Times New Roman" w:eastAsia="Calibri" w:hAnsi="Times New Roman" w:cs="Times New Roman"/>
          <w:color w:val="767171"/>
          <w:spacing w:val="20"/>
          <w:sz w:val="24"/>
          <w:szCs w:val="24"/>
        </w:rPr>
        <w:t>:2019</w:t>
      </w:r>
      <w:r w:rsidRPr="006A0747">
        <w:rPr>
          <w:rFonts w:ascii="Times New Roman" w:eastAsia="Calibri" w:hAnsi="Times New Roman" w:cs="Times New Roman"/>
          <w:color w:val="767171"/>
          <w:spacing w:val="20"/>
          <w:sz w:val="24"/>
          <w:szCs w:val="24"/>
        </w:rPr>
        <w:t xml:space="preserve"> sobre Continuidad del Negocio</w:t>
      </w:r>
      <w:r w:rsidR="00BA1BA7" w:rsidRPr="006A0747">
        <w:rPr>
          <w:rFonts w:ascii="Times New Roman" w:eastAsia="Calibri" w:hAnsi="Times New Roman" w:cs="Times New Roman"/>
          <w:color w:val="767171"/>
          <w:spacing w:val="20"/>
          <w:sz w:val="24"/>
          <w:szCs w:val="24"/>
        </w:rPr>
        <w:t xml:space="preserve">, con un </w:t>
      </w:r>
      <w:r w:rsidRPr="006A0747">
        <w:rPr>
          <w:rFonts w:ascii="Times New Roman" w:eastAsia="Calibri" w:hAnsi="Times New Roman" w:cs="Times New Roman"/>
          <w:color w:val="767171"/>
          <w:spacing w:val="20"/>
          <w:sz w:val="24"/>
          <w:szCs w:val="24"/>
        </w:rPr>
        <w:t>alcance abarca los procesos de ProUsuario y Registros y Autorizaciones.</w:t>
      </w:r>
    </w:p>
    <w:p w14:paraId="17A571D9" w14:textId="3AB043E8" w:rsidR="009A503B" w:rsidRPr="006A0747" w:rsidRDefault="00D511BF">
      <w:pPr>
        <w:pStyle w:val="Prrafodelista"/>
        <w:numPr>
          <w:ilvl w:val="0"/>
          <w:numId w:val="9"/>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La </w:t>
      </w:r>
      <w:r w:rsidR="00821896" w:rsidRPr="006A0747">
        <w:rPr>
          <w:rFonts w:ascii="Times New Roman" w:eastAsia="Calibri" w:hAnsi="Times New Roman" w:cs="Times New Roman"/>
          <w:color w:val="767171"/>
          <w:spacing w:val="20"/>
          <w:sz w:val="24"/>
          <w:szCs w:val="24"/>
        </w:rPr>
        <w:t>Dirección General</w:t>
      </w:r>
      <w:r w:rsidRPr="006A0747">
        <w:rPr>
          <w:rFonts w:ascii="Times New Roman" w:eastAsia="Calibri" w:hAnsi="Times New Roman" w:cs="Times New Roman"/>
          <w:color w:val="767171"/>
          <w:spacing w:val="20"/>
          <w:sz w:val="24"/>
          <w:szCs w:val="24"/>
        </w:rPr>
        <w:t xml:space="preserve"> de Integridad Gubernamental </w:t>
      </w:r>
      <w:r w:rsidR="00821896" w:rsidRPr="006A0747">
        <w:rPr>
          <w:rFonts w:ascii="Times New Roman" w:eastAsia="Calibri" w:hAnsi="Times New Roman" w:cs="Times New Roman"/>
          <w:color w:val="767171"/>
          <w:spacing w:val="20"/>
          <w:sz w:val="24"/>
          <w:szCs w:val="24"/>
        </w:rPr>
        <w:t>(DIGEIG</w:t>
      </w:r>
      <w:r w:rsidRPr="006A0747">
        <w:rPr>
          <w:rFonts w:ascii="Times New Roman" w:eastAsia="Calibri" w:hAnsi="Times New Roman" w:cs="Times New Roman"/>
          <w:color w:val="767171"/>
          <w:spacing w:val="20"/>
          <w:sz w:val="24"/>
          <w:szCs w:val="24"/>
        </w:rPr>
        <w:t>), reconoció</w:t>
      </w:r>
      <w:r w:rsidR="005A2314" w:rsidRPr="006A0747">
        <w:rPr>
          <w:rFonts w:ascii="Times New Roman" w:eastAsia="Calibri" w:hAnsi="Times New Roman" w:cs="Times New Roman"/>
          <w:color w:val="767171"/>
          <w:spacing w:val="20"/>
          <w:sz w:val="24"/>
          <w:szCs w:val="24"/>
        </w:rPr>
        <w:t xml:space="preserve"> a la </w:t>
      </w:r>
      <w:r w:rsidR="009D242B" w:rsidRPr="006A0747">
        <w:rPr>
          <w:rFonts w:ascii="Times New Roman" w:eastAsia="Calibri" w:hAnsi="Times New Roman" w:cs="Times New Roman"/>
          <w:color w:val="767171"/>
          <w:spacing w:val="20"/>
          <w:sz w:val="24"/>
          <w:szCs w:val="24"/>
        </w:rPr>
        <w:t>SB</w:t>
      </w:r>
      <w:r w:rsidR="005A2314" w:rsidRPr="006A0747">
        <w:rPr>
          <w:rFonts w:ascii="Times New Roman" w:eastAsia="Calibri" w:hAnsi="Times New Roman" w:cs="Times New Roman"/>
          <w:color w:val="767171"/>
          <w:spacing w:val="20"/>
          <w:sz w:val="24"/>
          <w:szCs w:val="24"/>
        </w:rPr>
        <w:t xml:space="preserve"> “Como institución </w:t>
      </w:r>
      <w:r w:rsidRPr="006A0747">
        <w:rPr>
          <w:rFonts w:ascii="Times New Roman" w:eastAsia="Calibri" w:hAnsi="Times New Roman" w:cs="Times New Roman"/>
          <w:color w:val="767171"/>
          <w:spacing w:val="20"/>
          <w:sz w:val="24"/>
          <w:szCs w:val="24"/>
        </w:rPr>
        <w:t>pública</w:t>
      </w:r>
      <w:r w:rsidR="005A2314" w:rsidRPr="006A0747">
        <w:rPr>
          <w:rFonts w:ascii="Times New Roman" w:eastAsia="Calibri" w:hAnsi="Times New Roman" w:cs="Times New Roman"/>
          <w:color w:val="767171"/>
          <w:spacing w:val="20"/>
          <w:sz w:val="24"/>
          <w:szCs w:val="24"/>
        </w:rPr>
        <w:t xml:space="preserve"> </w:t>
      </w:r>
      <w:r w:rsidRPr="006A0747">
        <w:rPr>
          <w:rFonts w:ascii="Times New Roman" w:eastAsia="Calibri" w:hAnsi="Times New Roman" w:cs="Times New Roman"/>
          <w:color w:val="767171"/>
          <w:spacing w:val="20"/>
          <w:sz w:val="24"/>
          <w:szCs w:val="24"/>
        </w:rPr>
        <w:t>con mayor seguimiento en los avances del plan de trabajo (POA) 2023”.</w:t>
      </w:r>
    </w:p>
    <w:p w14:paraId="1AF67D2F" w14:textId="04906537" w:rsidR="008E5EA7" w:rsidRPr="006A0747" w:rsidRDefault="007A4786">
      <w:pPr>
        <w:pStyle w:val="Prrafodelista"/>
        <w:numPr>
          <w:ilvl w:val="0"/>
          <w:numId w:val="9"/>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Reconocimiento del Ministerio de Medio Ambiente y la Dirección General de Compras y Contrataciones Públicas por el cumplimiento de la Política de Compras Verdes</w:t>
      </w:r>
      <w:r w:rsidR="00CB7A74" w:rsidRPr="006A0747">
        <w:rPr>
          <w:rFonts w:ascii="Times New Roman" w:eastAsia="Calibri" w:hAnsi="Times New Roman" w:cs="Times New Roman"/>
          <w:color w:val="767171"/>
          <w:spacing w:val="20"/>
          <w:sz w:val="24"/>
          <w:szCs w:val="24"/>
        </w:rPr>
        <w:t>.</w:t>
      </w:r>
    </w:p>
    <w:p w14:paraId="79CE6D2C" w14:textId="5238A79B" w:rsidR="00093D12" w:rsidRPr="006A0747" w:rsidRDefault="00CB7A74" w:rsidP="00A41996">
      <w:pPr>
        <w:pStyle w:val="Prrafodelista"/>
        <w:numPr>
          <w:ilvl w:val="0"/>
          <w:numId w:val="9"/>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lastRenderedPageBreak/>
        <w:t>Sello P</w:t>
      </w:r>
      <w:r w:rsidR="00320C2D" w:rsidRPr="006A0747">
        <w:rPr>
          <w:rFonts w:ascii="Times New Roman" w:eastAsia="Calibri" w:hAnsi="Times New Roman" w:cs="Times New Roman"/>
          <w:color w:val="767171"/>
          <w:spacing w:val="20"/>
          <w:sz w:val="24"/>
          <w:szCs w:val="24"/>
        </w:rPr>
        <w:t>lata</w:t>
      </w:r>
      <w:r w:rsidR="00104A16" w:rsidRPr="006A0747">
        <w:rPr>
          <w:rFonts w:ascii="Times New Roman" w:eastAsia="Calibri" w:hAnsi="Times New Roman" w:cs="Times New Roman"/>
          <w:color w:val="767171"/>
          <w:spacing w:val="20"/>
          <w:sz w:val="24"/>
          <w:szCs w:val="24"/>
        </w:rPr>
        <w:t xml:space="preserve"> </w:t>
      </w:r>
      <w:r w:rsidR="00320C2D" w:rsidRPr="006A0747">
        <w:rPr>
          <w:rFonts w:ascii="Times New Roman" w:eastAsia="Calibri" w:hAnsi="Times New Roman" w:cs="Times New Roman"/>
          <w:color w:val="767171"/>
          <w:spacing w:val="20"/>
          <w:sz w:val="24"/>
          <w:szCs w:val="24"/>
        </w:rPr>
        <w:t>“Igualando RD”</w:t>
      </w:r>
      <w:r w:rsidR="00104A16" w:rsidRPr="006A0747">
        <w:rPr>
          <w:rFonts w:ascii="Times New Roman" w:eastAsia="Calibri" w:hAnsi="Times New Roman" w:cs="Times New Roman"/>
          <w:color w:val="767171"/>
          <w:spacing w:val="20"/>
          <w:sz w:val="24"/>
          <w:szCs w:val="24"/>
        </w:rPr>
        <w:t xml:space="preserve"> </w:t>
      </w:r>
      <w:r w:rsidR="00BC7374" w:rsidRPr="006A0747">
        <w:rPr>
          <w:rFonts w:ascii="Times New Roman" w:eastAsia="Calibri" w:hAnsi="Times New Roman" w:cs="Times New Roman"/>
          <w:color w:val="767171"/>
          <w:spacing w:val="20"/>
          <w:sz w:val="24"/>
          <w:szCs w:val="24"/>
        </w:rPr>
        <w:t xml:space="preserve">sobre equidad </w:t>
      </w:r>
      <w:r w:rsidR="00104A16" w:rsidRPr="006A0747">
        <w:rPr>
          <w:rFonts w:ascii="Times New Roman" w:eastAsia="Calibri" w:hAnsi="Times New Roman" w:cs="Times New Roman"/>
          <w:color w:val="767171"/>
          <w:spacing w:val="20"/>
          <w:sz w:val="24"/>
          <w:szCs w:val="24"/>
        </w:rPr>
        <w:t xml:space="preserve">de </w:t>
      </w:r>
      <w:r w:rsidR="00BC7374" w:rsidRPr="006A0747">
        <w:rPr>
          <w:rFonts w:ascii="Times New Roman" w:eastAsia="Calibri" w:hAnsi="Times New Roman" w:cs="Times New Roman"/>
          <w:color w:val="767171"/>
          <w:spacing w:val="20"/>
          <w:sz w:val="24"/>
          <w:szCs w:val="24"/>
        </w:rPr>
        <w:t>género</w:t>
      </w:r>
      <w:r w:rsidR="00104A16" w:rsidRPr="006A0747">
        <w:rPr>
          <w:rFonts w:ascii="Times New Roman" w:eastAsia="Calibri" w:hAnsi="Times New Roman" w:cs="Times New Roman"/>
          <w:color w:val="767171"/>
          <w:spacing w:val="20"/>
          <w:sz w:val="24"/>
          <w:szCs w:val="24"/>
        </w:rPr>
        <w:t xml:space="preserve"> por </w:t>
      </w:r>
      <w:r w:rsidR="00BC7374" w:rsidRPr="006A0747">
        <w:rPr>
          <w:rFonts w:ascii="Times New Roman" w:eastAsia="Calibri" w:hAnsi="Times New Roman" w:cs="Times New Roman"/>
          <w:color w:val="767171"/>
          <w:spacing w:val="20"/>
          <w:sz w:val="24"/>
          <w:szCs w:val="24"/>
        </w:rPr>
        <w:t>parte del Programa de las Naciones Unidas</w:t>
      </w:r>
      <w:r w:rsidR="00104A16" w:rsidRPr="006A0747">
        <w:rPr>
          <w:rFonts w:ascii="Times New Roman" w:eastAsia="Calibri" w:hAnsi="Times New Roman" w:cs="Times New Roman"/>
          <w:color w:val="767171"/>
          <w:spacing w:val="20"/>
          <w:sz w:val="24"/>
          <w:szCs w:val="24"/>
        </w:rPr>
        <w:t xml:space="preserve"> </w:t>
      </w:r>
      <w:r w:rsidR="00C45643" w:rsidRPr="006A0747">
        <w:rPr>
          <w:rFonts w:ascii="Times New Roman" w:eastAsia="Calibri" w:hAnsi="Times New Roman" w:cs="Times New Roman"/>
          <w:color w:val="767171"/>
          <w:spacing w:val="20"/>
          <w:sz w:val="24"/>
          <w:szCs w:val="24"/>
        </w:rPr>
        <w:t xml:space="preserve">para el Desarrollo </w:t>
      </w:r>
      <w:r w:rsidR="00BC7374" w:rsidRPr="006A0747">
        <w:rPr>
          <w:rFonts w:ascii="Times New Roman" w:eastAsia="Calibri" w:hAnsi="Times New Roman" w:cs="Times New Roman"/>
          <w:color w:val="767171"/>
          <w:spacing w:val="20"/>
          <w:sz w:val="24"/>
          <w:szCs w:val="24"/>
        </w:rPr>
        <w:t>(</w:t>
      </w:r>
      <w:r w:rsidR="00104A16" w:rsidRPr="006A0747">
        <w:rPr>
          <w:rFonts w:ascii="Times New Roman" w:eastAsia="Calibri" w:hAnsi="Times New Roman" w:cs="Times New Roman"/>
          <w:color w:val="767171"/>
          <w:spacing w:val="20"/>
          <w:sz w:val="24"/>
          <w:szCs w:val="24"/>
        </w:rPr>
        <w:t>PNUD</w:t>
      </w:r>
      <w:r w:rsidR="00BC7374" w:rsidRPr="006A0747">
        <w:rPr>
          <w:rFonts w:ascii="Times New Roman" w:eastAsia="Calibri" w:hAnsi="Times New Roman" w:cs="Times New Roman"/>
          <w:color w:val="767171"/>
          <w:spacing w:val="20"/>
          <w:sz w:val="24"/>
          <w:szCs w:val="24"/>
        </w:rPr>
        <w:t>)</w:t>
      </w:r>
      <w:r w:rsidR="00104A16" w:rsidRPr="006A0747">
        <w:rPr>
          <w:rFonts w:ascii="Times New Roman" w:eastAsia="Calibri" w:hAnsi="Times New Roman" w:cs="Times New Roman"/>
          <w:color w:val="767171"/>
          <w:spacing w:val="20"/>
          <w:sz w:val="24"/>
          <w:szCs w:val="24"/>
        </w:rPr>
        <w:t xml:space="preserve"> y el Ministerio de la Mujer.</w:t>
      </w:r>
    </w:p>
    <w:p w14:paraId="4ED4BCC9" w14:textId="617FAAA0" w:rsidR="00F14286" w:rsidRPr="006A0747" w:rsidRDefault="00F14286" w:rsidP="00354177">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Como parte de las acciones realizadas por la institución en consonancia con el eje estratégico que promueve la Estabilidad Financiera y Macro-Prudencial y la implementación del Marco de Supervisión Basado en Riesgos, la Superintendencia de Bancos recibió la asistencia técnica del Toronto Centre (TC) con el fin de robustecer el Marco y las prácticas de supervisión. Entre las actividades concluidas junto con dicho organismo se destacan: El desarrollo de una estrategia de capacitación para fortalecer el conocimiento sobre Supervisión Basada en Riesgos en los supervisores; la revisión de los criterios de evaluación y guías de las funciones de control de gestión de riesgos (FCGR); la revisión de los criterios de evaluación de la calificación de riesgo neto global y riesgo compuesto; la elaboración de un modelo de actividades de supervisión; entre otras.</w:t>
      </w:r>
    </w:p>
    <w:p w14:paraId="27CDFFD5" w14:textId="6CCE259B" w:rsidR="0085140A" w:rsidRPr="006A0747" w:rsidRDefault="00241D98" w:rsidP="00A41996">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Los</w:t>
      </w:r>
      <w:r w:rsidR="005717D1" w:rsidRPr="006A0747">
        <w:rPr>
          <w:rFonts w:ascii="Times New Roman" w:eastAsia="Calibri" w:hAnsi="Times New Roman" w:cs="Times New Roman"/>
          <w:color w:val="767171"/>
          <w:spacing w:val="20"/>
          <w:sz w:val="24"/>
          <w:szCs w:val="24"/>
        </w:rPr>
        <w:t xml:space="preserve"> principales logros alcanzados por la </w:t>
      </w:r>
      <w:r w:rsidR="009D242B" w:rsidRPr="006A0747">
        <w:rPr>
          <w:rFonts w:ascii="Times New Roman" w:eastAsia="Calibri" w:hAnsi="Times New Roman" w:cs="Times New Roman"/>
          <w:color w:val="767171"/>
          <w:spacing w:val="20"/>
          <w:sz w:val="24"/>
          <w:szCs w:val="24"/>
        </w:rPr>
        <w:t>SB</w:t>
      </w:r>
      <w:r w:rsidR="005717D1" w:rsidRPr="006A0747">
        <w:rPr>
          <w:rFonts w:ascii="Times New Roman" w:eastAsia="Calibri" w:hAnsi="Times New Roman" w:cs="Times New Roman"/>
          <w:color w:val="767171"/>
          <w:spacing w:val="20"/>
          <w:sz w:val="24"/>
          <w:szCs w:val="24"/>
        </w:rPr>
        <w:t xml:space="preserve"> </w:t>
      </w:r>
      <w:r w:rsidR="00291E93" w:rsidRPr="006A0747">
        <w:rPr>
          <w:rFonts w:ascii="Times New Roman" w:eastAsia="Calibri" w:hAnsi="Times New Roman" w:cs="Times New Roman"/>
          <w:color w:val="767171"/>
          <w:spacing w:val="20"/>
          <w:sz w:val="24"/>
          <w:szCs w:val="24"/>
        </w:rPr>
        <w:t>este año</w:t>
      </w:r>
      <w:r w:rsidR="0094620D" w:rsidRPr="006A0747">
        <w:rPr>
          <w:rFonts w:ascii="Times New Roman" w:eastAsia="Calibri" w:hAnsi="Times New Roman" w:cs="Times New Roman"/>
          <w:color w:val="767171"/>
          <w:spacing w:val="20"/>
          <w:sz w:val="24"/>
          <w:szCs w:val="24"/>
        </w:rPr>
        <w:t xml:space="preserve"> </w:t>
      </w:r>
      <w:r w:rsidR="005717D1" w:rsidRPr="006A0747">
        <w:rPr>
          <w:rFonts w:ascii="Times New Roman" w:eastAsia="Calibri" w:hAnsi="Times New Roman" w:cs="Times New Roman"/>
          <w:color w:val="767171"/>
          <w:spacing w:val="20"/>
          <w:sz w:val="24"/>
          <w:szCs w:val="24"/>
        </w:rPr>
        <w:t xml:space="preserve">reflejan </w:t>
      </w:r>
      <w:r w:rsidR="00AA7487" w:rsidRPr="006A0747">
        <w:rPr>
          <w:rFonts w:ascii="Times New Roman" w:eastAsia="Calibri" w:hAnsi="Times New Roman" w:cs="Times New Roman"/>
          <w:color w:val="767171"/>
          <w:spacing w:val="20"/>
          <w:sz w:val="24"/>
          <w:szCs w:val="24"/>
        </w:rPr>
        <w:t xml:space="preserve">un cumplimiento fiel de la </w:t>
      </w:r>
      <w:r w:rsidR="00FD2356" w:rsidRPr="006A0747">
        <w:rPr>
          <w:rFonts w:ascii="Times New Roman" w:eastAsia="Calibri" w:hAnsi="Times New Roman" w:cs="Times New Roman"/>
          <w:color w:val="767171"/>
          <w:spacing w:val="20"/>
          <w:sz w:val="24"/>
          <w:szCs w:val="24"/>
        </w:rPr>
        <w:t>misión institucional</w:t>
      </w:r>
      <w:r w:rsidR="005717D1" w:rsidRPr="006A0747">
        <w:rPr>
          <w:rFonts w:ascii="Times New Roman" w:eastAsia="Calibri" w:hAnsi="Times New Roman" w:cs="Times New Roman"/>
          <w:color w:val="767171"/>
          <w:spacing w:val="20"/>
          <w:sz w:val="24"/>
          <w:szCs w:val="24"/>
        </w:rPr>
        <w:t>, la mejora de la supervisión</w:t>
      </w:r>
      <w:r w:rsidR="00307202" w:rsidRPr="006A0747">
        <w:rPr>
          <w:rFonts w:ascii="Times New Roman" w:eastAsia="Calibri" w:hAnsi="Times New Roman" w:cs="Times New Roman"/>
          <w:color w:val="767171"/>
          <w:spacing w:val="20"/>
          <w:sz w:val="24"/>
          <w:szCs w:val="24"/>
        </w:rPr>
        <w:t>,</w:t>
      </w:r>
      <w:r w:rsidR="005717D1" w:rsidRPr="006A0747">
        <w:rPr>
          <w:rFonts w:ascii="Times New Roman" w:eastAsia="Calibri" w:hAnsi="Times New Roman" w:cs="Times New Roman"/>
          <w:color w:val="767171"/>
          <w:spacing w:val="20"/>
          <w:sz w:val="24"/>
          <w:szCs w:val="24"/>
        </w:rPr>
        <w:t xml:space="preserve"> la optimización de procesos internos</w:t>
      </w:r>
      <w:r w:rsidR="00B605B0" w:rsidRPr="006A0747">
        <w:rPr>
          <w:rFonts w:ascii="Times New Roman" w:eastAsia="Calibri" w:hAnsi="Times New Roman" w:cs="Times New Roman"/>
          <w:color w:val="767171"/>
          <w:spacing w:val="20"/>
          <w:sz w:val="24"/>
          <w:szCs w:val="24"/>
        </w:rPr>
        <w:t xml:space="preserve"> </w:t>
      </w:r>
      <w:r w:rsidR="007F5509" w:rsidRPr="006A0747">
        <w:rPr>
          <w:rFonts w:ascii="Times New Roman" w:eastAsia="Calibri" w:hAnsi="Times New Roman" w:cs="Times New Roman"/>
          <w:color w:val="767171"/>
          <w:spacing w:val="20"/>
          <w:sz w:val="24"/>
          <w:szCs w:val="24"/>
        </w:rPr>
        <w:t>y</w:t>
      </w:r>
      <w:r w:rsidR="00B605B0" w:rsidRPr="006A0747">
        <w:rPr>
          <w:rFonts w:ascii="Times New Roman" w:eastAsia="Calibri" w:hAnsi="Times New Roman" w:cs="Times New Roman"/>
          <w:color w:val="767171"/>
          <w:spacing w:val="20"/>
          <w:sz w:val="24"/>
          <w:szCs w:val="24"/>
        </w:rPr>
        <w:t xml:space="preserve"> externos, y </w:t>
      </w:r>
      <w:r w:rsidR="002036BB" w:rsidRPr="006A0747">
        <w:rPr>
          <w:rFonts w:ascii="Times New Roman" w:eastAsia="Calibri" w:hAnsi="Times New Roman" w:cs="Times New Roman"/>
          <w:color w:val="767171"/>
          <w:spacing w:val="20"/>
          <w:sz w:val="24"/>
          <w:szCs w:val="24"/>
        </w:rPr>
        <w:t xml:space="preserve">una </w:t>
      </w:r>
      <w:r w:rsidR="007F5509" w:rsidRPr="006A0747">
        <w:rPr>
          <w:rFonts w:ascii="Times New Roman" w:eastAsia="Calibri" w:hAnsi="Times New Roman" w:cs="Times New Roman"/>
          <w:color w:val="767171"/>
          <w:spacing w:val="20"/>
          <w:sz w:val="24"/>
          <w:szCs w:val="24"/>
        </w:rPr>
        <w:t xml:space="preserve">notable </w:t>
      </w:r>
      <w:r w:rsidR="00076E8A" w:rsidRPr="006A0747">
        <w:rPr>
          <w:rFonts w:ascii="Times New Roman" w:eastAsia="Calibri" w:hAnsi="Times New Roman" w:cs="Times New Roman"/>
          <w:color w:val="767171"/>
          <w:spacing w:val="20"/>
          <w:sz w:val="24"/>
          <w:szCs w:val="24"/>
        </w:rPr>
        <w:t>transformación</w:t>
      </w:r>
      <w:r w:rsidR="007F5509" w:rsidRPr="006A0747">
        <w:rPr>
          <w:rFonts w:ascii="Times New Roman" w:eastAsia="Calibri" w:hAnsi="Times New Roman" w:cs="Times New Roman"/>
          <w:color w:val="767171"/>
          <w:spacing w:val="20"/>
          <w:sz w:val="24"/>
          <w:szCs w:val="24"/>
        </w:rPr>
        <w:t xml:space="preserve"> de </w:t>
      </w:r>
      <w:r w:rsidR="002036BB" w:rsidRPr="006A0747">
        <w:rPr>
          <w:rFonts w:ascii="Times New Roman" w:eastAsia="Calibri" w:hAnsi="Times New Roman" w:cs="Times New Roman"/>
          <w:color w:val="767171"/>
          <w:spacing w:val="20"/>
          <w:sz w:val="24"/>
          <w:szCs w:val="24"/>
        </w:rPr>
        <w:t>su</w:t>
      </w:r>
      <w:r w:rsidR="00B605B0" w:rsidRPr="006A0747">
        <w:rPr>
          <w:rFonts w:ascii="Times New Roman" w:eastAsia="Calibri" w:hAnsi="Times New Roman" w:cs="Times New Roman"/>
          <w:color w:val="767171"/>
          <w:spacing w:val="20"/>
          <w:sz w:val="24"/>
          <w:szCs w:val="24"/>
        </w:rPr>
        <w:t xml:space="preserve"> </w:t>
      </w:r>
      <w:r w:rsidR="005717D1" w:rsidRPr="006A0747">
        <w:rPr>
          <w:rFonts w:ascii="Times New Roman" w:eastAsia="Calibri" w:hAnsi="Times New Roman" w:cs="Times New Roman"/>
          <w:color w:val="767171"/>
          <w:spacing w:val="20"/>
          <w:sz w:val="24"/>
          <w:szCs w:val="24"/>
        </w:rPr>
        <w:t>infraestructura</w:t>
      </w:r>
      <w:r w:rsidR="00B605B0" w:rsidRPr="006A0747">
        <w:rPr>
          <w:rFonts w:ascii="Times New Roman" w:eastAsia="Calibri" w:hAnsi="Times New Roman" w:cs="Times New Roman"/>
          <w:color w:val="767171"/>
          <w:spacing w:val="20"/>
          <w:sz w:val="24"/>
          <w:szCs w:val="24"/>
        </w:rPr>
        <w:t xml:space="preserve"> física</w:t>
      </w:r>
      <w:r w:rsidR="005717D1" w:rsidRPr="006A0747">
        <w:rPr>
          <w:rFonts w:ascii="Times New Roman" w:eastAsia="Calibri" w:hAnsi="Times New Roman" w:cs="Times New Roman"/>
          <w:color w:val="767171"/>
          <w:spacing w:val="20"/>
          <w:sz w:val="24"/>
          <w:szCs w:val="24"/>
        </w:rPr>
        <w:t>. Estos éxitos no solo evidencian el compromiso con la excelencia operativa, sino también el firme propósito de contribuir al bienestar económico de la población, con miras a un desarrollo sostenido y un sistema financiero más robusto y accesible.</w:t>
      </w:r>
    </w:p>
    <w:p w14:paraId="103A278D" w14:textId="77777777" w:rsidR="00C56AC9" w:rsidRPr="006A0747" w:rsidRDefault="00C56AC9" w:rsidP="00A41996">
      <w:pPr>
        <w:spacing w:line="360" w:lineRule="auto"/>
        <w:jc w:val="both"/>
        <w:rPr>
          <w:rFonts w:ascii="Times New Roman" w:eastAsia="Calibri" w:hAnsi="Times New Roman" w:cs="Times New Roman"/>
          <w:color w:val="767171"/>
          <w:spacing w:val="20"/>
          <w:sz w:val="24"/>
          <w:szCs w:val="24"/>
        </w:rPr>
      </w:pPr>
    </w:p>
    <w:p w14:paraId="51E4C7C6" w14:textId="77777777" w:rsidR="0085140A" w:rsidRPr="006A0747" w:rsidRDefault="0085140A" w:rsidP="00A41996">
      <w:pPr>
        <w:spacing w:line="360" w:lineRule="auto"/>
        <w:jc w:val="both"/>
        <w:rPr>
          <w:rFonts w:ascii="Times New Roman" w:eastAsia="Calibri" w:hAnsi="Times New Roman" w:cs="Times New Roman"/>
          <w:color w:val="767171"/>
          <w:spacing w:val="20"/>
          <w:sz w:val="24"/>
          <w:szCs w:val="24"/>
        </w:rPr>
      </w:pPr>
    </w:p>
    <w:p w14:paraId="1860D4BD" w14:textId="77777777" w:rsidR="004F03BB" w:rsidRPr="006A0747" w:rsidRDefault="004F03BB" w:rsidP="00A41996">
      <w:pPr>
        <w:spacing w:line="360" w:lineRule="auto"/>
        <w:jc w:val="both"/>
        <w:rPr>
          <w:rFonts w:ascii="Times New Roman" w:eastAsia="Calibri" w:hAnsi="Times New Roman" w:cs="Times New Roman"/>
          <w:color w:val="767171"/>
          <w:spacing w:val="20"/>
          <w:sz w:val="24"/>
          <w:szCs w:val="24"/>
        </w:rPr>
      </w:pPr>
    </w:p>
    <w:p w14:paraId="5A0F580E" w14:textId="7CFBBE66" w:rsidR="00AB70A4" w:rsidRPr="006A0747" w:rsidRDefault="00AB70A4" w:rsidP="000813B9">
      <w:pPr>
        <w:pStyle w:val="Ttulo1"/>
        <w:numPr>
          <w:ilvl w:val="0"/>
          <w:numId w:val="1"/>
        </w:numPr>
        <w:ind w:left="709"/>
        <w:jc w:val="center"/>
        <w:rPr>
          <w:rFonts w:cs="Times New Roman"/>
          <w:b/>
          <w:color w:val="767171"/>
        </w:rPr>
      </w:pPr>
      <w:bookmarkStart w:id="5" w:name="_Toc185274984"/>
      <w:bookmarkStart w:id="6" w:name="_Toc117160673"/>
      <w:bookmarkStart w:id="7" w:name="_Toc134102402"/>
      <w:bookmarkStart w:id="8" w:name="_Toc134102956"/>
      <w:r w:rsidRPr="006A0747">
        <w:rPr>
          <w:rFonts w:cs="Times New Roman"/>
          <w:b/>
          <w:color w:val="767171"/>
        </w:rPr>
        <w:lastRenderedPageBreak/>
        <w:t>LOGROS</w:t>
      </w:r>
      <w:r w:rsidR="00FB6B1B" w:rsidRPr="006A0747">
        <w:rPr>
          <w:rFonts w:cs="Times New Roman"/>
          <w:b/>
          <w:color w:val="767171"/>
        </w:rPr>
        <w:t xml:space="preserve"> ACUMULADOS</w:t>
      </w:r>
      <w:r w:rsidR="001D3310" w:rsidRPr="006A0747">
        <w:rPr>
          <w:rFonts w:cs="Times New Roman"/>
          <w:b/>
          <w:color w:val="767171"/>
        </w:rPr>
        <w:t xml:space="preserve"> </w:t>
      </w:r>
      <w:r w:rsidR="00B15FF5" w:rsidRPr="006A0747">
        <w:rPr>
          <w:rFonts w:cs="Times New Roman"/>
          <w:b/>
          <w:color w:val="767171"/>
        </w:rPr>
        <w:t>D</w:t>
      </w:r>
      <w:r w:rsidR="001D3310" w:rsidRPr="006A0747">
        <w:rPr>
          <w:rFonts w:cs="Times New Roman"/>
          <w:b/>
          <w:color w:val="767171"/>
        </w:rPr>
        <w:t>E LA GESTIÓN</w:t>
      </w:r>
      <w:bookmarkEnd w:id="5"/>
    </w:p>
    <w:p w14:paraId="19B1FE8F" w14:textId="77777777" w:rsidR="00AB70A4" w:rsidRPr="006A0747" w:rsidRDefault="00AB70A4" w:rsidP="00AB70A4">
      <w:pPr>
        <w:jc w:val="both"/>
        <w:rPr>
          <w:rFonts w:ascii="Times New Roman" w:eastAsia="Calibri" w:hAnsi="Times New Roman" w:cs="Times New Roman"/>
          <w:color w:val="2E74B5" w:themeColor="accent5" w:themeShade="BF"/>
          <w:sz w:val="18"/>
        </w:rPr>
      </w:pPr>
      <w:r w:rsidRPr="006A0747">
        <w:rPr>
          <w:rFonts w:ascii="Times New Roman" w:eastAsia="Calibri" w:hAnsi="Times New Roman" w:cs="Times New Roman"/>
          <w:noProof/>
          <w:color w:val="2E74B5" w:themeColor="accent5" w:themeShade="BF"/>
          <w:sz w:val="18"/>
          <w:lang w:eastAsia="es-DO"/>
        </w:rPr>
        <mc:AlternateContent>
          <mc:Choice Requires="wps">
            <w:drawing>
              <wp:anchor distT="0" distB="0" distL="114300" distR="114300" simplePos="0" relativeHeight="251658255" behindDoc="0" locked="0" layoutInCell="1" allowOverlap="1" wp14:anchorId="20DA5950" wp14:editId="0A9F4D20">
                <wp:simplePos x="0" y="0"/>
                <wp:positionH relativeFrom="margin">
                  <wp:align>center</wp:align>
                </wp:positionH>
                <wp:positionV relativeFrom="paragraph">
                  <wp:posOffset>130488</wp:posOffset>
                </wp:positionV>
                <wp:extent cx="463550" cy="0"/>
                <wp:effectExtent l="0" t="19050" r="31750" b="19050"/>
                <wp:wrapNone/>
                <wp:docPr id="20"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30C4F7E" id="Straight Connector 21" o:spid="_x0000_s1026" style="position:absolute;z-index:25165825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0.25pt" to="36.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" strokecolor="#ee2a24" strokeweight="2.25pt">
                <v:stroke joinstyle="miter"/>
                <w10:wrap anchorx="margin"/>
              </v:line>
            </w:pict>
          </mc:Fallback>
        </mc:AlternateContent>
      </w:r>
    </w:p>
    <w:p w14:paraId="27C089D9" w14:textId="7FE2DED7" w:rsidR="0044103D" w:rsidRPr="006A0747" w:rsidRDefault="00D45471" w:rsidP="0044103D">
      <w:pPr>
        <w:spacing w:after="0"/>
        <w:jc w:val="center"/>
        <w:rPr>
          <w:rFonts w:ascii="Times New Roman" w:hAnsi="Times New Roman" w:cs="Times New Roman"/>
          <w:color w:val="767171"/>
          <w:spacing w:val="20"/>
          <w:sz w:val="24"/>
          <w:szCs w:val="24"/>
        </w:rPr>
      </w:pPr>
      <w:r w:rsidRPr="006A0747">
        <w:rPr>
          <w:rFonts w:ascii="Times New Roman" w:hAnsi="Times New Roman" w:cs="Times New Roman"/>
          <w:color w:val="767171"/>
          <w:spacing w:val="20"/>
          <w:sz w:val="24"/>
          <w:szCs w:val="24"/>
        </w:rPr>
        <w:t>A</w:t>
      </w:r>
      <w:r w:rsidR="00FF312C" w:rsidRPr="006A0747">
        <w:rPr>
          <w:rFonts w:ascii="Times New Roman" w:hAnsi="Times New Roman" w:cs="Times New Roman"/>
          <w:color w:val="767171"/>
          <w:spacing w:val="20"/>
          <w:sz w:val="24"/>
          <w:szCs w:val="24"/>
        </w:rPr>
        <w:t xml:space="preserve">gosto 2020- </w:t>
      </w:r>
      <w:proofErr w:type="gramStart"/>
      <w:r w:rsidR="0030738F" w:rsidRPr="006A0747">
        <w:rPr>
          <w:rFonts w:ascii="Times New Roman" w:hAnsi="Times New Roman" w:cs="Times New Roman"/>
          <w:color w:val="767171"/>
          <w:spacing w:val="20"/>
          <w:sz w:val="24"/>
          <w:szCs w:val="24"/>
        </w:rPr>
        <w:t>Diciembre</w:t>
      </w:r>
      <w:proofErr w:type="gramEnd"/>
      <w:r w:rsidR="00FF312C" w:rsidRPr="006A0747">
        <w:rPr>
          <w:rFonts w:ascii="Times New Roman" w:hAnsi="Times New Roman" w:cs="Times New Roman"/>
          <w:color w:val="767171"/>
          <w:spacing w:val="20"/>
          <w:sz w:val="24"/>
          <w:szCs w:val="24"/>
        </w:rPr>
        <w:t xml:space="preserve"> 2024</w:t>
      </w:r>
    </w:p>
    <w:p w14:paraId="304ECC6B" w14:textId="5A04FC16" w:rsidR="00AB70A4" w:rsidRPr="006A0747" w:rsidRDefault="00AB70A4" w:rsidP="00AB70A4">
      <w:pPr>
        <w:jc w:val="center"/>
        <w:rPr>
          <w:rFonts w:ascii="Times New Roman" w:eastAsia="Calibri" w:hAnsi="Times New Roman" w:cs="Times New Roman"/>
          <w:color w:val="767171"/>
          <w:spacing w:val="20"/>
          <w:sz w:val="24"/>
          <w:szCs w:val="36"/>
        </w:rPr>
      </w:pPr>
    </w:p>
    <w:p w14:paraId="25FC6C9F" w14:textId="0A5D491C" w:rsidR="00390DE6" w:rsidRPr="006A0747" w:rsidRDefault="00391BCB" w:rsidP="00390DE6">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Durante la gestión 2020-2024</w:t>
      </w:r>
      <w:r w:rsidR="002A5EB8" w:rsidRPr="006A0747">
        <w:rPr>
          <w:rFonts w:ascii="Times New Roman" w:eastAsia="Calibri" w:hAnsi="Times New Roman" w:cs="Times New Roman"/>
          <w:color w:val="767171"/>
          <w:spacing w:val="20"/>
          <w:sz w:val="24"/>
          <w:szCs w:val="24"/>
        </w:rPr>
        <w:t>,</w:t>
      </w:r>
      <w:r w:rsidR="00390DE6" w:rsidRPr="006A0747">
        <w:rPr>
          <w:rFonts w:ascii="Times New Roman" w:eastAsia="Calibri" w:hAnsi="Times New Roman" w:cs="Times New Roman"/>
          <w:color w:val="767171"/>
          <w:spacing w:val="20"/>
          <w:sz w:val="24"/>
          <w:szCs w:val="24"/>
        </w:rPr>
        <w:t xml:space="preserve"> la Superintendencia de Bancos</w:t>
      </w:r>
      <w:r w:rsidR="002725E0" w:rsidRPr="006A0747">
        <w:rPr>
          <w:rFonts w:ascii="Times New Roman" w:eastAsia="Calibri" w:hAnsi="Times New Roman" w:cs="Times New Roman"/>
          <w:color w:val="767171"/>
          <w:spacing w:val="20"/>
          <w:sz w:val="24"/>
          <w:szCs w:val="24"/>
        </w:rPr>
        <w:t xml:space="preserve"> (SB)</w:t>
      </w:r>
      <w:r w:rsidR="00390DE6" w:rsidRPr="006A0747">
        <w:rPr>
          <w:rFonts w:ascii="Times New Roman" w:eastAsia="Calibri" w:hAnsi="Times New Roman" w:cs="Times New Roman"/>
          <w:color w:val="767171"/>
          <w:spacing w:val="20"/>
          <w:sz w:val="24"/>
          <w:szCs w:val="24"/>
        </w:rPr>
        <w:t xml:space="preserve"> </w:t>
      </w:r>
      <w:r w:rsidRPr="006A0747">
        <w:rPr>
          <w:rFonts w:ascii="Times New Roman" w:eastAsia="Calibri" w:hAnsi="Times New Roman" w:cs="Times New Roman"/>
          <w:color w:val="767171"/>
          <w:spacing w:val="20"/>
          <w:sz w:val="24"/>
          <w:szCs w:val="24"/>
        </w:rPr>
        <w:t>logró</w:t>
      </w:r>
      <w:r w:rsidR="00390DE6" w:rsidRPr="006A0747">
        <w:rPr>
          <w:rFonts w:ascii="Times New Roman" w:eastAsia="Calibri" w:hAnsi="Times New Roman" w:cs="Times New Roman"/>
          <w:color w:val="767171"/>
          <w:spacing w:val="20"/>
          <w:sz w:val="24"/>
          <w:szCs w:val="24"/>
        </w:rPr>
        <w:t xml:space="preserve"> avances significativos en </w:t>
      </w:r>
      <w:r w:rsidRPr="006A0747">
        <w:rPr>
          <w:rFonts w:ascii="Times New Roman" w:eastAsia="Calibri" w:hAnsi="Times New Roman" w:cs="Times New Roman"/>
          <w:color w:val="767171"/>
          <w:spacing w:val="20"/>
          <w:sz w:val="24"/>
          <w:szCs w:val="24"/>
        </w:rPr>
        <w:t xml:space="preserve">materia de </w:t>
      </w:r>
      <w:r w:rsidR="00390DE6" w:rsidRPr="006A0747">
        <w:rPr>
          <w:rFonts w:ascii="Times New Roman" w:eastAsia="Calibri" w:hAnsi="Times New Roman" w:cs="Times New Roman"/>
          <w:color w:val="767171"/>
          <w:spacing w:val="20"/>
          <w:sz w:val="24"/>
          <w:szCs w:val="24"/>
        </w:rPr>
        <w:t>supervisión y regulación del sector financiero dominicano. A través de políticas innovadoras y una vigilancia rigurosa, se ha fortalecido la estabilidad del sistema bancario, asegurando la protección de los depositantes y promoviendo un ambiente de confianza para inversores y</w:t>
      </w:r>
      <w:r w:rsidR="00C73903" w:rsidRPr="006A0747">
        <w:rPr>
          <w:rFonts w:ascii="Times New Roman" w:eastAsia="Calibri" w:hAnsi="Times New Roman" w:cs="Times New Roman"/>
          <w:color w:val="767171"/>
          <w:spacing w:val="20"/>
          <w:sz w:val="24"/>
          <w:szCs w:val="24"/>
        </w:rPr>
        <w:t xml:space="preserve"> otros grupos de interés</w:t>
      </w:r>
      <w:r w:rsidR="00390DE6" w:rsidRPr="006A0747">
        <w:rPr>
          <w:rFonts w:ascii="Times New Roman" w:eastAsia="Calibri" w:hAnsi="Times New Roman" w:cs="Times New Roman"/>
          <w:color w:val="767171"/>
          <w:spacing w:val="20"/>
          <w:sz w:val="24"/>
          <w:szCs w:val="24"/>
        </w:rPr>
        <w:t xml:space="preserve">. </w:t>
      </w:r>
      <w:r w:rsidR="004E3B9A" w:rsidRPr="006A0747">
        <w:rPr>
          <w:rFonts w:ascii="Times New Roman" w:eastAsia="Calibri" w:hAnsi="Times New Roman" w:cs="Times New Roman"/>
          <w:color w:val="767171"/>
          <w:spacing w:val="20"/>
          <w:sz w:val="24"/>
          <w:szCs w:val="24"/>
        </w:rPr>
        <w:t>En adición</w:t>
      </w:r>
      <w:r w:rsidR="00390DE6" w:rsidRPr="006A0747">
        <w:rPr>
          <w:rFonts w:ascii="Times New Roman" w:eastAsia="Calibri" w:hAnsi="Times New Roman" w:cs="Times New Roman"/>
          <w:color w:val="767171"/>
          <w:spacing w:val="20"/>
          <w:sz w:val="24"/>
          <w:szCs w:val="24"/>
        </w:rPr>
        <w:t xml:space="preserve">, se han implementado medidas proactivas para enfrentar desafíos emergentes, adaptándose a un entorno económico dinámico y cambiante. Estos logros no solo consolidan la reputación de la </w:t>
      </w:r>
      <w:r w:rsidR="002725E0" w:rsidRPr="006A0747">
        <w:rPr>
          <w:rFonts w:ascii="Times New Roman" w:eastAsia="Calibri" w:hAnsi="Times New Roman" w:cs="Times New Roman"/>
          <w:color w:val="767171"/>
          <w:spacing w:val="20"/>
          <w:sz w:val="24"/>
          <w:szCs w:val="24"/>
        </w:rPr>
        <w:t>SB</w:t>
      </w:r>
      <w:r w:rsidR="00390DE6" w:rsidRPr="006A0747">
        <w:rPr>
          <w:rFonts w:ascii="Times New Roman" w:eastAsia="Calibri" w:hAnsi="Times New Roman" w:cs="Times New Roman"/>
          <w:color w:val="767171"/>
          <w:spacing w:val="20"/>
          <w:sz w:val="24"/>
          <w:szCs w:val="24"/>
        </w:rPr>
        <w:t xml:space="preserve"> como un</w:t>
      </w:r>
      <w:r w:rsidR="002725E0" w:rsidRPr="006A0747">
        <w:rPr>
          <w:rFonts w:ascii="Times New Roman" w:eastAsia="Calibri" w:hAnsi="Times New Roman" w:cs="Times New Roman"/>
          <w:color w:val="767171"/>
          <w:spacing w:val="20"/>
          <w:sz w:val="24"/>
          <w:szCs w:val="24"/>
        </w:rPr>
        <w:t>a</w:t>
      </w:r>
      <w:r w:rsidR="00390DE6" w:rsidRPr="006A0747">
        <w:rPr>
          <w:rFonts w:ascii="Times New Roman" w:eastAsia="Calibri" w:hAnsi="Times New Roman" w:cs="Times New Roman"/>
          <w:color w:val="767171"/>
          <w:spacing w:val="20"/>
          <w:sz w:val="24"/>
          <w:szCs w:val="24"/>
        </w:rPr>
        <w:t xml:space="preserve"> </w:t>
      </w:r>
      <w:r w:rsidR="002725E0" w:rsidRPr="006A0747">
        <w:rPr>
          <w:rFonts w:ascii="Times New Roman" w:eastAsia="Calibri" w:hAnsi="Times New Roman" w:cs="Times New Roman"/>
          <w:color w:val="767171"/>
          <w:spacing w:val="20"/>
          <w:sz w:val="24"/>
          <w:szCs w:val="24"/>
        </w:rPr>
        <w:t>institución</w:t>
      </w:r>
      <w:r w:rsidR="00390DE6" w:rsidRPr="006A0747">
        <w:rPr>
          <w:rFonts w:ascii="Times New Roman" w:eastAsia="Calibri" w:hAnsi="Times New Roman" w:cs="Times New Roman"/>
          <w:color w:val="767171"/>
          <w:spacing w:val="20"/>
          <w:sz w:val="24"/>
          <w:szCs w:val="24"/>
        </w:rPr>
        <w:t xml:space="preserve"> eficaz, sino que también sientan las bases para un crecimiento financiero sostenible e inclusivo</w:t>
      </w:r>
      <w:r w:rsidR="00E241A0" w:rsidRPr="006A0747">
        <w:rPr>
          <w:rFonts w:ascii="Times New Roman" w:eastAsia="Calibri" w:hAnsi="Times New Roman" w:cs="Times New Roman"/>
          <w:color w:val="767171"/>
          <w:spacing w:val="20"/>
          <w:sz w:val="24"/>
          <w:szCs w:val="24"/>
        </w:rPr>
        <w:t>.</w:t>
      </w:r>
    </w:p>
    <w:p w14:paraId="0C567039" w14:textId="3CDFBDCA" w:rsidR="00664075" w:rsidRPr="006A0747" w:rsidRDefault="00343E4B" w:rsidP="00664075">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Al inicio de la gestión, e</w:t>
      </w:r>
      <w:r w:rsidR="00257092" w:rsidRPr="006A0747">
        <w:rPr>
          <w:rFonts w:ascii="Times New Roman" w:eastAsia="Calibri" w:hAnsi="Times New Roman" w:cs="Times New Roman"/>
          <w:color w:val="767171"/>
          <w:spacing w:val="20"/>
          <w:sz w:val="24"/>
          <w:szCs w:val="24"/>
        </w:rPr>
        <w:t>n agosto de 2020, la economía mundial estaba atravesando una crisis histórica</w:t>
      </w:r>
      <w:r w:rsidRPr="006A0747">
        <w:rPr>
          <w:rFonts w:ascii="Times New Roman" w:eastAsia="Calibri" w:hAnsi="Times New Roman" w:cs="Times New Roman"/>
          <w:color w:val="767171"/>
          <w:spacing w:val="20"/>
          <w:sz w:val="24"/>
          <w:szCs w:val="24"/>
        </w:rPr>
        <w:t xml:space="preserve"> producto de</w:t>
      </w:r>
      <w:r w:rsidR="00257092" w:rsidRPr="006A0747">
        <w:rPr>
          <w:rFonts w:ascii="Times New Roman" w:eastAsia="Calibri" w:hAnsi="Times New Roman" w:cs="Times New Roman"/>
          <w:color w:val="767171"/>
          <w:spacing w:val="20"/>
          <w:sz w:val="24"/>
          <w:szCs w:val="24"/>
        </w:rPr>
        <w:t xml:space="preserve"> la pandemia de covid-19</w:t>
      </w:r>
      <w:r w:rsidR="00E22ACB" w:rsidRPr="006A0747">
        <w:rPr>
          <w:rFonts w:ascii="Times New Roman" w:eastAsia="Calibri" w:hAnsi="Times New Roman" w:cs="Times New Roman"/>
          <w:color w:val="767171"/>
          <w:spacing w:val="20"/>
          <w:sz w:val="24"/>
          <w:szCs w:val="24"/>
        </w:rPr>
        <w:t>.</w:t>
      </w:r>
      <w:r w:rsidR="003B7CE0" w:rsidRPr="006A0747">
        <w:rPr>
          <w:rFonts w:ascii="Times New Roman" w:eastAsia="Calibri" w:hAnsi="Times New Roman" w:cs="Times New Roman"/>
          <w:color w:val="767171"/>
          <w:spacing w:val="20"/>
          <w:sz w:val="24"/>
          <w:szCs w:val="24"/>
        </w:rPr>
        <w:t xml:space="preserve"> </w:t>
      </w:r>
      <w:r w:rsidR="00FA1E71" w:rsidRPr="006A0747">
        <w:rPr>
          <w:rFonts w:ascii="Times New Roman" w:eastAsia="Calibri" w:hAnsi="Times New Roman" w:cs="Times New Roman"/>
          <w:color w:val="767171"/>
          <w:spacing w:val="20"/>
          <w:sz w:val="24"/>
          <w:szCs w:val="24"/>
        </w:rPr>
        <w:t>En este contexto</w:t>
      </w:r>
      <w:r w:rsidR="003E2EAB" w:rsidRPr="006A0747">
        <w:rPr>
          <w:rFonts w:ascii="Times New Roman" w:eastAsia="Calibri" w:hAnsi="Times New Roman" w:cs="Times New Roman"/>
          <w:color w:val="767171"/>
          <w:spacing w:val="20"/>
          <w:sz w:val="24"/>
          <w:szCs w:val="24"/>
        </w:rPr>
        <w:t xml:space="preserve">, la prioridad </w:t>
      </w:r>
      <w:r w:rsidR="00257092" w:rsidRPr="006A0747">
        <w:rPr>
          <w:rFonts w:ascii="Times New Roman" w:eastAsia="Calibri" w:hAnsi="Times New Roman" w:cs="Times New Roman"/>
          <w:color w:val="767171"/>
          <w:spacing w:val="20"/>
          <w:sz w:val="24"/>
          <w:szCs w:val="24"/>
        </w:rPr>
        <w:t xml:space="preserve">para la Superintendencia de Bancos </w:t>
      </w:r>
      <w:r w:rsidR="00542743" w:rsidRPr="006A0747">
        <w:rPr>
          <w:rFonts w:ascii="Times New Roman" w:eastAsia="Calibri" w:hAnsi="Times New Roman" w:cs="Times New Roman"/>
          <w:color w:val="767171"/>
          <w:spacing w:val="20"/>
          <w:sz w:val="24"/>
          <w:szCs w:val="24"/>
        </w:rPr>
        <w:t>fue</w:t>
      </w:r>
      <w:r w:rsidR="00257092" w:rsidRPr="006A0747">
        <w:rPr>
          <w:rFonts w:ascii="Times New Roman" w:eastAsia="Calibri" w:hAnsi="Times New Roman" w:cs="Times New Roman"/>
          <w:color w:val="767171"/>
          <w:spacing w:val="20"/>
          <w:sz w:val="24"/>
          <w:szCs w:val="24"/>
        </w:rPr>
        <w:t xml:space="preserve"> mantener la estabilidad del sistema</w:t>
      </w:r>
      <w:r w:rsidR="00061634" w:rsidRPr="006A0747">
        <w:rPr>
          <w:rFonts w:ascii="Times New Roman" w:eastAsia="Calibri" w:hAnsi="Times New Roman" w:cs="Times New Roman"/>
          <w:color w:val="767171"/>
          <w:spacing w:val="20"/>
          <w:sz w:val="24"/>
          <w:szCs w:val="24"/>
        </w:rPr>
        <w:t xml:space="preserve"> financiero</w:t>
      </w:r>
      <w:r w:rsidR="00525A99" w:rsidRPr="006A0747">
        <w:rPr>
          <w:rFonts w:ascii="Times New Roman" w:eastAsia="Calibri" w:hAnsi="Times New Roman" w:cs="Times New Roman"/>
          <w:color w:val="767171"/>
          <w:spacing w:val="20"/>
          <w:sz w:val="24"/>
          <w:szCs w:val="24"/>
        </w:rPr>
        <w:t xml:space="preserve">. </w:t>
      </w:r>
      <w:r w:rsidR="00D5429D" w:rsidRPr="006A0747">
        <w:rPr>
          <w:rFonts w:ascii="Times New Roman" w:eastAsia="Calibri" w:hAnsi="Times New Roman" w:cs="Times New Roman"/>
          <w:color w:val="767171"/>
          <w:spacing w:val="20"/>
          <w:sz w:val="24"/>
          <w:szCs w:val="24"/>
        </w:rPr>
        <w:t>Para</w:t>
      </w:r>
      <w:r w:rsidR="00257092" w:rsidRPr="006A0747">
        <w:rPr>
          <w:rFonts w:ascii="Times New Roman" w:eastAsia="Calibri" w:hAnsi="Times New Roman" w:cs="Times New Roman"/>
          <w:color w:val="767171"/>
          <w:spacing w:val="20"/>
          <w:sz w:val="24"/>
          <w:szCs w:val="24"/>
        </w:rPr>
        <w:t xml:space="preserve"> </w:t>
      </w:r>
      <w:r w:rsidR="00A14223" w:rsidRPr="006A0747">
        <w:rPr>
          <w:rFonts w:ascii="Times New Roman" w:eastAsia="Calibri" w:hAnsi="Times New Roman" w:cs="Times New Roman"/>
          <w:color w:val="767171"/>
          <w:spacing w:val="20"/>
          <w:sz w:val="24"/>
          <w:szCs w:val="24"/>
        </w:rPr>
        <w:t>esto,</w:t>
      </w:r>
      <w:r w:rsidR="00664075" w:rsidRPr="006A0747">
        <w:rPr>
          <w:rFonts w:ascii="Times New Roman" w:hAnsi="Times New Roman" w:cs="Times New Roman"/>
          <w:color w:val="767171"/>
        </w:rPr>
        <w:t xml:space="preserve"> </w:t>
      </w:r>
      <w:r w:rsidR="00664075" w:rsidRPr="006A0747">
        <w:rPr>
          <w:rFonts w:ascii="Times New Roman" w:eastAsia="Calibri" w:hAnsi="Times New Roman" w:cs="Times New Roman"/>
          <w:color w:val="767171"/>
          <w:spacing w:val="20"/>
          <w:sz w:val="24"/>
          <w:szCs w:val="24"/>
        </w:rPr>
        <w:t xml:space="preserve">fueron emitidas diversas normativas </w:t>
      </w:r>
      <w:r w:rsidR="007F0456" w:rsidRPr="006A0747">
        <w:rPr>
          <w:rFonts w:ascii="Times New Roman" w:eastAsia="Calibri" w:hAnsi="Times New Roman" w:cs="Times New Roman"/>
          <w:color w:val="767171"/>
          <w:spacing w:val="20"/>
          <w:sz w:val="24"/>
          <w:szCs w:val="24"/>
        </w:rPr>
        <w:t>a fin de garantizar que las EIF reali</w:t>
      </w:r>
      <w:r w:rsidR="002547F5" w:rsidRPr="006A0747">
        <w:rPr>
          <w:rFonts w:ascii="Times New Roman" w:eastAsia="Calibri" w:hAnsi="Times New Roman" w:cs="Times New Roman"/>
          <w:color w:val="767171"/>
          <w:spacing w:val="20"/>
          <w:sz w:val="24"/>
          <w:szCs w:val="24"/>
        </w:rPr>
        <w:t>zaran</w:t>
      </w:r>
      <w:r w:rsidR="007F0456" w:rsidRPr="006A0747">
        <w:rPr>
          <w:rFonts w:ascii="Times New Roman" w:eastAsia="Calibri" w:hAnsi="Times New Roman" w:cs="Times New Roman"/>
          <w:color w:val="767171"/>
          <w:spacing w:val="20"/>
          <w:sz w:val="24"/>
          <w:szCs w:val="24"/>
        </w:rPr>
        <w:t xml:space="preserve"> una adecuada identificación del deterioro de la cartera de créditos y de una estimación razonable de las provisiones para cobertura del riesgo de crédito</w:t>
      </w:r>
      <w:r w:rsidR="00027019" w:rsidRPr="006A0747">
        <w:rPr>
          <w:rFonts w:ascii="Times New Roman" w:eastAsia="Calibri" w:hAnsi="Times New Roman" w:cs="Times New Roman"/>
          <w:color w:val="767171"/>
          <w:spacing w:val="20"/>
          <w:sz w:val="24"/>
          <w:szCs w:val="24"/>
        </w:rPr>
        <w:t>. En adición</w:t>
      </w:r>
      <w:r w:rsidR="00F33A63" w:rsidRPr="006A0747">
        <w:rPr>
          <w:rFonts w:ascii="Times New Roman" w:eastAsia="Calibri" w:hAnsi="Times New Roman" w:cs="Times New Roman"/>
          <w:color w:val="767171"/>
          <w:spacing w:val="20"/>
          <w:sz w:val="24"/>
          <w:szCs w:val="24"/>
        </w:rPr>
        <w:t>,</w:t>
      </w:r>
      <w:r w:rsidR="00027019" w:rsidRPr="006A0747">
        <w:rPr>
          <w:rFonts w:ascii="Times New Roman" w:eastAsia="Calibri" w:hAnsi="Times New Roman" w:cs="Times New Roman"/>
          <w:color w:val="767171"/>
          <w:spacing w:val="20"/>
          <w:sz w:val="24"/>
          <w:szCs w:val="24"/>
        </w:rPr>
        <w:t xml:space="preserve"> se promulgaron </w:t>
      </w:r>
      <w:r w:rsidR="00664075" w:rsidRPr="006A0747">
        <w:rPr>
          <w:rFonts w:ascii="Times New Roman" w:eastAsia="Calibri" w:hAnsi="Times New Roman" w:cs="Times New Roman"/>
          <w:color w:val="767171"/>
          <w:spacing w:val="20"/>
          <w:sz w:val="24"/>
          <w:szCs w:val="24"/>
        </w:rPr>
        <w:t xml:space="preserve">los lineamientos que debían observar </w:t>
      </w:r>
      <w:r w:rsidR="002A010B" w:rsidRPr="006A0747">
        <w:rPr>
          <w:rFonts w:ascii="Times New Roman" w:eastAsia="Calibri" w:hAnsi="Times New Roman" w:cs="Times New Roman"/>
          <w:color w:val="767171"/>
          <w:spacing w:val="20"/>
          <w:sz w:val="24"/>
          <w:szCs w:val="24"/>
        </w:rPr>
        <w:t>aquellas</w:t>
      </w:r>
      <w:r w:rsidR="00664075" w:rsidRPr="006A0747">
        <w:rPr>
          <w:rFonts w:ascii="Times New Roman" w:eastAsia="Calibri" w:hAnsi="Times New Roman" w:cs="Times New Roman"/>
          <w:color w:val="767171"/>
          <w:spacing w:val="20"/>
          <w:sz w:val="24"/>
          <w:szCs w:val="24"/>
        </w:rPr>
        <w:t xml:space="preserve"> EIF que</w:t>
      </w:r>
      <w:r w:rsidR="002A010B" w:rsidRPr="006A0747">
        <w:rPr>
          <w:rFonts w:ascii="Times New Roman" w:eastAsia="Calibri" w:hAnsi="Times New Roman" w:cs="Times New Roman"/>
          <w:color w:val="767171"/>
          <w:spacing w:val="20"/>
          <w:sz w:val="24"/>
          <w:szCs w:val="24"/>
        </w:rPr>
        <w:t xml:space="preserve"> habían adoptado</w:t>
      </w:r>
      <w:r w:rsidR="00664075" w:rsidRPr="006A0747">
        <w:rPr>
          <w:rFonts w:ascii="Times New Roman" w:eastAsia="Calibri" w:hAnsi="Times New Roman" w:cs="Times New Roman"/>
          <w:color w:val="767171"/>
          <w:spacing w:val="20"/>
          <w:sz w:val="24"/>
          <w:szCs w:val="24"/>
        </w:rPr>
        <w:t xml:space="preserve"> medidas de flexibilización</w:t>
      </w:r>
      <w:r w:rsidR="00884162" w:rsidRPr="006A0747">
        <w:rPr>
          <w:rFonts w:ascii="Times New Roman" w:eastAsia="Calibri" w:hAnsi="Times New Roman" w:cs="Times New Roman"/>
          <w:color w:val="767171"/>
          <w:spacing w:val="20"/>
          <w:sz w:val="24"/>
          <w:szCs w:val="24"/>
        </w:rPr>
        <w:t xml:space="preserve"> </w:t>
      </w:r>
      <w:r w:rsidR="00664075" w:rsidRPr="006A0747">
        <w:rPr>
          <w:rFonts w:ascii="Times New Roman" w:eastAsia="Calibri" w:hAnsi="Times New Roman" w:cs="Times New Roman"/>
          <w:color w:val="767171"/>
          <w:spacing w:val="20"/>
          <w:sz w:val="24"/>
          <w:szCs w:val="24"/>
        </w:rPr>
        <w:t xml:space="preserve">para </w:t>
      </w:r>
      <w:r w:rsidR="002A010B" w:rsidRPr="006A0747">
        <w:rPr>
          <w:rFonts w:ascii="Times New Roman" w:eastAsia="Calibri" w:hAnsi="Times New Roman" w:cs="Times New Roman"/>
          <w:color w:val="767171"/>
          <w:spacing w:val="20"/>
          <w:sz w:val="24"/>
          <w:szCs w:val="24"/>
        </w:rPr>
        <w:t>sus</w:t>
      </w:r>
      <w:r w:rsidR="00664075" w:rsidRPr="006A0747">
        <w:rPr>
          <w:rFonts w:ascii="Times New Roman" w:eastAsia="Calibri" w:hAnsi="Times New Roman" w:cs="Times New Roman"/>
          <w:color w:val="767171"/>
          <w:spacing w:val="20"/>
          <w:sz w:val="24"/>
          <w:szCs w:val="24"/>
        </w:rPr>
        <w:t xml:space="preserve"> clientes</w:t>
      </w:r>
      <w:r w:rsidR="002A010B" w:rsidRPr="006A0747">
        <w:rPr>
          <w:rFonts w:ascii="Times New Roman" w:eastAsia="Calibri" w:hAnsi="Times New Roman" w:cs="Times New Roman"/>
          <w:color w:val="767171"/>
          <w:spacing w:val="20"/>
          <w:sz w:val="24"/>
          <w:szCs w:val="24"/>
        </w:rPr>
        <w:t xml:space="preserve"> </w:t>
      </w:r>
      <w:r w:rsidR="00664075" w:rsidRPr="006A0747">
        <w:rPr>
          <w:rFonts w:ascii="Times New Roman" w:eastAsia="Calibri" w:hAnsi="Times New Roman" w:cs="Times New Roman"/>
          <w:color w:val="767171"/>
          <w:spacing w:val="20"/>
          <w:sz w:val="24"/>
          <w:szCs w:val="24"/>
        </w:rPr>
        <w:t xml:space="preserve">durante el periodo </w:t>
      </w:r>
      <w:r w:rsidR="00195A3D" w:rsidRPr="006A0747">
        <w:rPr>
          <w:rFonts w:ascii="Times New Roman" w:eastAsia="Calibri" w:hAnsi="Times New Roman" w:cs="Times New Roman"/>
          <w:color w:val="767171"/>
          <w:spacing w:val="20"/>
          <w:sz w:val="24"/>
          <w:szCs w:val="24"/>
        </w:rPr>
        <w:t>de</w:t>
      </w:r>
      <w:r w:rsidR="00884162" w:rsidRPr="006A0747">
        <w:rPr>
          <w:rFonts w:ascii="Times New Roman" w:eastAsia="Calibri" w:hAnsi="Times New Roman" w:cs="Times New Roman"/>
          <w:color w:val="767171"/>
          <w:spacing w:val="20"/>
          <w:sz w:val="24"/>
          <w:szCs w:val="24"/>
        </w:rPr>
        <w:t xml:space="preserve"> </w:t>
      </w:r>
      <w:r w:rsidR="00664075" w:rsidRPr="006A0747">
        <w:rPr>
          <w:rFonts w:ascii="Times New Roman" w:eastAsia="Calibri" w:hAnsi="Times New Roman" w:cs="Times New Roman"/>
          <w:color w:val="767171"/>
          <w:spacing w:val="20"/>
          <w:sz w:val="24"/>
          <w:szCs w:val="24"/>
        </w:rPr>
        <w:t>pandemi</w:t>
      </w:r>
      <w:r w:rsidR="00884162" w:rsidRPr="006A0747">
        <w:rPr>
          <w:rFonts w:ascii="Times New Roman" w:eastAsia="Calibri" w:hAnsi="Times New Roman" w:cs="Times New Roman"/>
          <w:color w:val="767171"/>
          <w:spacing w:val="20"/>
          <w:sz w:val="24"/>
          <w:szCs w:val="24"/>
        </w:rPr>
        <w:t>a.</w:t>
      </w:r>
    </w:p>
    <w:p w14:paraId="3151FA4A" w14:textId="75E718F1" w:rsidR="00202291" w:rsidRPr="006A0747" w:rsidRDefault="00202291" w:rsidP="00202291">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Para tener acceso oportuno a información sobre las amenazas a las que podrían estar expuestas las entidades, la Superintendencia de Bancos desarrolló un tablero con </w:t>
      </w:r>
      <w:r w:rsidRPr="006A0747">
        <w:rPr>
          <w:rFonts w:ascii="Times New Roman" w:eastAsia="Calibri" w:hAnsi="Times New Roman" w:cs="Times New Roman"/>
          <w:b/>
          <w:color w:val="767171"/>
          <w:spacing w:val="20"/>
          <w:sz w:val="24"/>
          <w:szCs w:val="24"/>
        </w:rPr>
        <w:t>indicadores de alerta temprana</w:t>
      </w:r>
      <w:r w:rsidRPr="006A0747">
        <w:rPr>
          <w:rFonts w:ascii="Times New Roman" w:eastAsia="Calibri" w:hAnsi="Times New Roman" w:cs="Times New Roman"/>
          <w:color w:val="767171"/>
          <w:spacing w:val="20"/>
          <w:sz w:val="24"/>
          <w:szCs w:val="24"/>
        </w:rPr>
        <w:t>, que permite monitorear los riesgos de mercado, liquidez y crédito</w:t>
      </w:r>
      <w:r w:rsidR="002442ED" w:rsidRPr="006A0747">
        <w:rPr>
          <w:rFonts w:ascii="Times New Roman" w:eastAsia="Calibri" w:hAnsi="Times New Roman" w:cs="Times New Roman"/>
          <w:color w:val="767171"/>
          <w:spacing w:val="20"/>
          <w:sz w:val="24"/>
          <w:szCs w:val="24"/>
        </w:rPr>
        <w:t xml:space="preserve">. </w:t>
      </w:r>
      <w:r w:rsidR="005063A5" w:rsidRPr="006A0747">
        <w:rPr>
          <w:rFonts w:ascii="Times New Roman" w:eastAsia="Calibri" w:hAnsi="Times New Roman" w:cs="Times New Roman"/>
          <w:color w:val="767171"/>
          <w:spacing w:val="20"/>
          <w:sz w:val="24"/>
          <w:szCs w:val="24"/>
        </w:rPr>
        <w:lastRenderedPageBreak/>
        <w:t>As</w:t>
      </w:r>
      <w:r w:rsidR="00AB026B" w:rsidRPr="006A0747">
        <w:rPr>
          <w:rFonts w:ascii="Times New Roman" w:eastAsia="Calibri" w:hAnsi="Times New Roman" w:cs="Times New Roman"/>
          <w:color w:val="767171"/>
          <w:spacing w:val="20"/>
          <w:sz w:val="24"/>
          <w:szCs w:val="24"/>
        </w:rPr>
        <w:t>i</w:t>
      </w:r>
      <w:r w:rsidR="005063A5" w:rsidRPr="006A0747">
        <w:rPr>
          <w:rFonts w:ascii="Times New Roman" w:eastAsia="Calibri" w:hAnsi="Times New Roman" w:cs="Times New Roman"/>
          <w:color w:val="767171"/>
          <w:spacing w:val="20"/>
          <w:sz w:val="24"/>
          <w:szCs w:val="24"/>
        </w:rPr>
        <w:t>mismo</w:t>
      </w:r>
      <w:r w:rsidR="006228A1" w:rsidRPr="006A0747">
        <w:rPr>
          <w:rFonts w:ascii="Times New Roman" w:eastAsia="Calibri" w:hAnsi="Times New Roman" w:cs="Times New Roman"/>
          <w:color w:val="767171"/>
          <w:spacing w:val="20"/>
          <w:sz w:val="24"/>
          <w:szCs w:val="24"/>
        </w:rPr>
        <w:t>,</w:t>
      </w:r>
      <w:r w:rsidR="005063A5" w:rsidRPr="006A0747">
        <w:rPr>
          <w:rFonts w:ascii="Times New Roman" w:eastAsia="Calibri" w:hAnsi="Times New Roman" w:cs="Times New Roman"/>
          <w:color w:val="767171"/>
          <w:spacing w:val="20"/>
          <w:sz w:val="24"/>
          <w:szCs w:val="24"/>
        </w:rPr>
        <w:t xml:space="preserve"> se desarrollaron e implementaron nuevas metodologías de puntaje de riesgo de crédito para las EIF supervisadas y de segmentación de entidades por grupo de riesgo según concentración en cartera de crédito.</w:t>
      </w:r>
    </w:p>
    <w:p w14:paraId="16A08BB2" w14:textId="6D5E4444" w:rsidR="00257092" w:rsidRPr="006A0747" w:rsidRDefault="006B3930" w:rsidP="00257092">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Una vez se </w:t>
      </w:r>
      <w:r w:rsidR="00C77D49" w:rsidRPr="006A0747">
        <w:rPr>
          <w:rFonts w:ascii="Times New Roman" w:eastAsia="Calibri" w:hAnsi="Times New Roman" w:cs="Times New Roman"/>
          <w:color w:val="767171"/>
          <w:spacing w:val="20"/>
          <w:sz w:val="24"/>
          <w:szCs w:val="24"/>
        </w:rPr>
        <w:t>estabilizó el sistema</w:t>
      </w:r>
      <w:r w:rsidR="00257092" w:rsidRPr="006A0747">
        <w:rPr>
          <w:rFonts w:ascii="Times New Roman" w:eastAsia="Calibri" w:hAnsi="Times New Roman" w:cs="Times New Roman"/>
          <w:color w:val="767171"/>
          <w:spacing w:val="20"/>
          <w:sz w:val="24"/>
          <w:szCs w:val="24"/>
        </w:rPr>
        <w:t>, la Superintendencia de Bancos se embarcó en la revisión de su metodología de supervisión bancaria, que implicó la actualización del marco, las guías y los procedimientos de supervisión, con el fin de adaptarlos a las mejores prácticas internacionales. El proceso se realizó al tiempo en que se fortalecía el perfil de los equipos técnicos, con la contratación de recursos humanos especializados y la implementación de un amplio programa de capacitación, de la mano de instituciones de prestigio internacional</w:t>
      </w:r>
      <w:r w:rsidR="007C26F0" w:rsidRPr="006A0747">
        <w:rPr>
          <w:rFonts w:ascii="Times New Roman" w:eastAsia="Calibri" w:hAnsi="Times New Roman" w:cs="Times New Roman"/>
          <w:color w:val="767171"/>
          <w:spacing w:val="20"/>
          <w:sz w:val="24"/>
          <w:szCs w:val="24"/>
        </w:rPr>
        <w:t xml:space="preserve"> tales como Toronto Centre,</w:t>
      </w:r>
      <w:r w:rsidR="009239F9" w:rsidRPr="006A0747">
        <w:rPr>
          <w:rFonts w:ascii="Times New Roman" w:eastAsia="Calibri" w:hAnsi="Times New Roman" w:cs="Times New Roman"/>
          <w:color w:val="767171"/>
          <w:spacing w:val="20"/>
          <w:sz w:val="24"/>
          <w:szCs w:val="24"/>
        </w:rPr>
        <w:t xml:space="preserve"> </w:t>
      </w:r>
      <w:proofErr w:type="spellStart"/>
      <w:r w:rsidR="009239F9" w:rsidRPr="006A0747">
        <w:rPr>
          <w:rFonts w:ascii="Times New Roman" w:eastAsia="Calibri" w:hAnsi="Times New Roman" w:cs="Times New Roman"/>
          <w:color w:val="767171"/>
          <w:spacing w:val="20"/>
          <w:sz w:val="24"/>
          <w:szCs w:val="24"/>
        </w:rPr>
        <w:t>Nemesis</w:t>
      </w:r>
      <w:proofErr w:type="spellEnd"/>
      <w:r w:rsidR="009239F9" w:rsidRPr="006A0747">
        <w:rPr>
          <w:rFonts w:ascii="Times New Roman" w:eastAsia="Calibri" w:hAnsi="Times New Roman" w:cs="Times New Roman"/>
          <w:color w:val="767171"/>
          <w:spacing w:val="20"/>
          <w:sz w:val="24"/>
          <w:szCs w:val="24"/>
        </w:rPr>
        <w:t xml:space="preserve"> </w:t>
      </w:r>
      <w:proofErr w:type="spellStart"/>
      <w:r w:rsidR="009239F9" w:rsidRPr="006A0747">
        <w:rPr>
          <w:rFonts w:ascii="Times New Roman" w:eastAsia="Calibri" w:hAnsi="Times New Roman" w:cs="Times New Roman"/>
          <w:color w:val="767171"/>
          <w:spacing w:val="20"/>
          <w:sz w:val="24"/>
          <w:szCs w:val="24"/>
        </w:rPr>
        <w:t>Risk</w:t>
      </w:r>
      <w:proofErr w:type="spellEnd"/>
      <w:r w:rsidR="009239F9" w:rsidRPr="006A0747">
        <w:rPr>
          <w:rFonts w:ascii="Times New Roman" w:eastAsia="Calibri" w:hAnsi="Times New Roman" w:cs="Times New Roman"/>
          <w:color w:val="767171"/>
          <w:spacing w:val="20"/>
          <w:sz w:val="24"/>
          <w:szCs w:val="24"/>
        </w:rPr>
        <w:t xml:space="preserve">, </w:t>
      </w:r>
      <w:r w:rsidR="007C26F0" w:rsidRPr="006A0747">
        <w:rPr>
          <w:rFonts w:ascii="Times New Roman" w:eastAsia="Calibri" w:hAnsi="Times New Roman" w:cs="Times New Roman"/>
          <w:color w:val="767171"/>
          <w:spacing w:val="20"/>
          <w:sz w:val="24"/>
          <w:szCs w:val="24"/>
        </w:rPr>
        <w:t>Fondo Monetario Internacional</w:t>
      </w:r>
      <w:r w:rsidR="009239F9" w:rsidRPr="006A0747">
        <w:rPr>
          <w:rFonts w:ascii="Times New Roman" w:eastAsia="Calibri" w:hAnsi="Times New Roman" w:cs="Times New Roman"/>
          <w:color w:val="767171"/>
          <w:spacing w:val="20"/>
          <w:sz w:val="24"/>
          <w:szCs w:val="24"/>
        </w:rPr>
        <w:t>, entre otros.</w:t>
      </w:r>
    </w:p>
    <w:p w14:paraId="68D2F044" w14:textId="6104E7B7" w:rsidR="00CD415F" w:rsidRPr="006A0747" w:rsidRDefault="00CD415F" w:rsidP="00CD415F">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Un ejemplo de las fortalezas institucionales </w:t>
      </w:r>
      <w:r w:rsidR="006228A1" w:rsidRPr="006A0747">
        <w:rPr>
          <w:rFonts w:ascii="Times New Roman" w:eastAsia="Calibri" w:hAnsi="Times New Roman" w:cs="Times New Roman"/>
          <w:color w:val="767171"/>
          <w:spacing w:val="20"/>
          <w:sz w:val="24"/>
          <w:szCs w:val="24"/>
        </w:rPr>
        <w:t>adquiridas</w:t>
      </w:r>
      <w:r w:rsidRPr="006A0747">
        <w:rPr>
          <w:rFonts w:ascii="Times New Roman" w:eastAsia="Calibri" w:hAnsi="Times New Roman" w:cs="Times New Roman"/>
          <w:color w:val="767171"/>
          <w:spacing w:val="20"/>
          <w:sz w:val="24"/>
          <w:szCs w:val="24"/>
        </w:rPr>
        <w:t xml:space="preserve"> fue el manejo de la salida del Banco Múltiple de Las Américas (Bancamérica), realizado con un nivel de control, organización, comunicación y agilidad sin precedentes. Por primera vez en la historia de la Ley Monetaria y Financiera se logró traspasar los activos y pasivos de un banco disuelto a una entidad solvente dentro del plazo de 30 días que contempla la normativa, donde todos los depositantes no vinculados recuperaron su dinero. El Fondo Monetario Internacional (FMI) reconoció que el manejo expedito de la disolución evitó un impacto mayor en el sistema financiero nacional.</w:t>
      </w:r>
    </w:p>
    <w:p w14:paraId="71F86C4E" w14:textId="4A251121" w:rsidR="00F71810" w:rsidRPr="006A0747" w:rsidRDefault="00F71810" w:rsidP="00F71810">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En el ámbito regulatorio, la Superintendencia de Bancos apostó a la actualización de su marco normativo, con el objetivo de apoyar la adecuación del sistema financiero dominicano a los estándares </w:t>
      </w:r>
      <w:r w:rsidR="00FF6B26" w:rsidRPr="006A0747">
        <w:rPr>
          <w:rFonts w:ascii="Times New Roman" w:eastAsia="Calibri" w:hAnsi="Times New Roman" w:cs="Times New Roman"/>
          <w:color w:val="767171"/>
          <w:spacing w:val="20"/>
          <w:sz w:val="24"/>
          <w:szCs w:val="24"/>
        </w:rPr>
        <w:t xml:space="preserve">internacionales de supervisión </w:t>
      </w:r>
      <w:r w:rsidR="00E30075" w:rsidRPr="006A0747">
        <w:rPr>
          <w:rFonts w:ascii="Times New Roman" w:eastAsia="Calibri" w:hAnsi="Times New Roman" w:cs="Times New Roman"/>
          <w:color w:val="767171"/>
          <w:spacing w:val="20"/>
          <w:sz w:val="24"/>
          <w:szCs w:val="24"/>
        </w:rPr>
        <w:t xml:space="preserve">de Basilea </w:t>
      </w:r>
      <w:r w:rsidR="00006499" w:rsidRPr="006A0747">
        <w:rPr>
          <w:rFonts w:ascii="Times New Roman" w:eastAsia="Calibri" w:hAnsi="Times New Roman" w:cs="Times New Roman"/>
          <w:color w:val="767171"/>
          <w:spacing w:val="20"/>
          <w:sz w:val="24"/>
          <w:szCs w:val="24"/>
        </w:rPr>
        <w:t>III y</w:t>
      </w:r>
      <w:r w:rsidR="00FF6B26" w:rsidRPr="006A0747">
        <w:rPr>
          <w:rFonts w:ascii="Times New Roman" w:eastAsia="Calibri" w:hAnsi="Times New Roman" w:cs="Times New Roman"/>
          <w:color w:val="767171"/>
          <w:spacing w:val="20"/>
          <w:sz w:val="24"/>
          <w:szCs w:val="24"/>
        </w:rPr>
        <w:t xml:space="preserve"> de</w:t>
      </w:r>
      <w:r w:rsidR="00006499" w:rsidRPr="006A0747">
        <w:rPr>
          <w:rFonts w:ascii="Times New Roman" w:eastAsia="Calibri" w:hAnsi="Times New Roman" w:cs="Times New Roman"/>
          <w:color w:val="767171"/>
          <w:spacing w:val="20"/>
          <w:sz w:val="24"/>
          <w:szCs w:val="24"/>
        </w:rPr>
        <w:t xml:space="preserve"> las Normas I</w:t>
      </w:r>
      <w:r w:rsidRPr="006A0747">
        <w:rPr>
          <w:rFonts w:ascii="Times New Roman" w:eastAsia="Calibri" w:hAnsi="Times New Roman" w:cs="Times New Roman"/>
          <w:color w:val="767171"/>
          <w:spacing w:val="20"/>
          <w:sz w:val="24"/>
          <w:szCs w:val="24"/>
        </w:rPr>
        <w:t>nternacionales</w:t>
      </w:r>
      <w:r w:rsidR="00006499" w:rsidRPr="006A0747">
        <w:rPr>
          <w:rFonts w:ascii="Times New Roman" w:eastAsia="Calibri" w:hAnsi="Times New Roman" w:cs="Times New Roman"/>
          <w:color w:val="767171"/>
          <w:spacing w:val="20"/>
          <w:sz w:val="24"/>
          <w:szCs w:val="24"/>
        </w:rPr>
        <w:t xml:space="preserve"> </w:t>
      </w:r>
      <w:r w:rsidR="00FF6B26" w:rsidRPr="006A0747">
        <w:rPr>
          <w:rFonts w:ascii="Times New Roman" w:eastAsia="Calibri" w:hAnsi="Times New Roman" w:cs="Times New Roman"/>
          <w:color w:val="767171"/>
          <w:spacing w:val="20"/>
          <w:sz w:val="24"/>
          <w:szCs w:val="24"/>
        </w:rPr>
        <w:t>de Información Financiera (</w:t>
      </w:r>
      <w:r w:rsidR="00006499" w:rsidRPr="006A0747">
        <w:rPr>
          <w:rFonts w:ascii="Times New Roman" w:eastAsia="Calibri" w:hAnsi="Times New Roman" w:cs="Times New Roman"/>
          <w:color w:val="767171"/>
          <w:spacing w:val="20"/>
          <w:sz w:val="24"/>
          <w:szCs w:val="24"/>
        </w:rPr>
        <w:t>NIIF</w:t>
      </w:r>
      <w:r w:rsidR="00DF5D42" w:rsidRPr="006A0747">
        <w:rPr>
          <w:rFonts w:ascii="Times New Roman" w:eastAsia="Calibri" w:hAnsi="Times New Roman" w:cs="Times New Roman"/>
          <w:color w:val="767171"/>
          <w:spacing w:val="20"/>
          <w:sz w:val="24"/>
          <w:szCs w:val="24"/>
        </w:rPr>
        <w:t>).</w:t>
      </w:r>
      <w:r w:rsidRPr="006A0747">
        <w:rPr>
          <w:rFonts w:ascii="Times New Roman" w:eastAsia="Calibri" w:hAnsi="Times New Roman" w:cs="Times New Roman"/>
          <w:color w:val="767171"/>
          <w:spacing w:val="20"/>
          <w:sz w:val="24"/>
          <w:szCs w:val="24"/>
        </w:rPr>
        <w:t xml:space="preserve"> Bajo esta </w:t>
      </w:r>
      <w:r w:rsidRPr="006A0747">
        <w:rPr>
          <w:rFonts w:ascii="Times New Roman" w:eastAsia="Calibri" w:hAnsi="Times New Roman" w:cs="Times New Roman"/>
          <w:color w:val="767171"/>
          <w:spacing w:val="20"/>
          <w:sz w:val="24"/>
          <w:szCs w:val="24"/>
        </w:rPr>
        <w:lastRenderedPageBreak/>
        <w:t xml:space="preserve">sombrilla, fueron puestos en vigencia </w:t>
      </w:r>
      <w:r w:rsidR="00794849" w:rsidRPr="006A0747">
        <w:rPr>
          <w:rFonts w:ascii="Times New Roman" w:eastAsia="Calibri" w:hAnsi="Times New Roman" w:cs="Times New Roman"/>
          <w:b/>
          <w:color w:val="767171"/>
          <w:spacing w:val="20"/>
          <w:sz w:val="24"/>
          <w:szCs w:val="24"/>
        </w:rPr>
        <w:t>5</w:t>
      </w:r>
      <w:r w:rsidRPr="006A0747">
        <w:rPr>
          <w:rFonts w:ascii="Times New Roman" w:eastAsia="Calibri" w:hAnsi="Times New Roman" w:cs="Times New Roman"/>
          <w:b/>
          <w:color w:val="767171"/>
          <w:spacing w:val="20"/>
          <w:sz w:val="24"/>
          <w:szCs w:val="24"/>
        </w:rPr>
        <w:t xml:space="preserve"> instructivos</w:t>
      </w:r>
      <w:r w:rsidRPr="006A0747">
        <w:rPr>
          <w:rFonts w:ascii="Times New Roman" w:eastAsia="Calibri" w:hAnsi="Times New Roman" w:cs="Times New Roman"/>
          <w:color w:val="767171"/>
          <w:spacing w:val="20"/>
          <w:sz w:val="24"/>
          <w:szCs w:val="24"/>
        </w:rPr>
        <w:t xml:space="preserve">, </w:t>
      </w:r>
      <w:r w:rsidR="00794849" w:rsidRPr="006A0747">
        <w:rPr>
          <w:rFonts w:ascii="Times New Roman" w:eastAsia="Calibri" w:hAnsi="Times New Roman" w:cs="Times New Roman"/>
          <w:b/>
          <w:color w:val="767171"/>
          <w:spacing w:val="20"/>
          <w:sz w:val="24"/>
          <w:szCs w:val="24"/>
        </w:rPr>
        <w:t>59</w:t>
      </w:r>
      <w:r w:rsidRPr="006A0747">
        <w:rPr>
          <w:rFonts w:ascii="Times New Roman" w:eastAsia="Calibri" w:hAnsi="Times New Roman" w:cs="Times New Roman"/>
          <w:b/>
          <w:color w:val="767171"/>
          <w:spacing w:val="20"/>
          <w:sz w:val="24"/>
          <w:szCs w:val="24"/>
        </w:rPr>
        <w:t xml:space="preserve"> circulares y </w:t>
      </w:r>
      <w:r w:rsidR="00794849" w:rsidRPr="006A0747">
        <w:rPr>
          <w:rFonts w:ascii="Times New Roman" w:eastAsia="Calibri" w:hAnsi="Times New Roman" w:cs="Times New Roman"/>
          <w:b/>
          <w:color w:val="767171"/>
          <w:spacing w:val="20"/>
          <w:sz w:val="24"/>
          <w:szCs w:val="24"/>
        </w:rPr>
        <w:t>6</w:t>
      </w:r>
      <w:r w:rsidRPr="006A0747">
        <w:rPr>
          <w:rFonts w:ascii="Times New Roman" w:eastAsia="Calibri" w:hAnsi="Times New Roman" w:cs="Times New Roman"/>
          <w:b/>
          <w:color w:val="767171"/>
          <w:spacing w:val="20"/>
          <w:sz w:val="24"/>
          <w:szCs w:val="24"/>
        </w:rPr>
        <w:t>9</w:t>
      </w:r>
      <w:r w:rsidRPr="006A0747">
        <w:rPr>
          <w:rFonts w:ascii="Times New Roman" w:eastAsia="Calibri" w:hAnsi="Times New Roman" w:cs="Times New Roman"/>
          <w:color w:val="767171"/>
          <w:spacing w:val="20"/>
          <w:sz w:val="24"/>
          <w:szCs w:val="24"/>
        </w:rPr>
        <w:t xml:space="preserve"> </w:t>
      </w:r>
      <w:r w:rsidRPr="006A0747">
        <w:rPr>
          <w:rFonts w:ascii="Times New Roman" w:eastAsia="Calibri" w:hAnsi="Times New Roman" w:cs="Times New Roman"/>
          <w:b/>
          <w:color w:val="767171"/>
          <w:spacing w:val="20"/>
          <w:sz w:val="24"/>
          <w:szCs w:val="24"/>
        </w:rPr>
        <w:t>cartas circulares</w:t>
      </w:r>
      <w:r w:rsidRPr="006A0747">
        <w:rPr>
          <w:rFonts w:ascii="Times New Roman" w:eastAsia="Calibri" w:hAnsi="Times New Roman" w:cs="Times New Roman"/>
          <w:color w:val="767171"/>
          <w:spacing w:val="20"/>
          <w:sz w:val="24"/>
          <w:szCs w:val="24"/>
        </w:rPr>
        <w:t xml:space="preserve">, que abordan aspectos clave para la salud del sistema y la protección de los derechos de </w:t>
      </w:r>
      <w:proofErr w:type="gramStart"/>
      <w:r w:rsidR="00DF5D42" w:rsidRPr="006A0747">
        <w:rPr>
          <w:rFonts w:ascii="Times New Roman" w:eastAsia="Calibri" w:hAnsi="Times New Roman" w:cs="Times New Roman"/>
          <w:color w:val="767171"/>
          <w:spacing w:val="20"/>
          <w:sz w:val="24"/>
          <w:szCs w:val="24"/>
        </w:rPr>
        <w:t xml:space="preserve">los </w:t>
      </w:r>
      <w:r w:rsidRPr="006A0747">
        <w:rPr>
          <w:rFonts w:ascii="Times New Roman" w:eastAsia="Calibri" w:hAnsi="Times New Roman" w:cs="Times New Roman"/>
          <w:color w:val="767171"/>
          <w:spacing w:val="20"/>
          <w:sz w:val="24"/>
          <w:szCs w:val="24"/>
        </w:rPr>
        <w:t xml:space="preserve">usuarios y </w:t>
      </w:r>
      <w:r w:rsidR="00DF5D42" w:rsidRPr="006A0747">
        <w:rPr>
          <w:rFonts w:ascii="Times New Roman" w:eastAsia="Calibri" w:hAnsi="Times New Roman" w:cs="Times New Roman"/>
          <w:color w:val="767171"/>
          <w:spacing w:val="20"/>
          <w:sz w:val="24"/>
          <w:szCs w:val="24"/>
        </w:rPr>
        <w:t xml:space="preserve">las </w:t>
      </w:r>
      <w:r w:rsidRPr="006A0747">
        <w:rPr>
          <w:rFonts w:ascii="Times New Roman" w:eastAsia="Calibri" w:hAnsi="Times New Roman" w:cs="Times New Roman"/>
          <w:color w:val="767171"/>
          <w:spacing w:val="20"/>
          <w:sz w:val="24"/>
          <w:szCs w:val="24"/>
        </w:rPr>
        <w:t>usuarias</w:t>
      </w:r>
      <w:proofErr w:type="gramEnd"/>
      <w:r w:rsidRPr="006A0747">
        <w:rPr>
          <w:rFonts w:ascii="Times New Roman" w:eastAsia="Calibri" w:hAnsi="Times New Roman" w:cs="Times New Roman"/>
          <w:color w:val="767171"/>
          <w:spacing w:val="20"/>
          <w:sz w:val="24"/>
          <w:szCs w:val="24"/>
        </w:rPr>
        <w:t>.</w:t>
      </w:r>
    </w:p>
    <w:p w14:paraId="625FD48F" w14:textId="7FCB3359" w:rsidR="00F71810" w:rsidRPr="006A0747" w:rsidRDefault="00F71810" w:rsidP="00F71810">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Es oportuno destacar la </w:t>
      </w:r>
      <w:r w:rsidRPr="006A0747">
        <w:rPr>
          <w:rFonts w:ascii="Times New Roman" w:eastAsia="Calibri" w:hAnsi="Times New Roman" w:cs="Times New Roman"/>
          <w:b/>
          <w:color w:val="767171"/>
          <w:spacing w:val="20"/>
          <w:sz w:val="24"/>
          <w:szCs w:val="24"/>
        </w:rPr>
        <w:t>actualización del Instructivo de Debida Diligencia</w:t>
      </w:r>
      <w:r w:rsidRPr="006A0747">
        <w:rPr>
          <w:rFonts w:ascii="Times New Roman" w:eastAsia="Calibri" w:hAnsi="Times New Roman" w:cs="Times New Roman"/>
          <w:color w:val="767171"/>
          <w:spacing w:val="20"/>
          <w:sz w:val="24"/>
          <w:szCs w:val="24"/>
        </w:rPr>
        <w:t>, que contiene las directrices que</w:t>
      </w:r>
      <w:r w:rsidRPr="006A0747">
        <w:rPr>
          <w:rFonts w:ascii="Times New Roman" w:eastAsia="Calibri" w:hAnsi="Times New Roman" w:cs="Times New Roman"/>
          <w:b/>
          <w:color w:val="767171"/>
          <w:spacing w:val="20"/>
          <w:sz w:val="24"/>
          <w:szCs w:val="24"/>
        </w:rPr>
        <w:t xml:space="preserve"> </w:t>
      </w:r>
      <w:r w:rsidRPr="006A0747">
        <w:rPr>
          <w:rFonts w:ascii="Times New Roman" w:eastAsia="Calibri" w:hAnsi="Times New Roman" w:cs="Times New Roman"/>
          <w:color w:val="767171"/>
          <w:spacing w:val="20"/>
          <w:sz w:val="24"/>
          <w:szCs w:val="24"/>
        </w:rPr>
        <w:t>deben seguir las EIF, los intermediarios cambiarios</w:t>
      </w:r>
      <w:r w:rsidRPr="006A0747">
        <w:rPr>
          <w:rFonts w:ascii="Times New Roman" w:eastAsia="Calibri" w:hAnsi="Times New Roman" w:cs="Times New Roman"/>
          <w:b/>
          <w:color w:val="767171"/>
          <w:spacing w:val="20"/>
          <w:sz w:val="24"/>
          <w:szCs w:val="24"/>
        </w:rPr>
        <w:t xml:space="preserve"> </w:t>
      </w:r>
      <w:r w:rsidRPr="006A0747">
        <w:rPr>
          <w:rFonts w:ascii="Times New Roman" w:eastAsia="Calibri" w:hAnsi="Times New Roman" w:cs="Times New Roman"/>
          <w:color w:val="767171"/>
          <w:spacing w:val="20"/>
          <w:sz w:val="24"/>
          <w:szCs w:val="24"/>
        </w:rPr>
        <w:t>y las fiduciarias supervisadas por la Superintendencia de Bancos para</w:t>
      </w:r>
      <w:r w:rsidRPr="006A0747">
        <w:rPr>
          <w:rFonts w:ascii="Times New Roman" w:eastAsia="Calibri" w:hAnsi="Times New Roman" w:cs="Times New Roman"/>
          <w:b/>
          <w:color w:val="767171"/>
          <w:spacing w:val="20"/>
          <w:sz w:val="24"/>
          <w:szCs w:val="24"/>
        </w:rPr>
        <w:t xml:space="preserve"> </w:t>
      </w:r>
      <w:r w:rsidRPr="006A0747">
        <w:rPr>
          <w:rFonts w:ascii="Times New Roman" w:eastAsia="Calibri" w:hAnsi="Times New Roman" w:cs="Times New Roman"/>
          <w:color w:val="767171"/>
          <w:spacing w:val="20"/>
          <w:sz w:val="24"/>
          <w:szCs w:val="24"/>
        </w:rPr>
        <w:t>conocer a sus clientes y aplicar los procesos</w:t>
      </w:r>
      <w:r w:rsidRPr="006A0747">
        <w:rPr>
          <w:rFonts w:ascii="Times New Roman" w:eastAsia="Calibri" w:hAnsi="Times New Roman" w:cs="Times New Roman"/>
          <w:b/>
          <w:color w:val="767171"/>
          <w:spacing w:val="20"/>
          <w:sz w:val="24"/>
          <w:szCs w:val="24"/>
        </w:rPr>
        <w:t xml:space="preserve"> </w:t>
      </w:r>
      <w:r w:rsidRPr="006A0747">
        <w:rPr>
          <w:rFonts w:ascii="Times New Roman" w:eastAsia="Calibri" w:hAnsi="Times New Roman" w:cs="Times New Roman"/>
          <w:color w:val="767171"/>
          <w:spacing w:val="20"/>
          <w:sz w:val="24"/>
          <w:szCs w:val="24"/>
        </w:rPr>
        <w:t>correspondientes con un enfoque basado en</w:t>
      </w:r>
      <w:r w:rsidRPr="006A0747">
        <w:rPr>
          <w:rFonts w:ascii="Times New Roman" w:eastAsia="Calibri" w:hAnsi="Times New Roman" w:cs="Times New Roman"/>
          <w:b/>
          <w:color w:val="767171"/>
          <w:spacing w:val="20"/>
          <w:sz w:val="24"/>
          <w:szCs w:val="24"/>
        </w:rPr>
        <w:t xml:space="preserve"> </w:t>
      </w:r>
      <w:r w:rsidRPr="006A0747">
        <w:rPr>
          <w:rFonts w:ascii="Times New Roman" w:eastAsia="Calibri" w:hAnsi="Times New Roman" w:cs="Times New Roman"/>
          <w:color w:val="767171"/>
          <w:spacing w:val="20"/>
          <w:sz w:val="24"/>
          <w:szCs w:val="24"/>
        </w:rPr>
        <w:t>su nivel de riesgo. Igualmente, relevantes son el</w:t>
      </w:r>
      <w:r w:rsidRPr="006A0747">
        <w:rPr>
          <w:rFonts w:ascii="Times New Roman" w:eastAsia="Calibri" w:hAnsi="Times New Roman" w:cs="Times New Roman"/>
          <w:b/>
          <w:color w:val="767171"/>
          <w:spacing w:val="20"/>
          <w:sz w:val="24"/>
          <w:szCs w:val="24"/>
        </w:rPr>
        <w:t xml:space="preserve"> </w:t>
      </w:r>
      <w:r w:rsidRPr="006A0747">
        <w:rPr>
          <w:rFonts w:ascii="Times New Roman" w:eastAsia="Calibri" w:hAnsi="Times New Roman" w:cs="Times New Roman"/>
          <w:color w:val="767171"/>
          <w:spacing w:val="20"/>
          <w:sz w:val="24"/>
          <w:szCs w:val="24"/>
        </w:rPr>
        <w:t xml:space="preserve">Instructivo sobre el </w:t>
      </w:r>
      <w:r w:rsidRPr="006A0747">
        <w:rPr>
          <w:rFonts w:ascii="Times New Roman" w:eastAsia="Calibri" w:hAnsi="Times New Roman" w:cs="Times New Roman"/>
          <w:b/>
          <w:color w:val="767171"/>
          <w:spacing w:val="20"/>
          <w:sz w:val="24"/>
          <w:szCs w:val="24"/>
        </w:rPr>
        <w:t xml:space="preserve">Proceso de Evaluación de la Adecuación de Capital Interno (ICAAP), </w:t>
      </w:r>
      <w:r w:rsidRPr="006A0747">
        <w:rPr>
          <w:rFonts w:ascii="Times New Roman" w:eastAsia="Calibri" w:hAnsi="Times New Roman" w:cs="Times New Roman"/>
          <w:color w:val="767171"/>
          <w:spacing w:val="20"/>
          <w:sz w:val="24"/>
          <w:szCs w:val="24"/>
        </w:rPr>
        <w:t>que</w:t>
      </w:r>
      <w:r w:rsidRPr="006A0747">
        <w:rPr>
          <w:rFonts w:ascii="Times New Roman" w:eastAsia="Calibri" w:hAnsi="Times New Roman" w:cs="Times New Roman"/>
          <w:b/>
          <w:color w:val="767171"/>
          <w:spacing w:val="20"/>
          <w:sz w:val="24"/>
          <w:szCs w:val="24"/>
        </w:rPr>
        <w:t xml:space="preserve"> </w:t>
      </w:r>
      <w:r w:rsidRPr="006A0747">
        <w:rPr>
          <w:rFonts w:ascii="Times New Roman" w:eastAsia="Calibri" w:hAnsi="Times New Roman" w:cs="Times New Roman"/>
          <w:color w:val="767171"/>
          <w:spacing w:val="20"/>
          <w:sz w:val="24"/>
          <w:szCs w:val="24"/>
        </w:rPr>
        <w:t>pauta los lineamientos para el proceso interno de</w:t>
      </w:r>
      <w:r w:rsidRPr="006A0747">
        <w:rPr>
          <w:rFonts w:ascii="Times New Roman" w:eastAsia="Calibri" w:hAnsi="Times New Roman" w:cs="Times New Roman"/>
          <w:b/>
          <w:color w:val="767171"/>
          <w:spacing w:val="20"/>
          <w:sz w:val="24"/>
          <w:szCs w:val="24"/>
        </w:rPr>
        <w:t xml:space="preserve"> </w:t>
      </w:r>
      <w:r w:rsidRPr="006A0747">
        <w:rPr>
          <w:rFonts w:ascii="Times New Roman" w:eastAsia="Calibri" w:hAnsi="Times New Roman" w:cs="Times New Roman"/>
          <w:color w:val="767171"/>
          <w:spacing w:val="20"/>
          <w:sz w:val="24"/>
          <w:szCs w:val="24"/>
        </w:rPr>
        <w:t>evaluación y necesidad de capital según el modelo</w:t>
      </w:r>
      <w:r w:rsidRPr="006A0747">
        <w:rPr>
          <w:rFonts w:ascii="Times New Roman" w:eastAsia="Calibri" w:hAnsi="Times New Roman" w:cs="Times New Roman"/>
          <w:b/>
          <w:color w:val="767171"/>
          <w:spacing w:val="20"/>
          <w:sz w:val="24"/>
          <w:szCs w:val="24"/>
        </w:rPr>
        <w:t xml:space="preserve"> </w:t>
      </w:r>
      <w:r w:rsidRPr="006A0747">
        <w:rPr>
          <w:rFonts w:ascii="Times New Roman" w:eastAsia="Calibri" w:hAnsi="Times New Roman" w:cs="Times New Roman"/>
          <w:color w:val="767171"/>
          <w:spacing w:val="20"/>
          <w:sz w:val="24"/>
          <w:szCs w:val="24"/>
        </w:rPr>
        <w:t>de negocio</w:t>
      </w:r>
      <w:r w:rsidR="00BF5472" w:rsidRPr="006A0747">
        <w:rPr>
          <w:rFonts w:ascii="Times New Roman" w:eastAsia="Calibri" w:hAnsi="Times New Roman" w:cs="Times New Roman"/>
          <w:color w:val="767171"/>
          <w:spacing w:val="20"/>
          <w:sz w:val="24"/>
          <w:szCs w:val="24"/>
        </w:rPr>
        <w:t>.</w:t>
      </w:r>
      <w:r w:rsidRPr="006A0747">
        <w:rPr>
          <w:rFonts w:ascii="Times New Roman" w:eastAsia="Calibri" w:hAnsi="Times New Roman" w:cs="Times New Roman"/>
          <w:color w:val="767171"/>
          <w:spacing w:val="20"/>
          <w:sz w:val="24"/>
          <w:szCs w:val="24"/>
        </w:rPr>
        <w:t xml:space="preserve"> </w:t>
      </w:r>
      <w:r w:rsidR="00BF5472" w:rsidRPr="006A0747">
        <w:rPr>
          <w:rFonts w:ascii="Times New Roman" w:eastAsia="Calibri" w:hAnsi="Times New Roman" w:cs="Times New Roman"/>
          <w:color w:val="767171"/>
          <w:spacing w:val="20"/>
          <w:sz w:val="24"/>
          <w:szCs w:val="24"/>
        </w:rPr>
        <w:t>Asi</w:t>
      </w:r>
      <w:r w:rsidRPr="006A0747">
        <w:rPr>
          <w:rFonts w:ascii="Times New Roman" w:eastAsia="Calibri" w:hAnsi="Times New Roman" w:cs="Times New Roman"/>
          <w:color w:val="767171"/>
          <w:spacing w:val="20"/>
          <w:sz w:val="24"/>
          <w:szCs w:val="24"/>
        </w:rPr>
        <w:t xml:space="preserve">mismo, el </w:t>
      </w:r>
      <w:r w:rsidR="00D37FD3" w:rsidRPr="006A0747">
        <w:rPr>
          <w:rFonts w:ascii="Times New Roman" w:eastAsia="Calibri" w:hAnsi="Times New Roman" w:cs="Times New Roman"/>
          <w:b/>
          <w:bCs/>
          <w:color w:val="767171"/>
          <w:spacing w:val="20"/>
          <w:sz w:val="24"/>
          <w:szCs w:val="24"/>
        </w:rPr>
        <w:t>I</w:t>
      </w:r>
      <w:r w:rsidRPr="006A0747">
        <w:rPr>
          <w:rFonts w:ascii="Times New Roman" w:eastAsia="Calibri" w:hAnsi="Times New Roman" w:cs="Times New Roman"/>
          <w:b/>
          <w:bCs/>
          <w:color w:val="767171"/>
          <w:spacing w:val="20"/>
          <w:sz w:val="24"/>
          <w:szCs w:val="24"/>
        </w:rPr>
        <w:t xml:space="preserve">nstructivo para la realización de </w:t>
      </w:r>
      <w:r w:rsidRPr="006A0747">
        <w:rPr>
          <w:rFonts w:ascii="Times New Roman" w:eastAsia="Calibri" w:hAnsi="Times New Roman" w:cs="Times New Roman"/>
          <w:b/>
          <w:color w:val="767171"/>
          <w:spacing w:val="20"/>
          <w:sz w:val="24"/>
          <w:szCs w:val="24"/>
        </w:rPr>
        <w:t>Pruebas de Estrés en las EIF</w:t>
      </w:r>
      <w:r w:rsidRPr="006A0747">
        <w:rPr>
          <w:rFonts w:ascii="Times New Roman" w:eastAsia="Calibri" w:hAnsi="Times New Roman" w:cs="Times New Roman"/>
          <w:color w:val="767171"/>
          <w:spacing w:val="20"/>
          <w:sz w:val="24"/>
          <w:szCs w:val="24"/>
        </w:rPr>
        <w:t>,</w:t>
      </w:r>
      <w:r w:rsidRPr="006A0747">
        <w:rPr>
          <w:rFonts w:ascii="Times New Roman" w:eastAsia="Calibri" w:hAnsi="Times New Roman" w:cs="Times New Roman"/>
          <w:b/>
          <w:color w:val="767171"/>
          <w:spacing w:val="20"/>
          <w:sz w:val="24"/>
          <w:szCs w:val="24"/>
        </w:rPr>
        <w:t xml:space="preserve"> </w:t>
      </w:r>
      <w:r w:rsidRPr="006A0747">
        <w:rPr>
          <w:rFonts w:ascii="Times New Roman" w:eastAsia="Calibri" w:hAnsi="Times New Roman" w:cs="Times New Roman"/>
          <w:color w:val="767171"/>
          <w:spacing w:val="20"/>
          <w:sz w:val="24"/>
          <w:szCs w:val="24"/>
        </w:rPr>
        <w:t>con la finalidad de proporcionar a las entidades los criterios fundamentales que deben observar en el proceso de realización y divulgación de las pruebas de estrés y análisis de sensibilidad</w:t>
      </w:r>
      <w:r w:rsidR="001D6B68" w:rsidRPr="006A0747">
        <w:rPr>
          <w:rFonts w:ascii="Times New Roman" w:eastAsia="Calibri" w:hAnsi="Times New Roman" w:cs="Times New Roman"/>
          <w:color w:val="767171"/>
          <w:spacing w:val="20"/>
          <w:sz w:val="24"/>
          <w:szCs w:val="24"/>
        </w:rPr>
        <w:t xml:space="preserve"> y</w:t>
      </w:r>
      <w:r w:rsidRPr="006A0747">
        <w:rPr>
          <w:rFonts w:ascii="Times New Roman" w:eastAsia="Calibri" w:hAnsi="Times New Roman" w:cs="Times New Roman"/>
          <w:color w:val="767171"/>
          <w:spacing w:val="20"/>
          <w:sz w:val="24"/>
          <w:szCs w:val="24"/>
        </w:rPr>
        <w:t xml:space="preserve"> el </w:t>
      </w:r>
      <w:r w:rsidR="006E3A6B" w:rsidRPr="006A0747">
        <w:rPr>
          <w:rFonts w:ascii="Times New Roman" w:eastAsia="Calibri" w:hAnsi="Times New Roman" w:cs="Times New Roman"/>
          <w:b/>
          <w:bCs/>
          <w:color w:val="767171"/>
          <w:spacing w:val="20"/>
          <w:sz w:val="24"/>
          <w:szCs w:val="24"/>
        </w:rPr>
        <w:t>Instructivo</w:t>
      </w:r>
      <w:r w:rsidRPr="006A0747">
        <w:rPr>
          <w:rFonts w:ascii="Times New Roman" w:eastAsia="Calibri" w:hAnsi="Times New Roman" w:cs="Times New Roman"/>
          <w:b/>
          <w:bCs/>
          <w:color w:val="767171"/>
          <w:spacing w:val="20"/>
          <w:sz w:val="24"/>
          <w:szCs w:val="24"/>
        </w:rPr>
        <w:t xml:space="preserve"> de Protección de los Usuarios de los Productos y Servicios Financieros</w:t>
      </w:r>
      <w:r w:rsidRPr="006A0747">
        <w:rPr>
          <w:rFonts w:ascii="Times New Roman" w:eastAsia="Calibri" w:hAnsi="Times New Roman" w:cs="Times New Roman"/>
          <w:color w:val="767171"/>
          <w:spacing w:val="20"/>
          <w:sz w:val="24"/>
          <w:szCs w:val="24"/>
        </w:rPr>
        <w:t>, que estaba pendiente desde 2015.</w:t>
      </w:r>
    </w:p>
    <w:p w14:paraId="0D0421D2" w14:textId="38173E9D" w:rsidR="008176B3" w:rsidRPr="006A0747" w:rsidRDefault="00D90F7A" w:rsidP="008176B3">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En materia de </w:t>
      </w:r>
      <w:r w:rsidR="00257092" w:rsidRPr="006A0747">
        <w:rPr>
          <w:rFonts w:ascii="Times New Roman" w:eastAsia="Calibri" w:hAnsi="Times New Roman" w:cs="Times New Roman"/>
          <w:color w:val="767171"/>
          <w:spacing w:val="20"/>
          <w:sz w:val="24"/>
          <w:szCs w:val="24"/>
        </w:rPr>
        <w:t xml:space="preserve">protección de los derechos de los usuarios financieros, </w:t>
      </w:r>
      <w:r w:rsidRPr="006A0747">
        <w:rPr>
          <w:rFonts w:ascii="Times New Roman" w:eastAsia="Calibri" w:hAnsi="Times New Roman" w:cs="Times New Roman"/>
          <w:color w:val="767171"/>
          <w:spacing w:val="20"/>
          <w:sz w:val="24"/>
          <w:szCs w:val="24"/>
        </w:rPr>
        <w:t>la Superintendencia de Bancos ha jugado un papel activo</w:t>
      </w:r>
      <w:r w:rsidR="003946BA" w:rsidRPr="006A0747">
        <w:rPr>
          <w:rFonts w:ascii="Times New Roman" w:eastAsia="Calibri" w:hAnsi="Times New Roman" w:cs="Times New Roman"/>
          <w:color w:val="767171"/>
          <w:spacing w:val="20"/>
          <w:sz w:val="24"/>
          <w:szCs w:val="24"/>
        </w:rPr>
        <w:t>.</w:t>
      </w:r>
      <w:r w:rsidR="00360093" w:rsidRPr="006A0747">
        <w:rPr>
          <w:rFonts w:ascii="Times New Roman" w:eastAsia="Calibri" w:hAnsi="Times New Roman" w:cs="Times New Roman"/>
          <w:color w:val="767171"/>
          <w:spacing w:val="20"/>
          <w:sz w:val="24"/>
          <w:szCs w:val="24"/>
        </w:rPr>
        <w:t xml:space="preserve"> </w:t>
      </w:r>
      <w:r w:rsidR="00D51BFA" w:rsidRPr="006A0747">
        <w:rPr>
          <w:rFonts w:ascii="Times New Roman" w:eastAsia="Calibri" w:hAnsi="Times New Roman" w:cs="Times New Roman"/>
          <w:color w:val="767171"/>
          <w:spacing w:val="20"/>
          <w:sz w:val="24"/>
          <w:szCs w:val="24"/>
        </w:rPr>
        <w:t>Durante el período agosto 2020 a junio 2024, la Superintendencia de Bancos</w:t>
      </w:r>
      <w:r w:rsidR="006D4E2D" w:rsidRPr="006A0747">
        <w:rPr>
          <w:rFonts w:ascii="Times New Roman" w:eastAsia="Calibri" w:hAnsi="Times New Roman" w:cs="Times New Roman"/>
          <w:color w:val="767171"/>
          <w:spacing w:val="20"/>
          <w:sz w:val="24"/>
          <w:szCs w:val="24"/>
        </w:rPr>
        <w:t>,</w:t>
      </w:r>
      <w:r w:rsidR="00D51BFA" w:rsidRPr="006A0747">
        <w:rPr>
          <w:rFonts w:ascii="Times New Roman" w:eastAsia="Calibri" w:hAnsi="Times New Roman" w:cs="Times New Roman"/>
          <w:color w:val="767171"/>
          <w:spacing w:val="20"/>
          <w:sz w:val="24"/>
          <w:szCs w:val="24"/>
        </w:rPr>
        <w:t xml:space="preserve"> a través de ProUsuario</w:t>
      </w:r>
      <w:r w:rsidR="006D4E2D" w:rsidRPr="006A0747">
        <w:rPr>
          <w:rFonts w:ascii="Times New Roman" w:eastAsia="Calibri" w:hAnsi="Times New Roman" w:cs="Times New Roman"/>
          <w:color w:val="767171"/>
          <w:spacing w:val="20"/>
          <w:sz w:val="24"/>
          <w:szCs w:val="24"/>
        </w:rPr>
        <w:t>,</w:t>
      </w:r>
      <w:r w:rsidR="00D51BFA" w:rsidRPr="006A0747">
        <w:rPr>
          <w:rFonts w:ascii="Times New Roman" w:eastAsia="Calibri" w:hAnsi="Times New Roman" w:cs="Times New Roman"/>
          <w:color w:val="767171"/>
          <w:spacing w:val="20"/>
          <w:sz w:val="24"/>
          <w:szCs w:val="24"/>
        </w:rPr>
        <w:t xml:space="preserve"> </w:t>
      </w:r>
      <w:r w:rsidR="005F3E07" w:rsidRPr="006A0747">
        <w:rPr>
          <w:rFonts w:ascii="Times New Roman" w:eastAsia="Calibri" w:hAnsi="Times New Roman" w:cs="Times New Roman"/>
          <w:color w:val="767171"/>
          <w:spacing w:val="20"/>
          <w:sz w:val="24"/>
          <w:szCs w:val="24"/>
        </w:rPr>
        <w:t>realizó</w:t>
      </w:r>
      <w:r w:rsidR="00D51BFA" w:rsidRPr="006A0747">
        <w:rPr>
          <w:rFonts w:ascii="Times New Roman" w:eastAsia="Calibri" w:hAnsi="Times New Roman" w:cs="Times New Roman"/>
          <w:color w:val="767171"/>
          <w:spacing w:val="20"/>
          <w:sz w:val="24"/>
          <w:szCs w:val="24"/>
        </w:rPr>
        <w:t xml:space="preserve"> más de 520,000 contactos con </w:t>
      </w:r>
      <w:proofErr w:type="gramStart"/>
      <w:r w:rsidR="00D51BFA" w:rsidRPr="006A0747">
        <w:rPr>
          <w:rFonts w:ascii="Times New Roman" w:eastAsia="Calibri" w:hAnsi="Times New Roman" w:cs="Times New Roman"/>
          <w:color w:val="767171"/>
          <w:spacing w:val="20"/>
          <w:sz w:val="24"/>
          <w:szCs w:val="24"/>
        </w:rPr>
        <w:t>usuarios y usuarias</w:t>
      </w:r>
      <w:proofErr w:type="gramEnd"/>
      <w:r w:rsidR="00D51BFA" w:rsidRPr="006A0747">
        <w:rPr>
          <w:rFonts w:ascii="Times New Roman" w:eastAsia="Calibri" w:hAnsi="Times New Roman" w:cs="Times New Roman"/>
          <w:color w:val="767171"/>
          <w:spacing w:val="20"/>
          <w:sz w:val="24"/>
          <w:szCs w:val="24"/>
        </w:rPr>
        <w:t>, con un</w:t>
      </w:r>
      <w:r w:rsidR="005F3E07" w:rsidRPr="006A0747">
        <w:rPr>
          <w:rFonts w:ascii="Times New Roman" w:eastAsia="Calibri" w:hAnsi="Times New Roman" w:cs="Times New Roman"/>
          <w:color w:val="767171"/>
          <w:spacing w:val="20"/>
          <w:sz w:val="24"/>
          <w:szCs w:val="24"/>
        </w:rPr>
        <w:t xml:space="preserve"> nivel de satisfacción de</w:t>
      </w:r>
      <w:r w:rsidR="00D51BFA" w:rsidRPr="006A0747">
        <w:rPr>
          <w:rFonts w:ascii="Times New Roman" w:eastAsia="Calibri" w:hAnsi="Times New Roman" w:cs="Times New Roman"/>
          <w:color w:val="767171"/>
          <w:spacing w:val="20"/>
          <w:sz w:val="24"/>
          <w:szCs w:val="24"/>
        </w:rPr>
        <w:t xml:space="preserve"> 93%</w:t>
      </w:r>
      <w:r w:rsidR="005F3E07" w:rsidRPr="006A0747">
        <w:rPr>
          <w:rFonts w:ascii="Times New Roman" w:eastAsia="Calibri" w:hAnsi="Times New Roman" w:cs="Times New Roman"/>
          <w:color w:val="767171"/>
          <w:spacing w:val="20"/>
          <w:sz w:val="24"/>
          <w:szCs w:val="24"/>
        </w:rPr>
        <w:t>.</w:t>
      </w:r>
      <w:r w:rsidR="00D51BFA" w:rsidRPr="006A0747">
        <w:rPr>
          <w:rFonts w:ascii="Times New Roman" w:eastAsia="Calibri" w:hAnsi="Times New Roman" w:cs="Times New Roman"/>
          <w:color w:val="767171"/>
          <w:spacing w:val="20"/>
          <w:sz w:val="24"/>
          <w:szCs w:val="24"/>
        </w:rPr>
        <w:t xml:space="preserve"> </w:t>
      </w:r>
      <w:r w:rsidR="005F3E07" w:rsidRPr="006A0747">
        <w:rPr>
          <w:rFonts w:ascii="Times New Roman" w:eastAsia="Calibri" w:hAnsi="Times New Roman" w:cs="Times New Roman"/>
          <w:color w:val="767171"/>
          <w:spacing w:val="20"/>
          <w:sz w:val="24"/>
          <w:szCs w:val="24"/>
        </w:rPr>
        <w:t>En este tiempo, las</w:t>
      </w:r>
      <w:r w:rsidR="00D51BFA" w:rsidRPr="006A0747">
        <w:rPr>
          <w:rFonts w:ascii="Times New Roman" w:eastAsia="Calibri" w:hAnsi="Times New Roman" w:cs="Times New Roman"/>
          <w:color w:val="767171"/>
          <w:spacing w:val="20"/>
          <w:sz w:val="24"/>
          <w:szCs w:val="24"/>
        </w:rPr>
        <w:t xml:space="preserve"> reclamaciones atendidas</w:t>
      </w:r>
      <w:r w:rsidR="005F3E07" w:rsidRPr="006A0747">
        <w:rPr>
          <w:rFonts w:ascii="Times New Roman" w:eastAsia="Calibri" w:hAnsi="Times New Roman" w:cs="Times New Roman"/>
          <w:color w:val="767171"/>
          <w:spacing w:val="20"/>
          <w:sz w:val="24"/>
          <w:szCs w:val="24"/>
        </w:rPr>
        <w:t xml:space="preserve"> </w:t>
      </w:r>
      <w:r w:rsidR="00D51BFA" w:rsidRPr="006A0747">
        <w:rPr>
          <w:rFonts w:ascii="Times New Roman" w:eastAsia="Calibri" w:hAnsi="Times New Roman" w:cs="Times New Roman"/>
          <w:color w:val="767171"/>
          <w:spacing w:val="20"/>
          <w:sz w:val="24"/>
          <w:szCs w:val="24"/>
        </w:rPr>
        <w:t>pasaron de un promedio anual de 1,560 a uno de 4,933</w:t>
      </w:r>
      <w:r w:rsidR="00F534B1" w:rsidRPr="006A0747">
        <w:rPr>
          <w:rFonts w:ascii="Times New Roman" w:eastAsia="Calibri" w:hAnsi="Times New Roman" w:cs="Times New Roman"/>
          <w:color w:val="767171"/>
          <w:spacing w:val="20"/>
          <w:sz w:val="24"/>
          <w:szCs w:val="24"/>
        </w:rPr>
        <w:t>.</w:t>
      </w:r>
      <w:r w:rsidR="00D00256" w:rsidRPr="006A0747">
        <w:rPr>
          <w:rFonts w:ascii="Times New Roman" w:eastAsia="Calibri" w:hAnsi="Times New Roman" w:cs="Times New Roman"/>
          <w:color w:val="767171"/>
          <w:spacing w:val="20"/>
          <w:sz w:val="24"/>
          <w:szCs w:val="24"/>
        </w:rPr>
        <w:t xml:space="preserve"> A partir de estas reclamaciones, la SB dispuso</w:t>
      </w:r>
      <w:r w:rsidR="00900F63" w:rsidRPr="006A0747">
        <w:rPr>
          <w:rFonts w:ascii="Times New Roman" w:eastAsia="Calibri" w:hAnsi="Times New Roman" w:cs="Times New Roman"/>
          <w:color w:val="767171"/>
          <w:spacing w:val="20"/>
          <w:sz w:val="24"/>
          <w:szCs w:val="24"/>
        </w:rPr>
        <w:t xml:space="preserve"> en estos cuatro años</w:t>
      </w:r>
      <w:r w:rsidR="00D00256" w:rsidRPr="006A0747">
        <w:rPr>
          <w:rFonts w:ascii="Times New Roman" w:eastAsia="Calibri" w:hAnsi="Times New Roman" w:cs="Times New Roman"/>
          <w:color w:val="767171"/>
          <w:spacing w:val="20"/>
          <w:sz w:val="24"/>
          <w:szCs w:val="24"/>
        </w:rPr>
        <w:t xml:space="preserve"> la devolución </w:t>
      </w:r>
      <w:r w:rsidR="00BD385A" w:rsidRPr="006A0747">
        <w:rPr>
          <w:rFonts w:ascii="Times New Roman" w:eastAsia="Calibri" w:hAnsi="Times New Roman" w:cs="Times New Roman"/>
          <w:color w:val="767171"/>
          <w:spacing w:val="20"/>
          <w:sz w:val="24"/>
          <w:szCs w:val="24"/>
        </w:rPr>
        <w:t>de</w:t>
      </w:r>
      <w:r w:rsidR="00900F63" w:rsidRPr="006A0747">
        <w:rPr>
          <w:rFonts w:ascii="Times New Roman" w:eastAsia="Calibri" w:hAnsi="Times New Roman" w:cs="Times New Roman"/>
          <w:color w:val="767171"/>
          <w:spacing w:val="20"/>
          <w:sz w:val="24"/>
          <w:szCs w:val="24"/>
        </w:rPr>
        <w:t xml:space="preserve"> más de</w:t>
      </w:r>
      <w:r w:rsidR="00BD385A" w:rsidRPr="006A0747">
        <w:rPr>
          <w:rFonts w:ascii="Times New Roman" w:eastAsia="Calibri" w:hAnsi="Times New Roman" w:cs="Times New Roman"/>
          <w:color w:val="767171"/>
          <w:spacing w:val="20"/>
          <w:sz w:val="24"/>
          <w:szCs w:val="24"/>
        </w:rPr>
        <w:t xml:space="preserve"> RD$ </w:t>
      </w:r>
      <w:r w:rsidR="00900F63" w:rsidRPr="006A0747">
        <w:rPr>
          <w:rFonts w:ascii="Times New Roman" w:eastAsia="Calibri" w:hAnsi="Times New Roman" w:cs="Times New Roman"/>
          <w:color w:val="767171"/>
          <w:spacing w:val="20"/>
          <w:sz w:val="24"/>
          <w:szCs w:val="24"/>
        </w:rPr>
        <w:t>452MM a clientes con respuesta</w:t>
      </w:r>
      <w:r w:rsidR="00400EFC" w:rsidRPr="006A0747">
        <w:rPr>
          <w:rFonts w:ascii="Times New Roman" w:eastAsia="Calibri" w:hAnsi="Times New Roman" w:cs="Times New Roman"/>
          <w:color w:val="767171"/>
          <w:spacing w:val="20"/>
          <w:sz w:val="24"/>
          <w:szCs w:val="24"/>
        </w:rPr>
        <w:t>s</w:t>
      </w:r>
      <w:r w:rsidR="00900F63" w:rsidRPr="006A0747">
        <w:rPr>
          <w:rFonts w:ascii="Times New Roman" w:eastAsia="Calibri" w:hAnsi="Times New Roman" w:cs="Times New Roman"/>
          <w:color w:val="767171"/>
          <w:spacing w:val="20"/>
          <w:sz w:val="24"/>
          <w:szCs w:val="24"/>
        </w:rPr>
        <w:t xml:space="preserve"> favorables. Esto es equivalente a casi seis veces el monto </w:t>
      </w:r>
      <w:r w:rsidR="00D51BFA" w:rsidRPr="006A0747">
        <w:rPr>
          <w:rFonts w:ascii="Times New Roman" w:eastAsia="Calibri" w:hAnsi="Times New Roman" w:cs="Times New Roman"/>
          <w:color w:val="767171"/>
          <w:spacing w:val="20"/>
          <w:sz w:val="24"/>
          <w:szCs w:val="24"/>
        </w:rPr>
        <w:t>acumulado en el cuatrienio anterior.</w:t>
      </w:r>
    </w:p>
    <w:p w14:paraId="68068A25" w14:textId="7E44157F" w:rsidR="00D51BFA" w:rsidRPr="006A0747" w:rsidRDefault="008176B3" w:rsidP="008176B3">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Otros logros </w:t>
      </w:r>
      <w:r w:rsidR="00002BB1" w:rsidRPr="006A0747">
        <w:rPr>
          <w:rFonts w:ascii="Times New Roman" w:eastAsia="Calibri" w:hAnsi="Times New Roman" w:cs="Times New Roman"/>
          <w:color w:val="767171"/>
          <w:spacing w:val="20"/>
          <w:sz w:val="24"/>
          <w:szCs w:val="24"/>
        </w:rPr>
        <w:t>por</w:t>
      </w:r>
      <w:r w:rsidRPr="006A0747">
        <w:rPr>
          <w:rFonts w:ascii="Times New Roman" w:eastAsia="Calibri" w:hAnsi="Times New Roman" w:cs="Times New Roman"/>
          <w:color w:val="767171"/>
          <w:spacing w:val="20"/>
          <w:sz w:val="24"/>
          <w:szCs w:val="24"/>
        </w:rPr>
        <w:t xml:space="preserve"> destacar</w:t>
      </w:r>
      <w:r w:rsidR="00002BB1" w:rsidRPr="006A0747">
        <w:rPr>
          <w:rFonts w:ascii="Times New Roman" w:eastAsia="Calibri" w:hAnsi="Times New Roman" w:cs="Times New Roman"/>
          <w:color w:val="767171"/>
          <w:spacing w:val="20"/>
          <w:sz w:val="24"/>
          <w:szCs w:val="24"/>
        </w:rPr>
        <w:t xml:space="preserve"> son los siguientes:</w:t>
      </w:r>
    </w:p>
    <w:p w14:paraId="59B5B1B4" w14:textId="55090857" w:rsidR="002C6A80" w:rsidRPr="006A0747" w:rsidRDefault="002C6A80">
      <w:pPr>
        <w:pStyle w:val="Prrafodelista"/>
        <w:numPr>
          <w:ilvl w:val="0"/>
          <w:numId w:val="13"/>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lastRenderedPageBreak/>
        <w:t xml:space="preserve">Desarrollo y lanzamiento de la </w:t>
      </w:r>
      <w:r w:rsidRPr="006A0747">
        <w:rPr>
          <w:rFonts w:ascii="Times New Roman" w:eastAsia="Calibri" w:hAnsi="Times New Roman" w:cs="Times New Roman"/>
          <w:b/>
          <w:color w:val="767171"/>
          <w:spacing w:val="20"/>
          <w:sz w:val="24"/>
          <w:szCs w:val="24"/>
        </w:rPr>
        <w:t xml:space="preserve">Aplicación </w:t>
      </w:r>
      <w:r w:rsidR="00AB1498" w:rsidRPr="006A0747">
        <w:rPr>
          <w:rFonts w:ascii="Times New Roman" w:eastAsia="Calibri" w:hAnsi="Times New Roman" w:cs="Times New Roman"/>
          <w:b/>
          <w:color w:val="767171"/>
          <w:spacing w:val="20"/>
          <w:sz w:val="24"/>
          <w:szCs w:val="24"/>
        </w:rPr>
        <w:t>M</w:t>
      </w:r>
      <w:r w:rsidRPr="006A0747">
        <w:rPr>
          <w:rFonts w:ascii="Times New Roman" w:eastAsia="Calibri" w:hAnsi="Times New Roman" w:cs="Times New Roman"/>
          <w:b/>
          <w:color w:val="767171"/>
          <w:spacing w:val="20"/>
          <w:sz w:val="24"/>
          <w:szCs w:val="24"/>
        </w:rPr>
        <w:t>óvil ProUsuario</w:t>
      </w:r>
      <w:r w:rsidRPr="006A0747">
        <w:rPr>
          <w:rFonts w:ascii="Times New Roman" w:eastAsia="Calibri" w:hAnsi="Times New Roman" w:cs="Times New Roman"/>
          <w:color w:val="767171"/>
          <w:spacing w:val="20"/>
          <w:sz w:val="24"/>
          <w:szCs w:val="24"/>
        </w:rPr>
        <w:t>, una solución pionera a nivel nacional y en el contexto de la región. Con esta herramienta la Superintendencia de Bancos se acercó a los usuarios, permitiéndoles llevar “en su bolsillo” su información crediticia y el acceso a los servicios de la institución. Entre otras funcionalidades, la App cuenta con un mapa de puntos de acceso bancarios, con la ubicación de las sucursales, cajeros y subagentes de las EIF en todo el territorio nacional.</w:t>
      </w:r>
    </w:p>
    <w:p w14:paraId="4162B5A7" w14:textId="477643E5" w:rsidR="002C6A80" w:rsidRPr="006A0747" w:rsidRDefault="00112911">
      <w:pPr>
        <w:pStyle w:val="Prrafodelista"/>
        <w:numPr>
          <w:ilvl w:val="0"/>
          <w:numId w:val="12"/>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Creación de nuevos canales de interacción y ampliación</w:t>
      </w:r>
      <w:r w:rsidR="004D0016" w:rsidRPr="006A0747">
        <w:rPr>
          <w:rFonts w:ascii="Times New Roman" w:eastAsia="Calibri" w:hAnsi="Times New Roman" w:cs="Times New Roman"/>
          <w:color w:val="767171"/>
          <w:spacing w:val="20"/>
          <w:sz w:val="24"/>
          <w:szCs w:val="24"/>
        </w:rPr>
        <w:t xml:space="preserve"> d</w:t>
      </w:r>
      <w:r w:rsidR="007C195A" w:rsidRPr="006A0747">
        <w:rPr>
          <w:rFonts w:ascii="Times New Roman" w:eastAsia="Calibri" w:hAnsi="Times New Roman" w:cs="Times New Roman"/>
          <w:color w:val="767171"/>
          <w:spacing w:val="20"/>
          <w:sz w:val="24"/>
          <w:szCs w:val="24"/>
        </w:rPr>
        <w:t>e</w:t>
      </w:r>
      <w:r w:rsidRPr="006A0747">
        <w:rPr>
          <w:rFonts w:ascii="Times New Roman" w:eastAsia="Calibri" w:hAnsi="Times New Roman" w:cs="Times New Roman"/>
          <w:color w:val="767171"/>
          <w:spacing w:val="20"/>
          <w:sz w:val="24"/>
          <w:szCs w:val="24"/>
        </w:rPr>
        <w:t xml:space="preserve"> los existentes, a través de la puesta en marcha de un centro de contacto telefónico y multicanal, con opción de atención automatizada, </w:t>
      </w:r>
      <w:r w:rsidR="00B9134F" w:rsidRPr="006A0747">
        <w:rPr>
          <w:rFonts w:ascii="Times New Roman" w:eastAsia="Calibri" w:hAnsi="Times New Roman" w:cs="Times New Roman"/>
          <w:color w:val="767171"/>
          <w:spacing w:val="20"/>
          <w:sz w:val="24"/>
          <w:szCs w:val="24"/>
        </w:rPr>
        <w:t>con</w:t>
      </w:r>
      <w:r w:rsidRPr="006A0747">
        <w:rPr>
          <w:rFonts w:ascii="Times New Roman" w:eastAsia="Calibri" w:hAnsi="Times New Roman" w:cs="Times New Roman"/>
          <w:color w:val="767171"/>
          <w:spacing w:val="20"/>
          <w:sz w:val="24"/>
          <w:szCs w:val="24"/>
        </w:rPr>
        <w:t xml:space="preserve"> base </w:t>
      </w:r>
      <w:r w:rsidR="00B9134F" w:rsidRPr="006A0747">
        <w:rPr>
          <w:rFonts w:ascii="Times New Roman" w:eastAsia="Calibri" w:hAnsi="Times New Roman" w:cs="Times New Roman"/>
          <w:color w:val="767171"/>
          <w:spacing w:val="20"/>
          <w:sz w:val="24"/>
          <w:szCs w:val="24"/>
        </w:rPr>
        <w:t>en</w:t>
      </w:r>
      <w:r w:rsidRPr="006A0747">
        <w:rPr>
          <w:rFonts w:ascii="Times New Roman" w:eastAsia="Calibri" w:hAnsi="Times New Roman" w:cs="Times New Roman"/>
          <w:color w:val="767171"/>
          <w:spacing w:val="20"/>
          <w:sz w:val="24"/>
          <w:szCs w:val="24"/>
        </w:rPr>
        <w:t xml:space="preserve"> las mejores prácticas internacionales. </w:t>
      </w:r>
      <w:r w:rsidR="007C195A" w:rsidRPr="006A0747">
        <w:rPr>
          <w:rFonts w:ascii="Times New Roman" w:eastAsia="Calibri" w:hAnsi="Times New Roman" w:cs="Times New Roman"/>
          <w:color w:val="767171"/>
          <w:spacing w:val="20"/>
          <w:sz w:val="24"/>
          <w:szCs w:val="24"/>
        </w:rPr>
        <w:t>Igualmente, se habilitó</w:t>
      </w:r>
      <w:r w:rsidRPr="006A0747">
        <w:rPr>
          <w:rFonts w:ascii="Times New Roman" w:eastAsia="Calibri" w:hAnsi="Times New Roman" w:cs="Times New Roman"/>
          <w:color w:val="767171"/>
          <w:spacing w:val="20"/>
          <w:sz w:val="24"/>
          <w:szCs w:val="24"/>
        </w:rPr>
        <w:t xml:space="preserve"> la página </w:t>
      </w:r>
      <w:r w:rsidRPr="006A0747">
        <w:rPr>
          <w:rFonts w:ascii="Times New Roman" w:eastAsia="Calibri" w:hAnsi="Times New Roman" w:cs="Times New Roman"/>
          <w:b/>
          <w:color w:val="767171"/>
          <w:spacing w:val="20"/>
          <w:sz w:val="24"/>
          <w:szCs w:val="24"/>
        </w:rPr>
        <w:t xml:space="preserve">www.prousuario.gob.do </w:t>
      </w:r>
      <w:r w:rsidRPr="006A0747">
        <w:rPr>
          <w:rFonts w:ascii="Times New Roman" w:eastAsia="Calibri" w:hAnsi="Times New Roman" w:cs="Times New Roman"/>
          <w:color w:val="767171"/>
          <w:spacing w:val="20"/>
          <w:sz w:val="24"/>
          <w:szCs w:val="24"/>
        </w:rPr>
        <w:t>y las cuentas de redes sociales de ProUsuario (</w:t>
      </w:r>
      <w:r w:rsidRPr="006A0747">
        <w:rPr>
          <w:rFonts w:ascii="Times New Roman" w:eastAsia="Calibri" w:hAnsi="Times New Roman" w:cs="Times New Roman"/>
          <w:b/>
          <w:color w:val="767171"/>
          <w:spacing w:val="20"/>
          <w:sz w:val="24"/>
          <w:szCs w:val="24"/>
        </w:rPr>
        <w:t>Instagram, X, Facebook</w:t>
      </w:r>
      <w:r w:rsidRPr="006A0747">
        <w:rPr>
          <w:rFonts w:ascii="Times New Roman" w:eastAsia="Calibri" w:hAnsi="Times New Roman" w:cs="Times New Roman"/>
          <w:color w:val="767171"/>
          <w:spacing w:val="20"/>
          <w:sz w:val="24"/>
          <w:szCs w:val="24"/>
        </w:rPr>
        <w:t xml:space="preserve"> </w:t>
      </w:r>
      <w:r w:rsidRPr="006A0747">
        <w:rPr>
          <w:rFonts w:ascii="Times New Roman" w:eastAsia="Calibri" w:hAnsi="Times New Roman" w:cs="Times New Roman"/>
          <w:b/>
          <w:color w:val="767171"/>
          <w:spacing w:val="20"/>
          <w:sz w:val="24"/>
          <w:szCs w:val="24"/>
        </w:rPr>
        <w:t>y YouTube</w:t>
      </w:r>
      <w:r w:rsidRPr="006A0747">
        <w:rPr>
          <w:rFonts w:ascii="Times New Roman" w:eastAsia="Calibri" w:hAnsi="Times New Roman" w:cs="Times New Roman"/>
          <w:color w:val="767171"/>
          <w:spacing w:val="20"/>
          <w:sz w:val="24"/>
          <w:szCs w:val="24"/>
        </w:rPr>
        <w:t xml:space="preserve">), que ofrecen información sobre los servicios de la oficina y material de educación financiera concebido para el público en general. </w:t>
      </w:r>
      <w:r w:rsidR="00473626" w:rsidRPr="006A0747">
        <w:rPr>
          <w:rFonts w:ascii="Times New Roman" w:eastAsia="Calibri" w:hAnsi="Times New Roman" w:cs="Times New Roman"/>
          <w:color w:val="767171"/>
          <w:spacing w:val="20"/>
          <w:sz w:val="24"/>
          <w:szCs w:val="24"/>
        </w:rPr>
        <w:t>Además</w:t>
      </w:r>
      <w:r w:rsidR="00FE7A41" w:rsidRPr="006A0747">
        <w:rPr>
          <w:rFonts w:ascii="Times New Roman" w:eastAsia="Calibri" w:hAnsi="Times New Roman" w:cs="Times New Roman"/>
          <w:color w:val="767171"/>
          <w:spacing w:val="20"/>
          <w:sz w:val="24"/>
          <w:szCs w:val="24"/>
        </w:rPr>
        <w:t>,</w:t>
      </w:r>
      <w:r w:rsidR="00925CBA" w:rsidRPr="006A0747">
        <w:rPr>
          <w:rFonts w:ascii="Times New Roman" w:eastAsia="Calibri" w:hAnsi="Times New Roman" w:cs="Times New Roman"/>
          <w:color w:val="767171"/>
          <w:spacing w:val="20"/>
          <w:sz w:val="24"/>
          <w:szCs w:val="24"/>
        </w:rPr>
        <w:t xml:space="preserve"> para ampliar </w:t>
      </w:r>
      <w:r w:rsidR="000F1A61" w:rsidRPr="006A0747">
        <w:rPr>
          <w:rFonts w:ascii="Times New Roman" w:eastAsia="Calibri" w:hAnsi="Times New Roman" w:cs="Times New Roman"/>
          <w:color w:val="767171"/>
          <w:spacing w:val="20"/>
          <w:sz w:val="24"/>
          <w:szCs w:val="24"/>
        </w:rPr>
        <w:t xml:space="preserve">los canales de interacción para </w:t>
      </w:r>
      <w:r w:rsidR="002B5F86" w:rsidRPr="006A0747">
        <w:rPr>
          <w:rFonts w:ascii="Times New Roman" w:eastAsia="Calibri" w:hAnsi="Times New Roman" w:cs="Times New Roman"/>
          <w:color w:val="767171"/>
          <w:spacing w:val="20"/>
          <w:sz w:val="24"/>
          <w:szCs w:val="24"/>
        </w:rPr>
        <w:t>los usuarios,</w:t>
      </w:r>
      <w:r w:rsidR="00830E71" w:rsidRPr="006A0747">
        <w:rPr>
          <w:rFonts w:ascii="Times New Roman" w:eastAsia="Calibri" w:hAnsi="Times New Roman" w:cs="Times New Roman"/>
          <w:color w:val="767171"/>
          <w:spacing w:val="20"/>
          <w:sz w:val="24"/>
          <w:szCs w:val="24"/>
        </w:rPr>
        <w:t xml:space="preserve"> </w:t>
      </w:r>
      <w:r w:rsidR="00925CBA" w:rsidRPr="006A0747">
        <w:rPr>
          <w:rFonts w:ascii="Times New Roman" w:eastAsia="Calibri" w:hAnsi="Times New Roman" w:cs="Times New Roman"/>
          <w:color w:val="767171"/>
          <w:spacing w:val="20"/>
          <w:sz w:val="24"/>
          <w:szCs w:val="24"/>
        </w:rPr>
        <w:t xml:space="preserve">se habilitó </w:t>
      </w:r>
      <w:r w:rsidRPr="006A0747">
        <w:rPr>
          <w:rFonts w:ascii="Times New Roman" w:eastAsia="Calibri" w:hAnsi="Times New Roman" w:cs="Times New Roman"/>
          <w:color w:val="767171"/>
          <w:spacing w:val="20"/>
          <w:sz w:val="24"/>
          <w:szCs w:val="24"/>
        </w:rPr>
        <w:t xml:space="preserve">la </w:t>
      </w:r>
      <w:r w:rsidRPr="006A0747">
        <w:rPr>
          <w:rFonts w:ascii="Times New Roman" w:eastAsia="Calibri" w:hAnsi="Times New Roman" w:cs="Times New Roman"/>
          <w:b/>
          <w:color w:val="767171"/>
          <w:spacing w:val="20"/>
          <w:sz w:val="24"/>
          <w:szCs w:val="24"/>
        </w:rPr>
        <w:t>atención vía WhatsApp</w:t>
      </w:r>
      <w:r w:rsidRPr="006A0747">
        <w:rPr>
          <w:rFonts w:ascii="Times New Roman" w:eastAsia="Calibri" w:hAnsi="Times New Roman" w:cs="Times New Roman"/>
          <w:color w:val="767171"/>
          <w:spacing w:val="20"/>
          <w:sz w:val="24"/>
          <w:szCs w:val="24"/>
        </w:rPr>
        <w:t xml:space="preserve">, con disponibilidad de la asistente de inteligencia artificial y </w:t>
      </w:r>
      <w:r w:rsidR="002B5F86" w:rsidRPr="006A0747">
        <w:rPr>
          <w:rFonts w:ascii="Times New Roman" w:eastAsia="Calibri" w:hAnsi="Times New Roman" w:cs="Times New Roman"/>
          <w:color w:val="767171"/>
          <w:spacing w:val="20"/>
          <w:sz w:val="24"/>
          <w:szCs w:val="24"/>
        </w:rPr>
        <w:t>se puso en</w:t>
      </w:r>
      <w:r w:rsidRPr="006A0747">
        <w:rPr>
          <w:rFonts w:ascii="Times New Roman" w:eastAsia="Calibri" w:hAnsi="Times New Roman" w:cs="Times New Roman"/>
          <w:color w:val="767171"/>
          <w:spacing w:val="20"/>
          <w:sz w:val="24"/>
          <w:szCs w:val="24"/>
        </w:rPr>
        <w:t xml:space="preserve"> funcionamiento </w:t>
      </w:r>
      <w:r w:rsidR="00254850" w:rsidRPr="006A0747">
        <w:rPr>
          <w:rFonts w:ascii="Times New Roman" w:eastAsia="Calibri" w:hAnsi="Times New Roman" w:cs="Times New Roman"/>
          <w:color w:val="767171"/>
          <w:spacing w:val="20"/>
          <w:sz w:val="24"/>
          <w:szCs w:val="24"/>
        </w:rPr>
        <w:t>el</w:t>
      </w:r>
      <w:r w:rsidRPr="006A0747">
        <w:rPr>
          <w:rFonts w:ascii="Times New Roman" w:eastAsia="Calibri" w:hAnsi="Times New Roman" w:cs="Times New Roman"/>
          <w:color w:val="767171"/>
          <w:spacing w:val="20"/>
          <w:sz w:val="24"/>
          <w:szCs w:val="24"/>
        </w:rPr>
        <w:t xml:space="preserve"> número móvil de marcado rápido </w:t>
      </w:r>
      <w:r w:rsidRPr="006A0747">
        <w:rPr>
          <w:rFonts w:ascii="Times New Roman" w:eastAsia="Calibri" w:hAnsi="Times New Roman" w:cs="Times New Roman"/>
          <w:b/>
          <w:color w:val="767171"/>
          <w:spacing w:val="20"/>
          <w:sz w:val="24"/>
          <w:szCs w:val="24"/>
        </w:rPr>
        <w:t>*778</w:t>
      </w:r>
      <w:r w:rsidRPr="006A0747">
        <w:rPr>
          <w:rFonts w:ascii="Times New Roman" w:eastAsia="Calibri" w:hAnsi="Times New Roman" w:cs="Times New Roman"/>
          <w:color w:val="767171"/>
          <w:spacing w:val="20"/>
          <w:sz w:val="24"/>
          <w:szCs w:val="24"/>
        </w:rPr>
        <w:t>, que le permite a la población recibir atención telefónica sin costo.</w:t>
      </w:r>
    </w:p>
    <w:p w14:paraId="6091B535" w14:textId="752D4365" w:rsidR="007F2881" w:rsidRPr="006A0747" w:rsidRDefault="007F2881">
      <w:pPr>
        <w:pStyle w:val="Prrafodelista"/>
        <w:numPr>
          <w:ilvl w:val="0"/>
          <w:numId w:val="12"/>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Lanzamiento de guías financieras diseñadas con expertos en finanzas personales y</w:t>
      </w:r>
      <w:r w:rsidR="0082393E" w:rsidRPr="006A0747">
        <w:rPr>
          <w:rFonts w:ascii="Times New Roman" w:eastAsia="Calibri" w:hAnsi="Times New Roman" w:cs="Times New Roman"/>
          <w:color w:val="767171"/>
          <w:spacing w:val="20"/>
          <w:sz w:val="24"/>
          <w:szCs w:val="24"/>
        </w:rPr>
        <w:t xml:space="preserve"> en</w:t>
      </w:r>
      <w:r w:rsidRPr="006A0747">
        <w:rPr>
          <w:rFonts w:ascii="Times New Roman" w:eastAsia="Calibri" w:hAnsi="Times New Roman" w:cs="Times New Roman"/>
          <w:color w:val="767171"/>
          <w:spacing w:val="20"/>
          <w:sz w:val="24"/>
          <w:szCs w:val="24"/>
        </w:rPr>
        <w:t xml:space="preserve"> el comportamiento humano. Estas se encuentran disponibles para todo el público dentro de la sección Educación Financiera de la web de ProUsuario. Entre estos materiales destaca la Guía de finanzas personales para mujeres, elaborada como una colaboración para el PNUD con </w:t>
      </w:r>
      <w:r w:rsidRPr="006A0747">
        <w:rPr>
          <w:rFonts w:ascii="Times New Roman" w:eastAsia="Calibri" w:hAnsi="Times New Roman" w:cs="Times New Roman"/>
          <w:color w:val="767171"/>
          <w:spacing w:val="20"/>
          <w:sz w:val="24"/>
          <w:szCs w:val="24"/>
        </w:rPr>
        <w:lastRenderedPageBreak/>
        <w:t xml:space="preserve">el fin de aportar al cierre de brechas de género en temas financieros y la Guía básica de finanzas para jóvenes, un compendio práctico para impulsar la inclusión financiera de los adultos y las adultas jóvenes de una manera saludable. </w:t>
      </w:r>
    </w:p>
    <w:p w14:paraId="03C1CFF9" w14:textId="131E1966" w:rsidR="00E14B88" w:rsidRPr="006A0747" w:rsidRDefault="00E42163" w:rsidP="00257092">
      <w:pPr>
        <w:pStyle w:val="Prrafodelista"/>
        <w:numPr>
          <w:ilvl w:val="0"/>
          <w:numId w:val="12"/>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Implementación del programa de </w:t>
      </w:r>
      <w:r w:rsidR="007F2881" w:rsidRPr="006A0747">
        <w:rPr>
          <w:rFonts w:ascii="Times New Roman" w:eastAsia="Calibri" w:hAnsi="Times New Roman" w:cs="Times New Roman"/>
          <w:color w:val="767171"/>
          <w:spacing w:val="20"/>
          <w:sz w:val="24"/>
          <w:szCs w:val="24"/>
        </w:rPr>
        <w:t xml:space="preserve">charlas “Ponte </w:t>
      </w:r>
      <w:proofErr w:type="spellStart"/>
      <w:r w:rsidR="007F2881" w:rsidRPr="006A0747">
        <w:rPr>
          <w:rFonts w:ascii="Times New Roman" w:eastAsia="Calibri" w:hAnsi="Times New Roman" w:cs="Times New Roman"/>
          <w:color w:val="767171"/>
          <w:spacing w:val="20"/>
          <w:sz w:val="24"/>
          <w:szCs w:val="24"/>
        </w:rPr>
        <w:t>pa´tus</w:t>
      </w:r>
      <w:proofErr w:type="spellEnd"/>
      <w:r w:rsidR="007F2881" w:rsidRPr="006A0747">
        <w:rPr>
          <w:rFonts w:ascii="Times New Roman" w:eastAsia="Calibri" w:hAnsi="Times New Roman" w:cs="Times New Roman"/>
          <w:color w:val="767171"/>
          <w:spacing w:val="20"/>
          <w:sz w:val="24"/>
          <w:szCs w:val="24"/>
        </w:rPr>
        <w:t xml:space="preserve"> finanzas”, con las que se ha alcanzado a 2,304 estudiantes universitarios de 10 provincias. </w:t>
      </w:r>
    </w:p>
    <w:p w14:paraId="5E844F0F" w14:textId="04C1264A" w:rsidR="00257092" w:rsidRPr="006A0747" w:rsidRDefault="00257092" w:rsidP="00257092">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En otro orden, </w:t>
      </w:r>
      <w:r w:rsidR="001B4B42" w:rsidRPr="006A0747">
        <w:rPr>
          <w:rFonts w:ascii="Times New Roman" w:eastAsia="Calibri" w:hAnsi="Times New Roman" w:cs="Times New Roman"/>
          <w:color w:val="767171"/>
          <w:spacing w:val="20"/>
          <w:sz w:val="24"/>
          <w:szCs w:val="24"/>
        </w:rPr>
        <w:t>la SB</w:t>
      </w:r>
      <w:r w:rsidR="00B97667" w:rsidRPr="006A0747">
        <w:rPr>
          <w:rFonts w:ascii="Times New Roman" w:eastAsia="Calibri" w:hAnsi="Times New Roman" w:cs="Times New Roman"/>
          <w:color w:val="767171"/>
          <w:spacing w:val="20"/>
          <w:sz w:val="24"/>
          <w:szCs w:val="24"/>
        </w:rPr>
        <w:t xml:space="preserve"> </w:t>
      </w:r>
      <w:r w:rsidR="003F4595" w:rsidRPr="006A0747">
        <w:rPr>
          <w:rFonts w:ascii="Times New Roman" w:eastAsia="Calibri" w:hAnsi="Times New Roman" w:cs="Times New Roman"/>
          <w:color w:val="767171"/>
          <w:spacing w:val="20"/>
          <w:sz w:val="24"/>
          <w:szCs w:val="24"/>
        </w:rPr>
        <w:t>mediante la iniciativa “Dinero busca Dueño”</w:t>
      </w:r>
      <w:r w:rsidR="00B97667" w:rsidRPr="006A0747">
        <w:rPr>
          <w:rFonts w:ascii="Times New Roman" w:eastAsia="Calibri" w:hAnsi="Times New Roman" w:cs="Times New Roman"/>
          <w:color w:val="767171"/>
          <w:spacing w:val="20"/>
          <w:sz w:val="24"/>
          <w:szCs w:val="24"/>
        </w:rPr>
        <w:t>,</w:t>
      </w:r>
      <w:r w:rsidRPr="006A0747">
        <w:rPr>
          <w:rFonts w:ascii="Times New Roman" w:eastAsia="Calibri" w:hAnsi="Times New Roman" w:cs="Times New Roman"/>
          <w:color w:val="767171"/>
          <w:spacing w:val="20"/>
          <w:sz w:val="24"/>
          <w:szCs w:val="24"/>
        </w:rPr>
        <w:t xml:space="preserve"> </w:t>
      </w:r>
      <w:r w:rsidR="00D41E5F" w:rsidRPr="006A0747">
        <w:rPr>
          <w:rFonts w:ascii="Times New Roman" w:eastAsia="Calibri" w:hAnsi="Times New Roman" w:cs="Times New Roman"/>
          <w:color w:val="767171"/>
          <w:spacing w:val="20"/>
          <w:sz w:val="24"/>
          <w:szCs w:val="24"/>
        </w:rPr>
        <w:t>logro</w:t>
      </w:r>
      <w:r w:rsidRPr="006A0747">
        <w:rPr>
          <w:rFonts w:ascii="Times New Roman" w:eastAsia="Calibri" w:hAnsi="Times New Roman" w:cs="Times New Roman"/>
          <w:color w:val="767171"/>
          <w:spacing w:val="20"/>
          <w:sz w:val="24"/>
          <w:szCs w:val="24"/>
        </w:rPr>
        <w:t xml:space="preserve"> </w:t>
      </w:r>
      <w:r w:rsidR="00C00EB8" w:rsidRPr="006A0747">
        <w:rPr>
          <w:rFonts w:ascii="Times New Roman" w:eastAsia="Calibri" w:hAnsi="Times New Roman" w:cs="Times New Roman"/>
          <w:color w:val="767171"/>
          <w:spacing w:val="20"/>
          <w:sz w:val="24"/>
          <w:szCs w:val="24"/>
        </w:rPr>
        <w:t xml:space="preserve">resarcir a </w:t>
      </w:r>
      <w:r w:rsidRPr="006A0747">
        <w:rPr>
          <w:rFonts w:ascii="Times New Roman" w:eastAsia="Calibri" w:hAnsi="Times New Roman" w:cs="Times New Roman"/>
          <w:color w:val="767171"/>
          <w:spacing w:val="20"/>
          <w:sz w:val="24"/>
          <w:szCs w:val="24"/>
        </w:rPr>
        <w:t xml:space="preserve">2,605 ahorristas de entidades en liquidación o disolución </w:t>
      </w:r>
      <w:r w:rsidR="00D41E5F" w:rsidRPr="006A0747">
        <w:rPr>
          <w:rFonts w:ascii="Times New Roman" w:eastAsia="Calibri" w:hAnsi="Times New Roman" w:cs="Times New Roman"/>
          <w:color w:val="767171"/>
          <w:spacing w:val="20"/>
          <w:sz w:val="24"/>
          <w:szCs w:val="24"/>
        </w:rPr>
        <w:t xml:space="preserve">más de </w:t>
      </w:r>
      <w:r w:rsidRPr="006A0747">
        <w:rPr>
          <w:rFonts w:ascii="Times New Roman" w:eastAsia="Calibri" w:hAnsi="Times New Roman" w:cs="Times New Roman"/>
          <w:color w:val="767171"/>
          <w:spacing w:val="20"/>
          <w:sz w:val="24"/>
          <w:szCs w:val="24"/>
        </w:rPr>
        <w:t>RD$ 3</w:t>
      </w:r>
      <w:r w:rsidR="008945EB" w:rsidRPr="006A0747">
        <w:rPr>
          <w:rFonts w:ascii="Times New Roman" w:eastAsia="Calibri" w:hAnsi="Times New Roman" w:cs="Times New Roman"/>
          <w:color w:val="767171"/>
          <w:spacing w:val="20"/>
          <w:sz w:val="24"/>
          <w:szCs w:val="24"/>
        </w:rPr>
        <w:t>12</w:t>
      </w:r>
      <w:r w:rsidRPr="006A0747">
        <w:rPr>
          <w:rFonts w:ascii="Times New Roman" w:eastAsia="Calibri" w:hAnsi="Times New Roman" w:cs="Times New Roman"/>
          <w:color w:val="767171"/>
          <w:spacing w:val="20"/>
          <w:sz w:val="24"/>
          <w:szCs w:val="24"/>
        </w:rPr>
        <w:t xml:space="preserve">MM en el periodo comprendido desde agosto del 2020 </w:t>
      </w:r>
      <w:r w:rsidR="00A25C50" w:rsidRPr="006A0747">
        <w:rPr>
          <w:rFonts w:ascii="Times New Roman" w:eastAsia="Calibri" w:hAnsi="Times New Roman" w:cs="Times New Roman"/>
          <w:color w:val="767171"/>
          <w:spacing w:val="20"/>
          <w:sz w:val="24"/>
          <w:szCs w:val="24"/>
        </w:rPr>
        <w:t>a junio del</w:t>
      </w:r>
      <w:r w:rsidRPr="006A0747">
        <w:rPr>
          <w:rFonts w:ascii="Times New Roman" w:eastAsia="Calibri" w:hAnsi="Times New Roman" w:cs="Times New Roman"/>
          <w:color w:val="767171"/>
          <w:spacing w:val="20"/>
          <w:sz w:val="24"/>
          <w:szCs w:val="24"/>
        </w:rPr>
        <w:t xml:space="preserve"> 2024.</w:t>
      </w:r>
      <w:r w:rsidR="00AB4FF7" w:rsidRPr="006A0747">
        <w:rPr>
          <w:rFonts w:ascii="Times New Roman" w:eastAsia="Calibri" w:hAnsi="Times New Roman" w:cs="Times New Roman"/>
          <w:color w:val="767171"/>
          <w:spacing w:val="20"/>
          <w:sz w:val="24"/>
          <w:szCs w:val="24"/>
        </w:rPr>
        <w:t xml:space="preserve"> </w:t>
      </w:r>
      <w:r w:rsidR="00C57C28" w:rsidRPr="006A0747">
        <w:rPr>
          <w:rFonts w:ascii="Times New Roman" w:eastAsia="Calibri" w:hAnsi="Times New Roman" w:cs="Times New Roman"/>
          <w:color w:val="767171"/>
          <w:spacing w:val="20"/>
          <w:sz w:val="24"/>
          <w:szCs w:val="24"/>
        </w:rPr>
        <w:t>Est</w:t>
      </w:r>
      <w:r w:rsidR="00394A50" w:rsidRPr="006A0747">
        <w:rPr>
          <w:rFonts w:ascii="Times New Roman" w:eastAsia="Calibri" w:hAnsi="Times New Roman" w:cs="Times New Roman"/>
          <w:color w:val="767171"/>
          <w:spacing w:val="20"/>
          <w:sz w:val="24"/>
          <w:szCs w:val="24"/>
        </w:rPr>
        <w:t>e monto supera el entregado en los últimos 15 años.</w:t>
      </w:r>
    </w:p>
    <w:p w14:paraId="2A054C5F" w14:textId="0891FEC0" w:rsidR="00E14B88" w:rsidRPr="006A0747" w:rsidRDefault="00E14B88" w:rsidP="00257092">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Por otro lado, la </w:t>
      </w:r>
      <w:r w:rsidR="00C4283A" w:rsidRPr="006A0747">
        <w:rPr>
          <w:rFonts w:ascii="Times New Roman" w:eastAsia="Calibri" w:hAnsi="Times New Roman" w:cs="Times New Roman"/>
          <w:color w:val="767171"/>
          <w:spacing w:val="20"/>
          <w:sz w:val="24"/>
          <w:szCs w:val="24"/>
        </w:rPr>
        <w:t>SB</w:t>
      </w:r>
      <w:r w:rsidRPr="006A0747">
        <w:rPr>
          <w:rFonts w:ascii="Times New Roman" w:eastAsia="Calibri" w:hAnsi="Times New Roman" w:cs="Times New Roman"/>
          <w:color w:val="767171"/>
          <w:spacing w:val="20"/>
          <w:sz w:val="24"/>
          <w:szCs w:val="24"/>
        </w:rPr>
        <w:t xml:space="preserve"> impulsó la iniciativa Misión Centinela, una campaña de difusión masiva que previene a la población sobre los riesgos de realizar depósitos y/o inversiones en esquemas financieros que no cuenten con la debida supervisión ni regulación del Estado dominicano. Esta campaña y las medidas descritas previamente han sido fundamentales para prevenir y mitigar riesgos, combatir delitos financieros y fomentar un entorno económico más seguro y confiable.</w:t>
      </w:r>
    </w:p>
    <w:p w14:paraId="689738F4" w14:textId="39F937AA" w:rsidR="00254265" w:rsidRPr="006A0747" w:rsidRDefault="00254265" w:rsidP="00254265">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En estos 4 años, la SB se ha enfocado en realizar iniciativas con miras a promover la salud e inclusión financiera de la ciudadanía. Fruto de la escucha activa de </w:t>
      </w:r>
      <w:proofErr w:type="gramStart"/>
      <w:r w:rsidRPr="006A0747">
        <w:rPr>
          <w:rFonts w:ascii="Times New Roman" w:eastAsia="Calibri" w:hAnsi="Times New Roman" w:cs="Times New Roman"/>
          <w:color w:val="767171"/>
          <w:spacing w:val="20"/>
          <w:sz w:val="24"/>
          <w:szCs w:val="24"/>
        </w:rPr>
        <w:t>los usuarios y las usuarias</w:t>
      </w:r>
      <w:proofErr w:type="gramEnd"/>
      <w:r w:rsidRPr="006A0747">
        <w:rPr>
          <w:rFonts w:ascii="Times New Roman" w:eastAsia="Calibri" w:hAnsi="Times New Roman" w:cs="Times New Roman"/>
          <w:color w:val="767171"/>
          <w:spacing w:val="20"/>
          <w:sz w:val="24"/>
          <w:szCs w:val="24"/>
        </w:rPr>
        <w:t xml:space="preserve"> surgieron cambios normativos para fomentar la innovación, como la Circular SB: Núm. 011/22, de </w:t>
      </w:r>
      <w:proofErr w:type="spellStart"/>
      <w:r w:rsidRPr="006A0747">
        <w:rPr>
          <w:rFonts w:ascii="Times New Roman" w:eastAsia="Calibri" w:hAnsi="Times New Roman" w:cs="Times New Roman"/>
          <w:color w:val="767171"/>
          <w:spacing w:val="20"/>
          <w:sz w:val="24"/>
          <w:szCs w:val="24"/>
        </w:rPr>
        <w:t>onboarding</w:t>
      </w:r>
      <w:proofErr w:type="spellEnd"/>
      <w:r w:rsidRPr="006A0747">
        <w:rPr>
          <w:rFonts w:ascii="Times New Roman" w:eastAsia="Calibri" w:hAnsi="Times New Roman" w:cs="Times New Roman"/>
          <w:color w:val="767171"/>
          <w:spacing w:val="20"/>
          <w:sz w:val="24"/>
          <w:szCs w:val="24"/>
        </w:rPr>
        <w:t xml:space="preserve"> digital, que abrió las puertas para que los clientes potenciales contraten productos y servicios financieros sin trasladarse a una oficina, ahorrando tiempo, dinero y esfuerzo.</w:t>
      </w:r>
    </w:p>
    <w:p w14:paraId="0C70D6DD" w14:textId="4485BABC" w:rsidR="00254265" w:rsidRPr="006A0747" w:rsidRDefault="00D65217" w:rsidP="00254265">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Concomitantemente, la SB desarrolló la </w:t>
      </w:r>
      <w:r w:rsidR="00254265" w:rsidRPr="006A0747">
        <w:rPr>
          <w:rFonts w:ascii="Times New Roman" w:eastAsia="Calibri" w:hAnsi="Times New Roman" w:cs="Times New Roman"/>
          <w:color w:val="767171"/>
          <w:spacing w:val="20"/>
          <w:sz w:val="24"/>
          <w:szCs w:val="24"/>
        </w:rPr>
        <w:t xml:space="preserve">iniciativa de Banca Abierta u </w:t>
      </w:r>
      <w:r w:rsidR="00254265" w:rsidRPr="006A0747">
        <w:rPr>
          <w:rFonts w:ascii="Times New Roman" w:eastAsia="Calibri" w:hAnsi="Times New Roman" w:cs="Times New Roman"/>
          <w:b/>
          <w:color w:val="767171"/>
          <w:spacing w:val="20"/>
          <w:sz w:val="24"/>
          <w:szCs w:val="24"/>
        </w:rPr>
        <w:t xml:space="preserve">Open </w:t>
      </w:r>
      <w:proofErr w:type="spellStart"/>
      <w:r w:rsidR="00254265" w:rsidRPr="006A0747">
        <w:rPr>
          <w:rFonts w:ascii="Times New Roman" w:eastAsia="Calibri" w:hAnsi="Times New Roman" w:cs="Times New Roman"/>
          <w:b/>
          <w:color w:val="767171"/>
          <w:spacing w:val="20"/>
          <w:sz w:val="24"/>
          <w:szCs w:val="24"/>
        </w:rPr>
        <w:t>Banking</w:t>
      </w:r>
      <w:proofErr w:type="spellEnd"/>
      <w:r w:rsidR="00254265" w:rsidRPr="006A0747">
        <w:rPr>
          <w:rFonts w:ascii="Times New Roman" w:eastAsia="Calibri" w:hAnsi="Times New Roman" w:cs="Times New Roman"/>
          <w:color w:val="767171"/>
          <w:spacing w:val="20"/>
          <w:sz w:val="24"/>
          <w:szCs w:val="24"/>
        </w:rPr>
        <w:t xml:space="preserve">, que la institución desarrolla con el Banco Central, enfocada en crear un marco regulatorio que promueve el surgimiento </w:t>
      </w:r>
      <w:r w:rsidR="00254265" w:rsidRPr="006A0747">
        <w:rPr>
          <w:rFonts w:ascii="Times New Roman" w:eastAsia="Calibri" w:hAnsi="Times New Roman" w:cs="Times New Roman"/>
          <w:color w:val="767171"/>
          <w:spacing w:val="20"/>
          <w:sz w:val="24"/>
          <w:szCs w:val="24"/>
        </w:rPr>
        <w:lastRenderedPageBreak/>
        <w:t xml:space="preserve">de productos y servicios financieros más simples, rápidos y personalizados a través de canales digitales. </w:t>
      </w:r>
    </w:p>
    <w:p w14:paraId="058790B6" w14:textId="77777777" w:rsidR="00254265" w:rsidRPr="006A0747" w:rsidRDefault="00254265" w:rsidP="00254265">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En otro orden,</w:t>
      </w:r>
      <w:r w:rsidRPr="006A0747">
        <w:rPr>
          <w:rFonts w:ascii="Times New Roman" w:eastAsia="Calibri" w:hAnsi="Times New Roman" w:cs="Times New Roman"/>
          <w:b/>
          <w:color w:val="767171"/>
          <w:spacing w:val="20"/>
          <w:sz w:val="24"/>
          <w:szCs w:val="24"/>
        </w:rPr>
        <w:t xml:space="preserve"> </w:t>
      </w:r>
      <w:r w:rsidRPr="006A0747">
        <w:rPr>
          <w:rFonts w:ascii="Times New Roman" w:eastAsia="Calibri" w:hAnsi="Times New Roman" w:cs="Times New Roman"/>
          <w:color w:val="767171"/>
          <w:spacing w:val="20"/>
          <w:sz w:val="24"/>
          <w:szCs w:val="24"/>
        </w:rPr>
        <w:t xml:space="preserve">para estimular el uso de las nuevas tecnologías en las EIF y la competencia en el mercado, la institución produjo tres ediciones del </w:t>
      </w:r>
      <w:r w:rsidRPr="006A0747">
        <w:rPr>
          <w:rFonts w:ascii="Times New Roman" w:eastAsia="Calibri" w:hAnsi="Times New Roman" w:cs="Times New Roman"/>
          <w:b/>
          <w:color w:val="767171"/>
          <w:spacing w:val="20"/>
          <w:sz w:val="24"/>
          <w:szCs w:val="24"/>
        </w:rPr>
        <w:t>Ranking</w:t>
      </w:r>
      <w:r w:rsidRPr="006A0747">
        <w:rPr>
          <w:rFonts w:ascii="Times New Roman" w:eastAsia="Calibri" w:hAnsi="Times New Roman" w:cs="Times New Roman"/>
          <w:color w:val="767171"/>
          <w:spacing w:val="20"/>
          <w:sz w:val="24"/>
          <w:szCs w:val="24"/>
        </w:rPr>
        <w:t xml:space="preserve"> </w:t>
      </w:r>
      <w:r w:rsidRPr="006A0747">
        <w:rPr>
          <w:rFonts w:ascii="Times New Roman" w:eastAsia="Calibri" w:hAnsi="Times New Roman" w:cs="Times New Roman"/>
          <w:b/>
          <w:color w:val="767171"/>
          <w:spacing w:val="20"/>
          <w:sz w:val="24"/>
          <w:szCs w:val="24"/>
        </w:rPr>
        <w:t>de digitalización de la Banca Dominicana</w:t>
      </w:r>
      <w:r w:rsidRPr="006A0747">
        <w:rPr>
          <w:rFonts w:ascii="Times New Roman" w:eastAsia="Calibri" w:hAnsi="Times New Roman" w:cs="Times New Roman"/>
          <w:color w:val="767171"/>
          <w:spacing w:val="20"/>
          <w:sz w:val="24"/>
          <w:szCs w:val="24"/>
        </w:rPr>
        <w:t>, un informe anual que busca motivar la creación de productos innovadores y evaluar las preferencias de los usuarios.</w:t>
      </w:r>
    </w:p>
    <w:p w14:paraId="7D3615BC" w14:textId="495D6F29" w:rsidR="00257092" w:rsidRPr="006A0747" w:rsidRDefault="00257092" w:rsidP="00257092">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Por otro lado, </w:t>
      </w:r>
      <w:r w:rsidR="00055C40" w:rsidRPr="006A0747">
        <w:rPr>
          <w:rFonts w:ascii="Times New Roman" w:eastAsia="Calibri" w:hAnsi="Times New Roman" w:cs="Times New Roman"/>
          <w:color w:val="767171"/>
          <w:spacing w:val="20"/>
          <w:sz w:val="24"/>
          <w:szCs w:val="24"/>
        </w:rPr>
        <w:t xml:space="preserve">la SB </w:t>
      </w:r>
      <w:r w:rsidRPr="006A0747">
        <w:rPr>
          <w:rFonts w:ascii="Times New Roman" w:eastAsia="Calibri" w:hAnsi="Times New Roman" w:cs="Times New Roman"/>
          <w:color w:val="767171"/>
          <w:spacing w:val="20"/>
          <w:sz w:val="24"/>
          <w:szCs w:val="24"/>
        </w:rPr>
        <w:t xml:space="preserve">se </w:t>
      </w:r>
      <w:r w:rsidR="00055C40" w:rsidRPr="006A0747">
        <w:rPr>
          <w:rFonts w:ascii="Times New Roman" w:eastAsia="Calibri" w:hAnsi="Times New Roman" w:cs="Times New Roman"/>
          <w:color w:val="767171"/>
          <w:spacing w:val="20"/>
          <w:sz w:val="24"/>
          <w:szCs w:val="24"/>
        </w:rPr>
        <w:t>ab</w:t>
      </w:r>
      <w:r w:rsidR="00E02332" w:rsidRPr="006A0747">
        <w:rPr>
          <w:rFonts w:ascii="Times New Roman" w:eastAsia="Calibri" w:hAnsi="Times New Roman" w:cs="Times New Roman"/>
          <w:color w:val="767171"/>
          <w:spacing w:val="20"/>
          <w:sz w:val="24"/>
          <w:szCs w:val="24"/>
        </w:rPr>
        <w:t>ocó</w:t>
      </w:r>
      <w:r w:rsidRPr="006A0747">
        <w:rPr>
          <w:rFonts w:ascii="Times New Roman" w:eastAsia="Calibri" w:hAnsi="Times New Roman" w:cs="Times New Roman"/>
          <w:color w:val="767171"/>
          <w:spacing w:val="20"/>
          <w:sz w:val="24"/>
          <w:szCs w:val="24"/>
        </w:rPr>
        <w:t xml:space="preserve"> </w:t>
      </w:r>
      <w:r w:rsidR="001819C2" w:rsidRPr="006A0747">
        <w:rPr>
          <w:rFonts w:ascii="Times New Roman" w:eastAsia="Calibri" w:hAnsi="Times New Roman" w:cs="Times New Roman"/>
          <w:color w:val="767171"/>
          <w:spacing w:val="20"/>
          <w:sz w:val="24"/>
          <w:szCs w:val="24"/>
        </w:rPr>
        <w:t>a</w:t>
      </w:r>
      <w:r w:rsidRPr="006A0747">
        <w:rPr>
          <w:rFonts w:ascii="Times New Roman" w:eastAsia="Calibri" w:hAnsi="Times New Roman" w:cs="Times New Roman"/>
          <w:color w:val="767171"/>
          <w:spacing w:val="20"/>
          <w:sz w:val="24"/>
          <w:szCs w:val="24"/>
        </w:rPr>
        <w:t xml:space="preserve"> modernizar los servicios</w:t>
      </w:r>
      <w:r w:rsidR="00826767" w:rsidRPr="006A0747">
        <w:rPr>
          <w:rFonts w:ascii="Times New Roman" w:eastAsia="Calibri" w:hAnsi="Times New Roman" w:cs="Times New Roman"/>
          <w:color w:val="767171"/>
          <w:spacing w:val="20"/>
          <w:sz w:val="24"/>
          <w:szCs w:val="24"/>
        </w:rPr>
        <w:t xml:space="preserve"> </w:t>
      </w:r>
      <w:r w:rsidRPr="006A0747">
        <w:rPr>
          <w:rFonts w:ascii="Times New Roman" w:eastAsia="Calibri" w:hAnsi="Times New Roman" w:cs="Times New Roman"/>
          <w:color w:val="767171"/>
          <w:spacing w:val="20"/>
          <w:sz w:val="24"/>
          <w:szCs w:val="24"/>
        </w:rPr>
        <w:t>que ofrece a las entidades supervisadas, los usuarios y la ciudadanía en general</w:t>
      </w:r>
      <w:r w:rsidR="00826767" w:rsidRPr="006A0747">
        <w:rPr>
          <w:rFonts w:ascii="Times New Roman" w:eastAsia="Calibri" w:hAnsi="Times New Roman" w:cs="Times New Roman"/>
          <w:color w:val="767171"/>
          <w:spacing w:val="20"/>
          <w:sz w:val="24"/>
          <w:szCs w:val="24"/>
        </w:rPr>
        <w:t xml:space="preserve">, </w:t>
      </w:r>
      <w:r w:rsidRPr="006A0747">
        <w:rPr>
          <w:rFonts w:ascii="Times New Roman" w:eastAsia="Calibri" w:hAnsi="Times New Roman" w:cs="Times New Roman"/>
          <w:color w:val="767171"/>
          <w:spacing w:val="20"/>
          <w:sz w:val="24"/>
          <w:szCs w:val="24"/>
        </w:rPr>
        <w:t>apunta</w:t>
      </w:r>
      <w:r w:rsidR="00826767" w:rsidRPr="006A0747">
        <w:rPr>
          <w:rFonts w:ascii="Times New Roman" w:eastAsia="Calibri" w:hAnsi="Times New Roman" w:cs="Times New Roman"/>
          <w:color w:val="767171"/>
          <w:spacing w:val="20"/>
          <w:sz w:val="24"/>
          <w:szCs w:val="24"/>
        </w:rPr>
        <w:t>ndo</w:t>
      </w:r>
      <w:r w:rsidR="008B1D73" w:rsidRPr="006A0747">
        <w:rPr>
          <w:rFonts w:ascii="Times New Roman" w:eastAsia="Calibri" w:hAnsi="Times New Roman" w:cs="Times New Roman"/>
          <w:color w:val="767171"/>
          <w:spacing w:val="20"/>
          <w:sz w:val="24"/>
          <w:szCs w:val="24"/>
        </w:rPr>
        <w:t xml:space="preserve"> a</w:t>
      </w:r>
      <w:r w:rsidRPr="006A0747">
        <w:rPr>
          <w:rFonts w:ascii="Times New Roman" w:eastAsia="Calibri" w:hAnsi="Times New Roman" w:cs="Times New Roman"/>
          <w:color w:val="767171"/>
          <w:spacing w:val="20"/>
          <w:sz w:val="24"/>
          <w:szCs w:val="24"/>
        </w:rPr>
        <w:t xml:space="preserve"> mejorar la eficiencia de </w:t>
      </w:r>
      <w:r w:rsidR="001819C2" w:rsidRPr="006A0747">
        <w:rPr>
          <w:rFonts w:ascii="Times New Roman" w:eastAsia="Calibri" w:hAnsi="Times New Roman" w:cs="Times New Roman"/>
          <w:color w:val="767171"/>
          <w:spacing w:val="20"/>
          <w:sz w:val="24"/>
          <w:szCs w:val="24"/>
        </w:rPr>
        <w:t>sus</w:t>
      </w:r>
      <w:r w:rsidRPr="006A0747">
        <w:rPr>
          <w:rFonts w:ascii="Times New Roman" w:eastAsia="Calibri" w:hAnsi="Times New Roman" w:cs="Times New Roman"/>
          <w:color w:val="767171"/>
          <w:spacing w:val="20"/>
          <w:sz w:val="24"/>
          <w:szCs w:val="24"/>
        </w:rPr>
        <w:t xml:space="preserve"> procesos fundamentales.</w:t>
      </w:r>
      <w:r w:rsidR="004509C8" w:rsidRPr="006A0747">
        <w:rPr>
          <w:rFonts w:ascii="Times New Roman" w:eastAsia="Calibri" w:hAnsi="Times New Roman" w:cs="Times New Roman"/>
          <w:color w:val="767171"/>
          <w:spacing w:val="20"/>
          <w:sz w:val="24"/>
          <w:szCs w:val="24"/>
        </w:rPr>
        <w:t xml:space="preserve"> </w:t>
      </w:r>
      <w:r w:rsidR="008C6078" w:rsidRPr="006A0747">
        <w:rPr>
          <w:rFonts w:ascii="Times New Roman" w:eastAsia="Calibri" w:hAnsi="Times New Roman" w:cs="Times New Roman"/>
          <w:color w:val="767171"/>
          <w:spacing w:val="20"/>
          <w:sz w:val="24"/>
          <w:szCs w:val="24"/>
        </w:rPr>
        <w:t>En este sentido, t</w:t>
      </w:r>
      <w:r w:rsidRPr="006A0747">
        <w:rPr>
          <w:rFonts w:ascii="Times New Roman" w:eastAsia="Calibri" w:hAnsi="Times New Roman" w:cs="Times New Roman"/>
          <w:color w:val="767171"/>
          <w:spacing w:val="20"/>
          <w:sz w:val="24"/>
          <w:szCs w:val="24"/>
        </w:rPr>
        <w:t>ras una espera</w:t>
      </w:r>
      <w:r w:rsidRPr="006A0747">
        <w:rPr>
          <w:rFonts w:ascii="Times New Roman" w:eastAsia="Calibri" w:hAnsi="Times New Roman" w:cs="Times New Roman"/>
          <w:b/>
          <w:color w:val="767171"/>
          <w:spacing w:val="20"/>
          <w:sz w:val="24"/>
          <w:szCs w:val="24"/>
        </w:rPr>
        <w:t xml:space="preserve"> </w:t>
      </w:r>
      <w:r w:rsidRPr="006A0747">
        <w:rPr>
          <w:rFonts w:ascii="Times New Roman" w:eastAsia="Calibri" w:hAnsi="Times New Roman" w:cs="Times New Roman"/>
          <w:color w:val="767171"/>
          <w:spacing w:val="20"/>
          <w:sz w:val="24"/>
          <w:szCs w:val="24"/>
        </w:rPr>
        <w:t>de diez años, se puso a disposición de las entidades</w:t>
      </w:r>
      <w:r w:rsidRPr="006A0747">
        <w:rPr>
          <w:rFonts w:ascii="Times New Roman" w:eastAsia="Calibri" w:hAnsi="Times New Roman" w:cs="Times New Roman"/>
          <w:b/>
          <w:color w:val="767171"/>
          <w:spacing w:val="20"/>
          <w:sz w:val="24"/>
          <w:szCs w:val="24"/>
        </w:rPr>
        <w:t xml:space="preserve"> </w:t>
      </w:r>
      <w:r w:rsidRPr="006A0747">
        <w:rPr>
          <w:rFonts w:ascii="Times New Roman" w:eastAsia="Calibri" w:hAnsi="Times New Roman" w:cs="Times New Roman"/>
          <w:color w:val="767171"/>
          <w:spacing w:val="20"/>
          <w:sz w:val="24"/>
          <w:szCs w:val="24"/>
        </w:rPr>
        <w:t>de intermediación financiera (</w:t>
      </w:r>
      <w:r w:rsidR="001F7E28" w:rsidRPr="006A0747">
        <w:rPr>
          <w:rFonts w:ascii="Times New Roman" w:eastAsia="Calibri" w:hAnsi="Times New Roman" w:cs="Times New Roman"/>
          <w:color w:val="767171"/>
          <w:spacing w:val="20"/>
          <w:sz w:val="24"/>
          <w:szCs w:val="24"/>
        </w:rPr>
        <w:t xml:space="preserve">en lo adelante </w:t>
      </w:r>
      <w:r w:rsidRPr="006A0747">
        <w:rPr>
          <w:rFonts w:ascii="Times New Roman" w:eastAsia="Calibri" w:hAnsi="Times New Roman" w:cs="Times New Roman"/>
          <w:color w:val="767171"/>
          <w:spacing w:val="20"/>
          <w:sz w:val="24"/>
          <w:szCs w:val="24"/>
        </w:rPr>
        <w:t>EIF</w:t>
      </w:r>
      <w:r w:rsidR="001F7E28" w:rsidRPr="006A0747">
        <w:rPr>
          <w:rFonts w:ascii="Times New Roman" w:eastAsia="Calibri" w:hAnsi="Times New Roman" w:cs="Times New Roman"/>
          <w:color w:val="767171"/>
          <w:spacing w:val="20"/>
          <w:sz w:val="24"/>
          <w:szCs w:val="24"/>
        </w:rPr>
        <w:t>),</w:t>
      </w:r>
      <w:r w:rsidRPr="006A0747">
        <w:rPr>
          <w:rFonts w:ascii="Times New Roman" w:eastAsia="Calibri" w:hAnsi="Times New Roman" w:cs="Times New Roman"/>
          <w:color w:val="767171"/>
          <w:spacing w:val="20"/>
          <w:sz w:val="24"/>
          <w:szCs w:val="24"/>
        </w:rPr>
        <w:t xml:space="preserve"> </w:t>
      </w:r>
      <w:r w:rsidR="00940530" w:rsidRPr="006A0747">
        <w:rPr>
          <w:rFonts w:ascii="Times New Roman" w:eastAsia="Calibri" w:hAnsi="Times New Roman" w:cs="Times New Roman"/>
          <w:color w:val="767171"/>
          <w:spacing w:val="20"/>
          <w:sz w:val="24"/>
          <w:szCs w:val="24"/>
        </w:rPr>
        <w:t xml:space="preserve">el </w:t>
      </w:r>
      <w:r w:rsidR="00940530" w:rsidRPr="006A0747">
        <w:rPr>
          <w:rFonts w:ascii="Times New Roman" w:eastAsia="Calibri" w:hAnsi="Times New Roman" w:cs="Times New Roman"/>
          <w:b/>
          <w:color w:val="767171"/>
          <w:spacing w:val="20"/>
          <w:sz w:val="24"/>
          <w:szCs w:val="24"/>
        </w:rPr>
        <w:t>Portal de Administración Monetaria y Financiera (PAMF),</w:t>
      </w:r>
      <w:r w:rsidR="00940530" w:rsidRPr="006A0747">
        <w:rPr>
          <w:rFonts w:ascii="Times New Roman" w:eastAsia="Calibri" w:hAnsi="Times New Roman" w:cs="Times New Roman"/>
          <w:color w:val="767171"/>
          <w:spacing w:val="20"/>
          <w:sz w:val="24"/>
          <w:szCs w:val="24"/>
        </w:rPr>
        <w:t xml:space="preserve"> </w:t>
      </w:r>
      <w:r w:rsidRPr="006A0747">
        <w:rPr>
          <w:rFonts w:ascii="Times New Roman" w:eastAsia="Calibri" w:hAnsi="Times New Roman" w:cs="Times New Roman"/>
          <w:color w:val="767171"/>
          <w:spacing w:val="20"/>
          <w:sz w:val="24"/>
          <w:szCs w:val="24"/>
        </w:rPr>
        <w:t>un espacio</w:t>
      </w:r>
      <w:r w:rsidRPr="006A0747">
        <w:rPr>
          <w:rFonts w:ascii="Times New Roman" w:eastAsia="Calibri" w:hAnsi="Times New Roman" w:cs="Times New Roman"/>
          <w:b/>
          <w:color w:val="767171"/>
          <w:spacing w:val="20"/>
          <w:sz w:val="24"/>
          <w:szCs w:val="24"/>
        </w:rPr>
        <w:t xml:space="preserve"> </w:t>
      </w:r>
      <w:r w:rsidRPr="006A0747">
        <w:rPr>
          <w:rFonts w:ascii="Times New Roman" w:eastAsia="Calibri" w:hAnsi="Times New Roman" w:cs="Times New Roman"/>
          <w:color w:val="767171"/>
          <w:spacing w:val="20"/>
          <w:sz w:val="24"/>
          <w:szCs w:val="24"/>
        </w:rPr>
        <w:t>que les permite remitir información a los reguladores</w:t>
      </w:r>
      <w:r w:rsidRPr="006A0747">
        <w:rPr>
          <w:rFonts w:ascii="Times New Roman" w:eastAsia="Calibri" w:hAnsi="Times New Roman" w:cs="Times New Roman"/>
          <w:b/>
          <w:color w:val="767171"/>
          <w:spacing w:val="20"/>
          <w:sz w:val="24"/>
          <w:szCs w:val="24"/>
        </w:rPr>
        <w:t xml:space="preserve"> </w:t>
      </w:r>
      <w:r w:rsidRPr="006A0747">
        <w:rPr>
          <w:rFonts w:ascii="Times New Roman" w:eastAsia="Calibri" w:hAnsi="Times New Roman" w:cs="Times New Roman"/>
          <w:color w:val="767171"/>
          <w:spacing w:val="20"/>
          <w:sz w:val="24"/>
          <w:szCs w:val="24"/>
        </w:rPr>
        <w:t>y supervisores</w:t>
      </w:r>
      <w:r w:rsidR="005A7DBF" w:rsidRPr="006A0747">
        <w:rPr>
          <w:rFonts w:ascii="Times New Roman" w:eastAsia="Calibri" w:hAnsi="Times New Roman" w:cs="Times New Roman"/>
          <w:color w:val="767171"/>
          <w:spacing w:val="20"/>
          <w:sz w:val="24"/>
          <w:szCs w:val="24"/>
        </w:rPr>
        <w:t>,</w:t>
      </w:r>
      <w:r w:rsidR="006A70DB" w:rsidRPr="006A0747">
        <w:rPr>
          <w:rFonts w:ascii="Times New Roman" w:eastAsia="Calibri" w:hAnsi="Times New Roman" w:cs="Times New Roman"/>
          <w:color w:val="767171"/>
          <w:spacing w:val="20"/>
          <w:sz w:val="24"/>
          <w:szCs w:val="24"/>
        </w:rPr>
        <w:t xml:space="preserve"> </w:t>
      </w:r>
      <w:r w:rsidR="005A7DBF" w:rsidRPr="006A0747">
        <w:rPr>
          <w:rFonts w:ascii="Times New Roman" w:eastAsia="Calibri" w:hAnsi="Times New Roman" w:cs="Times New Roman"/>
          <w:color w:val="767171"/>
          <w:spacing w:val="20"/>
          <w:sz w:val="24"/>
          <w:szCs w:val="24"/>
        </w:rPr>
        <w:t>tanto</w:t>
      </w:r>
      <w:r w:rsidR="006A70DB" w:rsidRPr="006A0747">
        <w:rPr>
          <w:rFonts w:ascii="Times New Roman" w:eastAsia="Calibri" w:hAnsi="Times New Roman" w:cs="Times New Roman"/>
          <w:color w:val="767171"/>
          <w:spacing w:val="20"/>
          <w:sz w:val="24"/>
          <w:szCs w:val="24"/>
        </w:rPr>
        <w:t xml:space="preserve"> de </w:t>
      </w:r>
      <w:r w:rsidR="005A7DBF" w:rsidRPr="006A0747">
        <w:rPr>
          <w:rFonts w:ascii="Times New Roman" w:eastAsia="Calibri" w:hAnsi="Times New Roman" w:cs="Times New Roman"/>
          <w:color w:val="767171"/>
          <w:spacing w:val="20"/>
          <w:sz w:val="24"/>
          <w:szCs w:val="24"/>
        </w:rPr>
        <w:t>la SB como del Banco Central</w:t>
      </w:r>
      <w:r w:rsidRPr="006A0747">
        <w:rPr>
          <w:rFonts w:ascii="Times New Roman" w:eastAsia="Calibri" w:hAnsi="Times New Roman" w:cs="Times New Roman"/>
          <w:color w:val="767171"/>
          <w:spacing w:val="20"/>
          <w:sz w:val="24"/>
          <w:szCs w:val="24"/>
        </w:rPr>
        <w:t>, simultáneamente, reduciendo</w:t>
      </w:r>
      <w:r w:rsidRPr="006A0747">
        <w:rPr>
          <w:rFonts w:ascii="Times New Roman" w:eastAsia="Calibri" w:hAnsi="Times New Roman" w:cs="Times New Roman"/>
          <w:b/>
          <w:color w:val="767171"/>
          <w:spacing w:val="20"/>
          <w:sz w:val="24"/>
          <w:szCs w:val="24"/>
        </w:rPr>
        <w:t xml:space="preserve"> </w:t>
      </w:r>
      <w:r w:rsidRPr="006A0747">
        <w:rPr>
          <w:rFonts w:ascii="Times New Roman" w:eastAsia="Calibri" w:hAnsi="Times New Roman" w:cs="Times New Roman"/>
          <w:color w:val="767171"/>
          <w:spacing w:val="20"/>
          <w:sz w:val="24"/>
          <w:szCs w:val="24"/>
        </w:rPr>
        <w:t>tiempo, costos y evitando la duplicidad de reportería</w:t>
      </w:r>
      <w:r w:rsidRPr="006A0747">
        <w:rPr>
          <w:rFonts w:ascii="Times New Roman" w:eastAsia="Calibri" w:hAnsi="Times New Roman" w:cs="Times New Roman"/>
          <w:b/>
          <w:color w:val="767171"/>
          <w:spacing w:val="20"/>
          <w:sz w:val="24"/>
          <w:szCs w:val="24"/>
        </w:rPr>
        <w:t xml:space="preserve"> </w:t>
      </w:r>
      <w:r w:rsidRPr="006A0747">
        <w:rPr>
          <w:rFonts w:ascii="Times New Roman" w:eastAsia="Calibri" w:hAnsi="Times New Roman" w:cs="Times New Roman"/>
          <w:color w:val="767171"/>
          <w:spacing w:val="20"/>
          <w:sz w:val="24"/>
          <w:szCs w:val="24"/>
        </w:rPr>
        <w:t>regulatoria.</w:t>
      </w:r>
    </w:p>
    <w:p w14:paraId="1EECB8D2" w14:textId="475783C7" w:rsidR="00257092" w:rsidRPr="006A0747" w:rsidRDefault="00257092" w:rsidP="00257092">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Asimismo, la Superintendencia desarrolló el </w:t>
      </w:r>
      <w:r w:rsidRPr="006A0747">
        <w:rPr>
          <w:rFonts w:ascii="Times New Roman" w:eastAsia="Calibri" w:hAnsi="Times New Roman" w:cs="Times New Roman"/>
          <w:b/>
          <w:color w:val="767171"/>
          <w:spacing w:val="20"/>
          <w:sz w:val="24"/>
          <w:szCs w:val="24"/>
        </w:rPr>
        <w:t>Sistema de Información del Mercado Bancario</w:t>
      </w:r>
      <w:r w:rsidRPr="006A0747">
        <w:rPr>
          <w:rFonts w:ascii="Times New Roman" w:eastAsia="Calibri" w:hAnsi="Times New Roman" w:cs="Times New Roman"/>
          <w:color w:val="767171"/>
          <w:spacing w:val="20"/>
          <w:sz w:val="24"/>
          <w:szCs w:val="24"/>
        </w:rPr>
        <w:t xml:space="preserve"> </w:t>
      </w:r>
      <w:r w:rsidRPr="006A0747">
        <w:rPr>
          <w:rFonts w:ascii="Times New Roman" w:eastAsia="Calibri" w:hAnsi="Times New Roman" w:cs="Times New Roman"/>
          <w:b/>
          <w:color w:val="767171"/>
          <w:spacing w:val="20"/>
          <w:sz w:val="24"/>
          <w:szCs w:val="24"/>
        </w:rPr>
        <w:t>Dominicano (SIMBAD)</w:t>
      </w:r>
      <w:r w:rsidRPr="006A0747">
        <w:rPr>
          <w:rFonts w:ascii="Times New Roman" w:eastAsia="Calibri" w:hAnsi="Times New Roman" w:cs="Times New Roman"/>
          <w:color w:val="767171"/>
          <w:spacing w:val="20"/>
          <w:sz w:val="24"/>
          <w:szCs w:val="24"/>
        </w:rPr>
        <w:t>, un portal de estadísticas que brinda acceso rápido, fácil e intuitivo a la información del sector en tiempo real</w:t>
      </w:r>
      <w:r w:rsidR="000E269A" w:rsidRPr="006A0747">
        <w:rPr>
          <w:rFonts w:ascii="Times New Roman" w:eastAsia="Calibri" w:hAnsi="Times New Roman" w:cs="Times New Roman"/>
          <w:color w:val="767171"/>
          <w:spacing w:val="20"/>
          <w:sz w:val="24"/>
          <w:szCs w:val="24"/>
        </w:rPr>
        <w:t>, contando</w:t>
      </w:r>
      <w:r w:rsidRPr="006A0747">
        <w:rPr>
          <w:rFonts w:ascii="Times New Roman" w:eastAsia="Calibri" w:hAnsi="Times New Roman" w:cs="Times New Roman"/>
          <w:color w:val="767171"/>
          <w:spacing w:val="20"/>
          <w:sz w:val="24"/>
          <w:szCs w:val="24"/>
        </w:rPr>
        <w:t xml:space="preserve"> con un API que permite interactuar con los datos y visualizar los tableros según la preferencia del usuario o la usuaria, entidades supervisadas, analistas, comunicadores/as y público general</w:t>
      </w:r>
      <w:r w:rsidR="000E269A" w:rsidRPr="006A0747">
        <w:rPr>
          <w:rFonts w:ascii="Times New Roman" w:eastAsia="Calibri" w:hAnsi="Times New Roman" w:cs="Times New Roman"/>
          <w:color w:val="767171"/>
          <w:spacing w:val="20"/>
          <w:sz w:val="24"/>
          <w:szCs w:val="24"/>
        </w:rPr>
        <w:t>.</w:t>
      </w:r>
    </w:p>
    <w:p w14:paraId="656538CE" w14:textId="77777777" w:rsidR="0037100F" w:rsidRPr="006A0747" w:rsidRDefault="00713426" w:rsidP="00257092">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Con miras a fortalecer</w:t>
      </w:r>
      <w:r w:rsidR="00002332" w:rsidRPr="006A0747">
        <w:rPr>
          <w:rFonts w:ascii="Times New Roman" w:eastAsia="Calibri" w:hAnsi="Times New Roman" w:cs="Times New Roman"/>
          <w:color w:val="767171"/>
          <w:spacing w:val="20"/>
          <w:sz w:val="24"/>
          <w:szCs w:val="24"/>
        </w:rPr>
        <w:t xml:space="preserve"> la cultura de </w:t>
      </w:r>
      <w:r w:rsidR="00496FCD" w:rsidRPr="006A0747">
        <w:rPr>
          <w:rFonts w:ascii="Times New Roman" w:eastAsia="Calibri" w:hAnsi="Times New Roman" w:cs="Times New Roman"/>
          <w:color w:val="767171"/>
          <w:spacing w:val="20"/>
          <w:sz w:val="24"/>
          <w:szCs w:val="24"/>
        </w:rPr>
        <w:t>transparenci</w:t>
      </w:r>
      <w:r w:rsidR="00AD4031" w:rsidRPr="006A0747">
        <w:rPr>
          <w:rFonts w:ascii="Times New Roman" w:eastAsia="Calibri" w:hAnsi="Times New Roman" w:cs="Times New Roman"/>
          <w:color w:val="767171"/>
          <w:spacing w:val="20"/>
          <w:sz w:val="24"/>
          <w:szCs w:val="24"/>
        </w:rPr>
        <w:t xml:space="preserve">a y </w:t>
      </w:r>
      <w:r w:rsidR="00496FCD" w:rsidRPr="006A0747">
        <w:rPr>
          <w:rFonts w:ascii="Times New Roman" w:eastAsia="Calibri" w:hAnsi="Times New Roman" w:cs="Times New Roman"/>
          <w:color w:val="767171"/>
          <w:spacing w:val="20"/>
          <w:sz w:val="24"/>
          <w:szCs w:val="24"/>
        </w:rPr>
        <w:t>apego a las normas éticas, la SB</w:t>
      </w:r>
      <w:r w:rsidR="00A442C1" w:rsidRPr="006A0747">
        <w:rPr>
          <w:rFonts w:ascii="Times New Roman" w:eastAsia="Calibri" w:hAnsi="Times New Roman" w:cs="Times New Roman"/>
          <w:color w:val="767171"/>
          <w:spacing w:val="20"/>
          <w:sz w:val="24"/>
          <w:szCs w:val="24"/>
        </w:rPr>
        <w:t xml:space="preserve"> </w:t>
      </w:r>
      <w:r w:rsidR="00452652" w:rsidRPr="006A0747">
        <w:rPr>
          <w:rFonts w:ascii="Times New Roman" w:eastAsia="Calibri" w:hAnsi="Times New Roman" w:cs="Times New Roman"/>
          <w:color w:val="767171"/>
          <w:spacing w:val="20"/>
          <w:sz w:val="24"/>
          <w:szCs w:val="24"/>
        </w:rPr>
        <w:t>llevó a cabo una serie de iniciativas</w:t>
      </w:r>
      <w:r w:rsidR="001F5806" w:rsidRPr="006A0747">
        <w:rPr>
          <w:rFonts w:ascii="Times New Roman" w:eastAsia="Calibri" w:hAnsi="Times New Roman" w:cs="Times New Roman"/>
          <w:color w:val="767171"/>
          <w:spacing w:val="20"/>
          <w:sz w:val="24"/>
          <w:szCs w:val="24"/>
        </w:rPr>
        <w:t xml:space="preserve"> desde </w:t>
      </w:r>
      <w:r w:rsidR="00C7004F" w:rsidRPr="006A0747">
        <w:rPr>
          <w:rFonts w:ascii="Times New Roman" w:eastAsia="Calibri" w:hAnsi="Times New Roman" w:cs="Times New Roman"/>
          <w:color w:val="767171"/>
          <w:spacing w:val="20"/>
          <w:sz w:val="24"/>
          <w:szCs w:val="24"/>
        </w:rPr>
        <w:t>agosto 2020</w:t>
      </w:r>
      <w:r w:rsidR="009E4A3B" w:rsidRPr="006A0747">
        <w:rPr>
          <w:rFonts w:ascii="Times New Roman" w:eastAsia="Calibri" w:hAnsi="Times New Roman" w:cs="Times New Roman"/>
          <w:color w:val="767171"/>
          <w:spacing w:val="20"/>
          <w:sz w:val="24"/>
          <w:szCs w:val="24"/>
        </w:rPr>
        <w:t>, entre estas se destacan:</w:t>
      </w:r>
    </w:p>
    <w:p w14:paraId="5309E7B7" w14:textId="77777777" w:rsidR="0037100F" w:rsidRPr="006A0747" w:rsidRDefault="00257092">
      <w:pPr>
        <w:pStyle w:val="Prrafodelista"/>
        <w:numPr>
          <w:ilvl w:val="0"/>
          <w:numId w:val="14"/>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b/>
          <w:color w:val="767171"/>
          <w:spacing w:val="20"/>
          <w:sz w:val="24"/>
          <w:szCs w:val="24"/>
        </w:rPr>
        <w:t>Certificación del</w:t>
      </w:r>
      <w:r w:rsidRPr="006A0747">
        <w:rPr>
          <w:rFonts w:ascii="Times New Roman" w:eastAsia="Calibri" w:hAnsi="Times New Roman" w:cs="Times New Roman"/>
          <w:color w:val="767171"/>
          <w:spacing w:val="20"/>
          <w:sz w:val="24"/>
          <w:szCs w:val="24"/>
        </w:rPr>
        <w:t xml:space="preserve"> </w:t>
      </w:r>
      <w:r w:rsidRPr="006A0747">
        <w:rPr>
          <w:rFonts w:ascii="Times New Roman" w:eastAsia="Calibri" w:hAnsi="Times New Roman" w:cs="Times New Roman"/>
          <w:b/>
          <w:color w:val="767171"/>
          <w:spacing w:val="20"/>
          <w:sz w:val="24"/>
          <w:szCs w:val="24"/>
        </w:rPr>
        <w:t>Programa de Aseguramiento y Mejora de la</w:t>
      </w:r>
      <w:r w:rsidRPr="006A0747">
        <w:rPr>
          <w:rFonts w:ascii="Times New Roman" w:eastAsia="Calibri" w:hAnsi="Times New Roman" w:cs="Times New Roman"/>
          <w:color w:val="767171"/>
          <w:spacing w:val="20"/>
          <w:sz w:val="24"/>
          <w:szCs w:val="24"/>
        </w:rPr>
        <w:t xml:space="preserve"> </w:t>
      </w:r>
      <w:r w:rsidRPr="006A0747">
        <w:rPr>
          <w:rFonts w:ascii="Times New Roman" w:eastAsia="Calibri" w:hAnsi="Times New Roman" w:cs="Times New Roman"/>
          <w:b/>
          <w:color w:val="767171"/>
          <w:spacing w:val="20"/>
          <w:sz w:val="24"/>
          <w:szCs w:val="24"/>
        </w:rPr>
        <w:t>Calidad para las Prácticas de Auditoría Interna</w:t>
      </w:r>
      <w:r w:rsidRPr="006A0747">
        <w:rPr>
          <w:rFonts w:ascii="Times New Roman" w:eastAsia="Calibri" w:hAnsi="Times New Roman" w:cs="Times New Roman"/>
          <w:color w:val="767171"/>
          <w:spacing w:val="20"/>
          <w:sz w:val="24"/>
          <w:szCs w:val="24"/>
        </w:rPr>
        <w:t xml:space="preserve">, otorgada </w:t>
      </w:r>
      <w:r w:rsidRPr="006A0747">
        <w:rPr>
          <w:rFonts w:ascii="Times New Roman" w:eastAsia="Calibri" w:hAnsi="Times New Roman" w:cs="Times New Roman"/>
          <w:color w:val="767171"/>
          <w:spacing w:val="20"/>
          <w:sz w:val="24"/>
          <w:szCs w:val="24"/>
        </w:rPr>
        <w:lastRenderedPageBreak/>
        <w:t xml:space="preserve">por el </w:t>
      </w:r>
      <w:proofErr w:type="spellStart"/>
      <w:r w:rsidRPr="006A0747">
        <w:rPr>
          <w:rFonts w:ascii="Times New Roman" w:eastAsia="Calibri" w:hAnsi="Times New Roman" w:cs="Times New Roman"/>
          <w:i/>
          <w:color w:val="767171"/>
          <w:spacing w:val="20"/>
          <w:sz w:val="24"/>
          <w:szCs w:val="24"/>
        </w:rPr>
        <w:t>Institute</w:t>
      </w:r>
      <w:proofErr w:type="spellEnd"/>
      <w:r w:rsidRPr="006A0747">
        <w:rPr>
          <w:rFonts w:ascii="Times New Roman" w:eastAsia="Calibri" w:hAnsi="Times New Roman" w:cs="Times New Roman"/>
          <w:i/>
          <w:color w:val="767171"/>
          <w:spacing w:val="20"/>
          <w:sz w:val="24"/>
          <w:szCs w:val="24"/>
        </w:rPr>
        <w:t xml:space="preserve"> </w:t>
      </w:r>
      <w:proofErr w:type="spellStart"/>
      <w:r w:rsidRPr="006A0747">
        <w:rPr>
          <w:rFonts w:ascii="Times New Roman" w:eastAsia="Calibri" w:hAnsi="Times New Roman" w:cs="Times New Roman"/>
          <w:i/>
          <w:color w:val="767171"/>
          <w:spacing w:val="20"/>
          <w:sz w:val="24"/>
          <w:szCs w:val="24"/>
        </w:rPr>
        <w:t>of</w:t>
      </w:r>
      <w:proofErr w:type="spellEnd"/>
      <w:r w:rsidRPr="006A0747">
        <w:rPr>
          <w:rFonts w:ascii="Times New Roman" w:eastAsia="Calibri" w:hAnsi="Times New Roman" w:cs="Times New Roman"/>
          <w:i/>
          <w:color w:val="767171"/>
          <w:spacing w:val="20"/>
          <w:sz w:val="24"/>
          <w:szCs w:val="24"/>
        </w:rPr>
        <w:t xml:space="preserve"> </w:t>
      </w:r>
      <w:proofErr w:type="spellStart"/>
      <w:r w:rsidRPr="006A0747">
        <w:rPr>
          <w:rFonts w:ascii="Times New Roman" w:eastAsia="Calibri" w:hAnsi="Times New Roman" w:cs="Times New Roman"/>
          <w:i/>
          <w:color w:val="767171"/>
          <w:spacing w:val="20"/>
          <w:sz w:val="24"/>
          <w:szCs w:val="24"/>
        </w:rPr>
        <w:t>Internal</w:t>
      </w:r>
      <w:proofErr w:type="spellEnd"/>
      <w:r w:rsidRPr="006A0747">
        <w:rPr>
          <w:rFonts w:ascii="Times New Roman" w:eastAsia="Calibri" w:hAnsi="Times New Roman" w:cs="Times New Roman"/>
          <w:i/>
          <w:color w:val="767171"/>
          <w:spacing w:val="20"/>
          <w:sz w:val="24"/>
          <w:szCs w:val="24"/>
        </w:rPr>
        <w:t xml:space="preserve"> </w:t>
      </w:r>
      <w:proofErr w:type="spellStart"/>
      <w:r w:rsidRPr="006A0747">
        <w:rPr>
          <w:rFonts w:ascii="Times New Roman" w:eastAsia="Calibri" w:hAnsi="Times New Roman" w:cs="Times New Roman"/>
          <w:i/>
          <w:color w:val="767171"/>
          <w:spacing w:val="20"/>
          <w:sz w:val="24"/>
          <w:szCs w:val="24"/>
        </w:rPr>
        <w:t>Auditors</w:t>
      </w:r>
      <w:proofErr w:type="spellEnd"/>
      <w:r w:rsidRPr="006A0747">
        <w:rPr>
          <w:rFonts w:ascii="Times New Roman" w:eastAsia="Calibri" w:hAnsi="Times New Roman" w:cs="Times New Roman"/>
          <w:color w:val="767171"/>
          <w:spacing w:val="20"/>
          <w:sz w:val="24"/>
          <w:szCs w:val="24"/>
        </w:rPr>
        <w:t xml:space="preserve"> y el Instituto de Auditores Internos de la República Dominicana. La institución fue la tercera del país en lograr esta insignia.</w:t>
      </w:r>
    </w:p>
    <w:p w14:paraId="0AFD61EF" w14:textId="7E1C5690" w:rsidR="008C21E7" w:rsidRPr="006A0747" w:rsidRDefault="00904817">
      <w:pPr>
        <w:pStyle w:val="Prrafodelista"/>
        <w:numPr>
          <w:ilvl w:val="0"/>
          <w:numId w:val="14"/>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Adopción de la Ley General de Compras y Contrataciones 340-06</w:t>
      </w:r>
      <w:r w:rsidR="0037100F" w:rsidRPr="006A0747">
        <w:rPr>
          <w:rFonts w:ascii="Times New Roman" w:eastAsia="Calibri" w:hAnsi="Times New Roman" w:cs="Times New Roman"/>
          <w:color w:val="767171"/>
          <w:spacing w:val="20"/>
          <w:sz w:val="24"/>
          <w:szCs w:val="24"/>
        </w:rPr>
        <w:t>, con un p</w:t>
      </w:r>
      <w:r w:rsidR="001E748B" w:rsidRPr="006A0747">
        <w:rPr>
          <w:rFonts w:ascii="Times New Roman" w:eastAsia="Calibri" w:hAnsi="Times New Roman" w:cs="Times New Roman"/>
          <w:color w:val="767171"/>
          <w:spacing w:val="20"/>
          <w:sz w:val="24"/>
          <w:szCs w:val="24"/>
        </w:rPr>
        <w:t xml:space="preserve">untaje </w:t>
      </w:r>
      <w:r w:rsidR="0037100F" w:rsidRPr="006A0747">
        <w:rPr>
          <w:rFonts w:ascii="Times New Roman" w:eastAsia="Calibri" w:hAnsi="Times New Roman" w:cs="Times New Roman"/>
          <w:color w:val="767171"/>
          <w:spacing w:val="20"/>
          <w:sz w:val="24"/>
          <w:szCs w:val="24"/>
        </w:rPr>
        <w:t xml:space="preserve">a la fecha </w:t>
      </w:r>
      <w:r w:rsidR="001E748B" w:rsidRPr="006A0747">
        <w:rPr>
          <w:rFonts w:ascii="Times New Roman" w:eastAsia="Calibri" w:hAnsi="Times New Roman" w:cs="Times New Roman"/>
          <w:color w:val="767171"/>
          <w:spacing w:val="20"/>
          <w:sz w:val="24"/>
          <w:szCs w:val="24"/>
        </w:rPr>
        <w:t>en el SISCOMPRAS de 97.5%</w:t>
      </w:r>
      <w:r w:rsidR="008C21E7" w:rsidRPr="006A0747">
        <w:rPr>
          <w:rFonts w:ascii="Times New Roman" w:eastAsia="Calibri" w:hAnsi="Times New Roman" w:cs="Times New Roman"/>
          <w:color w:val="767171"/>
          <w:spacing w:val="20"/>
          <w:sz w:val="24"/>
          <w:szCs w:val="24"/>
        </w:rPr>
        <w:t>, por encima de</w:t>
      </w:r>
      <w:r w:rsidR="005A59A0" w:rsidRPr="006A0747">
        <w:rPr>
          <w:rFonts w:ascii="Times New Roman" w:eastAsia="Calibri" w:hAnsi="Times New Roman" w:cs="Times New Roman"/>
          <w:color w:val="767171"/>
          <w:spacing w:val="20"/>
          <w:sz w:val="24"/>
          <w:szCs w:val="24"/>
        </w:rPr>
        <w:t xml:space="preserve">l </w:t>
      </w:r>
      <w:r w:rsidR="009F4C97" w:rsidRPr="006A0747">
        <w:rPr>
          <w:rFonts w:ascii="Times New Roman" w:eastAsia="Calibri" w:hAnsi="Times New Roman" w:cs="Times New Roman"/>
          <w:color w:val="767171"/>
          <w:spacing w:val="20"/>
          <w:sz w:val="24"/>
          <w:szCs w:val="24"/>
        </w:rPr>
        <w:t>8</w:t>
      </w:r>
      <w:r w:rsidR="005A59A0" w:rsidRPr="006A0747">
        <w:rPr>
          <w:rFonts w:ascii="Times New Roman" w:eastAsia="Calibri" w:hAnsi="Times New Roman" w:cs="Times New Roman"/>
          <w:color w:val="767171"/>
          <w:spacing w:val="20"/>
          <w:sz w:val="24"/>
          <w:szCs w:val="24"/>
        </w:rPr>
        <w:t xml:space="preserve">4.3% </w:t>
      </w:r>
      <w:r w:rsidR="008C21E7" w:rsidRPr="006A0747">
        <w:rPr>
          <w:rFonts w:ascii="Times New Roman" w:eastAsia="Calibri" w:hAnsi="Times New Roman" w:cs="Times New Roman"/>
          <w:color w:val="767171"/>
          <w:spacing w:val="20"/>
          <w:sz w:val="24"/>
          <w:szCs w:val="24"/>
        </w:rPr>
        <w:t>promedio del sector público</w:t>
      </w:r>
      <w:r w:rsidR="005A59A0" w:rsidRPr="006A0747">
        <w:rPr>
          <w:rFonts w:ascii="Times New Roman" w:eastAsia="Calibri" w:hAnsi="Times New Roman" w:cs="Times New Roman"/>
          <w:color w:val="767171"/>
          <w:spacing w:val="20"/>
          <w:sz w:val="24"/>
          <w:szCs w:val="24"/>
        </w:rPr>
        <w:t>.</w:t>
      </w:r>
    </w:p>
    <w:p w14:paraId="0987E24C" w14:textId="143709CF" w:rsidR="00707718" w:rsidRPr="006A0747" w:rsidRDefault="00707718" w:rsidP="00702D2B">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En lo referente a desarrollo organizacional, desde el 2020, uno de los principales enfoques ha sido el de la implementación de un sistema de gestión avalado por su eficacia y conformidad con </w:t>
      </w:r>
      <w:r w:rsidR="00242F6C" w:rsidRPr="006A0747">
        <w:rPr>
          <w:rFonts w:ascii="Times New Roman" w:eastAsia="Calibri" w:hAnsi="Times New Roman" w:cs="Times New Roman"/>
          <w:color w:val="767171"/>
          <w:spacing w:val="20"/>
          <w:sz w:val="24"/>
          <w:szCs w:val="24"/>
        </w:rPr>
        <w:t>modelos</w:t>
      </w:r>
      <w:r w:rsidRPr="006A0747">
        <w:rPr>
          <w:rFonts w:ascii="Times New Roman" w:eastAsia="Calibri" w:hAnsi="Times New Roman" w:cs="Times New Roman"/>
          <w:color w:val="767171"/>
          <w:spacing w:val="20"/>
          <w:sz w:val="24"/>
          <w:szCs w:val="24"/>
        </w:rPr>
        <w:t xml:space="preserve"> internacionales. En este sentido</w:t>
      </w:r>
      <w:r w:rsidR="00D76A1E" w:rsidRPr="006A0747">
        <w:rPr>
          <w:rFonts w:ascii="Times New Roman" w:eastAsia="Calibri" w:hAnsi="Times New Roman" w:cs="Times New Roman"/>
          <w:color w:val="767171"/>
          <w:spacing w:val="20"/>
          <w:sz w:val="24"/>
          <w:szCs w:val="24"/>
        </w:rPr>
        <w:t>,</w:t>
      </w:r>
      <w:r w:rsidRPr="006A0747">
        <w:rPr>
          <w:rFonts w:ascii="Times New Roman" w:eastAsia="Calibri" w:hAnsi="Times New Roman" w:cs="Times New Roman"/>
          <w:color w:val="767171"/>
          <w:spacing w:val="20"/>
          <w:sz w:val="24"/>
          <w:szCs w:val="24"/>
        </w:rPr>
        <w:t xml:space="preserve"> </w:t>
      </w:r>
      <w:r w:rsidR="00D76A1E" w:rsidRPr="006A0747">
        <w:rPr>
          <w:rFonts w:ascii="Times New Roman" w:eastAsia="Calibri" w:hAnsi="Times New Roman" w:cs="Times New Roman"/>
          <w:color w:val="767171"/>
          <w:spacing w:val="20"/>
          <w:sz w:val="24"/>
          <w:szCs w:val="24"/>
        </w:rPr>
        <w:t xml:space="preserve">la SB ha </w:t>
      </w:r>
      <w:r w:rsidR="00B0095A" w:rsidRPr="006A0747">
        <w:rPr>
          <w:rFonts w:ascii="Times New Roman" w:eastAsia="Calibri" w:hAnsi="Times New Roman" w:cs="Times New Roman"/>
          <w:color w:val="767171"/>
          <w:spacing w:val="20"/>
          <w:sz w:val="24"/>
          <w:szCs w:val="24"/>
        </w:rPr>
        <w:t>obtenido</w:t>
      </w:r>
      <w:r w:rsidR="008357BA" w:rsidRPr="006A0747">
        <w:rPr>
          <w:rFonts w:ascii="Times New Roman" w:eastAsia="Calibri" w:hAnsi="Times New Roman" w:cs="Times New Roman"/>
          <w:color w:val="767171"/>
          <w:spacing w:val="20"/>
          <w:sz w:val="24"/>
          <w:szCs w:val="24"/>
        </w:rPr>
        <w:t xml:space="preserve"> certificaciones bajo los </w:t>
      </w:r>
      <w:r w:rsidR="00242F6C" w:rsidRPr="006A0747">
        <w:rPr>
          <w:rFonts w:ascii="Times New Roman" w:eastAsia="Calibri" w:hAnsi="Times New Roman" w:cs="Times New Roman"/>
          <w:color w:val="767171"/>
          <w:spacing w:val="20"/>
          <w:sz w:val="24"/>
          <w:szCs w:val="24"/>
        </w:rPr>
        <w:t>estándares</w:t>
      </w:r>
      <w:r w:rsidR="008357BA" w:rsidRPr="006A0747">
        <w:rPr>
          <w:rFonts w:ascii="Times New Roman" w:eastAsia="Calibri" w:hAnsi="Times New Roman" w:cs="Times New Roman"/>
          <w:color w:val="767171"/>
          <w:spacing w:val="20"/>
          <w:sz w:val="24"/>
          <w:szCs w:val="24"/>
        </w:rPr>
        <w:t xml:space="preserve"> citados a continuación</w:t>
      </w:r>
      <w:r w:rsidR="00D76A1E" w:rsidRPr="006A0747">
        <w:rPr>
          <w:rFonts w:ascii="Times New Roman" w:eastAsia="Calibri" w:hAnsi="Times New Roman" w:cs="Times New Roman"/>
          <w:color w:val="767171"/>
          <w:spacing w:val="20"/>
          <w:sz w:val="24"/>
          <w:szCs w:val="24"/>
        </w:rPr>
        <w:t>:</w:t>
      </w:r>
    </w:p>
    <w:p w14:paraId="4A7BD245" w14:textId="21B6F41F" w:rsidR="00702D2B" w:rsidRPr="006A0747" w:rsidRDefault="00702D2B" w:rsidP="00702D2B">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b/>
          <w:color w:val="767171"/>
          <w:spacing w:val="20"/>
          <w:sz w:val="24"/>
          <w:szCs w:val="24"/>
        </w:rPr>
        <w:t>• ISO 9001:2015 sobre Sistema de Gestión de la Calidad</w:t>
      </w:r>
      <w:r w:rsidRPr="006A0747">
        <w:rPr>
          <w:rFonts w:ascii="Times New Roman" w:eastAsia="Calibri" w:hAnsi="Times New Roman" w:cs="Times New Roman"/>
          <w:color w:val="767171"/>
          <w:spacing w:val="20"/>
          <w:sz w:val="24"/>
          <w:szCs w:val="24"/>
        </w:rPr>
        <w:t>, que certifica procesos seleccionados</w:t>
      </w:r>
      <w:r w:rsidRPr="006A0747">
        <w:rPr>
          <w:rFonts w:ascii="Times New Roman" w:eastAsia="Calibri" w:hAnsi="Times New Roman" w:cs="Times New Roman"/>
          <w:b/>
          <w:color w:val="767171"/>
          <w:spacing w:val="20"/>
          <w:sz w:val="24"/>
          <w:szCs w:val="24"/>
        </w:rPr>
        <w:t xml:space="preserve"> </w:t>
      </w:r>
      <w:r w:rsidRPr="006A0747">
        <w:rPr>
          <w:rFonts w:ascii="Times New Roman" w:eastAsia="Calibri" w:hAnsi="Times New Roman" w:cs="Times New Roman"/>
          <w:color w:val="767171"/>
          <w:spacing w:val="20"/>
          <w:sz w:val="24"/>
          <w:szCs w:val="24"/>
        </w:rPr>
        <w:t>de la Oficina de Servicios y Protección al Usuario</w:t>
      </w:r>
      <w:r w:rsidRPr="006A0747">
        <w:rPr>
          <w:rFonts w:ascii="Times New Roman" w:eastAsia="Calibri" w:hAnsi="Times New Roman" w:cs="Times New Roman"/>
          <w:b/>
          <w:color w:val="767171"/>
          <w:spacing w:val="20"/>
          <w:sz w:val="24"/>
          <w:szCs w:val="24"/>
        </w:rPr>
        <w:t xml:space="preserve"> </w:t>
      </w:r>
      <w:r w:rsidRPr="006A0747">
        <w:rPr>
          <w:rFonts w:ascii="Times New Roman" w:eastAsia="Calibri" w:hAnsi="Times New Roman" w:cs="Times New Roman"/>
          <w:color w:val="767171"/>
          <w:spacing w:val="20"/>
          <w:sz w:val="24"/>
          <w:szCs w:val="24"/>
        </w:rPr>
        <w:t>(ProUsuario) y los departamentos de Registros y</w:t>
      </w:r>
      <w:r w:rsidRPr="006A0747">
        <w:rPr>
          <w:rFonts w:ascii="Times New Roman" w:eastAsia="Calibri" w:hAnsi="Times New Roman" w:cs="Times New Roman"/>
          <w:b/>
          <w:color w:val="767171"/>
          <w:spacing w:val="20"/>
          <w:sz w:val="24"/>
          <w:szCs w:val="24"/>
        </w:rPr>
        <w:t xml:space="preserve"> </w:t>
      </w:r>
      <w:r w:rsidRPr="006A0747">
        <w:rPr>
          <w:rFonts w:ascii="Times New Roman" w:eastAsia="Calibri" w:hAnsi="Times New Roman" w:cs="Times New Roman"/>
          <w:color w:val="767171"/>
          <w:spacing w:val="20"/>
          <w:sz w:val="24"/>
          <w:szCs w:val="24"/>
        </w:rPr>
        <w:t>Autorizaciones, Sanciones, Monitoreo</w:t>
      </w:r>
      <w:r w:rsidRPr="006A0747">
        <w:rPr>
          <w:rFonts w:ascii="Times New Roman" w:eastAsia="Calibri" w:hAnsi="Times New Roman" w:cs="Times New Roman"/>
          <w:b/>
          <w:color w:val="767171"/>
          <w:spacing w:val="20"/>
          <w:sz w:val="24"/>
          <w:szCs w:val="24"/>
        </w:rPr>
        <w:t xml:space="preserve"> </w:t>
      </w:r>
      <w:r w:rsidRPr="006A0747">
        <w:rPr>
          <w:rFonts w:ascii="Times New Roman" w:eastAsia="Calibri" w:hAnsi="Times New Roman" w:cs="Times New Roman"/>
          <w:color w:val="767171"/>
          <w:spacing w:val="20"/>
          <w:sz w:val="24"/>
          <w:szCs w:val="24"/>
        </w:rPr>
        <w:t>de Riesgos</w:t>
      </w:r>
      <w:r w:rsidR="00B256B2" w:rsidRPr="006A0747">
        <w:rPr>
          <w:rFonts w:ascii="Times New Roman" w:eastAsia="Calibri" w:hAnsi="Times New Roman" w:cs="Times New Roman"/>
          <w:color w:val="767171"/>
          <w:spacing w:val="20"/>
          <w:sz w:val="24"/>
          <w:szCs w:val="24"/>
        </w:rPr>
        <w:t>,</w:t>
      </w:r>
      <w:r w:rsidRPr="006A0747">
        <w:rPr>
          <w:rFonts w:ascii="Times New Roman" w:eastAsia="Calibri" w:hAnsi="Times New Roman" w:cs="Times New Roman"/>
          <w:color w:val="767171"/>
          <w:spacing w:val="20"/>
          <w:sz w:val="24"/>
          <w:szCs w:val="24"/>
        </w:rPr>
        <w:t xml:space="preserve"> Supervisión para la Prevención del</w:t>
      </w:r>
      <w:r w:rsidRPr="006A0747">
        <w:rPr>
          <w:rFonts w:ascii="Times New Roman" w:eastAsia="Calibri" w:hAnsi="Times New Roman" w:cs="Times New Roman"/>
          <w:b/>
          <w:color w:val="767171"/>
          <w:spacing w:val="20"/>
          <w:sz w:val="24"/>
          <w:szCs w:val="24"/>
        </w:rPr>
        <w:t xml:space="preserve"> </w:t>
      </w:r>
      <w:r w:rsidRPr="006A0747">
        <w:rPr>
          <w:rFonts w:ascii="Times New Roman" w:eastAsia="Calibri" w:hAnsi="Times New Roman" w:cs="Times New Roman"/>
          <w:color w:val="767171"/>
          <w:spacing w:val="20"/>
          <w:sz w:val="24"/>
          <w:szCs w:val="24"/>
        </w:rPr>
        <w:t>Lavado de Activos y Financiamiento del Terrorismo</w:t>
      </w:r>
      <w:r w:rsidRPr="006A0747">
        <w:rPr>
          <w:rFonts w:ascii="Times New Roman" w:eastAsia="Calibri" w:hAnsi="Times New Roman" w:cs="Times New Roman"/>
          <w:b/>
          <w:color w:val="767171"/>
          <w:spacing w:val="20"/>
          <w:sz w:val="24"/>
          <w:szCs w:val="24"/>
        </w:rPr>
        <w:t xml:space="preserve"> </w:t>
      </w:r>
      <w:r w:rsidRPr="006A0747">
        <w:rPr>
          <w:rFonts w:ascii="Times New Roman" w:eastAsia="Calibri" w:hAnsi="Times New Roman" w:cs="Times New Roman"/>
          <w:color w:val="767171"/>
          <w:spacing w:val="20"/>
          <w:sz w:val="24"/>
          <w:szCs w:val="24"/>
        </w:rPr>
        <w:t>(PLAFT)</w:t>
      </w:r>
      <w:r w:rsidR="00B256B2" w:rsidRPr="006A0747">
        <w:rPr>
          <w:rFonts w:ascii="Times New Roman" w:eastAsia="Calibri" w:hAnsi="Times New Roman" w:cs="Times New Roman"/>
          <w:color w:val="767171"/>
          <w:spacing w:val="20"/>
          <w:sz w:val="24"/>
          <w:szCs w:val="24"/>
        </w:rPr>
        <w:t>, y Registro y Evaluación de Auditores Externos Autorizados.</w:t>
      </w:r>
    </w:p>
    <w:p w14:paraId="0B3E7032" w14:textId="77777777" w:rsidR="00702D2B" w:rsidRPr="006A0747" w:rsidRDefault="00702D2B" w:rsidP="00702D2B">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t xml:space="preserve">• </w:t>
      </w:r>
      <w:bookmarkStart w:id="9" w:name="_Hlk184805324"/>
      <w:r w:rsidRPr="006A0747">
        <w:rPr>
          <w:rFonts w:ascii="Times New Roman" w:eastAsia="Calibri" w:hAnsi="Times New Roman" w:cs="Times New Roman"/>
          <w:b/>
          <w:color w:val="767171"/>
          <w:spacing w:val="20"/>
          <w:sz w:val="24"/>
          <w:szCs w:val="24"/>
        </w:rPr>
        <w:t xml:space="preserve">ISO 37001:2016 Sistema de Gestión Antisoborno, </w:t>
      </w:r>
      <w:r w:rsidRPr="006A0747">
        <w:rPr>
          <w:rFonts w:ascii="Times New Roman" w:eastAsia="Calibri" w:hAnsi="Times New Roman" w:cs="Times New Roman"/>
          <w:color w:val="767171"/>
          <w:spacing w:val="20"/>
          <w:sz w:val="24"/>
          <w:szCs w:val="24"/>
        </w:rPr>
        <w:t>que valida los mecanismos internos</w:t>
      </w:r>
      <w:r w:rsidRPr="006A0747">
        <w:rPr>
          <w:rFonts w:ascii="Times New Roman" w:eastAsia="Calibri" w:hAnsi="Times New Roman" w:cs="Times New Roman"/>
          <w:b/>
          <w:color w:val="767171"/>
          <w:spacing w:val="20"/>
          <w:sz w:val="24"/>
          <w:szCs w:val="24"/>
        </w:rPr>
        <w:t xml:space="preserve"> </w:t>
      </w:r>
      <w:r w:rsidRPr="006A0747">
        <w:rPr>
          <w:rFonts w:ascii="Times New Roman" w:eastAsia="Calibri" w:hAnsi="Times New Roman" w:cs="Times New Roman"/>
          <w:color w:val="767171"/>
          <w:spacing w:val="20"/>
          <w:sz w:val="24"/>
          <w:szCs w:val="24"/>
        </w:rPr>
        <w:t>para prevenir, detectar y gestionar riesgos de</w:t>
      </w:r>
      <w:r w:rsidRPr="006A0747">
        <w:rPr>
          <w:rFonts w:ascii="Times New Roman" w:eastAsia="Calibri" w:hAnsi="Times New Roman" w:cs="Times New Roman"/>
          <w:b/>
          <w:color w:val="767171"/>
          <w:spacing w:val="20"/>
          <w:sz w:val="24"/>
          <w:szCs w:val="24"/>
        </w:rPr>
        <w:t xml:space="preserve"> </w:t>
      </w:r>
      <w:r w:rsidRPr="006A0747">
        <w:rPr>
          <w:rFonts w:ascii="Times New Roman" w:eastAsia="Calibri" w:hAnsi="Times New Roman" w:cs="Times New Roman"/>
          <w:color w:val="767171"/>
          <w:spacing w:val="20"/>
          <w:sz w:val="24"/>
          <w:szCs w:val="24"/>
        </w:rPr>
        <w:t>prácticas de soborno, con alcance sobre los procedimientos</w:t>
      </w:r>
      <w:r w:rsidRPr="006A0747">
        <w:rPr>
          <w:rFonts w:ascii="Times New Roman" w:eastAsia="Calibri" w:hAnsi="Times New Roman" w:cs="Times New Roman"/>
          <w:b/>
          <w:color w:val="767171"/>
          <w:spacing w:val="20"/>
          <w:sz w:val="24"/>
          <w:szCs w:val="24"/>
        </w:rPr>
        <w:t xml:space="preserve"> </w:t>
      </w:r>
      <w:r w:rsidRPr="006A0747">
        <w:rPr>
          <w:rFonts w:ascii="Times New Roman" w:eastAsia="Calibri" w:hAnsi="Times New Roman" w:cs="Times New Roman"/>
          <w:color w:val="767171"/>
          <w:spacing w:val="20"/>
          <w:sz w:val="24"/>
          <w:szCs w:val="24"/>
        </w:rPr>
        <w:t>de los departamentos de Sanciones,</w:t>
      </w:r>
      <w:r w:rsidRPr="006A0747">
        <w:rPr>
          <w:rFonts w:ascii="Times New Roman" w:eastAsia="Calibri" w:hAnsi="Times New Roman" w:cs="Times New Roman"/>
          <w:b/>
          <w:color w:val="767171"/>
          <w:spacing w:val="20"/>
          <w:sz w:val="24"/>
          <w:szCs w:val="24"/>
        </w:rPr>
        <w:t xml:space="preserve"> </w:t>
      </w:r>
      <w:r w:rsidRPr="006A0747">
        <w:rPr>
          <w:rFonts w:ascii="Times New Roman" w:eastAsia="Calibri" w:hAnsi="Times New Roman" w:cs="Times New Roman"/>
          <w:color w:val="767171"/>
          <w:spacing w:val="20"/>
          <w:sz w:val="24"/>
          <w:szCs w:val="24"/>
        </w:rPr>
        <w:t>PLAFT y Compras y Contrataciones</w:t>
      </w:r>
      <w:bookmarkEnd w:id="9"/>
      <w:r w:rsidRPr="006A0747">
        <w:rPr>
          <w:rFonts w:ascii="Times New Roman" w:eastAsia="Calibri" w:hAnsi="Times New Roman" w:cs="Times New Roman"/>
          <w:color w:val="767171"/>
          <w:spacing w:val="20"/>
          <w:sz w:val="24"/>
          <w:szCs w:val="24"/>
        </w:rPr>
        <w:t>.</w:t>
      </w:r>
    </w:p>
    <w:p w14:paraId="7562DA72" w14:textId="598A880F" w:rsidR="00702D2B" w:rsidRPr="006A0747" w:rsidRDefault="00702D2B" w:rsidP="00702D2B">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b/>
          <w:color w:val="767171"/>
          <w:spacing w:val="20"/>
          <w:sz w:val="24"/>
          <w:szCs w:val="24"/>
        </w:rPr>
        <w:t>• ISO 27001</w:t>
      </w:r>
      <w:r w:rsidR="00DD0B83" w:rsidRPr="006A0747">
        <w:rPr>
          <w:rFonts w:ascii="Times New Roman" w:eastAsia="Calibri" w:hAnsi="Times New Roman" w:cs="Times New Roman"/>
          <w:b/>
          <w:color w:val="767171"/>
          <w:spacing w:val="20"/>
          <w:sz w:val="24"/>
          <w:szCs w:val="24"/>
        </w:rPr>
        <w:t>:2022</w:t>
      </w:r>
      <w:r w:rsidRPr="006A0747">
        <w:rPr>
          <w:rFonts w:ascii="Times New Roman" w:eastAsia="Calibri" w:hAnsi="Times New Roman" w:cs="Times New Roman"/>
          <w:b/>
          <w:color w:val="767171"/>
          <w:spacing w:val="20"/>
          <w:sz w:val="24"/>
          <w:szCs w:val="24"/>
        </w:rPr>
        <w:t xml:space="preserve"> sobre Seguridad de la Información</w:t>
      </w:r>
      <w:r w:rsidRPr="006A0747">
        <w:rPr>
          <w:rFonts w:ascii="Times New Roman" w:eastAsia="Calibri" w:hAnsi="Times New Roman" w:cs="Times New Roman"/>
          <w:color w:val="767171"/>
          <w:spacing w:val="20"/>
          <w:sz w:val="24"/>
          <w:szCs w:val="24"/>
        </w:rPr>
        <w:t>, que determina las directrices para</w:t>
      </w:r>
      <w:r w:rsidRPr="006A0747">
        <w:rPr>
          <w:rFonts w:ascii="Times New Roman" w:eastAsia="Calibri" w:hAnsi="Times New Roman" w:cs="Times New Roman"/>
          <w:b/>
          <w:color w:val="767171"/>
          <w:spacing w:val="20"/>
          <w:sz w:val="24"/>
          <w:szCs w:val="24"/>
        </w:rPr>
        <w:t xml:space="preserve"> </w:t>
      </w:r>
      <w:r w:rsidRPr="006A0747">
        <w:rPr>
          <w:rFonts w:ascii="Times New Roman" w:eastAsia="Calibri" w:hAnsi="Times New Roman" w:cs="Times New Roman"/>
          <w:color w:val="767171"/>
          <w:spacing w:val="20"/>
          <w:sz w:val="24"/>
          <w:szCs w:val="24"/>
        </w:rPr>
        <w:t>implementar y mantener procesos que aseguren</w:t>
      </w:r>
      <w:r w:rsidRPr="006A0747">
        <w:rPr>
          <w:rFonts w:ascii="Times New Roman" w:eastAsia="Calibri" w:hAnsi="Times New Roman" w:cs="Times New Roman"/>
          <w:b/>
          <w:color w:val="767171"/>
          <w:spacing w:val="20"/>
          <w:sz w:val="24"/>
          <w:szCs w:val="24"/>
        </w:rPr>
        <w:t xml:space="preserve"> </w:t>
      </w:r>
      <w:r w:rsidRPr="006A0747">
        <w:rPr>
          <w:rFonts w:ascii="Times New Roman" w:eastAsia="Calibri" w:hAnsi="Times New Roman" w:cs="Times New Roman"/>
          <w:color w:val="767171"/>
          <w:spacing w:val="20"/>
          <w:sz w:val="24"/>
          <w:szCs w:val="24"/>
        </w:rPr>
        <w:t>la integridad y disponibilidad de los activos de</w:t>
      </w:r>
      <w:r w:rsidRPr="006A0747">
        <w:rPr>
          <w:rFonts w:ascii="Times New Roman" w:eastAsia="Calibri" w:hAnsi="Times New Roman" w:cs="Times New Roman"/>
          <w:b/>
          <w:color w:val="767171"/>
          <w:spacing w:val="20"/>
          <w:sz w:val="24"/>
          <w:szCs w:val="24"/>
        </w:rPr>
        <w:t xml:space="preserve"> </w:t>
      </w:r>
      <w:r w:rsidRPr="006A0747">
        <w:rPr>
          <w:rFonts w:ascii="Times New Roman" w:eastAsia="Calibri" w:hAnsi="Times New Roman" w:cs="Times New Roman"/>
          <w:color w:val="767171"/>
          <w:spacing w:val="20"/>
          <w:sz w:val="24"/>
          <w:szCs w:val="24"/>
        </w:rPr>
        <w:t>información de la institución. El alcance de la certificación</w:t>
      </w:r>
      <w:r w:rsidRPr="006A0747">
        <w:rPr>
          <w:rFonts w:ascii="Times New Roman" w:eastAsia="Calibri" w:hAnsi="Times New Roman" w:cs="Times New Roman"/>
          <w:b/>
          <w:color w:val="767171"/>
          <w:spacing w:val="20"/>
          <w:sz w:val="24"/>
          <w:szCs w:val="24"/>
        </w:rPr>
        <w:t xml:space="preserve"> </w:t>
      </w:r>
      <w:r w:rsidRPr="006A0747">
        <w:rPr>
          <w:rFonts w:ascii="Times New Roman" w:eastAsia="Calibri" w:hAnsi="Times New Roman" w:cs="Times New Roman"/>
          <w:color w:val="767171"/>
          <w:spacing w:val="20"/>
          <w:sz w:val="24"/>
          <w:szCs w:val="24"/>
        </w:rPr>
        <w:t>se centró en los procesos de ProUsuario</w:t>
      </w:r>
      <w:r w:rsidR="00B256B2" w:rsidRPr="006A0747">
        <w:rPr>
          <w:rFonts w:ascii="Times New Roman" w:eastAsia="Calibri" w:hAnsi="Times New Roman" w:cs="Times New Roman"/>
          <w:color w:val="767171"/>
          <w:spacing w:val="20"/>
          <w:sz w:val="24"/>
          <w:szCs w:val="24"/>
        </w:rPr>
        <w:t>,</w:t>
      </w:r>
      <w:r w:rsidRPr="006A0747">
        <w:rPr>
          <w:rFonts w:ascii="Times New Roman" w:eastAsia="Calibri" w:hAnsi="Times New Roman" w:cs="Times New Roman"/>
          <w:color w:val="767171"/>
          <w:spacing w:val="20"/>
          <w:sz w:val="24"/>
          <w:szCs w:val="24"/>
        </w:rPr>
        <w:t xml:space="preserve"> y</w:t>
      </w:r>
      <w:r w:rsidRPr="006A0747">
        <w:rPr>
          <w:rFonts w:ascii="Times New Roman" w:eastAsia="Calibri" w:hAnsi="Times New Roman" w:cs="Times New Roman"/>
          <w:b/>
          <w:color w:val="767171"/>
          <w:spacing w:val="20"/>
          <w:sz w:val="24"/>
          <w:szCs w:val="24"/>
        </w:rPr>
        <w:t xml:space="preserve"> </w:t>
      </w:r>
      <w:r w:rsidRPr="006A0747">
        <w:rPr>
          <w:rFonts w:ascii="Times New Roman" w:eastAsia="Calibri" w:hAnsi="Times New Roman" w:cs="Times New Roman"/>
          <w:color w:val="767171"/>
          <w:spacing w:val="20"/>
          <w:sz w:val="24"/>
          <w:szCs w:val="24"/>
        </w:rPr>
        <w:t>Registros y Autorizaciones.</w:t>
      </w:r>
    </w:p>
    <w:p w14:paraId="6C632EAA" w14:textId="15364959" w:rsidR="00702D2B" w:rsidRPr="006A0747" w:rsidRDefault="00702D2B" w:rsidP="00702D2B">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t>• ISO 22301</w:t>
      </w:r>
      <w:r w:rsidR="002250E6" w:rsidRPr="006A0747">
        <w:rPr>
          <w:rFonts w:ascii="Times New Roman" w:eastAsia="Calibri" w:hAnsi="Times New Roman" w:cs="Times New Roman"/>
          <w:b/>
          <w:color w:val="767171"/>
          <w:spacing w:val="20"/>
          <w:sz w:val="24"/>
          <w:szCs w:val="24"/>
        </w:rPr>
        <w:t>:</w:t>
      </w:r>
      <w:r w:rsidR="005300EB" w:rsidRPr="006A0747">
        <w:rPr>
          <w:rFonts w:ascii="Times New Roman" w:eastAsia="Calibri" w:hAnsi="Times New Roman" w:cs="Times New Roman"/>
          <w:b/>
          <w:color w:val="767171"/>
          <w:spacing w:val="20"/>
          <w:sz w:val="24"/>
          <w:szCs w:val="24"/>
        </w:rPr>
        <w:t>2019</w:t>
      </w:r>
      <w:r w:rsidRPr="006A0747">
        <w:rPr>
          <w:rFonts w:ascii="Times New Roman" w:eastAsia="Calibri" w:hAnsi="Times New Roman" w:cs="Times New Roman"/>
          <w:b/>
          <w:color w:val="767171"/>
          <w:spacing w:val="20"/>
          <w:sz w:val="24"/>
          <w:szCs w:val="24"/>
        </w:rPr>
        <w:t xml:space="preserve"> sobre Continuidad del Negocio, </w:t>
      </w:r>
      <w:r w:rsidRPr="006A0747">
        <w:rPr>
          <w:rFonts w:ascii="Times New Roman" w:eastAsia="Calibri" w:hAnsi="Times New Roman" w:cs="Times New Roman"/>
          <w:color w:val="767171"/>
          <w:spacing w:val="20"/>
          <w:sz w:val="24"/>
          <w:szCs w:val="24"/>
        </w:rPr>
        <w:t>norma que define la ruta para identificar los</w:t>
      </w:r>
      <w:r w:rsidRPr="006A0747">
        <w:rPr>
          <w:rFonts w:ascii="Times New Roman" w:eastAsia="Calibri" w:hAnsi="Times New Roman" w:cs="Times New Roman"/>
          <w:b/>
          <w:color w:val="767171"/>
          <w:spacing w:val="20"/>
          <w:sz w:val="24"/>
          <w:szCs w:val="24"/>
        </w:rPr>
        <w:t xml:space="preserve"> </w:t>
      </w:r>
      <w:r w:rsidRPr="006A0747">
        <w:rPr>
          <w:rFonts w:ascii="Times New Roman" w:eastAsia="Calibri" w:hAnsi="Times New Roman" w:cs="Times New Roman"/>
          <w:color w:val="767171"/>
          <w:spacing w:val="20"/>
          <w:sz w:val="24"/>
          <w:szCs w:val="24"/>
        </w:rPr>
        <w:t xml:space="preserve">efectos que puede tener una interrupción </w:t>
      </w:r>
      <w:r w:rsidRPr="006A0747">
        <w:rPr>
          <w:rFonts w:ascii="Times New Roman" w:eastAsia="Calibri" w:hAnsi="Times New Roman" w:cs="Times New Roman"/>
          <w:color w:val="767171"/>
          <w:spacing w:val="20"/>
          <w:sz w:val="24"/>
          <w:szCs w:val="24"/>
        </w:rPr>
        <w:lastRenderedPageBreak/>
        <w:t>de</w:t>
      </w:r>
      <w:r w:rsidRPr="006A0747">
        <w:rPr>
          <w:rFonts w:ascii="Times New Roman" w:eastAsia="Calibri" w:hAnsi="Times New Roman" w:cs="Times New Roman"/>
          <w:b/>
          <w:color w:val="767171"/>
          <w:spacing w:val="20"/>
          <w:sz w:val="24"/>
          <w:szCs w:val="24"/>
        </w:rPr>
        <w:t xml:space="preserve"> </w:t>
      </w:r>
      <w:r w:rsidRPr="006A0747">
        <w:rPr>
          <w:rFonts w:ascii="Times New Roman" w:eastAsia="Calibri" w:hAnsi="Times New Roman" w:cs="Times New Roman"/>
          <w:color w:val="767171"/>
          <w:spacing w:val="20"/>
          <w:sz w:val="24"/>
          <w:szCs w:val="24"/>
        </w:rPr>
        <w:t>la actividad, y establece medidas en caso de</w:t>
      </w:r>
      <w:r w:rsidRPr="006A0747">
        <w:rPr>
          <w:rFonts w:ascii="Times New Roman" w:eastAsia="Calibri" w:hAnsi="Times New Roman" w:cs="Times New Roman"/>
          <w:b/>
          <w:color w:val="767171"/>
          <w:spacing w:val="20"/>
          <w:sz w:val="24"/>
          <w:szCs w:val="24"/>
        </w:rPr>
        <w:t xml:space="preserve"> </w:t>
      </w:r>
      <w:r w:rsidRPr="006A0747">
        <w:rPr>
          <w:rFonts w:ascii="Times New Roman" w:eastAsia="Calibri" w:hAnsi="Times New Roman" w:cs="Times New Roman"/>
          <w:color w:val="767171"/>
          <w:spacing w:val="20"/>
          <w:sz w:val="24"/>
          <w:szCs w:val="24"/>
        </w:rPr>
        <w:t>que ocurra. El alcance abarca los procesos de</w:t>
      </w:r>
      <w:r w:rsidRPr="006A0747">
        <w:rPr>
          <w:rFonts w:ascii="Times New Roman" w:eastAsia="Calibri" w:hAnsi="Times New Roman" w:cs="Times New Roman"/>
          <w:b/>
          <w:color w:val="767171"/>
          <w:spacing w:val="20"/>
          <w:sz w:val="24"/>
          <w:szCs w:val="24"/>
        </w:rPr>
        <w:t xml:space="preserve"> </w:t>
      </w:r>
      <w:r w:rsidRPr="006A0747">
        <w:rPr>
          <w:rFonts w:ascii="Times New Roman" w:eastAsia="Calibri" w:hAnsi="Times New Roman" w:cs="Times New Roman"/>
          <w:color w:val="767171"/>
          <w:spacing w:val="20"/>
          <w:sz w:val="24"/>
          <w:szCs w:val="24"/>
        </w:rPr>
        <w:t>ProUsuario y Registros y Autorizaciones.</w:t>
      </w:r>
    </w:p>
    <w:p w14:paraId="25D6DE5A" w14:textId="099C7B3A" w:rsidR="00257092" w:rsidRPr="006A0747" w:rsidRDefault="00702D2B" w:rsidP="00257092">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color w:val="767171"/>
          <w:spacing w:val="20"/>
          <w:sz w:val="24"/>
          <w:szCs w:val="24"/>
        </w:rPr>
        <w:t>En adición a las normas ISO, la Superintendencia de Bancos ha logrado otros sellos y certificaciones que dan fe de su compromiso con la transparencia, la ética, el buen clima organizacional y el respeto a la diversidad y al medioambiente</w:t>
      </w:r>
      <w:r w:rsidR="00C03B08" w:rsidRPr="006A0747">
        <w:rPr>
          <w:rFonts w:ascii="Times New Roman" w:eastAsia="Calibri" w:hAnsi="Times New Roman" w:cs="Times New Roman"/>
          <w:color w:val="767171"/>
          <w:spacing w:val="20"/>
          <w:sz w:val="24"/>
          <w:szCs w:val="24"/>
        </w:rPr>
        <w:t xml:space="preserve">. Entre estas se destacan: </w:t>
      </w:r>
      <w:r w:rsidRPr="006A0747">
        <w:rPr>
          <w:rFonts w:ascii="Times New Roman" w:eastAsia="Calibri" w:hAnsi="Times New Roman" w:cs="Times New Roman"/>
          <w:color w:val="767171"/>
          <w:spacing w:val="20"/>
          <w:sz w:val="24"/>
          <w:szCs w:val="24"/>
        </w:rPr>
        <w:t xml:space="preserve"> </w:t>
      </w:r>
      <w:r w:rsidR="00C03B08" w:rsidRPr="006A0747">
        <w:rPr>
          <w:rFonts w:ascii="Times New Roman" w:eastAsia="Calibri" w:hAnsi="Times New Roman" w:cs="Times New Roman"/>
          <w:b/>
          <w:color w:val="767171"/>
          <w:spacing w:val="20"/>
          <w:sz w:val="24"/>
          <w:szCs w:val="24"/>
        </w:rPr>
        <w:t>Certificación</w:t>
      </w:r>
      <w:r w:rsidR="00C03B08" w:rsidRPr="006A0747">
        <w:rPr>
          <w:rFonts w:ascii="Times New Roman" w:eastAsia="Calibri" w:hAnsi="Times New Roman" w:cs="Times New Roman"/>
          <w:color w:val="767171"/>
          <w:spacing w:val="20"/>
          <w:sz w:val="24"/>
          <w:szCs w:val="24"/>
        </w:rPr>
        <w:t xml:space="preserve"> </w:t>
      </w:r>
      <w:r w:rsidRPr="006A0747">
        <w:rPr>
          <w:rFonts w:ascii="Times New Roman" w:eastAsia="Calibri" w:hAnsi="Times New Roman" w:cs="Times New Roman"/>
          <w:b/>
          <w:color w:val="767171"/>
          <w:spacing w:val="20"/>
          <w:sz w:val="24"/>
          <w:szCs w:val="24"/>
        </w:rPr>
        <w:t>Sostenibilidad 3R´s</w:t>
      </w:r>
      <w:r w:rsidR="00C03B08" w:rsidRPr="006A0747">
        <w:rPr>
          <w:rFonts w:ascii="Times New Roman" w:eastAsia="Calibri" w:hAnsi="Times New Roman" w:cs="Times New Roman"/>
          <w:b/>
          <w:color w:val="767171"/>
          <w:spacing w:val="20"/>
          <w:sz w:val="24"/>
          <w:szCs w:val="24"/>
        </w:rPr>
        <w:t xml:space="preserve"> en grado ORO</w:t>
      </w:r>
      <w:r w:rsidRPr="006A0747">
        <w:rPr>
          <w:rFonts w:ascii="Times New Roman" w:eastAsia="Calibri" w:hAnsi="Times New Roman" w:cs="Times New Roman"/>
          <w:b/>
          <w:color w:val="767171"/>
          <w:spacing w:val="20"/>
          <w:sz w:val="24"/>
          <w:szCs w:val="24"/>
        </w:rPr>
        <w:t xml:space="preserve">, </w:t>
      </w:r>
      <w:r w:rsidR="00C03B08" w:rsidRPr="006A0747">
        <w:rPr>
          <w:rFonts w:ascii="Times New Roman" w:eastAsia="Calibri" w:hAnsi="Times New Roman" w:cs="Times New Roman"/>
          <w:b/>
          <w:color w:val="767171"/>
          <w:spacing w:val="20"/>
          <w:sz w:val="24"/>
          <w:szCs w:val="24"/>
        </w:rPr>
        <w:t xml:space="preserve">Certificación en </w:t>
      </w:r>
      <w:r w:rsidRPr="006A0747">
        <w:rPr>
          <w:rFonts w:ascii="Times New Roman" w:eastAsia="Calibri" w:hAnsi="Times New Roman" w:cs="Times New Roman"/>
          <w:b/>
          <w:color w:val="767171"/>
          <w:spacing w:val="20"/>
          <w:sz w:val="24"/>
          <w:szCs w:val="24"/>
        </w:rPr>
        <w:t>Seguridad y Salud en el Trabajo</w:t>
      </w:r>
      <w:r w:rsidR="005D599E" w:rsidRPr="006A0747">
        <w:rPr>
          <w:rFonts w:ascii="Times New Roman" w:eastAsia="Calibri" w:hAnsi="Times New Roman" w:cs="Times New Roman"/>
          <w:b/>
          <w:color w:val="767171"/>
          <w:spacing w:val="20"/>
          <w:sz w:val="24"/>
          <w:szCs w:val="24"/>
        </w:rPr>
        <w:t xml:space="preserve"> del Ministerio de Trabajo</w:t>
      </w:r>
      <w:r w:rsidRPr="006A0747">
        <w:rPr>
          <w:rFonts w:ascii="Times New Roman" w:eastAsia="Calibri" w:hAnsi="Times New Roman" w:cs="Times New Roman"/>
          <w:b/>
          <w:color w:val="767171"/>
          <w:spacing w:val="20"/>
          <w:sz w:val="24"/>
          <w:szCs w:val="24"/>
        </w:rPr>
        <w:t xml:space="preserve">, </w:t>
      </w:r>
      <w:r w:rsidR="005D599E" w:rsidRPr="006A0747">
        <w:rPr>
          <w:rFonts w:ascii="Times New Roman" w:eastAsia="Calibri" w:hAnsi="Times New Roman" w:cs="Times New Roman"/>
          <w:b/>
          <w:color w:val="767171"/>
          <w:spacing w:val="20"/>
          <w:sz w:val="24"/>
          <w:szCs w:val="24"/>
        </w:rPr>
        <w:t xml:space="preserve">Sello </w:t>
      </w:r>
      <w:r w:rsidRPr="006A0747">
        <w:rPr>
          <w:rFonts w:ascii="Times New Roman" w:eastAsia="Calibri" w:hAnsi="Times New Roman" w:cs="Times New Roman"/>
          <w:b/>
          <w:color w:val="767171"/>
          <w:spacing w:val="20"/>
          <w:sz w:val="24"/>
          <w:szCs w:val="24"/>
        </w:rPr>
        <w:t>Igualando RD</w:t>
      </w:r>
      <w:r w:rsidR="005D599E" w:rsidRPr="006A0747">
        <w:rPr>
          <w:rFonts w:ascii="Times New Roman" w:eastAsia="Calibri" w:hAnsi="Times New Roman" w:cs="Times New Roman"/>
          <w:b/>
          <w:color w:val="767171"/>
          <w:spacing w:val="20"/>
          <w:sz w:val="24"/>
          <w:szCs w:val="24"/>
        </w:rPr>
        <w:t xml:space="preserve"> en grado PLATA</w:t>
      </w:r>
      <w:r w:rsidRPr="006A0747">
        <w:rPr>
          <w:rFonts w:ascii="Times New Roman" w:eastAsia="Calibri" w:hAnsi="Times New Roman" w:cs="Times New Roman"/>
          <w:b/>
          <w:color w:val="767171"/>
          <w:spacing w:val="20"/>
          <w:sz w:val="24"/>
          <w:szCs w:val="24"/>
        </w:rPr>
        <w:t xml:space="preserve"> y </w:t>
      </w:r>
      <w:r w:rsidR="0078704B" w:rsidRPr="006A0747">
        <w:rPr>
          <w:rFonts w:ascii="Times New Roman" w:eastAsia="Calibri" w:hAnsi="Times New Roman" w:cs="Times New Roman"/>
          <w:b/>
          <w:color w:val="767171"/>
          <w:spacing w:val="20"/>
          <w:sz w:val="24"/>
          <w:szCs w:val="24"/>
        </w:rPr>
        <w:t xml:space="preserve">Certificación </w:t>
      </w:r>
      <w:r w:rsidRPr="006A0747">
        <w:rPr>
          <w:rFonts w:ascii="Times New Roman" w:eastAsia="Calibri" w:hAnsi="Times New Roman" w:cs="Times New Roman"/>
          <w:b/>
          <w:color w:val="767171"/>
          <w:spacing w:val="20"/>
          <w:sz w:val="24"/>
          <w:szCs w:val="24"/>
        </w:rPr>
        <w:t xml:space="preserve">Great Place </w:t>
      </w:r>
      <w:proofErr w:type="spellStart"/>
      <w:r w:rsidRPr="006A0747">
        <w:rPr>
          <w:rFonts w:ascii="Times New Roman" w:eastAsia="Calibri" w:hAnsi="Times New Roman" w:cs="Times New Roman"/>
          <w:b/>
          <w:color w:val="767171"/>
          <w:spacing w:val="20"/>
          <w:sz w:val="24"/>
          <w:szCs w:val="24"/>
        </w:rPr>
        <w:t>to</w:t>
      </w:r>
      <w:proofErr w:type="spellEnd"/>
      <w:r w:rsidRPr="006A0747">
        <w:rPr>
          <w:rFonts w:ascii="Times New Roman" w:eastAsia="Calibri" w:hAnsi="Times New Roman" w:cs="Times New Roman"/>
          <w:b/>
          <w:color w:val="767171"/>
          <w:spacing w:val="20"/>
          <w:sz w:val="24"/>
          <w:szCs w:val="24"/>
        </w:rPr>
        <w:t xml:space="preserve"> </w:t>
      </w:r>
      <w:proofErr w:type="spellStart"/>
      <w:r w:rsidRPr="006A0747">
        <w:rPr>
          <w:rFonts w:ascii="Times New Roman" w:eastAsia="Calibri" w:hAnsi="Times New Roman" w:cs="Times New Roman"/>
          <w:b/>
          <w:color w:val="767171"/>
          <w:spacing w:val="20"/>
          <w:sz w:val="24"/>
          <w:szCs w:val="24"/>
        </w:rPr>
        <w:t>Work</w:t>
      </w:r>
      <w:proofErr w:type="spellEnd"/>
      <w:r w:rsidR="0078704B" w:rsidRPr="006A0747">
        <w:rPr>
          <w:rFonts w:ascii="Times New Roman" w:eastAsia="Calibri" w:hAnsi="Times New Roman" w:cs="Times New Roman"/>
          <w:b/>
          <w:color w:val="767171"/>
          <w:spacing w:val="20"/>
          <w:sz w:val="24"/>
          <w:szCs w:val="24"/>
        </w:rPr>
        <w:t xml:space="preserve"> como “</w:t>
      </w:r>
      <w:r w:rsidR="00F53158" w:rsidRPr="006A0747">
        <w:rPr>
          <w:rFonts w:ascii="Times New Roman" w:eastAsia="Calibri" w:hAnsi="Times New Roman" w:cs="Times New Roman"/>
          <w:b/>
          <w:color w:val="767171"/>
          <w:spacing w:val="20"/>
          <w:sz w:val="24"/>
          <w:szCs w:val="24"/>
        </w:rPr>
        <w:t>Excelente</w:t>
      </w:r>
      <w:r w:rsidR="0078704B" w:rsidRPr="006A0747">
        <w:rPr>
          <w:rFonts w:ascii="Times New Roman" w:eastAsia="Calibri" w:hAnsi="Times New Roman" w:cs="Times New Roman"/>
          <w:b/>
          <w:color w:val="767171"/>
          <w:spacing w:val="20"/>
          <w:sz w:val="24"/>
          <w:szCs w:val="24"/>
        </w:rPr>
        <w:t xml:space="preserve"> lugar para trabajar”.</w:t>
      </w:r>
    </w:p>
    <w:p w14:paraId="4B44F142" w14:textId="7F6032E9" w:rsidR="00267BBA" w:rsidRPr="006A0747" w:rsidRDefault="00267BBA" w:rsidP="00257092">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En esta coyuntura, se adecuó la estructura organizacional a los nuevos retos con miras a aumentar la productividad de la institución. Desde el inicio de la gestión, se crearon subgerencias técnicas para las áreas de supervisión, regulación e innovación financiera. En adición, se crearon nuevos departamentos para la supervisión de entidades en régimen especial, la supervisión de grupos financieros sujetos a consolidación, la seguridad de la información de la institución, la investigación y desarrollo de iniciativas para la promoción de la innovación e inclusión financiera, así como la supervisión financiera basada en datos. En 2023 se creó el Departamento de Supervisión del Mercado Fiduciario, que previamente operaba como unidad, a fin de dar fiel cumplimiento a la Ley 189-11 para el Desarrollo del Mercado Hipotecario y el Fideicomiso y Ley 28-23, sobre Fideicomiso Público en República Dominicana.</w:t>
      </w:r>
    </w:p>
    <w:p w14:paraId="54141C55" w14:textId="2A6E01BB" w:rsidR="00257092" w:rsidRPr="006A0747" w:rsidRDefault="00257092" w:rsidP="009138A0">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Otro logro relevante fue la puesta en marcha de la “</w:t>
      </w:r>
      <w:r w:rsidRPr="006A0747">
        <w:rPr>
          <w:rFonts w:ascii="Times New Roman" w:eastAsia="Calibri" w:hAnsi="Times New Roman" w:cs="Times New Roman"/>
          <w:b/>
          <w:color w:val="767171"/>
          <w:spacing w:val="20"/>
          <w:sz w:val="24"/>
          <w:szCs w:val="24"/>
        </w:rPr>
        <w:t xml:space="preserve">Escuela SB” </w:t>
      </w:r>
      <w:r w:rsidRPr="006A0747">
        <w:rPr>
          <w:rFonts w:ascii="Times New Roman" w:eastAsia="Calibri" w:hAnsi="Times New Roman" w:cs="Times New Roman"/>
          <w:color w:val="767171"/>
          <w:spacing w:val="20"/>
          <w:sz w:val="24"/>
          <w:szCs w:val="24"/>
        </w:rPr>
        <w:t xml:space="preserve">en el 2024, un espacio académico con una oferta especializada en temas asociados al sector financiero. La iniciativa está concebida para proveer oportunidades de formación de manera gratuita, que podrán </w:t>
      </w:r>
      <w:r w:rsidRPr="006A0747">
        <w:rPr>
          <w:rFonts w:ascii="Times New Roman" w:eastAsia="Calibri" w:hAnsi="Times New Roman" w:cs="Times New Roman"/>
          <w:color w:val="767171"/>
          <w:spacing w:val="20"/>
          <w:sz w:val="24"/>
          <w:szCs w:val="24"/>
        </w:rPr>
        <w:lastRenderedPageBreak/>
        <w:t xml:space="preserve">ser aprovechadas por profesionales de las entidades supervisadas, usuarios, miembros de la institución y cualquier persona interesada en los temas abordados. </w:t>
      </w:r>
    </w:p>
    <w:p w14:paraId="228FC2CC" w14:textId="0BAF4C4C" w:rsidR="00257092" w:rsidRPr="006A0747" w:rsidRDefault="00257092" w:rsidP="00257092">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La Superintendencia de Bancos, además, ha incorporado las mejores prácticas de responsabilidad social y ambiental. Como parte de ese compromiso, integró criterios de gestión sostenible a sus procesos. En es</w:t>
      </w:r>
      <w:r w:rsidR="00065C6A" w:rsidRPr="006A0747">
        <w:rPr>
          <w:rFonts w:ascii="Times New Roman" w:eastAsia="Calibri" w:hAnsi="Times New Roman" w:cs="Times New Roman"/>
          <w:color w:val="767171"/>
          <w:spacing w:val="20"/>
          <w:sz w:val="24"/>
          <w:szCs w:val="24"/>
        </w:rPr>
        <w:t>t</w:t>
      </w:r>
      <w:r w:rsidRPr="006A0747">
        <w:rPr>
          <w:rFonts w:ascii="Times New Roman" w:eastAsia="Calibri" w:hAnsi="Times New Roman" w:cs="Times New Roman"/>
          <w:color w:val="767171"/>
          <w:spacing w:val="20"/>
          <w:sz w:val="24"/>
          <w:szCs w:val="24"/>
        </w:rPr>
        <w:t>e sentido, desarrolló iniciativas como la conformación del Comité de Seguridad, Salud y Medioambiente, la implementación de la política de gestión de residuos y la política de compras verdes, a través de la cual se prioriza la contratación de bienes y servicios con el menor impacto ambiental</w:t>
      </w:r>
      <w:r w:rsidR="005A3554" w:rsidRPr="006A0747">
        <w:rPr>
          <w:rFonts w:ascii="Times New Roman" w:eastAsia="Calibri" w:hAnsi="Times New Roman" w:cs="Times New Roman"/>
          <w:color w:val="767171"/>
          <w:spacing w:val="20"/>
          <w:sz w:val="24"/>
          <w:szCs w:val="24"/>
        </w:rPr>
        <w:t>.</w:t>
      </w:r>
      <w:r w:rsidRPr="006A0747">
        <w:rPr>
          <w:rFonts w:ascii="Times New Roman" w:eastAsia="Calibri" w:hAnsi="Times New Roman" w:cs="Times New Roman"/>
          <w:color w:val="767171"/>
          <w:spacing w:val="20"/>
          <w:sz w:val="24"/>
          <w:szCs w:val="24"/>
        </w:rPr>
        <w:t xml:space="preserve"> </w:t>
      </w:r>
    </w:p>
    <w:p w14:paraId="251DC25B" w14:textId="598421BC" w:rsidR="00257092" w:rsidRPr="006A0747" w:rsidRDefault="00257092" w:rsidP="00257092">
      <w:pPr>
        <w:spacing w:line="360" w:lineRule="auto"/>
        <w:jc w:val="both"/>
        <w:rPr>
          <w:rFonts w:ascii="Times New Roman" w:eastAsia="Calibri" w:hAnsi="Times New Roman" w:cs="Times New Roman"/>
          <w:color w:val="767171"/>
          <w:spacing w:val="20"/>
          <w:sz w:val="24"/>
          <w:szCs w:val="24"/>
        </w:rPr>
      </w:pPr>
      <w:bookmarkStart w:id="10" w:name="_Hlk171636805"/>
      <w:r w:rsidRPr="006A0747">
        <w:rPr>
          <w:rFonts w:ascii="Times New Roman" w:eastAsia="Calibri" w:hAnsi="Times New Roman" w:cs="Times New Roman"/>
          <w:color w:val="767171"/>
          <w:spacing w:val="20"/>
          <w:sz w:val="24"/>
          <w:szCs w:val="24"/>
        </w:rPr>
        <w:t>La transformación de estos cuatro años ha sido extensa y profunda. La Superintendencia de Bancos no solo ha mejorado sus procesos y plataformas de gestión, también sus espacios físicos, a través de un programa de readecuación de sus instalaciones. Desde décadas atrás, los espacios requerían de una remodelación que facilitase las labores cotidianas y, sobre todo, más seguros para sus colaboradores, cumpliendo con las normas y proyectando su visión institucional: ser un referente en el sector público dominicano.</w:t>
      </w:r>
      <w:r w:rsidR="0062571A" w:rsidRPr="006A0747">
        <w:rPr>
          <w:rFonts w:ascii="Times New Roman" w:eastAsia="Calibri" w:hAnsi="Times New Roman" w:cs="Times New Roman"/>
          <w:color w:val="767171"/>
          <w:spacing w:val="20"/>
          <w:sz w:val="24"/>
          <w:szCs w:val="24"/>
        </w:rPr>
        <w:t xml:space="preserve"> </w:t>
      </w:r>
      <w:r w:rsidRPr="006A0747">
        <w:rPr>
          <w:rFonts w:ascii="Times New Roman" w:eastAsia="Calibri" w:hAnsi="Times New Roman" w:cs="Times New Roman"/>
          <w:color w:val="767171"/>
          <w:spacing w:val="20"/>
          <w:sz w:val="24"/>
          <w:szCs w:val="24"/>
        </w:rPr>
        <w:t xml:space="preserve">Los trabajos han incluido el remozamiento del edificio principal, la Oficina Regional Norte, en Santiago, así como las oficinas de ProUsuario </w:t>
      </w:r>
      <w:r w:rsidR="009D0281" w:rsidRPr="006A0747">
        <w:rPr>
          <w:rFonts w:ascii="Times New Roman" w:eastAsia="Calibri" w:hAnsi="Times New Roman" w:cs="Times New Roman"/>
          <w:color w:val="767171"/>
          <w:spacing w:val="20"/>
          <w:sz w:val="24"/>
          <w:szCs w:val="24"/>
        </w:rPr>
        <w:t>en Santo Domingo</w:t>
      </w:r>
      <w:r w:rsidR="0062571A" w:rsidRPr="006A0747">
        <w:rPr>
          <w:rFonts w:ascii="Times New Roman" w:eastAsia="Calibri" w:hAnsi="Times New Roman" w:cs="Times New Roman"/>
          <w:color w:val="767171"/>
          <w:spacing w:val="20"/>
          <w:sz w:val="24"/>
          <w:szCs w:val="24"/>
        </w:rPr>
        <w:t>.</w:t>
      </w:r>
    </w:p>
    <w:bookmarkEnd w:id="10"/>
    <w:p w14:paraId="2A212E7E" w14:textId="77777777" w:rsidR="0006271E" w:rsidRPr="006A0747" w:rsidRDefault="0006271E" w:rsidP="00346DFD">
      <w:pPr>
        <w:spacing w:line="360" w:lineRule="auto"/>
        <w:jc w:val="both"/>
        <w:rPr>
          <w:rFonts w:ascii="Times New Roman" w:eastAsia="Calibri" w:hAnsi="Times New Roman" w:cs="Times New Roman"/>
          <w:color w:val="2E74B5" w:themeColor="accent5" w:themeShade="BF"/>
          <w:spacing w:val="20"/>
          <w:sz w:val="24"/>
          <w:szCs w:val="24"/>
        </w:rPr>
      </w:pPr>
    </w:p>
    <w:p w14:paraId="0B25FA63" w14:textId="77777777" w:rsidR="009275D0" w:rsidRPr="006A0747" w:rsidRDefault="009275D0" w:rsidP="00346DFD">
      <w:pPr>
        <w:spacing w:line="360" w:lineRule="auto"/>
        <w:jc w:val="both"/>
        <w:rPr>
          <w:rFonts w:ascii="Times New Roman" w:eastAsia="Calibri" w:hAnsi="Times New Roman" w:cs="Times New Roman"/>
          <w:color w:val="2E74B5" w:themeColor="accent5" w:themeShade="BF"/>
          <w:spacing w:val="20"/>
          <w:sz w:val="24"/>
          <w:szCs w:val="24"/>
        </w:rPr>
      </w:pPr>
    </w:p>
    <w:p w14:paraId="2AC5861F" w14:textId="77777777" w:rsidR="009275D0" w:rsidRPr="006A0747" w:rsidRDefault="009275D0" w:rsidP="00346DFD">
      <w:pPr>
        <w:spacing w:line="360" w:lineRule="auto"/>
        <w:jc w:val="both"/>
        <w:rPr>
          <w:rFonts w:ascii="Times New Roman" w:eastAsia="Calibri" w:hAnsi="Times New Roman" w:cs="Times New Roman"/>
          <w:color w:val="2E74B5" w:themeColor="accent5" w:themeShade="BF"/>
          <w:spacing w:val="20"/>
          <w:sz w:val="24"/>
          <w:szCs w:val="24"/>
        </w:rPr>
      </w:pPr>
    </w:p>
    <w:p w14:paraId="347D59C1" w14:textId="77777777" w:rsidR="004D2910" w:rsidRPr="006A0747" w:rsidRDefault="004D2910" w:rsidP="00346DFD">
      <w:pPr>
        <w:spacing w:line="360" w:lineRule="auto"/>
        <w:jc w:val="both"/>
        <w:rPr>
          <w:rFonts w:ascii="Times New Roman" w:eastAsia="Calibri" w:hAnsi="Times New Roman" w:cs="Times New Roman"/>
          <w:color w:val="2E74B5" w:themeColor="accent5" w:themeShade="BF"/>
          <w:spacing w:val="20"/>
          <w:sz w:val="24"/>
          <w:szCs w:val="24"/>
        </w:rPr>
      </w:pPr>
    </w:p>
    <w:p w14:paraId="758A37DA" w14:textId="77777777" w:rsidR="006A69DF" w:rsidRPr="006A0747" w:rsidRDefault="006A69DF" w:rsidP="006A69DF">
      <w:pPr>
        <w:spacing w:line="360" w:lineRule="auto"/>
        <w:jc w:val="both"/>
        <w:rPr>
          <w:rFonts w:eastAsia="Calibri"/>
        </w:rPr>
      </w:pPr>
    </w:p>
    <w:p w14:paraId="6EFCE64A" w14:textId="332E808A" w:rsidR="006A69DF" w:rsidRPr="006A0747" w:rsidRDefault="006A69DF" w:rsidP="000813B9">
      <w:pPr>
        <w:pStyle w:val="Ttulo1"/>
        <w:jc w:val="center"/>
        <w:rPr>
          <w:b/>
          <w:color w:val="767171"/>
        </w:rPr>
      </w:pPr>
      <w:bookmarkStart w:id="11" w:name="_Toc123046907"/>
      <w:bookmarkStart w:id="12" w:name="_Toc155354599"/>
      <w:bookmarkStart w:id="13" w:name="_Toc185274985"/>
      <w:r w:rsidRPr="006A0747">
        <w:rPr>
          <w:rFonts w:cs="Times New Roman"/>
          <w:b/>
          <w:color w:val="767171"/>
        </w:rPr>
        <w:lastRenderedPageBreak/>
        <w:t>I</w:t>
      </w:r>
      <w:r w:rsidR="000813B9" w:rsidRPr="006A0747">
        <w:rPr>
          <w:rFonts w:cs="Times New Roman"/>
          <w:b/>
          <w:color w:val="767171"/>
        </w:rPr>
        <w:t>II</w:t>
      </w:r>
      <w:r w:rsidRPr="006A0747">
        <w:rPr>
          <w:rFonts w:cs="Times New Roman"/>
          <w:b/>
          <w:color w:val="767171"/>
        </w:rPr>
        <w:t>. INFORMACIÓN</w:t>
      </w:r>
      <w:bookmarkStart w:id="14" w:name="_Toc122435002"/>
      <w:r w:rsidRPr="006A0747">
        <w:rPr>
          <w:b/>
          <w:color w:val="767171"/>
        </w:rPr>
        <w:t xml:space="preserve"> INSTITUCIONAL</w:t>
      </w:r>
      <w:bookmarkEnd w:id="11"/>
      <w:bookmarkEnd w:id="12"/>
      <w:bookmarkEnd w:id="13"/>
      <w:bookmarkEnd w:id="14"/>
    </w:p>
    <w:p w14:paraId="329D461A" w14:textId="56972BC9" w:rsidR="008C6B74" w:rsidRPr="006A0747" w:rsidRDefault="006A69DF" w:rsidP="008C6B74">
      <w:pPr>
        <w:spacing w:line="360" w:lineRule="auto"/>
        <w:jc w:val="both"/>
        <w:rPr>
          <w:rFonts w:ascii="Times New Roman" w:hAnsi="Times New Roman" w:cs="Times New Roman"/>
          <w:color w:val="767171"/>
          <w:sz w:val="24"/>
          <w:szCs w:val="24"/>
        </w:rPr>
      </w:pPr>
      <w:r w:rsidRPr="006A0747">
        <w:rPr>
          <w:rFonts w:ascii="Times New Roman" w:hAnsi="Times New Roman" w:cs="Times New Roman"/>
          <w:iCs/>
          <w:noProof/>
          <w:color w:val="767171"/>
          <w:sz w:val="24"/>
          <w:szCs w:val="24"/>
          <w:lang w:eastAsia="es-ES"/>
        </w:rPr>
        <mc:AlternateContent>
          <mc:Choice Requires="wps">
            <w:drawing>
              <wp:anchor distT="0" distB="0" distL="114300" distR="114300" simplePos="0" relativeHeight="251658261" behindDoc="0" locked="0" layoutInCell="1" allowOverlap="1" wp14:anchorId="21EB37AD" wp14:editId="3C2A563B">
                <wp:simplePos x="0" y="0"/>
                <wp:positionH relativeFrom="margin">
                  <wp:posOffset>2266950</wp:posOffset>
                </wp:positionH>
                <wp:positionV relativeFrom="paragraph">
                  <wp:posOffset>168910</wp:posOffset>
                </wp:positionV>
                <wp:extent cx="463550" cy="0"/>
                <wp:effectExtent l="0" t="19050" r="31750" b="19050"/>
                <wp:wrapNone/>
                <wp:docPr id="2006928231" name="Conector recto 2006928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4C35350" id="Conector recto 2006928231" o:spid="_x0000_s1026" style="position:absolute;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8.5pt,13.3pt" to="21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" strokecolor="#ee2a24" strokeweight="2.25pt">
                <v:stroke joinstyle="miter"/>
                <w10:wrap anchorx="margin"/>
              </v:line>
            </w:pict>
          </mc:Fallback>
        </mc:AlternateContent>
      </w:r>
      <w:bookmarkStart w:id="15" w:name="_Toc155354600"/>
    </w:p>
    <w:p w14:paraId="39E3F5EB" w14:textId="3F3AEA7A" w:rsidR="008C6B74" w:rsidRPr="006A0747" w:rsidRDefault="008C6B74" w:rsidP="008C6B74">
      <w:pPr>
        <w:spacing w:after="0"/>
        <w:jc w:val="center"/>
        <w:rPr>
          <w:rFonts w:ascii="Times New Roman" w:hAnsi="Times New Roman" w:cs="Times New Roman"/>
          <w:color w:val="767171"/>
          <w:spacing w:val="20"/>
          <w:sz w:val="24"/>
          <w:szCs w:val="24"/>
          <w14:textFill>
            <w14:solidFill>
              <w14:srgbClr w14:val="767171">
                <w14:lumMod w14:val="75000"/>
              </w14:srgbClr>
            </w14:solidFill>
          </w14:textFill>
        </w:rPr>
      </w:pPr>
      <w:r w:rsidRPr="006A0747">
        <w:rPr>
          <w:rFonts w:ascii="Times New Roman" w:hAnsi="Times New Roman" w:cs="Times New Roman"/>
          <w:color w:val="767171"/>
          <w:spacing w:val="20"/>
          <w:sz w:val="24"/>
          <w:szCs w:val="24"/>
          <w14:textFill>
            <w14:solidFill>
              <w14:srgbClr w14:val="767171">
                <w14:lumMod w14:val="75000"/>
              </w14:srgbClr>
            </w14:solidFill>
          </w14:textFill>
        </w:rPr>
        <w:t>Memoria Institucional 2024</w:t>
      </w:r>
    </w:p>
    <w:p w14:paraId="4F609FD5" w14:textId="77777777" w:rsidR="008C6B74" w:rsidRPr="006A0747" w:rsidRDefault="008C6B74" w:rsidP="008C6B74">
      <w:pPr>
        <w:spacing w:after="0"/>
        <w:jc w:val="center"/>
        <w:rPr>
          <w:rFonts w:ascii="Times New Roman" w:hAnsi="Times New Roman" w:cs="Times New Roman"/>
          <w:color w:val="767171"/>
          <w:spacing w:val="20"/>
          <w:sz w:val="24"/>
          <w:szCs w:val="24"/>
        </w:rPr>
      </w:pPr>
    </w:p>
    <w:p w14:paraId="78C483BE" w14:textId="39457D48" w:rsidR="006A69DF" w:rsidRPr="006A0747" w:rsidRDefault="006A69DF" w:rsidP="006A69DF">
      <w:pPr>
        <w:pStyle w:val="Estilo3"/>
        <w:rPr>
          <w:rFonts w:eastAsia="Calibri"/>
          <w:b/>
          <w:szCs w:val="24"/>
        </w:rPr>
      </w:pPr>
      <w:bookmarkStart w:id="16" w:name="_Toc185274986"/>
      <w:r w:rsidRPr="006A0747">
        <w:rPr>
          <w:rFonts w:eastAsia="Calibri"/>
          <w:b/>
          <w:szCs w:val="24"/>
        </w:rPr>
        <w:t>2.1 Marco filosófico institucional</w:t>
      </w:r>
      <w:bookmarkEnd w:id="15"/>
      <w:bookmarkEnd w:id="16"/>
    </w:p>
    <w:p w14:paraId="25FEFD0C" w14:textId="77777777" w:rsidR="006A69DF" w:rsidRPr="006A0747" w:rsidRDefault="006A69DF" w:rsidP="006A69DF">
      <w:pPr>
        <w:pStyle w:val="Estilo4"/>
        <w:spacing w:before="240" w:after="120"/>
        <w:ind w:left="737" w:hanging="737"/>
        <w:jc w:val="left"/>
        <w:rPr>
          <w:rFonts w:eastAsia="Times New Roman"/>
          <w:spacing w:val="20"/>
        </w:rPr>
      </w:pPr>
      <w:bookmarkStart w:id="17" w:name="_Toc155354601"/>
      <w:bookmarkStart w:id="18" w:name="_Toc185274987"/>
      <w:r w:rsidRPr="006A0747">
        <w:rPr>
          <w:spacing w:val="20"/>
        </w:rPr>
        <w:t xml:space="preserve">A. </w:t>
      </w:r>
      <w:r w:rsidRPr="006A0747">
        <w:rPr>
          <w:rFonts w:eastAsia="Times New Roman"/>
          <w:spacing w:val="20"/>
        </w:rPr>
        <w:t>Misión</w:t>
      </w:r>
      <w:bookmarkEnd w:id="17"/>
      <w:bookmarkEnd w:id="18"/>
    </w:p>
    <w:p w14:paraId="423E73ED" w14:textId="77777777" w:rsidR="006A69DF" w:rsidRPr="006A0747" w:rsidRDefault="006A69DF" w:rsidP="006A69DF">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Aportar al bienestar del país, vigilando la solvencia, liquidez y gestión de las entidades y la estabilidad del sistema financiero; así como protegiendo los derechos de los usuarios de los servicios financieros.</w:t>
      </w:r>
    </w:p>
    <w:p w14:paraId="70F21845" w14:textId="77777777" w:rsidR="006A69DF" w:rsidRPr="006A0747" w:rsidRDefault="006A69DF" w:rsidP="006A69DF">
      <w:pPr>
        <w:pStyle w:val="Estilo4"/>
        <w:spacing w:before="240" w:after="120"/>
        <w:ind w:left="737" w:hanging="737"/>
        <w:jc w:val="left"/>
        <w:rPr>
          <w:spacing w:val="20"/>
        </w:rPr>
      </w:pPr>
      <w:bookmarkStart w:id="19" w:name="_Toc155354602"/>
      <w:bookmarkStart w:id="20" w:name="_Toc185274988"/>
      <w:r w:rsidRPr="006A0747">
        <w:rPr>
          <w:spacing w:val="20"/>
        </w:rPr>
        <w:t>B. Visión</w:t>
      </w:r>
      <w:bookmarkEnd w:id="19"/>
      <w:bookmarkEnd w:id="20"/>
      <w:r w:rsidRPr="006A0747">
        <w:rPr>
          <w:spacing w:val="20"/>
        </w:rPr>
        <w:t xml:space="preserve"> </w:t>
      </w:r>
    </w:p>
    <w:p w14:paraId="129A12B8" w14:textId="77777777" w:rsidR="006A69DF" w:rsidRPr="006A0747" w:rsidRDefault="006A69DF" w:rsidP="006A69DF">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Ser una institución referente nacional e internacionalmente, reconocida por la calidad de su supervisión y el acompañamiento que brinda a los usuarios de los servicios financieros, respaldada por un personal altamente calificado y la excelencia en su gestión.</w:t>
      </w:r>
    </w:p>
    <w:p w14:paraId="3BCCD5DD" w14:textId="77777777" w:rsidR="006A69DF" w:rsidRPr="006A0747" w:rsidRDefault="006A69DF" w:rsidP="006A69DF">
      <w:pPr>
        <w:pStyle w:val="Estilo4"/>
        <w:spacing w:before="240" w:after="120"/>
        <w:ind w:left="737" w:hanging="737"/>
        <w:jc w:val="left"/>
        <w:rPr>
          <w:spacing w:val="20"/>
        </w:rPr>
      </w:pPr>
      <w:bookmarkStart w:id="21" w:name="_Toc155354603"/>
      <w:bookmarkStart w:id="22" w:name="_Toc185274989"/>
      <w:r w:rsidRPr="006A0747">
        <w:rPr>
          <w:spacing w:val="20"/>
        </w:rPr>
        <w:t>C. Valores</w:t>
      </w:r>
      <w:bookmarkEnd w:id="21"/>
      <w:bookmarkEnd w:id="22"/>
    </w:p>
    <w:p w14:paraId="3C3561E4" w14:textId="77777777" w:rsidR="006A69DF" w:rsidRPr="006A0747" w:rsidRDefault="006A69DF" w:rsidP="006A69DF">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Integridad: Actuamos con honestidad, actitud y justicia, mostrando congruencia en lo que decimos y lo que hacemos.</w:t>
      </w:r>
    </w:p>
    <w:p w14:paraId="66F9432A" w14:textId="77777777" w:rsidR="006A69DF" w:rsidRPr="006A0747" w:rsidRDefault="006A69DF" w:rsidP="006A69DF">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Eficiencia: Agregamos valor a los servicios institucionales mediante la utilización de los recursos disponibles, los cuales gestionamos como si fueran propios.</w:t>
      </w:r>
    </w:p>
    <w:p w14:paraId="03928C36" w14:textId="77777777" w:rsidR="006A69DF" w:rsidRPr="006A0747" w:rsidRDefault="006A69DF" w:rsidP="006A69DF">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Innovación: Generamos propuestas creativas que nos permitan perfeccionar, modernizar y optimizar los servicios que ofrecemos.</w:t>
      </w:r>
    </w:p>
    <w:p w14:paraId="2819A0F3" w14:textId="77777777" w:rsidR="006A69DF" w:rsidRPr="006A0747" w:rsidRDefault="006A69DF" w:rsidP="006A69DF">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Compromiso: Asumimos como propio el desafío de cumplir los objetivos de nuestra institución.</w:t>
      </w:r>
    </w:p>
    <w:p w14:paraId="7A405FFE" w14:textId="77777777" w:rsidR="006A69DF" w:rsidRPr="006A0747" w:rsidRDefault="006A69DF" w:rsidP="006A69DF">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lastRenderedPageBreak/>
        <w:t>• Respeto: Somos capaces de reconocer, aceptar, apreciar y valorar las cualidades y derechos de los demás.</w:t>
      </w:r>
    </w:p>
    <w:p w14:paraId="1A0F5401" w14:textId="77777777" w:rsidR="00710260" w:rsidRPr="006A0747" w:rsidRDefault="00710260" w:rsidP="006A69DF">
      <w:pPr>
        <w:spacing w:line="360" w:lineRule="auto"/>
        <w:jc w:val="both"/>
        <w:rPr>
          <w:rFonts w:ascii="Times New Roman" w:eastAsia="Calibri" w:hAnsi="Times New Roman" w:cs="Times New Roman"/>
          <w:color w:val="767171"/>
          <w:spacing w:val="20"/>
          <w:sz w:val="24"/>
          <w:szCs w:val="24"/>
        </w:rPr>
      </w:pPr>
    </w:p>
    <w:p w14:paraId="12AF8BB0" w14:textId="77777777" w:rsidR="006A69DF" w:rsidRPr="006A0747" w:rsidRDefault="006A69DF" w:rsidP="006A69DF">
      <w:pPr>
        <w:pStyle w:val="Estilo3"/>
        <w:spacing w:before="0" w:after="160" w:line="360" w:lineRule="auto"/>
        <w:rPr>
          <w:b/>
          <w:szCs w:val="24"/>
        </w:rPr>
      </w:pPr>
      <w:bookmarkStart w:id="23" w:name="_Toc155354604"/>
      <w:bookmarkStart w:id="24" w:name="_Toc185274990"/>
      <w:r w:rsidRPr="006A0747">
        <w:rPr>
          <w:b/>
          <w:szCs w:val="24"/>
        </w:rPr>
        <w:t>2.2 Base legal</w:t>
      </w:r>
      <w:bookmarkEnd w:id="23"/>
      <w:bookmarkEnd w:id="24"/>
    </w:p>
    <w:p w14:paraId="738E8E84" w14:textId="77777777" w:rsidR="006A69DF" w:rsidRPr="006A0747" w:rsidRDefault="006A69DF" w:rsidP="006A69DF">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Los primeros indicios de regulación bancaria en República Dominicana aparecen con el surgimiento del Banco Nacional de Santo Domingo, S. A. en el año 1869. En 1909, el Estado Dominicano promulga la primera Ley General de Bancos, donde se establecen regulaciones específicas para Bancos Hipotecarios, Emisores y Refaccionarios y surgen instituciones de crédito con las características de bancos comerciales, bajo la supervisión y control de la Secretaría de Estado de Hacienda y Comercio, denominada hoy Ministerio de Hacienda, la cual disponía de interventores nombrados por el Poder Ejecutivo en cada banco para ejercer su control.</w:t>
      </w:r>
    </w:p>
    <w:p w14:paraId="3EFE44E8" w14:textId="2650354D" w:rsidR="006A69DF" w:rsidRPr="006A0747" w:rsidRDefault="006A69DF" w:rsidP="006A69DF">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El año 1947 se crean el Banco Central y la Superintendencia de Bancos (SB), esta última bajo la Ley No.1530 del 9 de octubre del 1947, que crea los cimientos para la supervisión y regulación del sistema financiero dominicano. La Ley No. 1530 que dio origen a la Superintendencia de Bancos fue modificada y sustituida por la Ley No. 708, Ley General de Bancos, del 14 de abril del 1965, donde se pone a cargo de esta institución la aplicación y administración del régimen legal de los bancos, bajo la dependencia de la Secretaría de Estado de Finanzas, hoy Ministerio de Hacienda.</w:t>
      </w:r>
    </w:p>
    <w:p w14:paraId="3BA641F0" w14:textId="406A668D" w:rsidR="006A69DF" w:rsidRPr="006A0747" w:rsidRDefault="006A69DF" w:rsidP="006A69DF">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Con la promulgación de la Ley No.183 02, Monetaria y Financiera, del 21 de noviembre de 2002, se le da a la Superintendencia de Bancos el marco jurídico de actuación que tiene en la actualidad, otorgándole la responsabilidad de supervisar, con plena autonomía, a las Entidades de Intermediación Financiera, con el propósito de </w:t>
      </w:r>
      <w:r w:rsidRPr="006A0747">
        <w:rPr>
          <w:rFonts w:ascii="Times New Roman" w:eastAsia="Calibri" w:hAnsi="Times New Roman" w:cs="Times New Roman"/>
          <w:color w:val="767171"/>
          <w:spacing w:val="20"/>
          <w:sz w:val="24"/>
          <w:szCs w:val="24"/>
        </w:rPr>
        <w:lastRenderedPageBreak/>
        <w:t>proteger los fondos de los ahorrantes y los derechos de los usuarios de los servicios financieros.</w:t>
      </w:r>
    </w:p>
    <w:p w14:paraId="743C5CDD" w14:textId="319F82EC" w:rsidR="006A69DF" w:rsidRPr="006A0747" w:rsidRDefault="003C5D47" w:rsidP="006A69DF">
      <w:pPr>
        <w:pStyle w:val="Estilo3"/>
        <w:spacing w:before="0" w:after="160" w:line="360" w:lineRule="auto"/>
        <w:rPr>
          <w:b/>
          <w:szCs w:val="24"/>
        </w:rPr>
      </w:pPr>
      <w:bookmarkStart w:id="25" w:name="_Toc155354605"/>
      <w:bookmarkStart w:id="26" w:name="_Toc185274991"/>
      <w:r w:rsidRPr="006A0747">
        <w:rPr>
          <w:noProof/>
        </w:rPr>
        <w:drawing>
          <wp:anchor distT="0" distB="0" distL="114300" distR="114300" simplePos="0" relativeHeight="251658263" behindDoc="1" locked="0" layoutInCell="1" allowOverlap="1" wp14:anchorId="4D238081" wp14:editId="383D2D82">
            <wp:simplePos x="0" y="0"/>
            <wp:positionH relativeFrom="margin">
              <wp:posOffset>-375285</wp:posOffset>
            </wp:positionH>
            <wp:positionV relativeFrom="paragraph">
              <wp:posOffset>297815</wp:posOffset>
            </wp:positionV>
            <wp:extent cx="5908040" cy="4011930"/>
            <wp:effectExtent l="0" t="0" r="0" b="7620"/>
            <wp:wrapTight wrapText="bothSides">
              <wp:wrapPolygon edited="0">
                <wp:start x="0" y="0"/>
                <wp:lineTo x="0" y="21538"/>
                <wp:lineTo x="21521" y="21538"/>
                <wp:lineTo x="21521" y="0"/>
                <wp:lineTo x="0" y="0"/>
              </wp:wrapPolygon>
            </wp:wrapTight>
            <wp:docPr id="1608680091"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08040" cy="4011930"/>
                    </a:xfrm>
                    <a:prstGeom prst="rect">
                      <a:avLst/>
                    </a:prstGeom>
                    <a:noFill/>
                    <a:ln>
                      <a:noFill/>
                    </a:ln>
                  </pic:spPr>
                </pic:pic>
              </a:graphicData>
            </a:graphic>
            <wp14:sizeRelH relativeFrom="page">
              <wp14:pctWidth>0</wp14:pctWidth>
            </wp14:sizeRelH>
            <wp14:sizeRelV relativeFrom="page">
              <wp14:pctHeight>0</wp14:pctHeight>
            </wp14:sizeRelV>
          </wp:anchor>
        </w:drawing>
      </w:r>
      <w:r w:rsidR="006A69DF" w:rsidRPr="006A0747">
        <w:rPr>
          <w:b/>
          <w:szCs w:val="24"/>
        </w:rPr>
        <w:t>2.3 Estructura Organizativa</w:t>
      </w:r>
      <w:bookmarkEnd w:id="25"/>
      <w:bookmarkEnd w:id="26"/>
    </w:p>
    <w:p w14:paraId="654C4883" w14:textId="77777777" w:rsidR="003C5D47" w:rsidRPr="006A0747" w:rsidRDefault="003C5D47" w:rsidP="006A69DF">
      <w:pPr>
        <w:spacing w:line="360" w:lineRule="auto"/>
        <w:rPr>
          <w:rFonts w:ascii="Times New Roman" w:hAnsi="Times New Roman" w:cs="Times New Roman"/>
          <w:color w:val="767171"/>
        </w:rPr>
      </w:pPr>
    </w:p>
    <w:p w14:paraId="3A86C8D2" w14:textId="77777777" w:rsidR="006A69DF" w:rsidRPr="006A0747" w:rsidRDefault="006A69DF" w:rsidP="006A69DF">
      <w:pPr>
        <w:spacing w:line="360" w:lineRule="auto"/>
        <w:jc w:val="center"/>
        <w:rPr>
          <w:rFonts w:ascii="Times New Roman" w:hAnsi="Times New Roman" w:cs="Times New Roman"/>
          <w:i/>
          <w:iCs/>
          <w:color w:val="767171"/>
          <w:sz w:val="18"/>
          <w:szCs w:val="18"/>
        </w:rPr>
      </w:pPr>
      <w:r w:rsidRPr="006A0747">
        <w:rPr>
          <w:rFonts w:ascii="Times New Roman" w:hAnsi="Times New Roman" w:cs="Times New Roman"/>
          <w:b/>
          <w:i/>
          <w:iCs/>
          <w:color w:val="767171"/>
          <w:sz w:val="18"/>
          <w:szCs w:val="18"/>
        </w:rPr>
        <w:t>Fuente</w:t>
      </w:r>
      <w:r w:rsidRPr="006A0747">
        <w:rPr>
          <w:rFonts w:ascii="Times New Roman" w:hAnsi="Times New Roman" w:cs="Times New Roman"/>
          <w:i/>
          <w:iCs/>
          <w:color w:val="767171"/>
          <w:sz w:val="18"/>
          <w:szCs w:val="18"/>
        </w:rPr>
        <w:t>: Portal Institucional de la Superintendencia de Banco.</w:t>
      </w:r>
    </w:p>
    <w:p w14:paraId="30C524D4" w14:textId="77777777" w:rsidR="00FD073C" w:rsidRPr="006A0747" w:rsidRDefault="00FD073C" w:rsidP="006A69DF">
      <w:pPr>
        <w:pStyle w:val="Estilo3"/>
        <w:spacing w:before="0" w:after="160" w:line="360" w:lineRule="auto"/>
        <w:rPr>
          <w:b/>
          <w:szCs w:val="24"/>
        </w:rPr>
      </w:pPr>
      <w:bookmarkStart w:id="27" w:name="_Toc155354606"/>
    </w:p>
    <w:p w14:paraId="38857BAF" w14:textId="4347B3AF" w:rsidR="006A69DF" w:rsidRPr="006A0747" w:rsidRDefault="006A69DF" w:rsidP="006A69DF">
      <w:pPr>
        <w:pStyle w:val="Estilo3"/>
        <w:spacing w:before="0" w:after="160" w:line="360" w:lineRule="auto"/>
        <w:rPr>
          <w:b/>
          <w:szCs w:val="24"/>
        </w:rPr>
      </w:pPr>
      <w:bookmarkStart w:id="28" w:name="_Toc185274992"/>
      <w:r w:rsidRPr="006A0747">
        <w:rPr>
          <w:b/>
          <w:szCs w:val="24"/>
        </w:rPr>
        <w:t>2.4 Planificación E</w:t>
      </w:r>
      <w:r w:rsidRPr="006A0747">
        <w:rPr>
          <w:b/>
          <w:iCs w:val="0"/>
          <w:szCs w:val="24"/>
          <w:lang w:eastAsia="es-DO"/>
        </w:rPr>
        <w:t>stratégica Institucional</w:t>
      </w:r>
      <w:bookmarkEnd w:id="27"/>
      <w:bookmarkEnd w:id="28"/>
    </w:p>
    <w:p w14:paraId="73E6B1ED" w14:textId="77777777" w:rsidR="006A69DF" w:rsidRPr="006A0747" w:rsidRDefault="006A69DF" w:rsidP="006A69DF">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En febrero de 2021 la Superintendencia de Bancos lanzó su Plan Estratégico Institucional (PEI 2021-2024), enfocado en seis (6) ejes y once (11) objetivos estratégicos.</w:t>
      </w:r>
    </w:p>
    <w:p w14:paraId="7444CAA1" w14:textId="016930F0" w:rsidR="006A69DF" w:rsidRPr="006A0747" w:rsidRDefault="006A69DF" w:rsidP="006A69DF">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El PEI 2021-2024 incluye adecuaciones importantes al marco institucional que tienen como objetivo mejorar la supervisión y regulación de las entidades de intermediación financiera</w:t>
      </w:r>
      <w:r w:rsidR="00710D9A" w:rsidRPr="006A0747">
        <w:rPr>
          <w:rFonts w:ascii="Times New Roman" w:eastAsia="Calibri" w:hAnsi="Times New Roman" w:cs="Times New Roman"/>
          <w:color w:val="767171"/>
          <w:spacing w:val="20"/>
          <w:sz w:val="24"/>
          <w:szCs w:val="24"/>
        </w:rPr>
        <w:t xml:space="preserve">. </w:t>
      </w:r>
      <w:r w:rsidRPr="006A0747">
        <w:rPr>
          <w:rFonts w:ascii="Times New Roman" w:eastAsia="Calibri" w:hAnsi="Times New Roman" w:cs="Times New Roman"/>
          <w:color w:val="767171"/>
          <w:spacing w:val="20"/>
          <w:sz w:val="24"/>
          <w:szCs w:val="24"/>
        </w:rPr>
        <w:t xml:space="preserve">Asimismo, </w:t>
      </w:r>
      <w:r w:rsidRPr="006A0747">
        <w:rPr>
          <w:rFonts w:ascii="Times New Roman" w:eastAsia="Calibri" w:hAnsi="Times New Roman" w:cs="Times New Roman"/>
          <w:color w:val="767171"/>
          <w:spacing w:val="20"/>
          <w:sz w:val="24"/>
          <w:szCs w:val="24"/>
        </w:rPr>
        <w:lastRenderedPageBreak/>
        <w:t>se incluyen estrategias para fomentar el fortalecimiento institucional, la digitalización y la innovación.</w:t>
      </w:r>
    </w:p>
    <w:p w14:paraId="0E1E744F" w14:textId="3C0A1C31" w:rsidR="006A69DF" w:rsidRPr="006A0747" w:rsidRDefault="006A69DF" w:rsidP="006A69DF">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Además, el plan se enfoca en robustecer la integridad del sistema bancario mediante la lucha contra el lavado de activos, el financiamiento del terrorismo y otros delitos financieros. Por último, el PEI 2021-2024 prioriza los esfuerzos de la institución por la inclusión financiera de los ciudadanos, y la implementación de políticas públicas que fortalezcan la protección a los derechos de los usuarios financieros.</w:t>
      </w:r>
    </w:p>
    <w:p w14:paraId="4160AAE1" w14:textId="77777777" w:rsidR="006A69DF" w:rsidRPr="006A0747" w:rsidRDefault="006A69DF" w:rsidP="006A69DF">
      <w:pPr>
        <w:spacing w:line="360" w:lineRule="auto"/>
        <w:jc w:val="both"/>
        <w:rPr>
          <w:rFonts w:ascii="Times New Roman" w:eastAsia="Times New Roman" w:hAnsi="Times New Roman" w:cs="Times New Roman"/>
          <w:color w:val="767171"/>
          <w:spacing w:val="20"/>
          <w:sz w:val="24"/>
          <w:szCs w:val="24"/>
          <w:lang w:eastAsia="es-DO"/>
        </w:rPr>
      </w:pPr>
      <w:r w:rsidRPr="006A0747">
        <w:rPr>
          <w:rFonts w:ascii="Times New Roman" w:eastAsia="Calibri" w:hAnsi="Times New Roman" w:cs="Times New Roman"/>
          <w:color w:val="767171"/>
          <w:spacing w:val="20"/>
          <w:sz w:val="24"/>
          <w:szCs w:val="24"/>
        </w:rPr>
        <w:t xml:space="preserve">Los Ejes y </w:t>
      </w:r>
      <w:r w:rsidRPr="006A0747">
        <w:rPr>
          <w:rFonts w:ascii="Times New Roman" w:eastAsia="Times New Roman" w:hAnsi="Times New Roman" w:cs="Times New Roman"/>
          <w:color w:val="767171"/>
          <w:spacing w:val="20"/>
          <w:sz w:val="24"/>
          <w:szCs w:val="24"/>
          <w:lang w:eastAsia="es-DO"/>
        </w:rPr>
        <w:t>Objetivos del PEI 2021-2024 se detallan a continuación:</w:t>
      </w:r>
    </w:p>
    <w:p w14:paraId="34884BB6" w14:textId="77777777" w:rsidR="006A69DF" w:rsidRPr="006A0747" w:rsidRDefault="006A69DF" w:rsidP="006A69DF">
      <w:pPr>
        <w:spacing w:line="360" w:lineRule="auto"/>
        <w:jc w:val="center"/>
        <w:rPr>
          <w:rFonts w:ascii="Times New Roman" w:eastAsia="Times New Roman" w:hAnsi="Times New Roman" w:cs="Times New Roman"/>
          <w:b/>
          <w:color w:val="767171"/>
          <w:spacing w:val="20"/>
          <w:sz w:val="24"/>
          <w:szCs w:val="24"/>
          <w:lang w:eastAsia="es-DO"/>
        </w:rPr>
      </w:pPr>
      <w:r w:rsidRPr="006A0747">
        <w:rPr>
          <w:rFonts w:ascii="Times New Roman" w:eastAsia="Times New Roman" w:hAnsi="Times New Roman" w:cs="Times New Roman"/>
          <w:b/>
          <w:color w:val="767171"/>
          <w:spacing w:val="20"/>
          <w:sz w:val="24"/>
          <w:szCs w:val="24"/>
          <w:lang w:eastAsia="es-DO"/>
        </w:rPr>
        <w:t>Tabla 1. Ejes y Objetivos Estratégicos 2021-2024</w:t>
      </w:r>
    </w:p>
    <w:tbl>
      <w:tblPr>
        <w:tblStyle w:val="Tablaconcuadrcula1clara"/>
        <w:tblW w:w="5107" w:type="pct"/>
        <w:tblInd w:w="-147" w:type="dxa"/>
        <w:tblLook w:val="04A0" w:firstRow="1" w:lastRow="0" w:firstColumn="1" w:lastColumn="0" w:noHBand="0" w:noVBand="1"/>
      </w:tblPr>
      <w:tblGrid>
        <w:gridCol w:w="3259"/>
        <w:gridCol w:w="4820"/>
      </w:tblGrid>
      <w:tr w:rsidR="00315CE3" w:rsidRPr="006A0747" w14:paraId="56D19833" w14:textId="77777777">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2017" w:type="pct"/>
            <w:shd w:val="clear" w:color="auto" w:fill="011C50"/>
            <w:noWrap/>
            <w:vAlign w:val="center"/>
            <w:hideMark/>
          </w:tcPr>
          <w:p w14:paraId="6BCD5404" w14:textId="77777777" w:rsidR="006A69DF" w:rsidRPr="006A0747" w:rsidRDefault="006A69DF">
            <w:pPr>
              <w:spacing w:line="360" w:lineRule="auto"/>
              <w:jc w:val="center"/>
              <w:rPr>
                <w:rFonts w:eastAsia="Times New Roman"/>
                <w:b w:val="0"/>
                <w:color w:val="FFFFFF" w:themeColor="background1"/>
                <w:lang w:eastAsia="es-DO"/>
              </w:rPr>
            </w:pPr>
            <w:r w:rsidRPr="006A0747">
              <w:rPr>
                <w:rFonts w:eastAsia="Times New Roman"/>
                <w:color w:val="FFFFFF" w:themeColor="background1"/>
                <w:lang w:eastAsia="es-DO"/>
              </w:rPr>
              <w:t>Eje</w:t>
            </w:r>
          </w:p>
        </w:tc>
        <w:tc>
          <w:tcPr>
            <w:tcW w:w="2983" w:type="pct"/>
            <w:shd w:val="clear" w:color="auto" w:fill="011C50"/>
            <w:noWrap/>
            <w:vAlign w:val="center"/>
            <w:hideMark/>
          </w:tcPr>
          <w:p w14:paraId="3F1D018F" w14:textId="77777777" w:rsidR="006A69DF" w:rsidRPr="006A0747" w:rsidRDefault="006A69D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color w:val="FFFFFF" w:themeColor="background1"/>
                <w:lang w:eastAsia="es-DO"/>
              </w:rPr>
            </w:pPr>
            <w:r w:rsidRPr="006A0747">
              <w:rPr>
                <w:rFonts w:eastAsia="Times New Roman"/>
                <w:color w:val="FFFFFF" w:themeColor="background1"/>
                <w:lang w:eastAsia="es-DO"/>
              </w:rPr>
              <w:t>Objetivo Estratégico</w:t>
            </w:r>
          </w:p>
        </w:tc>
      </w:tr>
      <w:tr w:rsidR="006A69DF" w:rsidRPr="006A0747" w14:paraId="716CA17A" w14:textId="77777777">
        <w:trPr>
          <w:trHeight w:val="687"/>
        </w:trPr>
        <w:tc>
          <w:tcPr>
            <w:cnfStyle w:val="001000000000" w:firstRow="0" w:lastRow="0" w:firstColumn="1" w:lastColumn="0" w:oddVBand="0" w:evenVBand="0" w:oddHBand="0" w:evenHBand="0" w:firstRowFirstColumn="0" w:firstRowLastColumn="0" w:lastRowFirstColumn="0" w:lastRowLastColumn="0"/>
            <w:tcW w:w="2017" w:type="pct"/>
            <w:vMerge w:val="restart"/>
            <w:vAlign w:val="center"/>
            <w:hideMark/>
          </w:tcPr>
          <w:p w14:paraId="41C8C0C8" w14:textId="77777777" w:rsidR="006A69DF" w:rsidRPr="006A0747" w:rsidRDefault="006A69DF">
            <w:pPr>
              <w:spacing w:line="360" w:lineRule="auto"/>
              <w:jc w:val="center"/>
              <w:rPr>
                <w:rFonts w:eastAsia="Times New Roman"/>
                <w:lang w:eastAsia="es-DO"/>
              </w:rPr>
            </w:pPr>
            <w:r w:rsidRPr="006A0747">
              <w:rPr>
                <w:rFonts w:eastAsia="Times New Roman"/>
                <w:lang w:eastAsia="es-DO"/>
              </w:rPr>
              <w:t xml:space="preserve">Eje 1. Estabilidad Financiera y </w:t>
            </w:r>
            <w:bookmarkStart w:id="29" w:name="_Int_HbgpXInc"/>
            <w:r w:rsidRPr="006A0747">
              <w:rPr>
                <w:rFonts w:eastAsia="Times New Roman"/>
                <w:lang w:eastAsia="es-DO"/>
              </w:rPr>
              <w:t>Macro-prudencial</w:t>
            </w:r>
            <w:bookmarkEnd w:id="29"/>
          </w:p>
        </w:tc>
        <w:tc>
          <w:tcPr>
            <w:tcW w:w="2983" w:type="pct"/>
            <w:vAlign w:val="center"/>
            <w:hideMark/>
          </w:tcPr>
          <w:p w14:paraId="4D9893D8" w14:textId="77777777" w:rsidR="006A69DF" w:rsidRPr="006A0747" w:rsidRDefault="006A69D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lang w:eastAsia="es-DO"/>
              </w:rPr>
            </w:pPr>
            <w:r w:rsidRPr="006A0747">
              <w:rPr>
                <w:rFonts w:eastAsia="Times New Roman"/>
                <w:lang w:eastAsia="es-DO"/>
              </w:rPr>
              <w:t>1.1: Preservar la estabilidad, solvencia y eficiencia del sistema financiero.</w:t>
            </w:r>
          </w:p>
        </w:tc>
      </w:tr>
      <w:tr w:rsidR="006A69DF" w:rsidRPr="006A0747" w14:paraId="4B8705F8" w14:textId="77777777">
        <w:trPr>
          <w:trHeight w:val="657"/>
        </w:trPr>
        <w:tc>
          <w:tcPr>
            <w:cnfStyle w:val="001000000000" w:firstRow="0" w:lastRow="0" w:firstColumn="1" w:lastColumn="0" w:oddVBand="0" w:evenVBand="0" w:oddHBand="0" w:evenHBand="0" w:firstRowFirstColumn="0" w:firstRowLastColumn="0" w:lastRowFirstColumn="0" w:lastRowLastColumn="0"/>
            <w:tcW w:w="2017" w:type="pct"/>
            <w:vMerge/>
            <w:vAlign w:val="center"/>
            <w:hideMark/>
          </w:tcPr>
          <w:p w14:paraId="6F7BC79E" w14:textId="77777777" w:rsidR="006A69DF" w:rsidRPr="006A0747" w:rsidRDefault="006A69DF">
            <w:pPr>
              <w:spacing w:line="360" w:lineRule="auto"/>
              <w:jc w:val="center"/>
              <w:rPr>
                <w:rFonts w:eastAsia="Times New Roman"/>
                <w:lang w:eastAsia="es-DO"/>
              </w:rPr>
            </w:pPr>
          </w:p>
        </w:tc>
        <w:tc>
          <w:tcPr>
            <w:tcW w:w="2983" w:type="pct"/>
            <w:vAlign w:val="center"/>
            <w:hideMark/>
          </w:tcPr>
          <w:p w14:paraId="7AA5F3CD" w14:textId="77777777" w:rsidR="006A69DF" w:rsidRPr="006A0747" w:rsidRDefault="006A69D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lang w:eastAsia="es-DO"/>
              </w:rPr>
            </w:pPr>
            <w:r w:rsidRPr="006A0747">
              <w:rPr>
                <w:rFonts w:eastAsia="Times New Roman"/>
                <w:lang w:eastAsia="es-DO"/>
              </w:rPr>
              <w:t>1.2: Vigilar la solvencia, liquidez, cumplimiento y la gestión de las entidades reguladas.</w:t>
            </w:r>
          </w:p>
        </w:tc>
      </w:tr>
      <w:tr w:rsidR="006A69DF" w:rsidRPr="006A0747" w14:paraId="22771CE7" w14:textId="77777777">
        <w:trPr>
          <w:trHeight w:val="598"/>
        </w:trPr>
        <w:tc>
          <w:tcPr>
            <w:cnfStyle w:val="001000000000" w:firstRow="0" w:lastRow="0" w:firstColumn="1" w:lastColumn="0" w:oddVBand="0" w:evenVBand="0" w:oddHBand="0" w:evenHBand="0" w:firstRowFirstColumn="0" w:firstRowLastColumn="0" w:lastRowFirstColumn="0" w:lastRowLastColumn="0"/>
            <w:tcW w:w="2017" w:type="pct"/>
            <w:vMerge w:val="restart"/>
            <w:vAlign w:val="center"/>
            <w:hideMark/>
          </w:tcPr>
          <w:p w14:paraId="15FCD6BC" w14:textId="77777777" w:rsidR="006A69DF" w:rsidRPr="006A0747" w:rsidRDefault="006A69DF">
            <w:pPr>
              <w:spacing w:line="360" w:lineRule="auto"/>
              <w:jc w:val="center"/>
              <w:rPr>
                <w:rFonts w:eastAsia="Times New Roman"/>
                <w:lang w:eastAsia="es-DO"/>
              </w:rPr>
            </w:pPr>
            <w:r w:rsidRPr="006A0747">
              <w:rPr>
                <w:rFonts w:eastAsia="Times New Roman"/>
                <w:lang w:eastAsia="es-DO"/>
              </w:rPr>
              <w:t>Eje 2. Digitalización, Innovación y Nuevas Tecnologías</w:t>
            </w:r>
          </w:p>
        </w:tc>
        <w:tc>
          <w:tcPr>
            <w:tcW w:w="2983" w:type="pct"/>
            <w:vAlign w:val="center"/>
            <w:hideMark/>
          </w:tcPr>
          <w:p w14:paraId="1FC6A365" w14:textId="77777777" w:rsidR="006A69DF" w:rsidRPr="006A0747" w:rsidRDefault="006A69D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lang w:eastAsia="es-DO"/>
              </w:rPr>
            </w:pPr>
            <w:r w:rsidRPr="006A0747">
              <w:rPr>
                <w:rFonts w:eastAsia="Times New Roman"/>
                <w:lang w:eastAsia="es-DO"/>
              </w:rPr>
              <w:t>2.1: Aumentar la eficiencia, eficacia y alcance de los procesos internos a través del uso de nuevas tecnologías.</w:t>
            </w:r>
          </w:p>
        </w:tc>
      </w:tr>
      <w:tr w:rsidR="006A69DF" w:rsidRPr="006A0747" w14:paraId="17D4E006" w14:textId="77777777">
        <w:trPr>
          <w:trHeight w:val="598"/>
        </w:trPr>
        <w:tc>
          <w:tcPr>
            <w:cnfStyle w:val="001000000000" w:firstRow="0" w:lastRow="0" w:firstColumn="1" w:lastColumn="0" w:oddVBand="0" w:evenVBand="0" w:oddHBand="0" w:evenHBand="0" w:firstRowFirstColumn="0" w:firstRowLastColumn="0" w:lastRowFirstColumn="0" w:lastRowLastColumn="0"/>
            <w:tcW w:w="2017" w:type="pct"/>
            <w:vMerge/>
            <w:vAlign w:val="center"/>
            <w:hideMark/>
          </w:tcPr>
          <w:p w14:paraId="4E9CA122" w14:textId="77777777" w:rsidR="006A69DF" w:rsidRPr="006A0747" w:rsidRDefault="006A69DF">
            <w:pPr>
              <w:spacing w:line="360" w:lineRule="auto"/>
              <w:jc w:val="center"/>
              <w:rPr>
                <w:rFonts w:eastAsia="Times New Roman"/>
                <w:lang w:eastAsia="es-DO"/>
              </w:rPr>
            </w:pPr>
          </w:p>
        </w:tc>
        <w:tc>
          <w:tcPr>
            <w:tcW w:w="2983" w:type="pct"/>
            <w:vAlign w:val="center"/>
            <w:hideMark/>
          </w:tcPr>
          <w:p w14:paraId="69DE7FAC" w14:textId="77777777" w:rsidR="006A69DF" w:rsidRPr="006A0747" w:rsidRDefault="006A69D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lang w:eastAsia="es-DO"/>
              </w:rPr>
            </w:pPr>
            <w:r w:rsidRPr="006A0747">
              <w:rPr>
                <w:rFonts w:eastAsia="Times New Roman"/>
                <w:lang w:eastAsia="es-DO"/>
              </w:rPr>
              <w:t>2.2: Ampliar la provisión de los servicios financieros a través del uso de nuevos canales y tecnologías.</w:t>
            </w:r>
          </w:p>
        </w:tc>
      </w:tr>
      <w:tr w:rsidR="006A69DF" w:rsidRPr="006A0747" w14:paraId="5682E1E1" w14:textId="77777777">
        <w:trPr>
          <w:trHeight w:val="947"/>
        </w:trPr>
        <w:tc>
          <w:tcPr>
            <w:cnfStyle w:val="001000000000" w:firstRow="0" w:lastRow="0" w:firstColumn="1" w:lastColumn="0" w:oddVBand="0" w:evenVBand="0" w:oddHBand="0" w:evenHBand="0" w:firstRowFirstColumn="0" w:firstRowLastColumn="0" w:lastRowFirstColumn="0" w:lastRowLastColumn="0"/>
            <w:tcW w:w="2017" w:type="pct"/>
            <w:vMerge w:val="restart"/>
            <w:vAlign w:val="center"/>
            <w:hideMark/>
          </w:tcPr>
          <w:p w14:paraId="5CA3074A" w14:textId="77777777" w:rsidR="006A69DF" w:rsidRPr="006A0747" w:rsidRDefault="006A69DF">
            <w:pPr>
              <w:spacing w:line="360" w:lineRule="auto"/>
              <w:jc w:val="center"/>
              <w:rPr>
                <w:rFonts w:eastAsia="Times New Roman"/>
                <w:lang w:eastAsia="es-DO"/>
              </w:rPr>
            </w:pPr>
            <w:r w:rsidRPr="006A0747">
              <w:rPr>
                <w:rFonts w:eastAsia="Times New Roman"/>
                <w:lang w:eastAsia="es-DO"/>
              </w:rPr>
              <w:t>Eje 3. Eficiencia y Fortalecimiento Institucional</w:t>
            </w:r>
          </w:p>
        </w:tc>
        <w:tc>
          <w:tcPr>
            <w:tcW w:w="2983" w:type="pct"/>
            <w:vAlign w:val="center"/>
            <w:hideMark/>
          </w:tcPr>
          <w:p w14:paraId="755B9C2A" w14:textId="77777777" w:rsidR="006A69DF" w:rsidRPr="006A0747" w:rsidRDefault="006A69D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lang w:eastAsia="es-DO"/>
              </w:rPr>
            </w:pPr>
            <w:r w:rsidRPr="006A0747">
              <w:rPr>
                <w:rFonts w:eastAsia="Times New Roman"/>
                <w:lang w:eastAsia="es-DO"/>
              </w:rPr>
              <w:t>3.1: Aumentar la efectividad y calidad de la gestión institucional con un enfoque orientado a resultados y de mejora continua.</w:t>
            </w:r>
          </w:p>
        </w:tc>
      </w:tr>
      <w:tr w:rsidR="006A69DF" w:rsidRPr="006A0747" w14:paraId="0EBE708D" w14:textId="77777777">
        <w:trPr>
          <w:trHeight w:val="986"/>
        </w:trPr>
        <w:tc>
          <w:tcPr>
            <w:cnfStyle w:val="001000000000" w:firstRow="0" w:lastRow="0" w:firstColumn="1" w:lastColumn="0" w:oddVBand="0" w:evenVBand="0" w:oddHBand="0" w:evenHBand="0" w:firstRowFirstColumn="0" w:firstRowLastColumn="0" w:lastRowFirstColumn="0" w:lastRowLastColumn="0"/>
            <w:tcW w:w="2017" w:type="pct"/>
            <w:vMerge/>
            <w:vAlign w:val="center"/>
            <w:hideMark/>
          </w:tcPr>
          <w:p w14:paraId="762060DB" w14:textId="77777777" w:rsidR="006A69DF" w:rsidRPr="006A0747" w:rsidRDefault="006A69DF">
            <w:pPr>
              <w:spacing w:line="360" w:lineRule="auto"/>
              <w:jc w:val="center"/>
              <w:rPr>
                <w:rFonts w:eastAsia="Times New Roman"/>
                <w:lang w:eastAsia="es-DO"/>
              </w:rPr>
            </w:pPr>
          </w:p>
        </w:tc>
        <w:tc>
          <w:tcPr>
            <w:tcW w:w="2983" w:type="pct"/>
            <w:vAlign w:val="center"/>
            <w:hideMark/>
          </w:tcPr>
          <w:p w14:paraId="5330B5E2" w14:textId="77777777" w:rsidR="006A69DF" w:rsidRPr="006A0747" w:rsidRDefault="006A69D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lang w:eastAsia="es-DO"/>
              </w:rPr>
            </w:pPr>
            <w:r w:rsidRPr="006A0747">
              <w:rPr>
                <w:rFonts w:eastAsia="Times New Roman"/>
                <w:lang w:eastAsia="es-DO"/>
              </w:rPr>
              <w:t>3.2 Aumentar las capacidades técnicas y de gestión del personal de la SB.</w:t>
            </w:r>
          </w:p>
        </w:tc>
      </w:tr>
      <w:tr w:rsidR="006A69DF" w:rsidRPr="006A0747" w14:paraId="77A1C998" w14:textId="77777777">
        <w:trPr>
          <w:trHeight w:val="838"/>
        </w:trPr>
        <w:tc>
          <w:tcPr>
            <w:cnfStyle w:val="001000000000" w:firstRow="0" w:lastRow="0" w:firstColumn="1" w:lastColumn="0" w:oddVBand="0" w:evenVBand="0" w:oddHBand="0" w:evenHBand="0" w:firstRowFirstColumn="0" w:firstRowLastColumn="0" w:lastRowFirstColumn="0" w:lastRowLastColumn="0"/>
            <w:tcW w:w="2017" w:type="pct"/>
            <w:vAlign w:val="center"/>
            <w:hideMark/>
          </w:tcPr>
          <w:p w14:paraId="3AF095B5" w14:textId="77777777" w:rsidR="006A69DF" w:rsidRPr="006A0747" w:rsidRDefault="006A69DF">
            <w:pPr>
              <w:spacing w:line="360" w:lineRule="auto"/>
              <w:jc w:val="center"/>
              <w:rPr>
                <w:rFonts w:eastAsia="Times New Roman"/>
                <w:b w:val="0"/>
                <w:lang w:eastAsia="es-DO"/>
              </w:rPr>
            </w:pPr>
            <w:r w:rsidRPr="006A0747">
              <w:rPr>
                <w:rFonts w:eastAsia="Times New Roman"/>
                <w:lang w:eastAsia="es-DO"/>
              </w:rPr>
              <w:t>Eje 4. Inclusión Financiera y Bancarización</w:t>
            </w:r>
          </w:p>
        </w:tc>
        <w:tc>
          <w:tcPr>
            <w:tcW w:w="2983" w:type="pct"/>
            <w:vAlign w:val="center"/>
            <w:hideMark/>
          </w:tcPr>
          <w:p w14:paraId="3AAC1B58" w14:textId="77777777" w:rsidR="006A69DF" w:rsidRPr="006A0747" w:rsidRDefault="006A69D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lang w:eastAsia="es-DO"/>
              </w:rPr>
            </w:pPr>
            <w:r w:rsidRPr="006A0747">
              <w:rPr>
                <w:rFonts w:eastAsia="Times New Roman"/>
                <w:lang w:eastAsia="es-DO"/>
              </w:rPr>
              <w:t>4.1: Promover la reducción de barreras que impidan el acceso de los ciudadanos al sistema financiero formal.</w:t>
            </w:r>
          </w:p>
        </w:tc>
      </w:tr>
      <w:tr w:rsidR="006A69DF" w:rsidRPr="006A0747" w14:paraId="66D4765A" w14:textId="77777777">
        <w:trPr>
          <w:trHeight w:val="897"/>
        </w:trPr>
        <w:tc>
          <w:tcPr>
            <w:cnfStyle w:val="001000000000" w:firstRow="0" w:lastRow="0" w:firstColumn="1" w:lastColumn="0" w:oddVBand="0" w:evenVBand="0" w:oddHBand="0" w:evenHBand="0" w:firstRowFirstColumn="0" w:firstRowLastColumn="0" w:lastRowFirstColumn="0" w:lastRowLastColumn="0"/>
            <w:tcW w:w="2017" w:type="pct"/>
            <w:vMerge w:val="restart"/>
            <w:vAlign w:val="center"/>
            <w:hideMark/>
          </w:tcPr>
          <w:p w14:paraId="14BFC921" w14:textId="77777777" w:rsidR="006A69DF" w:rsidRPr="006A0747" w:rsidRDefault="006A69DF">
            <w:pPr>
              <w:spacing w:line="360" w:lineRule="auto"/>
              <w:jc w:val="center"/>
              <w:rPr>
                <w:rFonts w:eastAsia="Times New Roman"/>
                <w:lang w:eastAsia="es-DO"/>
              </w:rPr>
            </w:pPr>
            <w:r w:rsidRPr="006A0747">
              <w:rPr>
                <w:rFonts w:eastAsia="Times New Roman"/>
                <w:lang w:eastAsia="es-DO"/>
              </w:rPr>
              <w:t>Eje 5. Protección y Salud Financiera del Consumidor</w:t>
            </w:r>
          </w:p>
        </w:tc>
        <w:tc>
          <w:tcPr>
            <w:tcW w:w="2983" w:type="pct"/>
            <w:vAlign w:val="center"/>
            <w:hideMark/>
          </w:tcPr>
          <w:p w14:paraId="1C93A2AD" w14:textId="77777777" w:rsidR="006A69DF" w:rsidRPr="006A0747" w:rsidRDefault="006A69D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lang w:eastAsia="es-DO"/>
              </w:rPr>
            </w:pPr>
            <w:r w:rsidRPr="006A0747">
              <w:rPr>
                <w:rFonts w:eastAsia="Times New Roman"/>
                <w:lang w:eastAsia="es-DO"/>
              </w:rPr>
              <w:t>5.1: Promover mejoras en la protección, provisión de información y salud financiera de los usuarios del sistema.</w:t>
            </w:r>
          </w:p>
        </w:tc>
      </w:tr>
      <w:tr w:rsidR="006A69DF" w:rsidRPr="006A0747" w14:paraId="5F80DC79" w14:textId="77777777">
        <w:trPr>
          <w:trHeight w:val="747"/>
        </w:trPr>
        <w:tc>
          <w:tcPr>
            <w:cnfStyle w:val="001000000000" w:firstRow="0" w:lastRow="0" w:firstColumn="1" w:lastColumn="0" w:oddVBand="0" w:evenVBand="0" w:oddHBand="0" w:evenHBand="0" w:firstRowFirstColumn="0" w:firstRowLastColumn="0" w:lastRowFirstColumn="0" w:lastRowLastColumn="0"/>
            <w:tcW w:w="2017" w:type="pct"/>
            <w:vMerge/>
            <w:vAlign w:val="center"/>
            <w:hideMark/>
          </w:tcPr>
          <w:p w14:paraId="7FCD3AAD" w14:textId="77777777" w:rsidR="006A69DF" w:rsidRPr="006A0747" w:rsidRDefault="006A69DF">
            <w:pPr>
              <w:spacing w:line="360" w:lineRule="auto"/>
              <w:jc w:val="center"/>
              <w:rPr>
                <w:rFonts w:eastAsia="Times New Roman"/>
                <w:lang w:eastAsia="es-DO"/>
              </w:rPr>
            </w:pPr>
          </w:p>
        </w:tc>
        <w:tc>
          <w:tcPr>
            <w:tcW w:w="2983" w:type="pct"/>
            <w:vAlign w:val="center"/>
            <w:hideMark/>
          </w:tcPr>
          <w:p w14:paraId="7F50F2D5" w14:textId="77777777" w:rsidR="006A69DF" w:rsidRPr="006A0747" w:rsidRDefault="006A69D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lang w:eastAsia="es-DO"/>
              </w:rPr>
            </w:pPr>
            <w:r w:rsidRPr="006A0747">
              <w:rPr>
                <w:rFonts w:eastAsia="Times New Roman"/>
                <w:lang w:eastAsia="es-DO"/>
              </w:rPr>
              <w:t>5.2: Aumentar la visibilidad, uso y alcance de los servicios de ProUsuario.</w:t>
            </w:r>
          </w:p>
        </w:tc>
      </w:tr>
      <w:tr w:rsidR="006A69DF" w:rsidRPr="006A0747" w14:paraId="7E100C34" w14:textId="77777777">
        <w:trPr>
          <w:trHeight w:val="927"/>
        </w:trPr>
        <w:tc>
          <w:tcPr>
            <w:cnfStyle w:val="001000000000" w:firstRow="0" w:lastRow="0" w:firstColumn="1" w:lastColumn="0" w:oddVBand="0" w:evenVBand="0" w:oddHBand="0" w:evenHBand="0" w:firstRowFirstColumn="0" w:firstRowLastColumn="0" w:lastRowFirstColumn="0" w:lastRowLastColumn="0"/>
            <w:tcW w:w="2017" w:type="pct"/>
            <w:vMerge w:val="restart"/>
            <w:vAlign w:val="center"/>
            <w:hideMark/>
          </w:tcPr>
          <w:p w14:paraId="6D96FAFA" w14:textId="77777777" w:rsidR="006A69DF" w:rsidRPr="006A0747" w:rsidRDefault="006A69DF">
            <w:pPr>
              <w:spacing w:line="360" w:lineRule="auto"/>
              <w:jc w:val="center"/>
              <w:rPr>
                <w:rFonts w:eastAsia="Times New Roman"/>
                <w:lang w:eastAsia="es-DO"/>
              </w:rPr>
            </w:pPr>
            <w:r w:rsidRPr="006A0747">
              <w:rPr>
                <w:rFonts w:eastAsia="Times New Roman"/>
                <w:lang w:eastAsia="es-DO"/>
              </w:rPr>
              <w:t>Eje 6. Integridad del Sistema Financiero</w:t>
            </w:r>
          </w:p>
        </w:tc>
        <w:tc>
          <w:tcPr>
            <w:tcW w:w="2983" w:type="pct"/>
            <w:vAlign w:val="center"/>
            <w:hideMark/>
          </w:tcPr>
          <w:p w14:paraId="54272DAC" w14:textId="77777777" w:rsidR="006A69DF" w:rsidRPr="006A0747" w:rsidRDefault="006A69D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lang w:eastAsia="es-DO"/>
              </w:rPr>
            </w:pPr>
            <w:r w:rsidRPr="006A0747">
              <w:rPr>
                <w:rFonts w:eastAsia="Times New Roman"/>
                <w:lang w:eastAsia="es-DO"/>
              </w:rPr>
              <w:t>6.1: Mejorar la supervisión del cumplimiento de las normas de prevención de lavado de activos, financiamiento al terrorismo y criminalidad financiera.</w:t>
            </w:r>
          </w:p>
        </w:tc>
      </w:tr>
      <w:tr w:rsidR="006A69DF" w:rsidRPr="006A0747" w14:paraId="69D3A50F" w14:textId="77777777">
        <w:trPr>
          <w:trHeight w:val="981"/>
        </w:trPr>
        <w:tc>
          <w:tcPr>
            <w:cnfStyle w:val="001000000000" w:firstRow="0" w:lastRow="0" w:firstColumn="1" w:lastColumn="0" w:oddVBand="0" w:evenVBand="0" w:oddHBand="0" w:evenHBand="0" w:firstRowFirstColumn="0" w:firstRowLastColumn="0" w:lastRowFirstColumn="0" w:lastRowLastColumn="0"/>
            <w:tcW w:w="2017" w:type="pct"/>
            <w:vMerge/>
            <w:vAlign w:val="center"/>
            <w:hideMark/>
          </w:tcPr>
          <w:p w14:paraId="48B1163C" w14:textId="77777777" w:rsidR="006A69DF" w:rsidRPr="006A0747" w:rsidRDefault="006A69DF">
            <w:pPr>
              <w:spacing w:line="360" w:lineRule="auto"/>
              <w:jc w:val="center"/>
              <w:rPr>
                <w:rFonts w:eastAsia="Times New Roman"/>
                <w:lang w:eastAsia="es-DO"/>
              </w:rPr>
            </w:pPr>
          </w:p>
        </w:tc>
        <w:tc>
          <w:tcPr>
            <w:tcW w:w="2983" w:type="pct"/>
            <w:vAlign w:val="center"/>
            <w:hideMark/>
          </w:tcPr>
          <w:p w14:paraId="4CAED2A3" w14:textId="77777777" w:rsidR="006A69DF" w:rsidRPr="006A0747" w:rsidRDefault="006A69D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lang w:eastAsia="es-DO"/>
              </w:rPr>
            </w:pPr>
            <w:r w:rsidRPr="006A0747">
              <w:rPr>
                <w:rFonts w:eastAsia="Times New Roman"/>
                <w:lang w:eastAsia="es-DO"/>
              </w:rPr>
              <w:t>6.2: Promover la disciplina del mercado a través de la divulgación de información y un régimen sancionador efectivo, conforme al debido proceso.</w:t>
            </w:r>
          </w:p>
        </w:tc>
      </w:tr>
    </w:tbl>
    <w:p w14:paraId="7770153A" w14:textId="77777777" w:rsidR="006A69DF" w:rsidRPr="006A0747" w:rsidRDefault="006A69DF" w:rsidP="006A69DF">
      <w:pPr>
        <w:spacing w:line="360" w:lineRule="auto"/>
        <w:jc w:val="center"/>
        <w:rPr>
          <w:rFonts w:ascii="Times New Roman" w:eastAsia="Calibri" w:hAnsi="Times New Roman" w:cs="Times New Roman"/>
          <w:i/>
          <w:color w:val="767171"/>
          <w:spacing w:val="20"/>
          <w:sz w:val="18"/>
          <w:szCs w:val="18"/>
        </w:rPr>
      </w:pPr>
      <w:r w:rsidRPr="006A0747">
        <w:rPr>
          <w:rFonts w:ascii="Times New Roman" w:eastAsia="Calibri" w:hAnsi="Times New Roman" w:cs="Times New Roman"/>
          <w:b/>
          <w:i/>
          <w:color w:val="767171"/>
          <w:spacing w:val="20"/>
          <w:sz w:val="18"/>
          <w:szCs w:val="18"/>
        </w:rPr>
        <w:t>Fuente</w:t>
      </w:r>
      <w:r w:rsidRPr="006A0747">
        <w:rPr>
          <w:rFonts w:ascii="Times New Roman" w:eastAsia="Calibri" w:hAnsi="Times New Roman" w:cs="Times New Roman"/>
          <w:i/>
          <w:color w:val="767171"/>
          <w:spacing w:val="20"/>
          <w:sz w:val="18"/>
          <w:szCs w:val="18"/>
        </w:rPr>
        <w:t>: Plan Estratégico Institucional de la Superintendencia de Bancos 2021-2024</w:t>
      </w:r>
    </w:p>
    <w:p w14:paraId="300D0125" w14:textId="77777777" w:rsidR="00B619B6" w:rsidRPr="006A0747" w:rsidRDefault="00B619B6" w:rsidP="00346DFD">
      <w:pPr>
        <w:spacing w:line="360" w:lineRule="auto"/>
        <w:jc w:val="both"/>
        <w:rPr>
          <w:rFonts w:ascii="Times New Roman" w:eastAsia="Calibri" w:hAnsi="Times New Roman" w:cs="Times New Roman"/>
          <w:color w:val="767171"/>
          <w:spacing w:val="20"/>
          <w:sz w:val="24"/>
          <w:szCs w:val="24"/>
        </w:rPr>
      </w:pPr>
    </w:p>
    <w:p w14:paraId="573B835D" w14:textId="77777777" w:rsidR="006A69DF" w:rsidRPr="006A0747" w:rsidRDefault="006A69DF" w:rsidP="00346DFD">
      <w:pPr>
        <w:spacing w:line="360" w:lineRule="auto"/>
        <w:jc w:val="both"/>
        <w:rPr>
          <w:rFonts w:ascii="Times New Roman" w:eastAsia="Calibri" w:hAnsi="Times New Roman" w:cs="Times New Roman"/>
          <w:color w:val="767171"/>
          <w:spacing w:val="20"/>
          <w:sz w:val="24"/>
          <w:szCs w:val="24"/>
        </w:rPr>
      </w:pPr>
    </w:p>
    <w:p w14:paraId="5E0B6DD9" w14:textId="77777777" w:rsidR="003671A3" w:rsidRPr="006A0747" w:rsidRDefault="003671A3" w:rsidP="00346DFD">
      <w:pPr>
        <w:spacing w:line="360" w:lineRule="auto"/>
        <w:jc w:val="both"/>
        <w:rPr>
          <w:rFonts w:ascii="Times New Roman" w:eastAsia="Calibri" w:hAnsi="Times New Roman" w:cs="Times New Roman"/>
          <w:color w:val="2E74B5" w:themeColor="accent5" w:themeShade="BF"/>
          <w:spacing w:val="20"/>
          <w:sz w:val="24"/>
          <w:szCs w:val="24"/>
        </w:rPr>
      </w:pPr>
    </w:p>
    <w:p w14:paraId="66C02415" w14:textId="6F6B8355" w:rsidR="006A69DF" w:rsidRPr="006A0747" w:rsidRDefault="00C35A5D">
      <w:pPr>
        <w:rPr>
          <w:rFonts w:ascii="Times New Roman" w:eastAsia="Calibri" w:hAnsi="Times New Roman" w:cs="Times New Roman"/>
          <w:color w:val="2E74B5" w:themeColor="accent5" w:themeShade="BF"/>
          <w:spacing w:val="20"/>
          <w:sz w:val="24"/>
          <w:szCs w:val="24"/>
        </w:rPr>
      </w:pPr>
      <w:r w:rsidRPr="006A0747">
        <w:rPr>
          <w:rFonts w:ascii="Times New Roman" w:eastAsia="Calibri" w:hAnsi="Times New Roman" w:cs="Times New Roman"/>
          <w:color w:val="2E74B5" w:themeColor="accent5" w:themeShade="BF"/>
          <w:spacing w:val="20"/>
          <w:sz w:val="24"/>
          <w:szCs w:val="24"/>
        </w:rPr>
        <w:br w:type="page"/>
      </w:r>
    </w:p>
    <w:p w14:paraId="35B9EB58" w14:textId="652D83BA" w:rsidR="00A41996" w:rsidRPr="006A0747" w:rsidRDefault="00A41996" w:rsidP="000813B9">
      <w:pPr>
        <w:pStyle w:val="Ttulo1"/>
        <w:numPr>
          <w:ilvl w:val="0"/>
          <w:numId w:val="17"/>
        </w:numPr>
        <w:jc w:val="center"/>
        <w:rPr>
          <w:rFonts w:cs="Times New Roman"/>
          <w:b/>
          <w:color w:val="767171"/>
        </w:rPr>
      </w:pPr>
      <w:bookmarkStart w:id="30" w:name="_Toc185274993"/>
      <w:r w:rsidRPr="006A0747">
        <w:rPr>
          <w:rFonts w:cs="Times New Roman"/>
          <w:b/>
          <w:color w:val="767171"/>
        </w:rPr>
        <w:lastRenderedPageBreak/>
        <w:t>RESULTADOS MISIONALES</w:t>
      </w:r>
      <w:bookmarkEnd w:id="6"/>
      <w:bookmarkEnd w:id="7"/>
      <w:bookmarkEnd w:id="8"/>
      <w:bookmarkEnd w:id="30"/>
    </w:p>
    <w:p w14:paraId="38867000" w14:textId="77777777" w:rsidR="00A41996" w:rsidRPr="006A0747" w:rsidRDefault="00A41996" w:rsidP="00A41996">
      <w:pPr>
        <w:jc w:val="both"/>
        <w:rPr>
          <w:rFonts w:ascii="Times New Roman" w:eastAsia="Calibri" w:hAnsi="Times New Roman" w:cs="Times New Roman"/>
          <w:color w:val="2E74B5" w:themeColor="accent5" w:themeShade="BF"/>
          <w:sz w:val="18"/>
        </w:rPr>
      </w:pPr>
      <w:r w:rsidRPr="006A0747">
        <w:rPr>
          <w:rFonts w:ascii="Times New Roman" w:hAnsi="Times New Roman" w:cs="Times New Roman"/>
          <w:noProof/>
          <w:color w:val="2E74B5" w:themeColor="accent5" w:themeShade="BF"/>
          <w:lang w:eastAsia="es-DO"/>
        </w:rPr>
        <mc:AlternateContent>
          <mc:Choice Requires="wps">
            <w:drawing>
              <wp:anchor distT="4294967295" distB="4294967295" distL="114300" distR="114300" simplePos="0" relativeHeight="251658251" behindDoc="0" locked="0" layoutInCell="1" allowOverlap="1" wp14:anchorId="2809CB4C" wp14:editId="00E413A3">
                <wp:simplePos x="0" y="0"/>
                <wp:positionH relativeFrom="margin">
                  <wp:align>center</wp:align>
                </wp:positionH>
                <wp:positionV relativeFrom="paragraph">
                  <wp:posOffset>115569</wp:posOffset>
                </wp:positionV>
                <wp:extent cx="463550" cy="0"/>
                <wp:effectExtent l="0" t="19050" r="317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C4D011A" id="Straight Connector 14" o:spid="_x0000_s1026" style="position:absolute;z-index:251658251;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9.1pt" to="36.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" strokecolor="#ee2a24" strokeweight="2.25pt">
                <v:stroke joinstyle="miter"/>
                <w10:wrap anchorx="margin"/>
              </v:line>
            </w:pict>
          </mc:Fallback>
        </mc:AlternateContent>
      </w:r>
    </w:p>
    <w:p w14:paraId="72DA96F6" w14:textId="5B476242" w:rsidR="00703A55" w:rsidRPr="006A0747" w:rsidRDefault="008C6B74" w:rsidP="00703A55">
      <w:pPr>
        <w:spacing w:after="0"/>
        <w:jc w:val="center"/>
        <w:rPr>
          <w:rFonts w:ascii="Times New Roman" w:hAnsi="Times New Roman" w:cs="Times New Roman"/>
          <w:color w:val="767171"/>
          <w:spacing w:val="20"/>
          <w:sz w:val="24"/>
          <w:szCs w:val="24"/>
        </w:rPr>
      </w:pPr>
      <w:r w:rsidRPr="006A0747">
        <w:rPr>
          <w:rFonts w:ascii="Times New Roman" w:hAnsi="Times New Roman" w:cs="Times New Roman"/>
          <w:color w:val="767171"/>
          <w:spacing w:val="20"/>
          <w:sz w:val="24"/>
          <w:szCs w:val="24"/>
        </w:rPr>
        <w:t>Memoria Institucional 202</w:t>
      </w:r>
      <w:r w:rsidR="00CA570C" w:rsidRPr="006A0747">
        <w:rPr>
          <w:rFonts w:ascii="Times New Roman" w:hAnsi="Times New Roman" w:cs="Times New Roman"/>
          <w:color w:val="767171"/>
          <w:spacing w:val="20"/>
          <w:sz w:val="24"/>
          <w:szCs w:val="24"/>
        </w:rPr>
        <w:t>4</w:t>
      </w:r>
    </w:p>
    <w:p w14:paraId="0A965FE9" w14:textId="77777777" w:rsidR="00A41996" w:rsidRPr="006A0747" w:rsidRDefault="00A41996" w:rsidP="00A41996">
      <w:pPr>
        <w:spacing w:line="360" w:lineRule="auto"/>
        <w:jc w:val="both"/>
        <w:rPr>
          <w:rFonts w:ascii="Times New Roman" w:eastAsia="Calibri" w:hAnsi="Times New Roman" w:cs="Times New Roman"/>
          <w:b/>
          <w:color w:val="2E74B5" w:themeColor="accent5" w:themeShade="BF"/>
          <w:spacing w:val="20"/>
          <w:sz w:val="24"/>
          <w:szCs w:val="24"/>
        </w:rPr>
      </w:pPr>
    </w:p>
    <w:p w14:paraId="009B92F8" w14:textId="291838E9" w:rsidR="00C1011D" w:rsidRPr="006A0747" w:rsidRDefault="00C1011D" w:rsidP="000813B9">
      <w:pPr>
        <w:pStyle w:val="Ttulo2"/>
        <w:numPr>
          <w:ilvl w:val="1"/>
          <w:numId w:val="17"/>
        </w:numPr>
        <w:rPr>
          <w:rFonts w:ascii="Times New Roman" w:eastAsia="Calibri" w:hAnsi="Times New Roman" w:cs="Times New Roman"/>
          <w:b/>
          <w:color w:val="767171"/>
          <w:spacing w:val="20"/>
          <w:sz w:val="24"/>
          <w:szCs w:val="24"/>
        </w:rPr>
      </w:pPr>
      <w:bookmarkStart w:id="31" w:name="_Toc185274994"/>
      <w:r w:rsidRPr="006A0747">
        <w:rPr>
          <w:rFonts w:ascii="Times New Roman" w:eastAsia="Calibri" w:hAnsi="Times New Roman" w:cs="Times New Roman"/>
          <w:b/>
          <w:color w:val="767171"/>
          <w:spacing w:val="20"/>
          <w:sz w:val="24"/>
          <w:szCs w:val="24"/>
        </w:rPr>
        <w:t>Desempeño del sector financiero</w:t>
      </w:r>
      <w:bookmarkEnd w:id="31"/>
    </w:p>
    <w:p w14:paraId="7F833780" w14:textId="77777777" w:rsidR="002D7A6A" w:rsidRPr="006A0747" w:rsidRDefault="002D7A6A" w:rsidP="009E504F">
      <w:pPr>
        <w:spacing w:line="360" w:lineRule="auto"/>
        <w:jc w:val="both"/>
        <w:rPr>
          <w:rFonts w:ascii="Times New Roman" w:eastAsia="Calibri" w:hAnsi="Times New Roman" w:cs="Times New Roman"/>
          <w:color w:val="767171"/>
          <w:spacing w:val="20"/>
          <w:sz w:val="24"/>
          <w:szCs w:val="24"/>
        </w:rPr>
      </w:pPr>
    </w:p>
    <w:p w14:paraId="77775740" w14:textId="77777777" w:rsidR="00461AEC" w:rsidRPr="006A0747" w:rsidRDefault="00461AEC" w:rsidP="00461AEC">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El sector bancario de la República Dominicana mantuvo indicadores de desempeño saludables durante el año 2024 y presenta niveles de rentabilidad, solvencia y liquidez adecuadas para responder oportunamente a los cambios en las condiciones de mercado y la situación económica.</w:t>
      </w:r>
    </w:p>
    <w:p w14:paraId="2BB52328" w14:textId="77777777" w:rsidR="00522700" w:rsidRPr="006A0747" w:rsidRDefault="00986775" w:rsidP="00461AEC">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A septiembre 2024, l</w:t>
      </w:r>
      <w:r w:rsidR="00461AEC" w:rsidRPr="006A0747">
        <w:rPr>
          <w:rFonts w:ascii="Times New Roman" w:eastAsia="Calibri" w:hAnsi="Times New Roman" w:cs="Times New Roman"/>
          <w:color w:val="767171"/>
          <w:spacing w:val="20"/>
          <w:sz w:val="24"/>
          <w:szCs w:val="24"/>
        </w:rPr>
        <w:t>os activos totales de la banca dominicana ascendieron a RD$3.72 billones (59.4% del PIB) al cierre de septiembre de este año, luego de un crecimiento interanual de 10.6% equivalente a RD$366 mil millones</w:t>
      </w:r>
      <w:r w:rsidRPr="006A0747">
        <w:rPr>
          <w:rFonts w:ascii="Times New Roman" w:eastAsia="Calibri" w:hAnsi="Times New Roman" w:cs="Times New Roman"/>
          <w:color w:val="767171"/>
          <w:spacing w:val="20"/>
          <w:sz w:val="24"/>
          <w:szCs w:val="24"/>
        </w:rPr>
        <w:t xml:space="preserve">. </w:t>
      </w:r>
    </w:p>
    <w:p w14:paraId="4DAD5526" w14:textId="4A632EBC" w:rsidR="00461AEC" w:rsidRPr="006A0747" w:rsidRDefault="00461AEC" w:rsidP="00461AEC">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Del total de activos de la banca dominicana, el 57% está compuesto por la cartera de crédito. En ese sentido, la cartera de créditos bruta ascendió a RD$2.13 billones (31.3% del PIB), para un aumento interanual de RD$279.5 mil millones, lo que equivale a una variación de 15.1%.</w:t>
      </w:r>
      <w:r w:rsidR="00522700" w:rsidRPr="006A0747">
        <w:rPr>
          <w:rFonts w:ascii="Times New Roman" w:eastAsia="Calibri" w:hAnsi="Times New Roman" w:cs="Times New Roman"/>
          <w:color w:val="767171"/>
          <w:spacing w:val="20"/>
          <w:sz w:val="24"/>
          <w:szCs w:val="24"/>
        </w:rPr>
        <w:t xml:space="preserve"> </w:t>
      </w:r>
      <w:r w:rsidRPr="006A0747">
        <w:rPr>
          <w:rFonts w:ascii="Times New Roman" w:eastAsia="Calibri" w:hAnsi="Times New Roman" w:cs="Times New Roman"/>
          <w:color w:val="767171"/>
          <w:spacing w:val="20"/>
          <w:sz w:val="24"/>
          <w:szCs w:val="24"/>
        </w:rPr>
        <w:t>La cartera de crédito contribuyó en un 80% en el crecimiento de los activos totales entre septiembre de 2023 y septiembre de 2024.</w:t>
      </w:r>
    </w:p>
    <w:p w14:paraId="0DA8666E" w14:textId="318310E4" w:rsidR="00461AEC" w:rsidRPr="006A0747" w:rsidRDefault="00CC04E8" w:rsidP="00461AEC">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Al observar</w:t>
      </w:r>
      <w:r w:rsidR="00461AEC" w:rsidRPr="006A0747">
        <w:rPr>
          <w:rFonts w:ascii="Times New Roman" w:eastAsia="Calibri" w:hAnsi="Times New Roman" w:cs="Times New Roman"/>
          <w:color w:val="767171"/>
          <w:spacing w:val="20"/>
          <w:sz w:val="24"/>
          <w:szCs w:val="24"/>
        </w:rPr>
        <w:t xml:space="preserve"> la composición de la cartera a septiembre de este año, la comercial privada representa la mayor participación (51.8%), seguida por la de consumo (excluyendo tarjetas de crédito personales 23.2%), hipotecaria (17.9%), tarjetas de crédito personales (5.3%) y pública (1.7%).</w:t>
      </w:r>
    </w:p>
    <w:p w14:paraId="106E325A" w14:textId="77777777" w:rsidR="00461AEC" w:rsidRPr="006A0747" w:rsidRDefault="00461AEC" w:rsidP="00461AEC">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En cuanto a la moneda de los créditos vigentes, la cartera del sector privado no denominada en pesos alcanzó los RD$470.2 mil millones </w:t>
      </w:r>
      <w:r w:rsidRPr="006A0747">
        <w:rPr>
          <w:rFonts w:ascii="Times New Roman" w:eastAsia="Calibri" w:hAnsi="Times New Roman" w:cs="Times New Roman"/>
          <w:color w:val="767171"/>
          <w:spacing w:val="20"/>
          <w:sz w:val="24"/>
          <w:szCs w:val="24"/>
        </w:rPr>
        <w:lastRenderedPageBreak/>
        <w:t>al cierre del tercer trimestre, debido a su crecimiento de 21.9% respecto al mismo momento de 2023, cuando los préstamos en esta categoría ascendían a los RD$385.8 mil millones.</w:t>
      </w:r>
    </w:p>
    <w:p w14:paraId="6E8E567F" w14:textId="77777777" w:rsidR="00461AEC" w:rsidRPr="006A0747" w:rsidRDefault="00461AEC" w:rsidP="00461AEC">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Respecto al total de pasivos del sistema financiero nacional, estos cerraron a septiembre en RD$3,268 mil de millones, presentando una variación interanual de 10.2%, principalmente debido al aumento de los depósitos del público (8.4%), que constituyen 77.8% de los pasivos de la banca.</w:t>
      </w:r>
    </w:p>
    <w:p w14:paraId="659941FE" w14:textId="77777777" w:rsidR="00461AEC" w:rsidRPr="006A0747" w:rsidRDefault="00461AEC" w:rsidP="00461AEC">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Los hogares son la principal fuente de captaciones del sistema financiero, acumulando RD$1.47 billones a septiembre de este año, lo que equivale a un 52.4% del total.</w:t>
      </w:r>
    </w:p>
    <w:p w14:paraId="438590DA" w14:textId="77777777" w:rsidR="00461AEC" w:rsidRPr="006A0747" w:rsidRDefault="00461AEC" w:rsidP="00461AEC">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De su lado, las empresas del sector real (sociedades privadas) fueron la segunda fuente de captación más importante con un total de RD$633,970 millones, lo que representa el 22.5% del total de las captaciones. </w:t>
      </w:r>
    </w:p>
    <w:p w14:paraId="7612E464" w14:textId="77777777" w:rsidR="00461AEC" w:rsidRPr="006A0747" w:rsidRDefault="00461AEC" w:rsidP="00461AEC">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Al finalizar septiembre, el indicador de morosidad mostró un ligero incremento de 0.3 puntos porcentuales con relación al mismo trimestre del 2023, para ubicarse en 1.5%.</w:t>
      </w:r>
    </w:p>
    <w:p w14:paraId="5EFF4199" w14:textId="1F238B08" w:rsidR="00461AEC" w:rsidRPr="006A0747" w:rsidRDefault="00461AEC" w:rsidP="00461AEC">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El comportamiento del indicador de cobertura de las entidades financieras ha venido retomando la tendencia histórica, pasando de 395.4% en agosto 2022 (su valor máximo desde junio de 2006) a 187% al finalizar el tercer trimestre de 2024.</w:t>
      </w:r>
      <w:r w:rsidR="00FE4F29" w:rsidRPr="006A0747">
        <w:rPr>
          <w:rFonts w:ascii="Times New Roman" w:eastAsia="Calibri" w:hAnsi="Times New Roman" w:cs="Times New Roman"/>
          <w:color w:val="767171"/>
          <w:spacing w:val="20"/>
          <w:sz w:val="24"/>
          <w:szCs w:val="24"/>
        </w:rPr>
        <w:t xml:space="preserve"> </w:t>
      </w:r>
      <w:r w:rsidRPr="006A0747">
        <w:rPr>
          <w:rFonts w:ascii="Times New Roman" w:eastAsia="Calibri" w:hAnsi="Times New Roman" w:cs="Times New Roman"/>
          <w:color w:val="767171"/>
          <w:spacing w:val="20"/>
          <w:sz w:val="24"/>
          <w:szCs w:val="24"/>
        </w:rPr>
        <w:t>Mientras que el monto de provisiones constituidas pasó de RD$59.3 a RD$61.2 millones al finalizar el tercer trimestre de este año.</w:t>
      </w:r>
    </w:p>
    <w:p w14:paraId="6355449E" w14:textId="01848638" w:rsidR="00461AEC" w:rsidRPr="006A0747" w:rsidRDefault="00461AEC" w:rsidP="00461AEC">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El sistema financiero presentó utilidades antes de impuestos sobre la renta por RD$78,428 millones, con un indicador de rentabilidad del patrimonio (ROE) de 24.2%. Asimismo, la rentabilidad promedio de los activos (ROA) se mantuvo en un 2.9%.</w:t>
      </w:r>
    </w:p>
    <w:p w14:paraId="64B8DDA5" w14:textId="17E66BE1" w:rsidR="00390463" w:rsidRPr="006A0747" w:rsidRDefault="00AC6B82" w:rsidP="000813B9">
      <w:pPr>
        <w:pStyle w:val="Ttulo2"/>
        <w:numPr>
          <w:ilvl w:val="1"/>
          <w:numId w:val="17"/>
        </w:numPr>
        <w:rPr>
          <w:rFonts w:ascii="Times New Roman" w:eastAsia="Calibri" w:hAnsi="Times New Roman" w:cs="Times New Roman"/>
          <w:b/>
          <w:color w:val="767171"/>
          <w:spacing w:val="20"/>
          <w:sz w:val="24"/>
          <w:szCs w:val="24"/>
        </w:rPr>
      </w:pPr>
      <w:bookmarkStart w:id="32" w:name="_Toc185274995"/>
      <w:r w:rsidRPr="006A0747">
        <w:rPr>
          <w:rFonts w:ascii="Times New Roman" w:eastAsia="Calibri" w:hAnsi="Times New Roman" w:cs="Times New Roman"/>
          <w:b/>
          <w:color w:val="767171"/>
          <w:spacing w:val="20"/>
          <w:sz w:val="24"/>
          <w:szCs w:val="24"/>
        </w:rPr>
        <w:lastRenderedPageBreak/>
        <w:t>S</w:t>
      </w:r>
      <w:r w:rsidR="000872E5" w:rsidRPr="006A0747">
        <w:rPr>
          <w:rFonts w:ascii="Times New Roman" w:eastAsia="Calibri" w:hAnsi="Times New Roman" w:cs="Times New Roman"/>
          <w:b/>
          <w:color w:val="767171"/>
          <w:spacing w:val="20"/>
          <w:sz w:val="24"/>
          <w:szCs w:val="24"/>
        </w:rPr>
        <w:t>upervisi</w:t>
      </w:r>
      <w:r w:rsidR="00DF5773" w:rsidRPr="006A0747">
        <w:rPr>
          <w:rFonts w:ascii="Times New Roman" w:eastAsia="Calibri" w:hAnsi="Times New Roman" w:cs="Times New Roman"/>
          <w:b/>
          <w:color w:val="767171"/>
          <w:spacing w:val="20"/>
          <w:sz w:val="24"/>
          <w:szCs w:val="24"/>
        </w:rPr>
        <w:t xml:space="preserve">ón </w:t>
      </w:r>
      <w:r w:rsidR="009E2AE4" w:rsidRPr="006A0747">
        <w:rPr>
          <w:rFonts w:ascii="Times New Roman" w:eastAsia="Calibri" w:hAnsi="Times New Roman" w:cs="Times New Roman"/>
          <w:b/>
          <w:color w:val="767171"/>
          <w:spacing w:val="20"/>
          <w:sz w:val="24"/>
          <w:szCs w:val="24"/>
        </w:rPr>
        <w:t>de las Entidades Reguladas por la Autoridad Monetaria y Financiera</w:t>
      </w:r>
      <w:bookmarkEnd w:id="32"/>
    </w:p>
    <w:p w14:paraId="3FBE0B98" w14:textId="77777777" w:rsidR="002D7A6A" w:rsidRPr="006A0747" w:rsidRDefault="002D7A6A" w:rsidP="00823AED">
      <w:pPr>
        <w:spacing w:line="360" w:lineRule="auto"/>
        <w:jc w:val="both"/>
        <w:rPr>
          <w:rFonts w:ascii="Times New Roman" w:eastAsia="Calibri" w:hAnsi="Times New Roman" w:cs="Times New Roman"/>
          <w:color w:val="2E74B5" w:themeColor="accent5" w:themeShade="BF"/>
          <w:spacing w:val="20"/>
          <w:sz w:val="24"/>
          <w:szCs w:val="24"/>
        </w:rPr>
      </w:pPr>
    </w:p>
    <w:p w14:paraId="5650FBC5" w14:textId="02F11A58" w:rsidR="00521877" w:rsidRPr="006A0747" w:rsidRDefault="00A45FBC" w:rsidP="00823AED">
      <w:pPr>
        <w:spacing w:line="360" w:lineRule="auto"/>
        <w:jc w:val="both"/>
        <w:rPr>
          <w:rFonts w:ascii="Times New Roman" w:eastAsia="Calibri" w:hAnsi="Times New Roman" w:cs="Times New Roman"/>
          <w:color w:val="767171"/>
          <w:spacing w:val="20"/>
          <w:sz w:val="24"/>
          <w:szCs w:val="24"/>
          <w:highlight w:val="yellow"/>
        </w:rPr>
      </w:pPr>
      <w:r w:rsidRPr="006A0747">
        <w:rPr>
          <w:rFonts w:ascii="Times New Roman" w:eastAsia="Calibri" w:hAnsi="Times New Roman" w:cs="Times New Roman"/>
          <w:color w:val="767171"/>
          <w:spacing w:val="20"/>
          <w:sz w:val="24"/>
          <w:szCs w:val="24"/>
        </w:rPr>
        <w:t xml:space="preserve">En el período comprendido entre enero y </w:t>
      </w:r>
      <w:r w:rsidR="008C4C30" w:rsidRPr="006A0747">
        <w:rPr>
          <w:rFonts w:ascii="Times New Roman" w:eastAsia="Calibri" w:hAnsi="Times New Roman" w:cs="Times New Roman"/>
          <w:color w:val="767171"/>
          <w:spacing w:val="20"/>
          <w:sz w:val="24"/>
          <w:szCs w:val="24"/>
        </w:rPr>
        <w:t>diciembre</w:t>
      </w:r>
      <w:r w:rsidRPr="006A0747">
        <w:rPr>
          <w:rFonts w:ascii="Times New Roman" w:eastAsia="Calibri" w:hAnsi="Times New Roman" w:cs="Times New Roman"/>
          <w:color w:val="767171"/>
          <w:spacing w:val="20"/>
          <w:sz w:val="24"/>
          <w:szCs w:val="24"/>
        </w:rPr>
        <w:t xml:space="preserve"> de 2024, la Superintendencia de Bancos de la República Dominicana realizó noventa y seis (96) inspecciones</w:t>
      </w:r>
      <w:r w:rsidR="00886617" w:rsidRPr="006A0747">
        <w:rPr>
          <w:rFonts w:ascii="Times New Roman" w:eastAsia="Calibri" w:hAnsi="Times New Roman" w:cs="Times New Roman"/>
          <w:color w:val="767171"/>
          <w:spacing w:val="20"/>
          <w:sz w:val="24"/>
          <w:szCs w:val="24"/>
        </w:rPr>
        <w:t xml:space="preserve">, </w:t>
      </w:r>
      <w:r w:rsidRPr="006A0747">
        <w:rPr>
          <w:rFonts w:ascii="Times New Roman" w:eastAsia="Calibri" w:hAnsi="Times New Roman" w:cs="Times New Roman"/>
          <w:color w:val="767171"/>
          <w:spacing w:val="20"/>
          <w:sz w:val="24"/>
          <w:szCs w:val="24"/>
        </w:rPr>
        <w:t>in-situ</w:t>
      </w:r>
      <w:r w:rsidR="00523A97" w:rsidRPr="006A0747">
        <w:rPr>
          <w:rFonts w:ascii="Times New Roman" w:eastAsia="Calibri" w:hAnsi="Times New Roman" w:cs="Times New Roman"/>
          <w:color w:val="767171"/>
          <w:spacing w:val="20"/>
          <w:sz w:val="24"/>
          <w:szCs w:val="24"/>
        </w:rPr>
        <w:t xml:space="preserve"> y </w:t>
      </w:r>
      <w:r w:rsidRPr="006A0747">
        <w:rPr>
          <w:rFonts w:ascii="Times New Roman" w:eastAsia="Calibri" w:hAnsi="Times New Roman" w:cs="Times New Roman"/>
          <w:color w:val="767171"/>
          <w:spacing w:val="20"/>
          <w:sz w:val="24"/>
          <w:szCs w:val="24"/>
        </w:rPr>
        <w:t xml:space="preserve">extra-situ. De esas inspecciones, treinta y siete (37) fueron realizadas </w:t>
      </w:r>
      <w:r w:rsidR="00814B3A" w:rsidRPr="006A0747">
        <w:rPr>
          <w:rFonts w:ascii="Times New Roman" w:eastAsia="Calibri" w:hAnsi="Times New Roman" w:cs="Times New Roman"/>
          <w:color w:val="767171"/>
          <w:spacing w:val="20"/>
          <w:sz w:val="24"/>
          <w:szCs w:val="24"/>
        </w:rPr>
        <w:t>a</w:t>
      </w:r>
      <w:r w:rsidRPr="006A0747">
        <w:rPr>
          <w:rFonts w:ascii="Times New Roman" w:eastAsia="Calibri" w:hAnsi="Times New Roman" w:cs="Times New Roman"/>
          <w:color w:val="767171"/>
          <w:spacing w:val="20"/>
          <w:sz w:val="24"/>
          <w:szCs w:val="24"/>
        </w:rPr>
        <w:t xml:space="preserve"> Bancos de Servicios Múltiples, diecisiete (17) </w:t>
      </w:r>
      <w:r w:rsidR="00814B3A" w:rsidRPr="006A0747">
        <w:rPr>
          <w:rFonts w:ascii="Times New Roman" w:eastAsia="Calibri" w:hAnsi="Times New Roman" w:cs="Times New Roman"/>
          <w:color w:val="767171"/>
          <w:spacing w:val="20"/>
          <w:sz w:val="24"/>
          <w:szCs w:val="24"/>
        </w:rPr>
        <w:t>a</w:t>
      </w:r>
      <w:r w:rsidRPr="006A0747">
        <w:rPr>
          <w:rFonts w:ascii="Times New Roman" w:eastAsia="Calibri" w:hAnsi="Times New Roman" w:cs="Times New Roman"/>
          <w:color w:val="767171"/>
          <w:spacing w:val="20"/>
          <w:sz w:val="24"/>
          <w:szCs w:val="24"/>
        </w:rPr>
        <w:t xml:space="preserve"> Asociaciones de Ahorros y Préstamos, dieciséis (16) </w:t>
      </w:r>
      <w:r w:rsidR="00814B3A" w:rsidRPr="006A0747">
        <w:rPr>
          <w:rFonts w:ascii="Times New Roman" w:eastAsia="Calibri" w:hAnsi="Times New Roman" w:cs="Times New Roman"/>
          <w:color w:val="767171"/>
          <w:spacing w:val="20"/>
          <w:sz w:val="24"/>
          <w:szCs w:val="24"/>
        </w:rPr>
        <w:t>a</w:t>
      </w:r>
      <w:r w:rsidRPr="006A0747">
        <w:rPr>
          <w:rFonts w:ascii="Times New Roman" w:eastAsia="Calibri" w:hAnsi="Times New Roman" w:cs="Times New Roman"/>
          <w:color w:val="767171"/>
          <w:spacing w:val="20"/>
          <w:sz w:val="24"/>
          <w:szCs w:val="24"/>
        </w:rPr>
        <w:t xml:space="preserve"> Bancos de Ahorro y Crédito, cinco (5) correspondieron a Corporaciones de Crédito, tres (3) a Entidades Estatales, trece (13) </w:t>
      </w:r>
      <w:r w:rsidR="00814B3A" w:rsidRPr="006A0747">
        <w:rPr>
          <w:rFonts w:ascii="Times New Roman" w:eastAsia="Calibri" w:hAnsi="Times New Roman" w:cs="Times New Roman"/>
          <w:color w:val="767171"/>
          <w:spacing w:val="20"/>
          <w:sz w:val="24"/>
          <w:szCs w:val="24"/>
        </w:rPr>
        <w:t>a</w:t>
      </w:r>
      <w:r w:rsidRPr="006A0747">
        <w:rPr>
          <w:rFonts w:ascii="Times New Roman" w:eastAsia="Calibri" w:hAnsi="Times New Roman" w:cs="Times New Roman"/>
          <w:color w:val="767171"/>
          <w:spacing w:val="20"/>
          <w:sz w:val="24"/>
          <w:szCs w:val="24"/>
        </w:rPr>
        <w:t xml:space="preserve"> Entidades Cambiarias y Remesadoras, cuatro (4)</w:t>
      </w:r>
      <w:r w:rsidR="00814B3A" w:rsidRPr="006A0747">
        <w:rPr>
          <w:rFonts w:ascii="Times New Roman" w:eastAsia="Calibri" w:hAnsi="Times New Roman" w:cs="Times New Roman"/>
          <w:color w:val="767171"/>
          <w:spacing w:val="20"/>
          <w:sz w:val="24"/>
          <w:szCs w:val="24"/>
        </w:rPr>
        <w:t xml:space="preserve"> a</w:t>
      </w:r>
      <w:r w:rsidRPr="006A0747">
        <w:rPr>
          <w:rFonts w:ascii="Times New Roman" w:eastAsia="Calibri" w:hAnsi="Times New Roman" w:cs="Times New Roman"/>
          <w:color w:val="767171"/>
          <w:spacing w:val="20"/>
          <w:sz w:val="24"/>
          <w:szCs w:val="24"/>
        </w:rPr>
        <w:t xml:space="preserve"> Sociedades Fiduciarias y una (1)</w:t>
      </w:r>
      <w:r w:rsidR="00814B3A" w:rsidRPr="006A0747">
        <w:rPr>
          <w:rFonts w:ascii="Times New Roman" w:eastAsia="Calibri" w:hAnsi="Times New Roman" w:cs="Times New Roman"/>
          <w:color w:val="767171"/>
          <w:spacing w:val="20"/>
          <w:sz w:val="24"/>
          <w:szCs w:val="24"/>
        </w:rPr>
        <w:t xml:space="preserve"> a</w:t>
      </w:r>
      <w:r w:rsidRPr="006A0747">
        <w:rPr>
          <w:rFonts w:ascii="Times New Roman" w:eastAsia="Calibri" w:hAnsi="Times New Roman" w:cs="Times New Roman"/>
          <w:color w:val="767171"/>
          <w:spacing w:val="20"/>
          <w:sz w:val="24"/>
          <w:szCs w:val="24"/>
        </w:rPr>
        <w:t xml:space="preserve"> </w:t>
      </w:r>
      <w:r w:rsidR="00814B3A" w:rsidRPr="006A0747">
        <w:rPr>
          <w:rFonts w:ascii="Times New Roman" w:eastAsia="Calibri" w:hAnsi="Times New Roman" w:cs="Times New Roman"/>
          <w:color w:val="767171"/>
          <w:spacing w:val="20"/>
          <w:sz w:val="24"/>
          <w:szCs w:val="24"/>
        </w:rPr>
        <w:t xml:space="preserve">una </w:t>
      </w:r>
      <w:r w:rsidRPr="006A0747">
        <w:rPr>
          <w:rFonts w:ascii="Times New Roman" w:eastAsia="Calibri" w:hAnsi="Times New Roman" w:cs="Times New Roman"/>
          <w:color w:val="767171"/>
          <w:spacing w:val="20"/>
          <w:sz w:val="24"/>
          <w:szCs w:val="24"/>
        </w:rPr>
        <w:t>Entidad de Intermediación Financiera que ofrece servicios fiduciarios.</w:t>
      </w:r>
      <w:r w:rsidR="00823AED" w:rsidRPr="006A0747">
        <w:rPr>
          <w:rFonts w:ascii="Times New Roman" w:eastAsia="Calibri" w:hAnsi="Times New Roman" w:cs="Times New Roman"/>
          <w:color w:val="767171"/>
          <w:spacing w:val="20"/>
          <w:sz w:val="24"/>
          <w:szCs w:val="24"/>
        </w:rPr>
        <w:t xml:space="preserve"> </w:t>
      </w:r>
    </w:p>
    <w:p w14:paraId="3059A3D2" w14:textId="109C48CB" w:rsidR="00CC32FC" w:rsidRPr="006A0747" w:rsidRDefault="00CC32FC" w:rsidP="004E5241">
      <w:pPr>
        <w:spacing w:line="360" w:lineRule="auto"/>
        <w:jc w:val="center"/>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t xml:space="preserve">Tabla </w:t>
      </w:r>
      <w:r w:rsidR="00F23BEA" w:rsidRPr="006A0747">
        <w:rPr>
          <w:rFonts w:ascii="Times New Roman" w:eastAsia="Calibri" w:hAnsi="Times New Roman" w:cs="Times New Roman"/>
          <w:b/>
          <w:color w:val="767171"/>
          <w:spacing w:val="20"/>
          <w:sz w:val="24"/>
          <w:szCs w:val="24"/>
        </w:rPr>
        <w:t>2</w:t>
      </w:r>
      <w:r w:rsidRPr="006A0747">
        <w:rPr>
          <w:rFonts w:ascii="Times New Roman" w:eastAsia="Calibri" w:hAnsi="Times New Roman" w:cs="Times New Roman"/>
          <w:b/>
          <w:color w:val="767171"/>
          <w:spacing w:val="20"/>
          <w:sz w:val="24"/>
          <w:szCs w:val="24"/>
        </w:rPr>
        <w:t xml:space="preserve">. Inspecciones realizadas a entidades de </w:t>
      </w:r>
      <w:r w:rsidR="00CB1B40" w:rsidRPr="006A0747">
        <w:rPr>
          <w:rFonts w:ascii="Times New Roman" w:eastAsia="Calibri" w:hAnsi="Times New Roman" w:cs="Times New Roman"/>
          <w:b/>
          <w:color w:val="767171"/>
          <w:spacing w:val="20"/>
          <w:sz w:val="24"/>
          <w:szCs w:val="24"/>
        </w:rPr>
        <w:t>reguladas</w:t>
      </w:r>
      <w:r w:rsidRPr="006A0747">
        <w:rPr>
          <w:rFonts w:ascii="Times New Roman" w:eastAsia="Calibri" w:hAnsi="Times New Roman" w:cs="Times New Roman"/>
          <w:b/>
          <w:color w:val="767171"/>
          <w:spacing w:val="20"/>
          <w:sz w:val="24"/>
          <w:szCs w:val="24"/>
        </w:rPr>
        <w:t xml:space="preserve"> por tipo de entidad.</w:t>
      </w:r>
    </w:p>
    <w:tbl>
      <w:tblPr>
        <w:tblW w:w="7376" w:type="dxa"/>
        <w:jc w:val="center"/>
        <w:tblCellMar>
          <w:top w:w="15" w:type="dxa"/>
          <w:left w:w="70" w:type="dxa"/>
          <w:bottom w:w="15" w:type="dxa"/>
          <w:right w:w="70" w:type="dxa"/>
        </w:tblCellMar>
        <w:tblLook w:val="04A0" w:firstRow="1" w:lastRow="0" w:firstColumn="1" w:lastColumn="0" w:noHBand="0" w:noVBand="1"/>
      </w:tblPr>
      <w:tblGrid>
        <w:gridCol w:w="5146"/>
        <w:gridCol w:w="2230"/>
      </w:tblGrid>
      <w:tr w:rsidR="00CF75E4" w:rsidRPr="006A0747" w14:paraId="0A6D3561" w14:textId="77777777">
        <w:trPr>
          <w:trHeight w:val="629"/>
          <w:tblHeader/>
          <w:jc w:val="center"/>
        </w:trPr>
        <w:tc>
          <w:tcPr>
            <w:tcW w:w="5146" w:type="dxa"/>
            <w:tcBorders>
              <w:top w:val="single" w:sz="8" w:space="0" w:color="auto"/>
              <w:left w:val="single" w:sz="8" w:space="0" w:color="auto"/>
              <w:bottom w:val="single" w:sz="8" w:space="0" w:color="auto"/>
              <w:right w:val="single" w:sz="8" w:space="0" w:color="000000"/>
            </w:tcBorders>
            <w:shd w:val="clear" w:color="auto" w:fill="011C50"/>
            <w:noWrap/>
            <w:vAlign w:val="center"/>
            <w:hideMark/>
          </w:tcPr>
          <w:p w14:paraId="79EE85FA" w14:textId="77777777" w:rsidR="00CC32FC" w:rsidRPr="006A0747" w:rsidRDefault="00CC32FC">
            <w:pPr>
              <w:spacing w:after="0" w:line="360" w:lineRule="auto"/>
              <w:jc w:val="center"/>
              <w:rPr>
                <w:rFonts w:ascii="Times New Roman" w:eastAsia="Calibri" w:hAnsi="Times New Roman" w:cs="Times New Roman"/>
                <w:b/>
                <w:color w:val="FFFFFF" w:themeColor="background1"/>
                <w:spacing w:val="20"/>
                <w:sz w:val="24"/>
                <w:szCs w:val="24"/>
              </w:rPr>
            </w:pPr>
            <w:r w:rsidRPr="006A0747">
              <w:rPr>
                <w:rFonts w:ascii="Times New Roman" w:eastAsia="Calibri" w:hAnsi="Times New Roman" w:cs="Times New Roman"/>
                <w:b/>
                <w:color w:val="FFFFFF" w:themeColor="background1"/>
                <w:spacing w:val="20"/>
                <w:sz w:val="24"/>
                <w:szCs w:val="24"/>
              </w:rPr>
              <w:t>Tipo de Entidad</w:t>
            </w:r>
          </w:p>
        </w:tc>
        <w:tc>
          <w:tcPr>
            <w:tcW w:w="2230" w:type="dxa"/>
            <w:tcBorders>
              <w:top w:val="single" w:sz="8" w:space="0" w:color="auto"/>
              <w:left w:val="single" w:sz="8" w:space="0" w:color="auto"/>
              <w:bottom w:val="single" w:sz="8" w:space="0" w:color="auto"/>
              <w:right w:val="single" w:sz="8" w:space="0" w:color="000000"/>
            </w:tcBorders>
            <w:shd w:val="clear" w:color="auto" w:fill="011C50"/>
            <w:noWrap/>
            <w:vAlign w:val="center"/>
            <w:hideMark/>
          </w:tcPr>
          <w:p w14:paraId="4E96CE17" w14:textId="77777777" w:rsidR="00CC32FC" w:rsidRPr="006A0747" w:rsidRDefault="00CC32FC">
            <w:pPr>
              <w:spacing w:after="0" w:line="360" w:lineRule="auto"/>
              <w:jc w:val="center"/>
              <w:rPr>
                <w:rFonts w:ascii="Times New Roman" w:eastAsia="Calibri" w:hAnsi="Times New Roman" w:cs="Times New Roman"/>
                <w:b/>
                <w:color w:val="FFFFFF" w:themeColor="background1"/>
                <w:spacing w:val="20"/>
                <w:sz w:val="24"/>
                <w:szCs w:val="24"/>
              </w:rPr>
            </w:pPr>
            <w:r w:rsidRPr="006A0747">
              <w:rPr>
                <w:rFonts w:ascii="Times New Roman" w:eastAsia="Calibri" w:hAnsi="Times New Roman" w:cs="Times New Roman"/>
                <w:b/>
                <w:color w:val="FFFFFF" w:themeColor="background1"/>
                <w:spacing w:val="20"/>
                <w:sz w:val="24"/>
                <w:szCs w:val="24"/>
              </w:rPr>
              <w:t>Cantidad de Inspecciones</w:t>
            </w:r>
          </w:p>
        </w:tc>
      </w:tr>
      <w:tr w:rsidR="00CF75E4" w:rsidRPr="006A0747" w14:paraId="208C2A7D" w14:textId="77777777">
        <w:trPr>
          <w:trHeight w:val="298"/>
          <w:jc w:val="center"/>
        </w:trPr>
        <w:tc>
          <w:tcPr>
            <w:tcW w:w="5146" w:type="dxa"/>
            <w:tcBorders>
              <w:top w:val="single" w:sz="4" w:space="0" w:color="auto"/>
              <w:left w:val="single" w:sz="4" w:space="0" w:color="auto"/>
              <w:bottom w:val="single" w:sz="4" w:space="0" w:color="auto"/>
              <w:right w:val="single" w:sz="4" w:space="0" w:color="auto"/>
            </w:tcBorders>
            <w:noWrap/>
            <w:vAlign w:val="center"/>
            <w:hideMark/>
          </w:tcPr>
          <w:p w14:paraId="1AA588BB" w14:textId="77777777" w:rsidR="00CC32FC" w:rsidRPr="006A0747" w:rsidRDefault="00CC32FC">
            <w:pPr>
              <w:spacing w:after="0" w:line="360" w:lineRule="auto"/>
              <w:jc w:val="center"/>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Bancos Múltiples</w:t>
            </w:r>
          </w:p>
        </w:tc>
        <w:tc>
          <w:tcPr>
            <w:tcW w:w="2230" w:type="dxa"/>
            <w:tcBorders>
              <w:top w:val="single" w:sz="4" w:space="0" w:color="auto"/>
              <w:left w:val="nil"/>
              <w:bottom w:val="single" w:sz="4" w:space="0" w:color="auto"/>
              <w:right w:val="single" w:sz="4" w:space="0" w:color="auto"/>
            </w:tcBorders>
            <w:noWrap/>
            <w:vAlign w:val="center"/>
            <w:hideMark/>
          </w:tcPr>
          <w:p w14:paraId="5B7B3424" w14:textId="48D3C830" w:rsidR="00CC32FC" w:rsidRPr="006A0747" w:rsidRDefault="0067365C">
            <w:pPr>
              <w:spacing w:after="0" w:line="360" w:lineRule="auto"/>
              <w:jc w:val="center"/>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37</w:t>
            </w:r>
          </w:p>
        </w:tc>
      </w:tr>
      <w:tr w:rsidR="00CF75E4" w:rsidRPr="006A0747" w14:paraId="0CFE26AC" w14:textId="77777777">
        <w:trPr>
          <w:trHeight w:val="298"/>
          <w:jc w:val="center"/>
        </w:trPr>
        <w:tc>
          <w:tcPr>
            <w:tcW w:w="5146" w:type="dxa"/>
            <w:tcBorders>
              <w:top w:val="nil"/>
              <w:left w:val="single" w:sz="4" w:space="0" w:color="auto"/>
              <w:bottom w:val="single" w:sz="4" w:space="0" w:color="auto"/>
              <w:right w:val="single" w:sz="4" w:space="0" w:color="auto"/>
            </w:tcBorders>
            <w:noWrap/>
            <w:vAlign w:val="center"/>
          </w:tcPr>
          <w:p w14:paraId="3C46B5FB" w14:textId="77777777" w:rsidR="00CC32FC" w:rsidRPr="006A0747" w:rsidRDefault="00CC32FC">
            <w:pPr>
              <w:spacing w:after="0" w:line="360" w:lineRule="auto"/>
              <w:jc w:val="center"/>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Asociaciones de Ahorros y Préstamos</w:t>
            </w:r>
          </w:p>
        </w:tc>
        <w:tc>
          <w:tcPr>
            <w:tcW w:w="2230" w:type="dxa"/>
            <w:tcBorders>
              <w:top w:val="nil"/>
              <w:left w:val="nil"/>
              <w:bottom w:val="single" w:sz="4" w:space="0" w:color="auto"/>
              <w:right w:val="single" w:sz="4" w:space="0" w:color="auto"/>
            </w:tcBorders>
            <w:noWrap/>
            <w:vAlign w:val="center"/>
          </w:tcPr>
          <w:p w14:paraId="7FC03D57" w14:textId="259E9DA5" w:rsidR="00CC32FC" w:rsidRPr="006A0747" w:rsidRDefault="0067365C">
            <w:pPr>
              <w:spacing w:after="0" w:line="360" w:lineRule="auto"/>
              <w:jc w:val="center"/>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17</w:t>
            </w:r>
          </w:p>
        </w:tc>
      </w:tr>
      <w:tr w:rsidR="00CF75E4" w:rsidRPr="006A0747" w14:paraId="1B6E9AB0" w14:textId="77777777">
        <w:trPr>
          <w:trHeight w:val="298"/>
          <w:jc w:val="center"/>
        </w:trPr>
        <w:tc>
          <w:tcPr>
            <w:tcW w:w="5146" w:type="dxa"/>
            <w:tcBorders>
              <w:top w:val="nil"/>
              <w:left w:val="single" w:sz="4" w:space="0" w:color="auto"/>
              <w:bottom w:val="single" w:sz="4" w:space="0" w:color="auto"/>
              <w:right w:val="single" w:sz="4" w:space="0" w:color="auto"/>
            </w:tcBorders>
            <w:noWrap/>
            <w:vAlign w:val="center"/>
            <w:hideMark/>
          </w:tcPr>
          <w:p w14:paraId="0D1E55E6" w14:textId="77777777" w:rsidR="00CC32FC" w:rsidRPr="006A0747" w:rsidRDefault="00CC32FC">
            <w:pPr>
              <w:spacing w:after="0" w:line="360" w:lineRule="auto"/>
              <w:jc w:val="center"/>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Bancos de Ahorro y Crédito</w:t>
            </w:r>
          </w:p>
        </w:tc>
        <w:tc>
          <w:tcPr>
            <w:tcW w:w="2230" w:type="dxa"/>
            <w:tcBorders>
              <w:top w:val="nil"/>
              <w:left w:val="nil"/>
              <w:bottom w:val="single" w:sz="4" w:space="0" w:color="auto"/>
              <w:right w:val="single" w:sz="4" w:space="0" w:color="auto"/>
            </w:tcBorders>
            <w:noWrap/>
            <w:vAlign w:val="center"/>
            <w:hideMark/>
          </w:tcPr>
          <w:p w14:paraId="5FD221FC" w14:textId="1D04DF71" w:rsidR="00CC32FC" w:rsidRPr="006A0747" w:rsidRDefault="0067365C">
            <w:pPr>
              <w:spacing w:after="0" w:line="360" w:lineRule="auto"/>
              <w:jc w:val="center"/>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16</w:t>
            </w:r>
          </w:p>
        </w:tc>
      </w:tr>
      <w:tr w:rsidR="00CF75E4" w:rsidRPr="006A0747" w14:paraId="38BDD86C" w14:textId="77777777">
        <w:trPr>
          <w:trHeight w:val="298"/>
          <w:jc w:val="center"/>
        </w:trPr>
        <w:tc>
          <w:tcPr>
            <w:tcW w:w="5146" w:type="dxa"/>
            <w:tcBorders>
              <w:top w:val="nil"/>
              <w:left w:val="single" w:sz="4" w:space="0" w:color="auto"/>
              <w:bottom w:val="single" w:sz="4" w:space="0" w:color="auto"/>
              <w:right w:val="single" w:sz="4" w:space="0" w:color="auto"/>
            </w:tcBorders>
            <w:noWrap/>
            <w:vAlign w:val="center"/>
            <w:hideMark/>
          </w:tcPr>
          <w:p w14:paraId="7D31191E" w14:textId="77777777" w:rsidR="00CC32FC" w:rsidRPr="006A0747" w:rsidRDefault="00CC32FC">
            <w:pPr>
              <w:spacing w:after="0" w:line="360" w:lineRule="auto"/>
              <w:jc w:val="center"/>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Corporaciones Crédito</w:t>
            </w:r>
          </w:p>
        </w:tc>
        <w:tc>
          <w:tcPr>
            <w:tcW w:w="2230" w:type="dxa"/>
            <w:tcBorders>
              <w:top w:val="nil"/>
              <w:left w:val="nil"/>
              <w:bottom w:val="single" w:sz="4" w:space="0" w:color="auto"/>
              <w:right w:val="single" w:sz="4" w:space="0" w:color="auto"/>
            </w:tcBorders>
            <w:noWrap/>
            <w:vAlign w:val="center"/>
            <w:hideMark/>
          </w:tcPr>
          <w:p w14:paraId="5F9D832A" w14:textId="5314A72A" w:rsidR="00CC32FC" w:rsidRPr="006A0747" w:rsidRDefault="004D2535">
            <w:pPr>
              <w:spacing w:after="0" w:line="360" w:lineRule="auto"/>
              <w:jc w:val="center"/>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5</w:t>
            </w:r>
          </w:p>
        </w:tc>
      </w:tr>
      <w:tr w:rsidR="00CF75E4" w:rsidRPr="006A0747" w14:paraId="401EDCBC" w14:textId="77777777">
        <w:trPr>
          <w:trHeight w:val="298"/>
          <w:jc w:val="center"/>
        </w:trPr>
        <w:tc>
          <w:tcPr>
            <w:tcW w:w="5146" w:type="dxa"/>
            <w:tcBorders>
              <w:top w:val="nil"/>
              <w:left w:val="single" w:sz="4" w:space="0" w:color="auto"/>
              <w:bottom w:val="single" w:sz="4" w:space="0" w:color="auto"/>
              <w:right w:val="single" w:sz="4" w:space="0" w:color="auto"/>
            </w:tcBorders>
            <w:noWrap/>
            <w:vAlign w:val="center"/>
          </w:tcPr>
          <w:p w14:paraId="66246BDE" w14:textId="77777777" w:rsidR="00CC32FC" w:rsidRPr="006A0747" w:rsidRDefault="00CC32FC">
            <w:pPr>
              <w:spacing w:after="0" w:line="360" w:lineRule="auto"/>
              <w:jc w:val="center"/>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Entidades Estatales</w:t>
            </w:r>
          </w:p>
        </w:tc>
        <w:tc>
          <w:tcPr>
            <w:tcW w:w="2230" w:type="dxa"/>
            <w:tcBorders>
              <w:top w:val="nil"/>
              <w:left w:val="nil"/>
              <w:bottom w:val="single" w:sz="4" w:space="0" w:color="auto"/>
              <w:right w:val="single" w:sz="4" w:space="0" w:color="auto"/>
            </w:tcBorders>
            <w:noWrap/>
            <w:vAlign w:val="center"/>
          </w:tcPr>
          <w:p w14:paraId="1E4B0C2D" w14:textId="5F5DBA37" w:rsidR="00CC32FC" w:rsidRPr="006A0747" w:rsidRDefault="004D2535">
            <w:pPr>
              <w:spacing w:after="0" w:line="360" w:lineRule="auto"/>
              <w:jc w:val="center"/>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3</w:t>
            </w:r>
          </w:p>
        </w:tc>
      </w:tr>
      <w:tr w:rsidR="00CF75E4" w:rsidRPr="006A0747" w14:paraId="40CF7112" w14:textId="77777777">
        <w:trPr>
          <w:trHeight w:val="298"/>
          <w:jc w:val="center"/>
        </w:trPr>
        <w:tc>
          <w:tcPr>
            <w:tcW w:w="5146" w:type="dxa"/>
            <w:tcBorders>
              <w:top w:val="nil"/>
              <w:left w:val="single" w:sz="4" w:space="0" w:color="auto"/>
              <w:bottom w:val="single" w:sz="4" w:space="0" w:color="auto"/>
              <w:right w:val="single" w:sz="4" w:space="0" w:color="auto"/>
            </w:tcBorders>
            <w:noWrap/>
            <w:vAlign w:val="center"/>
            <w:hideMark/>
          </w:tcPr>
          <w:p w14:paraId="7B06EF96" w14:textId="77777777" w:rsidR="00CC32FC" w:rsidRPr="006A0747" w:rsidRDefault="00CC32FC">
            <w:pPr>
              <w:spacing w:after="0" w:line="360" w:lineRule="auto"/>
              <w:jc w:val="center"/>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Agentes de Remesas y Cambio</w:t>
            </w:r>
          </w:p>
        </w:tc>
        <w:tc>
          <w:tcPr>
            <w:tcW w:w="2230" w:type="dxa"/>
            <w:tcBorders>
              <w:top w:val="nil"/>
              <w:left w:val="nil"/>
              <w:bottom w:val="single" w:sz="4" w:space="0" w:color="auto"/>
              <w:right w:val="single" w:sz="4" w:space="0" w:color="auto"/>
            </w:tcBorders>
            <w:noWrap/>
            <w:vAlign w:val="center"/>
            <w:hideMark/>
          </w:tcPr>
          <w:p w14:paraId="54223EC8" w14:textId="07383897" w:rsidR="00CC32FC" w:rsidRPr="006A0747" w:rsidRDefault="004D2535">
            <w:pPr>
              <w:spacing w:after="0" w:line="360" w:lineRule="auto"/>
              <w:jc w:val="center"/>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13</w:t>
            </w:r>
          </w:p>
        </w:tc>
      </w:tr>
      <w:tr w:rsidR="00CF75E4" w:rsidRPr="006A0747" w14:paraId="35D0F0AA" w14:textId="77777777">
        <w:trPr>
          <w:trHeight w:val="298"/>
          <w:jc w:val="center"/>
        </w:trPr>
        <w:tc>
          <w:tcPr>
            <w:tcW w:w="5146" w:type="dxa"/>
            <w:tcBorders>
              <w:top w:val="nil"/>
              <w:left w:val="single" w:sz="4" w:space="0" w:color="auto"/>
              <w:bottom w:val="single" w:sz="4" w:space="0" w:color="auto"/>
              <w:right w:val="single" w:sz="4" w:space="0" w:color="auto"/>
            </w:tcBorders>
            <w:noWrap/>
            <w:vAlign w:val="center"/>
          </w:tcPr>
          <w:p w14:paraId="7131A763" w14:textId="77777777" w:rsidR="00CC32FC" w:rsidRPr="006A0747" w:rsidRDefault="00CC32FC">
            <w:pPr>
              <w:spacing w:after="0" w:line="360" w:lineRule="auto"/>
              <w:jc w:val="center"/>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Fiduciarias</w:t>
            </w:r>
          </w:p>
        </w:tc>
        <w:tc>
          <w:tcPr>
            <w:tcW w:w="2230" w:type="dxa"/>
            <w:tcBorders>
              <w:top w:val="nil"/>
              <w:left w:val="nil"/>
              <w:bottom w:val="single" w:sz="4" w:space="0" w:color="auto"/>
              <w:right w:val="single" w:sz="4" w:space="0" w:color="auto"/>
            </w:tcBorders>
            <w:noWrap/>
            <w:vAlign w:val="center"/>
          </w:tcPr>
          <w:p w14:paraId="18EF77BB" w14:textId="29C08C1B" w:rsidR="00CC32FC" w:rsidRPr="006A0747" w:rsidRDefault="004D2535">
            <w:pPr>
              <w:spacing w:after="0" w:line="360" w:lineRule="auto"/>
              <w:jc w:val="center"/>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5</w:t>
            </w:r>
          </w:p>
        </w:tc>
      </w:tr>
      <w:tr w:rsidR="00CF75E4" w:rsidRPr="006A0747" w14:paraId="5BD75F83" w14:textId="77777777">
        <w:trPr>
          <w:trHeight w:val="298"/>
          <w:jc w:val="center"/>
        </w:trPr>
        <w:tc>
          <w:tcPr>
            <w:tcW w:w="5146" w:type="dxa"/>
            <w:tcBorders>
              <w:top w:val="nil"/>
              <w:left w:val="single" w:sz="4" w:space="0" w:color="auto"/>
              <w:bottom w:val="single" w:sz="4" w:space="0" w:color="auto"/>
              <w:right w:val="single" w:sz="4" w:space="0" w:color="auto"/>
            </w:tcBorders>
            <w:shd w:val="clear" w:color="auto" w:fill="011C50"/>
            <w:noWrap/>
            <w:vAlign w:val="center"/>
          </w:tcPr>
          <w:p w14:paraId="2BAD7849" w14:textId="77777777" w:rsidR="00CC32FC" w:rsidRPr="006A0747" w:rsidRDefault="00CC32FC">
            <w:pPr>
              <w:spacing w:after="0" w:line="360" w:lineRule="auto"/>
              <w:jc w:val="center"/>
              <w:rPr>
                <w:rFonts w:ascii="Times New Roman" w:eastAsia="Calibri" w:hAnsi="Times New Roman" w:cs="Times New Roman"/>
                <w:b/>
                <w:color w:val="FFFFFF" w:themeColor="background1"/>
                <w:spacing w:val="20"/>
                <w:sz w:val="24"/>
                <w:szCs w:val="24"/>
              </w:rPr>
            </w:pPr>
            <w:proofErr w:type="gramStart"/>
            <w:r w:rsidRPr="006A0747">
              <w:rPr>
                <w:rFonts w:ascii="Times New Roman" w:eastAsia="Calibri" w:hAnsi="Times New Roman" w:cs="Times New Roman"/>
                <w:b/>
                <w:color w:val="FFFFFF" w:themeColor="background1"/>
                <w:spacing w:val="20"/>
                <w:sz w:val="24"/>
                <w:szCs w:val="24"/>
              </w:rPr>
              <w:t>Total</w:t>
            </w:r>
            <w:proofErr w:type="gramEnd"/>
            <w:r w:rsidRPr="006A0747">
              <w:rPr>
                <w:rFonts w:ascii="Times New Roman" w:eastAsia="Calibri" w:hAnsi="Times New Roman" w:cs="Times New Roman"/>
                <w:b/>
                <w:color w:val="FFFFFF" w:themeColor="background1"/>
                <w:spacing w:val="20"/>
                <w:sz w:val="24"/>
                <w:szCs w:val="24"/>
              </w:rPr>
              <w:t xml:space="preserve"> de Inspecciones</w:t>
            </w:r>
          </w:p>
        </w:tc>
        <w:tc>
          <w:tcPr>
            <w:tcW w:w="2230" w:type="dxa"/>
            <w:tcBorders>
              <w:top w:val="nil"/>
              <w:left w:val="nil"/>
              <w:bottom w:val="single" w:sz="4" w:space="0" w:color="auto"/>
              <w:right w:val="single" w:sz="4" w:space="0" w:color="auto"/>
            </w:tcBorders>
            <w:shd w:val="clear" w:color="auto" w:fill="011C50"/>
            <w:noWrap/>
            <w:vAlign w:val="center"/>
          </w:tcPr>
          <w:p w14:paraId="38EC49C8" w14:textId="6AF7C8D1" w:rsidR="00CC32FC" w:rsidRPr="006A0747" w:rsidRDefault="004D2535">
            <w:pPr>
              <w:spacing w:after="0" w:line="360" w:lineRule="auto"/>
              <w:jc w:val="center"/>
              <w:rPr>
                <w:rFonts w:ascii="Times New Roman" w:eastAsia="Calibri" w:hAnsi="Times New Roman" w:cs="Times New Roman"/>
                <w:b/>
                <w:color w:val="FFFFFF" w:themeColor="background1"/>
                <w:spacing w:val="20"/>
                <w:sz w:val="24"/>
                <w:szCs w:val="24"/>
              </w:rPr>
            </w:pPr>
            <w:r w:rsidRPr="006A0747">
              <w:rPr>
                <w:rFonts w:ascii="Times New Roman" w:eastAsia="Calibri" w:hAnsi="Times New Roman" w:cs="Times New Roman"/>
                <w:b/>
                <w:color w:val="FFFFFF" w:themeColor="background1"/>
                <w:spacing w:val="20"/>
                <w:sz w:val="24"/>
                <w:szCs w:val="24"/>
              </w:rPr>
              <w:t>96</w:t>
            </w:r>
          </w:p>
        </w:tc>
      </w:tr>
    </w:tbl>
    <w:p w14:paraId="4220788A" w14:textId="33A2C6C5" w:rsidR="009B7CFD" w:rsidRPr="006A0747" w:rsidRDefault="00CC32FC" w:rsidP="00E11717">
      <w:pPr>
        <w:spacing w:line="360" w:lineRule="auto"/>
        <w:jc w:val="center"/>
        <w:rPr>
          <w:rFonts w:ascii="Times New Roman" w:eastAsia="Calibri" w:hAnsi="Times New Roman" w:cs="Times New Roman"/>
          <w:i/>
          <w:color w:val="767171"/>
          <w:spacing w:val="20"/>
          <w:sz w:val="18"/>
          <w:szCs w:val="18"/>
        </w:rPr>
      </w:pPr>
      <w:r w:rsidRPr="006A0747">
        <w:rPr>
          <w:rFonts w:ascii="Times New Roman" w:eastAsia="Calibri" w:hAnsi="Times New Roman" w:cs="Times New Roman"/>
          <w:i/>
          <w:color w:val="767171"/>
          <w:spacing w:val="20"/>
          <w:sz w:val="18"/>
          <w:szCs w:val="18"/>
        </w:rPr>
        <w:t>Fuente: Subgerencia de Supervisión</w:t>
      </w:r>
      <w:r w:rsidR="006E4940" w:rsidRPr="006A0747">
        <w:rPr>
          <w:rFonts w:ascii="Times New Roman" w:eastAsia="Calibri" w:hAnsi="Times New Roman" w:cs="Times New Roman"/>
          <w:i/>
          <w:color w:val="767171"/>
          <w:spacing w:val="20"/>
          <w:sz w:val="18"/>
          <w:szCs w:val="18"/>
        </w:rPr>
        <w:t xml:space="preserve"> de la Superintendencia de Bancos </w:t>
      </w:r>
      <w:r w:rsidR="004D2535" w:rsidRPr="006A0747">
        <w:rPr>
          <w:rFonts w:ascii="Times New Roman" w:eastAsia="Calibri" w:hAnsi="Times New Roman" w:cs="Times New Roman"/>
          <w:i/>
          <w:color w:val="767171"/>
          <w:spacing w:val="20"/>
          <w:sz w:val="18"/>
          <w:szCs w:val="18"/>
        </w:rPr>
        <w:t>año</w:t>
      </w:r>
      <w:r w:rsidR="006E4940" w:rsidRPr="006A0747">
        <w:rPr>
          <w:rFonts w:ascii="Times New Roman" w:eastAsia="Calibri" w:hAnsi="Times New Roman" w:cs="Times New Roman"/>
          <w:i/>
          <w:color w:val="767171"/>
          <w:spacing w:val="20"/>
          <w:sz w:val="18"/>
          <w:szCs w:val="18"/>
        </w:rPr>
        <w:t xml:space="preserve"> 2024.</w:t>
      </w:r>
    </w:p>
    <w:p w14:paraId="29746D17" w14:textId="77777777" w:rsidR="00CC32FC" w:rsidRPr="006A0747" w:rsidRDefault="00CC32FC" w:rsidP="00C20C0B">
      <w:pPr>
        <w:spacing w:line="360" w:lineRule="auto"/>
        <w:jc w:val="both"/>
        <w:rPr>
          <w:rFonts w:ascii="Times New Roman" w:eastAsia="Calibri" w:hAnsi="Times New Roman" w:cs="Times New Roman"/>
          <w:color w:val="767171"/>
          <w:spacing w:val="20"/>
          <w:sz w:val="24"/>
          <w:szCs w:val="24"/>
        </w:rPr>
      </w:pPr>
    </w:p>
    <w:p w14:paraId="6D3B84B7" w14:textId="77777777" w:rsidR="004F03BB" w:rsidRPr="006A0747" w:rsidRDefault="004F03BB" w:rsidP="00C20C0B">
      <w:pPr>
        <w:spacing w:line="360" w:lineRule="auto"/>
        <w:jc w:val="both"/>
        <w:rPr>
          <w:rFonts w:ascii="Times New Roman" w:eastAsia="Calibri" w:hAnsi="Times New Roman" w:cs="Times New Roman"/>
          <w:color w:val="767171"/>
          <w:spacing w:val="20"/>
          <w:sz w:val="24"/>
          <w:szCs w:val="24"/>
        </w:rPr>
      </w:pPr>
    </w:p>
    <w:p w14:paraId="2CAEFDCC" w14:textId="5594311A" w:rsidR="004449E4" w:rsidRPr="006A0747" w:rsidRDefault="004449E4" w:rsidP="00823AED">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lastRenderedPageBreak/>
        <w:t>Las inspecciones de campo realizadas se enfocaron en los siguientes aspectos: calidad de la cartera de créditos; gestión de la tesorería; gobierno corporativo; auditoría interna; gestión integral de riesgos, con especial énfasis en los aspectos relativos al apetito de riesgos, proceso de autoevaluación de capital, pruebas de estrés; cumplimiento; adecuación patrimonial; evaluación de las utilidades; conocimiento del negocio; gestión operativa y aspectos relacionados a la plataforma tecnológica.</w:t>
      </w:r>
    </w:p>
    <w:p w14:paraId="41249C6B" w14:textId="0015B8BD" w:rsidR="00CC32FC" w:rsidRPr="006A0747" w:rsidRDefault="00CA1AB5" w:rsidP="00823AED">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En ese mismo tenor</w:t>
      </w:r>
      <w:r w:rsidR="00823AED" w:rsidRPr="006A0747">
        <w:rPr>
          <w:rFonts w:ascii="Times New Roman" w:eastAsia="Calibri" w:hAnsi="Times New Roman" w:cs="Times New Roman"/>
          <w:color w:val="767171"/>
          <w:spacing w:val="20"/>
          <w:sz w:val="24"/>
          <w:szCs w:val="24"/>
        </w:rPr>
        <w:t xml:space="preserve">, </w:t>
      </w:r>
      <w:r w:rsidR="00357703" w:rsidRPr="006A0747">
        <w:rPr>
          <w:rFonts w:ascii="Times New Roman" w:eastAsia="Calibri" w:hAnsi="Times New Roman" w:cs="Times New Roman"/>
          <w:color w:val="767171"/>
          <w:spacing w:val="20"/>
          <w:sz w:val="24"/>
          <w:szCs w:val="24"/>
        </w:rPr>
        <w:t>se le dio seguimiento al proceso de salida voluntaria de un (1) Banco de Servicio Múltiple y se realizaron tres (3) inspecciones especiales a entidades no reguladas para verificar si se encontraban realizando intermediación financiera al margen de la Ley.</w:t>
      </w:r>
    </w:p>
    <w:p w14:paraId="30BC6199" w14:textId="3BA512FB" w:rsidR="001B241A" w:rsidRDefault="001B241A" w:rsidP="001B241A">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Asimismo, se realizó una (1) inspección de campo a un Grupo Financiero, con el fin de evaluar las funciones de control de gestión de riesgos y la estructura accionaria y organizacional, así como también, una (1) inspección a las subsidiarias de un Grupo Financiero en conjunto con la Superintendencias del Mercado de Valores, Seguros y Pensiones conforme el </w:t>
      </w:r>
      <w:r w:rsidR="00904013" w:rsidRPr="006A0747">
        <w:rPr>
          <w:rFonts w:ascii="Times New Roman" w:eastAsia="Calibri" w:hAnsi="Times New Roman" w:cs="Times New Roman"/>
          <w:color w:val="767171"/>
          <w:spacing w:val="20"/>
          <w:sz w:val="24"/>
          <w:szCs w:val="24"/>
        </w:rPr>
        <w:t>p</w:t>
      </w:r>
      <w:r w:rsidRPr="006A0747">
        <w:rPr>
          <w:rFonts w:ascii="Times New Roman" w:eastAsia="Calibri" w:hAnsi="Times New Roman" w:cs="Times New Roman"/>
          <w:color w:val="767171"/>
          <w:spacing w:val="20"/>
          <w:sz w:val="24"/>
          <w:szCs w:val="24"/>
        </w:rPr>
        <w:t xml:space="preserve">rotocolo de </w:t>
      </w:r>
      <w:r w:rsidR="00904013" w:rsidRPr="006A0747">
        <w:rPr>
          <w:rFonts w:ascii="Times New Roman" w:eastAsia="Calibri" w:hAnsi="Times New Roman" w:cs="Times New Roman"/>
          <w:color w:val="767171"/>
          <w:spacing w:val="20"/>
          <w:sz w:val="24"/>
          <w:szCs w:val="24"/>
        </w:rPr>
        <w:t>e</w:t>
      </w:r>
      <w:r w:rsidRPr="006A0747">
        <w:rPr>
          <w:rFonts w:ascii="Times New Roman" w:eastAsia="Calibri" w:hAnsi="Times New Roman" w:cs="Times New Roman"/>
          <w:color w:val="767171"/>
          <w:spacing w:val="20"/>
          <w:sz w:val="24"/>
          <w:szCs w:val="24"/>
        </w:rPr>
        <w:t xml:space="preserve">ntendimiento para la </w:t>
      </w:r>
      <w:r w:rsidR="00904013" w:rsidRPr="006A0747">
        <w:rPr>
          <w:rFonts w:ascii="Times New Roman" w:eastAsia="Calibri" w:hAnsi="Times New Roman" w:cs="Times New Roman"/>
          <w:color w:val="767171"/>
          <w:spacing w:val="20"/>
          <w:sz w:val="24"/>
          <w:szCs w:val="24"/>
        </w:rPr>
        <w:t>s</w:t>
      </w:r>
      <w:r w:rsidRPr="006A0747">
        <w:rPr>
          <w:rFonts w:ascii="Times New Roman" w:eastAsia="Calibri" w:hAnsi="Times New Roman" w:cs="Times New Roman"/>
          <w:color w:val="767171"/>
          <w:spacing w:val="20"/>
          <w:sz w:val="24"/>
          <w:szCs w:val="24"/>
        </w:rPr>
        <w:t xml:space="preserve">upervisión </w:t>
      </w:r>
      <w:r w:rsidR="00904013" w:rsidRPr="006A0747">
        <w:rPr>
          <w:rFonts w:ascii="Times New Roman" w:eastAsia="Calibri" w:hAnsi="Times New Roman" w:cs="Times New Roman"/>
          <w:color w:val="767171"/>
          <w:spacing w:val="20"/>
          <w:sz w:val="24"/>
          <w:szCs w:val="24"/>
        </w:rPr>
        <w:t>c</w:t>
      </w:r>
      <w:r w:rsidRPr="006A0747">
        <w:rPr>
          <w:rFonts w:ascii="Times New Roman" w:eastAsia="Calibri" w:hAnsi="Times New Roman" w:cs="Times New Roman"/>
          <w:color w:val="767171"/>
          <w:spacing w:val="20"/>
          <w:sz w:val="24"/>
          <w:szCs w:val="24"/>
        </w:rPr>
        <w:t>onsolidada suscrito entre los distintos entes supervisores.</w:t>
      </w:r>
    </w:p>
    <w:p w14:paraId="5DB57B6D" w14:textId="77777777" w:rsidR="009141F9" w:rsidRPr="009141F9" w:rsidRDefault="009141F9" w:rsidP="009141F9">
      <w:pPr>
        <w:spacing w:line="360" w:lineRule="auto"/>
        <w:jc w:val="both"/>
        <w:rPr>
          <w:rFonts w:ascii="Times New Roman" w:eastAsia="Calibri" w:hAnsi="Times New Roman" w:cs="Times New Roman"/>
          <w:color w:val="767171"/>
          <w:spacing w:val="20"/>
          <w:sz w:val="24"/>
          <w:szCs w:val="24"/>
        </w:rPr>
      </w:pPr>
      <w:r w:rsidRPr="009141F9">
        <w:rPr>
          <w:rFonts w:ascii="Times New Roman" w:eastAsia="Calibri" w:hAnsi="Times New Roman" w:cs="Times New Roman"/>
          <w:color w:val="767171"/>
          <w:spacing w:val="20"/>
          <w:sz w:val="24"/>
          <w:szCs w:val="24"/>
        </w:rPr>
        <w:t xml:space="preserve">De igual forma, la SB participó en los Colegios de Supervisores de los Grupos Promerica y </w:t>
      </w:r>
      <w:proofErr w:type="spellStart"/>
      <w:r w:rsidRPr="009141F9">
        <w:rPr>
          <w:rFonts w:ascii="Times New Roman" w:eastAsia="Calibri" w:hAnsi="Times New Roman" w:cs="Times New Roman"/>
          <w:color w:val="767171"/>
          <w:spacing w:val="20"/>
          <w:sz w:val="24"/>
          <w:szCs w:val="24"/>
        </w:rPr>
        <w:t>Lafise</w:t>
      </w:r>
      <w:proofErr w:type="spellEnd"/>
      <w:r w:rsidRPr="009141F9">
        <w:rPr>
          <w:rFonts w:ascii="Times New Roman" w:eastAsia="Calibri" w:hAnsi="Times New Roman" w:cs="Times New Roman"/>
          <w:color w:val="767171"/>
          <w:spacing w:val="20"/>
          <w:sz w:val="24"/>
          <w:szCs w:val="24"/>
        </w:rPr>
        <w:t>, donde los Organismos Supervisores de las diferentes jurisdicciones presentaron las informaciones más relevantes de las entidades supervisadas. Se elaboraron documentos consolidados de los principales hallazgos de las entidades que conforman el Grupo, los cuales fueron presentados a los miembros de los Consejos de Administración de los referidos Grupos.</w:t>
      </w:r>
    </w:p>
    <w:p w14:paraId="27CC946F" w14:textId="77777777" w:rsidR="0064353B" w:rsidRPr="006A0747" w:rsidRDefault="0064353B" w:rsidP="001B241A">
      <w:pPr>
        <w:spacing w:line="360" w:lineRule="auto"/>
        <w:jc w:val="both"/>
        <w:rPr>
          <w:rFonts w:ascii="Times New Roman" w:eastAsia="Calibri" w:hAnsi="Times New Roman" w:cs="Times New Roman"/>
          <w:color w:val="767171"/>
          <w:spacing w:val="20"/>
          <w:sz w:val="24"/>
          <w:szCs w:val="24"/>
        </w:rPr>
      </w:pPr>
    </w:p>
    <w:p w14:paraId="792F02D0" w14:textId="213574A1" w:rsidR="001B241A" w:rsidRPr="006A0747" w:rsidRDefault="001B241A" w:rsidP="001B241A">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lastRenderedPageBreak/>
        <w:t>A partir de agosto de 2024, la Superintendencia de Bancos asum</w:t>
      </w:r>
      <w:r w:rsidR="00904013" w:rsidRPr="006A0747">
        <w:rPr>
          <w:rFonts w:ascii="Times New Roman" w:eastAsia="Calibri" w:hAnsi="Times New Roman" w:cs="Times New Roman"/>
          <w:color w:val="767171"/>
          <w:spacing w:val="20"/>
          <w:sz w:val="24"/>
          <w:szCs w:val="24"/>
        </w:rPr>
        <w:t>ió</w:t>
      </w:r>
      <w:r w:rsidRPr="006A0747">
        <w:rPr>
          <w:rFonts w:ascii="Times New Roman" w:eastAsia="Calibri" w:hAnsi="Times New Roman" w:cs="Times New Roman"/>
          <w:color w:val="767171"/>
          <w:spacing w:val="20"/>
          <w:sz w:val="24"/>
          <w:szCs w:val="24"/>
        </w:rPr>
        <w:t xml:space="preserve"> por tercera vez la presidencia del Consejo Centroamericano de Superintendentes de Bancos, de Seguros y de Otras Instituciones Financieras (CCSBSO)</w:t>
      </w:r>
      <w:r w:rsidR="00D52365">
        <w:rPr>
          <w:rFonts w:ascii="Times New Roman" w:eastAsia="Calibri" w:hAnsi="Times New Roman" w:cs="Times New Roman"/>
          <w:color w:val="767171"/>
          <w:spacing w:val="20"/>
          <w:sz w:val="24"/>
          <w:szCs w:val="24"/>
        </w:rPr>
        <w:t xml:space="preserve"> </w:t>
      </w:r>
      <w:r w:rsidR="00D52365" w:rsidRPr="006A0747">
        <w:rPr>
          <w:rFonts w:ascii="Times New Roman" w:eastAsia="Calibri" w:hAnsi="Times New Roman" w:cs="Times New Roman"/>
          <w:color w:val="767171"/>
          <w:spacing w:val="20"/>
          <w:sz w:val="24"/>
          <w:szCs w:val="24"/>
        </w:rPr>
        <w:t>y,</w:t>
      </w:r>
      <w:r w:rsidRPr="006A0747">
        <w:rPr>
          <w:rFonts w:ascii="Times New Roman" w:eastAsia="Calibri" w:hAnsi="Times New Roman" w:cs="Times New Roman"/>
          <w:color w:val="767171"/>
          <w:spacing w:val="20"/>
          <w:sz w:val="24"/>
          <w:szCs w:val="24"/>
        </w:rPr>
        <w:t xml:space="preserve"> por tanto, la coordinación de los principales comités de apoyo que lo conforman. </w:t>
      </w:r>
    </w:p>
    <w:p w14:paraId="684A68FB" w14:textId="59CFBAC8" w:rsidR="001B241A" w:rsidRPr="006A0747" w:rsidRDefault="001B241A" w:rsidP="001B241A">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Como parte de las acciones realizadas para el cierre de brechas relativas a las técnicas y herramientas de supervisión, se concluyó el proyecto de actualización del Marco de Supervisión Basado en Riesgos (SBR). Entre las principales adecuaciones al Marco SBR se destacan: a) Actualización de los principios claves para incorporar aspectos de buenas y sanas prácticas bancarias; b) Detalle ampliado en los criterios de evaluación utilizados para determinar el perfil de riesgo de las entidades y los procesos de gestión de riesgos; c) Inclusión de la evaluación del riesgo de </w:t>
      </w:r>
      <w:r w:rsidR="002E6FDA" w:rsidRPr="006A0747">
        <w:rPr>
          <w:rFonts w:ascii="Times New Roman" w:eastAsia="Calibri" w:hAnsi="Times New Roman" w:cs="Times New Roman"/>
          <w:iCs/>
          <w:color w:val="767171"/>
          <w:spacing w:val="20"/>
          <w:sz w:val="24"/>
          <w:szCs w:val="24"/>
        </w:rPr>
        <w:t>p</w:t>
      </w:r>
      <w:r w:rsidRPr="006A0747">
        <w:rPr>
          <w:rFonts w:ascii="Times New Roman" w:eastAsia="Calibri" w:hAnsi="Times New Roman" w:cs="Times New Roman"/>
          <w:iCs/>
          <w:color w:val="767171"/>
          <w:spacing w:val="20"/>
          <w:sz w:val="24"/>
          <w:szCs w:val="24"/>
        </w:rPr>
        <w:t xml:space="preserve">revención del </w:t>
      </w:r>
      <w:r w:rsidR="002E6FDA" w:rsidRPr="006A0747">
        <w:rPr>
          <w:rFonts w:ascii="Times New Roman" w:eastAsia="Calibri" w:hAnsi="Times New Roman" w:cs="Times New Roman"/>
          <w:iCs/>
          <w:color w:val="767171"/>
          <w:spacing w:val="20"/>
          <w:sz w:val="24"/>
          <w:szCs w:val="24"/>
        </w:rPr>
        <w:t>l</w:t>
      </w:r>
      <w:r w:rsidRPr="006A0747">
        <w:rPr>
          <w:rFonts w:ascii="Times New Roman" w:eastAsia="Calibri" w:hAnsi="Times New Roman" w:cs="Times New Roman"/>
          <w:iCs/>
          <w:color w:val="767171"/>
          <w:spacing w:val="20"/>
          <w:sz w:val="24"/>
          <w:szCs w:val="24"/>
        </w:rPr>
        <w:t xml:space="preserve">avado de </w:t>
      </w:r>
      <w:r w:rsidR="002E6FDA" w:rsidRPr="006A0747">
        <w:rPr>
          <w:rFonts w:ascii="Times New Roman" w:eastAsia="Calibri" w:hAnsi="Times New Roman" w:cs="Times New Roman"/>
          <w:iCs/>
          <w:color w:val="767171"/>
          <w:spacing w:val="20"/>
          <w:sz w:val="24"/>
          <w:szCs w:val="24"/>
        </w:rPr>
        <w:t>a</w:t>
      </w:r>
      <w:r w:rsidRPr="006A0747">
        <w:rPr>
          <w:rFonts w:ascii="Times New Roman" w:eastAsia="Calibri" w:hAnsi="Times New Roman" w:cs="Times New Roman"/>
          <w:iCs/>
          <w:color w:val="767171"/>
          <w:spacing w:val="20"/>
          <w:sz w:val="24"/>
          <w:szCs w:val="24"/>
        </w:rPr>
        <w:t xml:space="preserve">ctivos y </w:t>
      </w:r>
      <w:r w:rsidR="002E6FDA" w:rsidRPr="006A0747">
        <w:rPr>
          <w:rFonts w:ascii="Times New Roman" w:eastAsia="Calibri" w:hAnsi="Times New Roman" w:cs="Times New Roman"/>
          <w:iCs/>
          <w:color w:val="767171"/>
          <w:spacing w:val="20"/>
          <w:sz w:val="24"/>
          <w:szCs w:val="24"/>
        </w:rPr>
        <w:t>f</w:t>
      </w:r>
      <w:r w:rsidRPr="006A0747">
        <w:rPr>
          <w:rFonts w:ascii="Times New Roman" w:eastAsia="Calibri" w:hAnsi="Times New Roman" w:cs="Times New Roman"/>
          <w:iCs/>
          <w:color w:val="767171"/>
          <w:spacing w:val="20"/>
          <w:sz w:val="24"/>
          <w:szCs w:val="24"/>
        </w:rPr>
        <w:t xml:space="preserve">inanciamiento del </w:t>
      </w:r>
      <w:r w:rsidR="002E6FDA" w:rsidRPr="006A0747">
        <w:rPr>
          <w:rFonts w:ascii="Times New Roman" w:eastAsia="Calibri" w:hAnsi="Times New Roman" w:cs="Times New Roman"/>
          <w:iCs/>
          <w:color w:val="767171"/>
          <w:spacing w:val="20"/>
          <w:sz w:val="24"/>
          <w:szCs w:val="24"/>
        </w:rPr>
        <w:t>t</w:t>
      </w:r>
      <w:r w:rsidRPr="006A0747">
        <w:rPr>
          <w:rFonts w:ascii="Times New Roman" w:eastAsia="Calibri" w:hAnsi="Times New Roman" w:cs="Times New Roman"/>
          <w:iCs/>
          <w:color w:val="767171"/>
          <w:spacing w:val="20"/>
          <w:sz w:val="24"/>
          <w:szCs w:val="24"/>
        </w:rPr>
        <w:t>errorismo</w:t>
      </w:r>
      <w:r w:rsidRPr="006A0747">
        <w:rPr>
          <w:rFonts w:ascii="Times New Roman" w:eastAsia="Calibri" w:hAnsi="Times New Roman" w:cs="Times New Roman"/>
          <w:color w:val="767171"/>
          <w:spacing w:val="20"/>
          <w:sz w:val="24"/>
          <w:szCs w:val="24"/>
        </w:rPr>
        <w:t xml:space="preserve"> como una actividad significativa;</w:t>
      </w:r>
      <w:r w:rsidR="00504A14" w:rsidRPr="006A0747">
        <w:rPr>
          <w:rFonts w:ascii="Times New Roman" w:eastAsia="Calibri" w:hAnsi="Times New Roman" w:cs="Times New Roman"/>
          <w:color w:val="767171"/>
          <w:spacing w:val="20"/>
          <w:sz w:val="24"/>
          <w:szCs w:val="24"/>
        </w:rPr>
        <w:t xml:space="preserve"> y</w:t>
      </w:r>
      <w:r w:rsidRPr="006A0747">
        <w:rPr>
          <w:rFonts w:ascii="Times New Roman" w:eastAsia="Calibri" w:hAnsi="Times New Roman" w:cs="Times New Roman"/>
          <w:color w:val="767171"/>
          <w:spacing w:val="20"/>
          <w:sz w:val="24"/>
          <w:szCs w:val="24"/>
        </w:rPr>
        <w:t xml:space="preserve"> d) Inclusión de la liquidez como recurso financiero; entre otras.</w:t>
      </w:r>
    </w:p>
    <w:p w14:paraId="001754E1" w14:textId="09AA605F" w:rsidR="001B241A" w:rsidRPr="006A0747" w:rsidRDefault="001B241A" w:rsidP="001B241A">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Con esta iniciativa de actualización del Marco, que ha sido acompañada de un amplio programa de capacitación en los equipos técnicos, la Superintendencia de Bancos tiene como objetivo concluir la transición del enfoque de supervisión basado en cumplimiento a una metodología basada en riesgos, la cual presenta un mayor alcance dado que se fundamenta en una visión a futuro y enfoque proactivo en vez de reactivo, tomando en cuenta la evaluación del impacto y probabilidad de que los riesgos se materialicen.</w:t>
      </w:r>
    </w:p>
    <w:p w14:paraId="6E771014" w14:textId="5C63BB1E" w:rsidR="00823AED" w:rsidRPr="006A0747" w:rsidRDefault="00823AED" w:rsidP="00823AED">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Adicionalmente, la S</w:t>
      </w:r>
      <w:r w:rsidR="002D7AB1" w:rsidRPr="006A0747">
        <w:rPr>
          <w:rFonts w:ascii="Times New Roman" w:eastAsia="Calibri" w:hAnsi="Times New Roman" w:cs="Times New Roman"/>
          <w:color w:val="767171"/>
          <w:spacing w:val="20"/>
          <w:sz w:val="24"/>
          <w:szCs w:val="24"/>
        </w:rPr>
        <w:t xml:space="preserve">uperintendencia de </w:t>
      </w:r>
      <w:r w:rsidRPr="006A0747">
        <w:rPr>
          <w:rFonts w:ascii="Times New Roman" w:eastAsia="Calibri" w:hAnsi="Times New Roman" w:cs="Times New Roman"/>
          <w:color w:val="767171"/>
          <w:spacing w:val="20"/>
          <w:sz w:val="24"/>
          <w:szCs w:val="24"/>
        </w:rPr>
        <w:t>B</w:t>
      </w:r>
      <w:r w:rsidR="002D7AB1" w:rsidRPr="006A0747">
        <w:rPr>
          <w:rFonts w:ascii="Times New Roman" w:eastAsia="Calibri" w:hAnsi="Times New Roman" w:cs="Times New Roman"/>
          <w:color w:val="767171"/>
          <w:spacing w:val="20"/>
          <w:sz w:val="24"/>
          <w:szCs w:val="24"/>
        </w:rPr>
        <w:t>ancos</w:t>
      </w:r>
      <w:r w:rsidRPr="006A0747">
        <w:rPr>
          <w:rFonts w:ascii="Times New Roman" w:eastAsia="Calibri" w:hAnsi="Times New Roman" w:cs="Times New Roman"/>
          <w:color w:val="767171"/>
          <w:spacing w:val="20"/>
          <w:sz w:val="24"/>
          <w:szCs w:val="24"/>
        </w:rPr>
        <w:t xml:space="preserve"> </w:t>
      </w:r>
      <w:r w:rsidR="002D7AB1" w:rsidRPr="006A0747">
        <w:rPr>
          <w:rFonts w:ascii="Times New Roman" w:eastAsia="Calibri" w:hAnsi="Times New Roman" w:cs="Times New Roman"/>
          <w:color w:val="767171"/>
          <w:spacing w:val="20"/>
          <w:sz w:val="24"/>
          <w:szCs w:val="24"/>
        </w:rPr>
        <w:t>realiz</w:t>
      </w:r>
      <w:r w:rsidR="001F7A18" w:rsidRPr="006A0747">
        <w:rPr>
          <w:rFonts w:ascii="Times New Roman" w:eastAsia="Calibri" w:hAnsi="Times New Roman" w:cs="Times New Roman"/>
          <w:color w:val="767171"/>
          <w:spacing w:val="20"/>
          <w:sz w:val="24"/>
          <w:szCs w:val="24"/>
        </w:rPr>
        <w:t>ó un</w:t>
      </w:r>
      <w:r w:rsidRPr="006A0747">
        <w:rPr>
          <w:rFonts w:ascii="Times New Roman" w:eastAsia="Calibri" w:hAnsi="Times New Roman" w:cs="Times New Roman"/>
          <w:color w:val="767171"/>
          <w:spacing w:val="20"/>
          <w:sz w:val="24"/>
          <w:szCs w:val="24"/>
        </w:rPr>
        <w:t xml:space="preserve"> seguimiento continuo extra-situ a las entidades con el propósito de verificar el cumplimiento de las disposiciones normativas, índices, </w:t>
      </w:r>
      <w:r w:rsidRPr="006A0747">
        <w:rPr>
          <w:rFonts w:ascii="Times New Roman" w:eastAsia="Calibri" w:hAnsi="Times New Roman" w:cs="Times New Roman"/>
          <w:color w:val="767171"/>
          <w:spacing w:val="20"/>
          <w:sz w:val="24"/>
          <w:szCs w:val="24"/>
        </w:rPr>
        <w:lastRenderedPageBreak/>
        <w:t>límites, relaciones técnicas y registro de provisiones, así como concentración y exposición de riesgo.</w:t>
      </w:r>
    </w:p>
    <w:p w14:paraId="0A4693AD" w14:textId="77777777" w:rsidR="00DF1F0D" w:rsidRPr="006A0747" w:rsidRDefault="00823AED" w:rsidP="00823AED">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De igual forma, se robusteció la gestión de riesgos interna y la supervisión del cumplimiento </w:t>
      </w:r>
      <w:proofErr w:type="spellStart"/>
      <w:r w:rsidRPr="006A0747">
        <w:rPr>
          <w:rFonts w:ascii="Times New Roman" w:eastAsia="Calibri" w:hAnsi="Times New Roman" w:cs="Times New Roman"/>
          <w:color w:val="767171"/>
          <w:spacing w:val="20"/>
          <w:sz w:val="24"/>
          <w:szCs w:val="24"/>
        </w:rPr>
        <w:t>macro-prudencial</w:t>
      </w:r>
      <w:proofErr w:type="spellEnd"/>
      <w:r w:rsidRPr="006A0747">
        <w:rPr>
          <w:rFonts w:ascii="Times New Roman" w:eastAsia="Calibri" w:hAnsi="Times New Roman" w:cs="Times New Roman"/>
          <w:color w:val="767171"/>
          <w:spacing w:val="20"/>
          <w:sz w:val="24"/>
          <w:szCs w:val="24"/>
        </w:rPr>
        <w:t xml:space="preserve"> oportuno por parte de las EIF a través de:</w:t>
      </w:r>
    </w:p>
    <w:p w14:paraId="0CFA0B04" w14:textId="3C1F4F23" w:rsidR="00DF1F0D" w:rsidRPr="006A0747" w:rsidRDefault="00823AED">
      <w:pPr>
        <w:pStyle w:val="Prrafodelista"/>
        <w:numPr>
          <w:ilvl w:val="0"/>
          <w:numId w:val="11"/>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La elaboración de tablero</w:t>
      </w:r>
      <w:r w:rsidR="00C20C0B" w:rsidRPr="006A0747">
        <w:rPr>
          <w:rFonts w:ascii="Times New Roman" w:eastAsia="Calibri" w:hAnsi="Times New Roman" w:cs="Times New Roman"/>
          <w:color w:val="767171"/>
          <w:spacing w:val="20"/>
          <w:sz w:val="24"/>
          <w:szCs w:val="24"/>
        </w:rPr>
        <w:t>s</w:t>
      </w:r>
      <w:r w:rsidRPr="006A0747">
        <w:rPr>
          <w:rFonts w:ascii="Times New Roman" w:eastAsia="Calibri" w:hAnsi="Times New Roman" w:cs="Times New Roman"/>
          <w:color w:val="767171"/>
          <w:spacing w:val="20"/>
          <w:sz w:val="24"/>
          <w:szCs w:val="24"/>
        </w:rPr>
        <w:t xml:space="preserve"> de indicadores de riesgo operacional de las entidades para monitoreo interno</w:t>
      </w:r>
      <w:r w:rsidR="00A93C7A" w:rsidRPr="006A0747">
        <w:rPr>
          <w:rFonts w:ascii="Times New Roman" w:eastAsia="Calibri" w:hAnsi="Times New Roman" w:cs="Times New Roman"/>
          <w:color w:val="767171"/>
          <w:spacing w:val="20"/>
          <w:sz w:val="24"/>
          <w:szCs w:val="24"/>
        </w:rPr>
        <w:t>.</w:t>
      </w:r>
    </w:p>
    <w:p w14:paraId="7945220D" w14:textId="563373DE" w:rsidR="00DF1F0D" w:rsidRPr="006A0747" w:rsidRDefault="00823AED">
      <w:pPr>
        <w:pStyle w:val="Prrafodelista"/>
        <w:numPr>
          <w:ilvl w:val="0"/>
          <w:numId w:val="11"/>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La implementación de las metodologías de riesgo inherente (riesgo de crédito, riesgo operacional, riesgo de liquidez y riesgo de mercado) para apoyar la Supervisión Basada en Riesgos</w:t>
      </w:r>
      <w:r w:rsidR="00C20C0B" w:rsidRPr="006A0747">
        <w:rPr>
          <w:rFonts w:ascii="Times New Roman" w:eastAsia="Calibri" w:hAnsi="Times New Roman" w:cs="Times New Roman"/>
          <w:color w:val="767171"/>
          <w:spacing w:val="20"/>
          <w:sz w:val="24"/>
          <w:szCs w:val="24"/>
        </w:rPr>
        <w:t xml:space="preserve"> (SBR).</w:t>
      </w:r>
      <w:r w:rsidRPr="006A0747">
        <w:rPr>
          <w:rFonts w:ascii="Times New Roman" w:eastAsia="Calibri" w:hAnsi="Times New Roman" w:cs="Times New Roman"/>
          <w:color w:val="767171"/>
          <w:spacing w:val="20"/>
          <w:sz w:val="24"/>
          <w:szCs w:val="24"/>
        </w:rPr>
        <w:t xml:space="preserve"> </w:t>
      </w:r>
    </w:p>
    <w:p w14:paraId="6EC0942F" w14:textId="2CC2AEAF" w:rsidR="00DF1F0D" w:rsidRPr="006A0747" w:rsidRDefault="00823AED">
      <w:pPr>
        <w:pStyle w:val="Prrafodelista"/>
        <w:numPr>
          <w:ilvl w:val="0"/>
          <w:numId w:val="11"/>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La puesta en vigor del Aplicativo de Gestión de Grupos de Riesgos en el Portal SB Interactivo; </w:t>
      </w:r>
    </w:p>
    <w:p w14:paraId="090A06E8" w14:textId="125BC6F0" w:rsidR="00DF1F0D" w:rsidRPr="006A0747" w:rsidRDefault="00823AED">
      <w:pPr>
        <w:pStyle w:val="Prrafodelista"/>
        <w:numPr>
          <w:ilvl w:val="0"/>
          <w:numId w:val="11"/>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La publicación por primera vez de las estadísticas de eventos de riesgo operacional incluidas en el informe trimestral de desempeño del </w:t>
      </w:r>
      <w:r w:rsidR="00401323" w:rsidRPr="006A0747">
        <w:rPr>
          <w:rFonts w:ascii="Times New Roman" w:eastAsia="Calibri" w:hAnsi="Times New Roman" w:cs="Times New Roman"/>
          <w:color w:val="767171"/>
          <w:spacing w:val="20"/>
          <w:sz w:val="24"/>
          <w:szCs w:val="24"/>
        </w:rPr>
        <w:t>s</w:t>
      </w:r>
      <w:r w:rsidRPr="006A0747">
        <w:rPr>
          <w:rFonts w:ascii="Times New Roman" w:eastAsia="Calibri" w:hAnsi="Times New Roman" w:cs="Times New Roman"/>
          <w:color w:val="767171"/>
          <w:spacing w:val="20"/>
          <w:sz w:val="24"/>
          <w:szCs w:val="24"/>
        </w:rPr>
        <w:t xml:space="preserve">istema </w:t>
      </w:r>
      <w:r w:rsidR="00401323" w:rsidRPr="006A0747">
        <w:rPr>
          <w:rFonts w:ascii="Times New Roman" w:eastAsia="Calibri" w:hAnsi="Times New Roman" w:cs="Times New Roman"/>
          <w:color w:val="767171"/>
          <w:spacing w:val="20"/>
          <w:sz w:val="24"/>
          <w:szCs w:val="24"/>
        </w:rPr>
        <w:t>f</w:t>
      </w:r>
      <w:r w:rsidRPr="006A0747">
        <w:rPr>
          <w:rFonts w:ascii="Times New Roman" w:eastAsia="Calibri" w:hAnsi="Times New Roman" w:cs="Times New Roman"/>
          <w:color w:val="767171"/>
          <w:spacing w:val="20"/>
          <w:sz w:val="24"/>
          <w:szCs w:val="24"/>
        </w:rPr>
        <w:t>inanciero (preliminar)</w:t>
      </w:r>
      <w:r w:rsidR="000323FB" w:rsidRPr="006A0747">
        <w:rPr>
          <w:rFonts w:ascii="Times New Roman" w:eastAsia="Calibri" w:hAnsi="Times New Roman" w:cs="Times New Roman"/>
          <w:color w:val="767171"/>
          <w:spacing w:val="20"/>
          <w:sz w:val="24"/>
          <w:szCs w:val="24"/>
        </w:rPr>
        <w:t>.</w:t>
      </w:r>
    </w:p>
    <w:p w14:paraId="1913C7F4" w14:textId="2BBAFDCE" w:rsidR="00DF1F0D" w:rsidRPr="006A0747" w:rsidRDefault="00823AED">
      <w:pPr>
        <w:pStyle w:val="Prrafodelista"/>
        <w:numPr>
          <w:ilvl w:val="0"/>
          <w:numId w:val="11"/>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La definición de nuevos controles para el suministro de información a través del API de Central de Riesgos</w:t>
      </w:r>
      <w:r w:rsidR="000323FB" w:rsidRPr="006A0747">
        <w:rPr>
          <w:rFonts w:ascii="Times New Roman" w:eastAsia="Calibri" w:hAnsi="Times New Roman" w:cs="Times New Roman"/>
          <w:color w:val="767171"/>
          <w:spacing w:val="20"/>
          <w:sz w:val="24"/>
          <w:szCs w:val="24"/>
        </w:rPr>
        <w:t>.</w:t>
      </w:r>
    </w:p>
    <w:p w14:paraId="14ADE80C" w14:textId="77777777" w:rsidR="00DF1F0D" w:rsidRPr="006A0747" w:rsidRDefault="00823AED" w:rsidP="00823AED">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En adición, con el objetivo de </w:t>
      </w:r>
      <w:r w:rsidR="00E333BF" w:rsidRPr="006A0747">
        <w:rPr>
          <w:rFonts w:ascii="Times New Roman" w:eastAsia="Calibri" w:hAnsi="Times New Roman" w:cs="Times New Roman"/>
          <w:color w:val="767171"/>
          <w:spacing w:val="20"/>
          <w:sz w:val="24"/>
          <w:szCs w:val="24"/>
        </w:rPr>
        <w:t>fomentar</w:t>
      </w:r>
      <w:r w:rsidRPr="006A0747">
        <w:rPr>
          <w:rFonts w:ascii="Times New Roman" w:eastAsia="Calibri" w:hAnsi="Times New Roman" w:cs="Times New Roman"/>
          <w:color w:val="767171"/>
          <w:spacing w:val="20"/>
          <w:sz w:val="24"/>
          <w:szCs w:val="24"/>
        </w:rPr>
        <w:t xml:space="preserve"> la implementación de mejores prácticas internacionales, se ejecutaron iniciativas como:</w:t>
      </w:r>
    </w:p>
    <w:p w14:paraId="710A6076" w14:textId="36238E3F" w:rsidR="00DF1F0D" w:rsidRPr="006A0747" w:rsidRDefault="00823AED">
      <w:pPr>
        <w:pStyle w:val="Prrafodelista"/>
        <w:numPr>
          <w:ilvl w:val="0"/>
          <w:numId w:val="10"/>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La publicación de la “Circular sobre el </w:t>
      </w:r>
      <w:r w:rsidR="00E333BF" w:rsidRPr="006A0747">
        <w:rPr>
          <w:rFonts w:ascii="Times New Roman" w:eastAsia="Calibri" w:hAnsi="Times New Roman" w:cs="Times New Roman"/>
          <w:color w:val="767171"/>
          <w:spacing w:val="20"/>
          <w:sz w:val="24"/>
          <w:szCs w:val="24"/>
        </w:rPr>
        <w:t>t</w:t>
      </w:r>
      <w:r w:rsidRPr="006A0747">
        <w:rPr>
          <w:rFonts w:ascii="Times New Roman" w:eastAsia="Calibri" w:hAnsi="Times New Roman" w:cs="Times New Roman"/>
          <w:color w:val="767171"/>
          <w:spacing w:val="20"/>
          <w:sz w:val="24"/>
          <w:szCs w:val="24"/>
        </w:rPr>
        <w:t xml:space="preserve">ratamiento para los acuerdos de pago de las tarjetas de crédito corporativas y personales”; </w:t>
      </w:r>
    </w:p>
    <w:p w14:paraId="10472311" w14:textId="001D0AE6" w:rsidR="00401323" w:rsidRPr="006A0747" w:rsidRDefault="00401323">
      <w:pPr>
        <w:pStyle w:val="Prrafodelista"/>
        <w:numPr>
          <w:ilvl w:val="0"/>
          <w:numId w:val="10"/>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El lanzamiento de proyecto piloto para la implementación de la Taxonomía Verde en la clasificación de créditos comerciales; </w:t>
      </w:r>
    </w:p>
    <w:p w14:paraId="4B713C23" w14:textId="77777777" w:rsidR="004F03BB" w:rsidRPr="006A0747" w:rsidRDefault="004F03BB" w:rsidP="004F03BB">
      <w:pPr>
        <w:spacing w:line="360" w:lineRule="auto"/>
        <w:jc w:val="both"/>
        <w:rPr>
          <w:rFonts w:ascii="Times New Roman" w:eastAsia="Calibri" w:hAnsi="Times New Roman" w:cs="Times New Roman"/>
          <w:color w:val="767171"/>
          <w:spacing w:val="20"/>
          <w:sz w:val="24"/>
          <w:szCs w:val="24"/>
        </w:rPr>
      </w:pPr>
    </w:p>
    <w:p w14:paraId="6748C7D7" w14:textId="4939C3AD" w:rsidR="009B089D" w:rsidRPr="006A0747" w:rsidRDefault="009B089D" w:rsidP="009638D0">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lastRenderedPageBreak/>
        <w:t xml:space="preserve">Supervisión </w:t>
      </w:r>
      <w:r w:rsidR="00D0623B" w:rsidRPr="006A0747">
        <w:rPr>
          <w:rFonts w:ascii="Times New Roman" w:eastAsia="Calibri" w:hAnsi="Times New Roman" w:cs="Times New Roman"/>
          <w:b/>
          <w:color w:val="767171"/>
          <w:spacing w:val="20"/>
          <w:sz w:val="24"/>
          <w:szCs w:val="24"/>
        </w:rPr>
        <w:t>de Prevención Lavado de Activos y Financiamiento del Terrorismo (</w:t>
      </w:r>
      <w:r w:rsidRPr="006A0747">
        <w:rPr>
          <w:rFonts w:ascii="Times New Roman" w:eastAsia="Calibri" w:hAnsi="Times New Roman" w:cs="Times New Roman"/>
          <w:b/>
          <w:color w:val="767171"/>
          <w:spacing w:val="20"/>
          <w:sz w:val="24"/>
          <w:szCs w:val="24"/>
        </w:rPr>
        <w:t>PLAFT</w:t>
      </w:r>
      <w:r w:rsidR="00D0623B" w:rsidRPr="006A0747">
        <w:rPr>
          <w:rFonts w:ascii="Times New Roman" w:eastAsia="Calibri" w:hAnsi="Times New Roman" w:cs="Times New Roman"/>
          <w:b/>
          <w:color w:val="767171"/>
          <w:spacing w:val="20"/>
          <w:sz w:val="24"/>
          <w:szCs w:val="24"/>
        </w:rPr>
        <w:t>)</w:t>
      </w:r>
      <w:r w:rsidRPr="006A0747">
        <w:rPr>
          <w:rFonts w:ascii="Times New Roman" w:eastAsia="Calibri" w:hAnsi="Times New Roman" w:cs="Times New Roman"/>
          <w:b/>
          <w:color w:val="767171"/>
          <w:spacing w:val="20"/>
          <w:sz w:val="24"/>
          <w:szCs w:val="24"/>
        </w:rPr>
        <w:t xml:space="preserve"> </w:t>
      </w:r>
    </w:p>
    <w:p w14:paraId="6F67740A" w14:textId="380CA926" w:rsidR="009638D0" w:rsidRPr="006A0747" w:rsidRDefault="003E500F" w:rsidP="009638D0">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Respecto</w:t>
      </w:r>
      <w:r w:rsidR="00D25997" w:rsidRPr="006A0747">
        <w:rPr>
          <w:rFonts w:ascii="Times New Roman" w:eastAsia="Calibri" w:hAnsi="Times New Roman" w:cs="Times New Roman"/>
          <w:color w:val="767171"/>
          <w:spacing w:val="20"/>
          <w:sz w:val="24"/>
          <w:szCs w:val="24"/>
        </w:rPr>
        <w:t xml:space="preserve"> </w:t>
      </w:r>
      <w:r w:rsidR="00FE5689" w:rsidRPr="006A0747">
        <w:rPr>
          <w:rFonts w:ascii="Times New Roman" w:eastAsia="Calibri" w:hAnsi="Times New Roman" w:cs="Times New Roman"/>
          <w:color w:val="767171"/>
          <w:spacing w:val="20"/>
          <w:sz w:val="24"/>
          <w:szCs w:val="24"/>
        </w:rPr>
        <w:t>a la supervisión para la</w:t>
      </w:r>
      <w:r w:rsidRPr="006A0747">
        <w:rPr>
          <w:rFonts w:ascii="Times New Roman" w:eastAsia="Calibri" w:hAnsi="Times New Roman" w:cs="Times New Roman"/>
          <w:color w:val="767171"/>
          <w:spacing w:val="20"/>
          <w:sz w:val="24"/>
          <w:szCs w:val="24"/>
        </w:rPr>
        <w:t xml:space="preserve"> </w:t>
      </w:r>
      <w:r w:rsidR="00AD28AF" w:rsidRPr="006A0747">
        <w:rPr>
          <w:rFonts w:ascii="Times New Roman" w:eastAsia="Calibri" w:hAnsi="Times New Roman" w:cs="Times New Roman"/>
          <w:color w:val="767171"/>
          <w:spacing w:val="20"/>
          <w:sz w:val="24"/>
          <w:szCs w:val="24"/>
        </w:rPr>
        <w:t>P</w:t>
      </w:r>
      <w:r w:rsidRPr="006A0747">
        <w:rPr>
          <w:rFonts w:ascii="Times New Roman" w:eastAsia="Calibri" w:hAnsi="Times New Roman" w:cs="Times New Roman"/>
          <w:color w:val="767171"/>
          <w:spacing w:val="20"/>
          <w:sz w:val="24"/>
          <w:szCs w:val="24"/>
        </w:rPr>
        <w:t xml:space="preserve">revención de </w:t>
      </w:r>
      <w:r w:rsidR="00AD28AF" w:rsidRPr="006A0747">
        <w:rPr>
          <w:rFonts w:ascii="Times New Roman" w:eastAsia="Calibri" w:hAnsi="Times New Roman" w:cs="Times New Roman"/>
          <w:color w:val="767171"/>
          <w:spacing w:val="20"/>
          <w:sz w:val="24"/>
          <w:szCs w:val="24"/>
        </w:rPr>
        <w:t>L</w:t>
      </w:r>
      <w:r w:rsidRPr="006A0747">
        <w:rPr>
          <w:rFonts w:ascii="Times New Roman" w:eastAsia="Calibri" w:hAnsi="Times New Roman" w:cs="Times New Roman"/>
          <w:color w:val="767171"/>
          <w:spacing w:val="20"/>
          <w:sz w:val="24"/>
          <w:szCs w:val="24"/>
        </w:rPr>
        <w:t xml:space="preserve">avado de </w:t>
      </w:r>
      <w:r w:rsidR="00AD28AF" w:rsidRPr="006A0747">
        <w:rPr>
          <w:rFonts w:ascii="Times New Roman" w:eastAsia="Calibri" w:hAnsi="Times New Roman" w:cs="Times New Roman"/>
          <w:color w:val="767171"/>
          <w:spacing w:val="20"/>
          <w:sz w:val="24"/>
          <w:szCs w:val="24"/>
        </w:rPr>
        <w:t>A</w:t>
      </w:r>
      <w:r w:rsidRPr="006A0747">
        <w:rPr>
          <w:rFonts w:ascii="Times New Roman" w:eastAsia="Calibri" w:hAnsi="Times New Roman" w:cs="Times New Roman"/>
          <w:color w:val="767171"/>
          <w:spacing w:val="20"/>
          <w:sz w:val="24"/>
          <w:szCs w:val="24"/>
        </w:rPr>
        <w:t>ctivos</w:t>
      </w:r>
      <w:r w:rsidR="00FE5689" w:rsidRPr="006A0747">
        <w:rPr>
          <w:rFonts w:ascii="Times New Roman" w:eastAsia="Calibri" w:hAnsi="Times New Roman" w:cs="Times New Roman"/>
          <w:color w:val="767171"/>
          <w:spacing w:val="20"/>
          <w:sz w:val="24"/>
          <w:szCs w:val="24"/>
        </w:rPr>
        <w:t xml:space="preserve"> y</w:t>
      </w:r>
      <w:r w:rsidRPr="006A0747">
        <w:rPr>
          <w:rFonts w:ascii="Times New Roman" w:eastAsia="Calibri" w:hAnsi="Times New Roman" w:cs="Times New Roman"/>
          <w:color w:val="767171"/>
          <w:spacing w:val="20"/>
          <w:sz w:val="24"/>
          <w:szCs w:val="24"/>
        </w:rPr>
        <w:t xml:space="preserve"> </w:t>
      </w:r>
      <w:r w:rsidR="00AD28AF" w:rsidRPr="006A0747">
        <w:rPr>
          <w:rFonts w:ascii="Times New Roman" w:eastAsia="Calibri" w:hAnsi="Times New Roman" w:cs="Times New Roman"/>
          <w:color w:val="767171"/>
          <w:spacing w:val="20"/>
          <w:sz w:val="24"/>
          <w:szCs w:val="24"/>
        </w:rPr>
        <w:t>F</w:t>
      </w:r>
      <w:r w:rsidRPr="006A0747">
        <w:rPr>
          <w:rFonts w:ascii="Times New Roman" w:eastAsia="Calibri" w:hAnsi="Times New Roman" w:cs="Times New Roman"/>
          <w:color w:val="767171"/>
          <w:spacing w:val="20"/>
          <w:sz w:val="24"/>
          <w:szCs w:val="24"/>
        </w:rPr>
        <w:t xml:space="preserve">inanciamiento del </w:t>
      </w:r>
      <w:r w:rsidR="00AD28AF" w:rsidRPr="006A0747">
        <w:rPr>
          <w:rFonts w:ascii="Times New Roman" w:eastAsia="Calibri" w:hAnsi="Times New Roman" w:cs="Times New Roman"/>
          <w:color w:val="767171"/>
          <w:spacing w:val="20"/>
          <w:sz w:val="24"/>
          <w:szCs w:val="24"/>
        </w:rPr>
        <w:t>T</w:t>
      </w:r>
      <w:r w:rsidRPr="006A0747">
        <w:rPr>
          <w:rFonts w:ascii="Times New Roman" w:eastAsia="Calibri" w:hAnsi="Times New Roman" w:cs="Times New Roman"/>
          <w:color w:val="767171"/>
          <w:spacing w:val="20"/>
          <w:sz w:val="24"/>
          <w:szCs w:val="24"/>
        </w:rPr>
        <w:t xml:space="preserve">errorismo </w:t>
      </w:r>
      <w:r w:rsidR="00FE5689" w:rsidRPr="006A0747">
        <w:rPr>
          <w:rFonts w:ascii="Times New Roman" w:eastAsia="Calibri" w:hAnsi="Times New Roman" w:cs="Times New Roman"/>
          <w:color w:val="767171"/>
          <w:spacing w:val="20"/>
          <w:sz w:val="24"/>
          <w:szCs w:val="24"/>
        </w:rPr>
        <w:t>(</w:t>
      </w:r>
      <w:r w:rsidRPr="006A0747">
        <w:rPr>
          <w:rFonts w:ascii="Times New Roman" w:eastAsia="Calibri" w:hAnsi="Times New Roman" w:cs="Times New Roman"/>
          <w:color w:val="767171"/>
          <w:spacing w:val="20"/>
          <w:sz w:val="24"/>
          <w:szCs w:val="24"/>
        </w:rPr>
        <w:t>PLAFT</w:t>
      </w:r>
      <w:r w:rsidR="00FE5689" w:rsidRPr="006A0747">
        <w:rPr>
          <w:rFonts w:ascii="Times New Roman" w:eastAsia="Calibri" w:hAnsi="Times New Roman" w:cs="Times New Roman"/>
          <w:color w:val="767171"/>
          <w:spacing w:val="20"/>
          <w:sz w:val="24"/>
          <w:szCs w:val="24"/>
        </w:rPr>
        <w:t>)</w:t>
      </w:r>
      <w:r w:rsidRPr="006A0747">
        <w:rPr>
          <w:rFonts w:ascii="Times New Roman" w:eastAsia="Calibri" w:hAnsi="Times New Roman" w:cs="Times New Roman"/>
          <w:color w:val="767171"/>
          <w:spacing w:val="20"/>
          <w:sz w:val="24"/>
          <w:szCs w:val="24"/>
        </w:rPr>
        <w:t>, d</w:t>
      </w:r>
      <w:r w:rsidR="00211B43" w:rsidRPr="006A0747">
        <w:rPr>
          <w:rFonts w:ascii="Times New Roman" w:eastAsia="Calibri" w:hAnsi="Times New Roman" w:cs="Times New Roman"/>
          <w:color w:val="767171"/>
          <w:spacing w:val="20"/>
          <w:sz w:val="24"/>
          <w:szCs w:val="24"/>
        </w:rPr>
        <w:t>urante</w:t>
      </w:r>
      <w:r w:rsidR="009638D0" w:rsidRPr="006A0747">
        <w:rPr>
          <w:rFonts w:ascii="Times New Roman" w:eastAsia="Calibri" w:hAnsi="Times New Roman" w:cs="Times New Roman"/>
          <w:color w:val="767171"/>
          <w:spacing w:val="20"/>
          <w:sz w:val="24"/>
          <w:szCs w:val="24"/>
        </w:rPr>
        <w:t xml:space="preserve"> el </w:t>
      </w:r>
      <w:r w:rsidR="00762ECA" w:rsidRPr="006A0747">
        <w:rPr>
          <w:rFonts w:ascii="Times New Roman" w:eastAsia="Calibri" w:hAnsi="Times New Roman" w:cs="Times New Roman"/>
          <w:color w:val="767171"/>
          <w:spacing w:val="20"/>
          <w:sz w:val="24"/>
          <w:szCs w:val="24"/>
        </w:rPr>
        <w:t xml:space="preserve">año </w:t>
      </w:r>
      <w:r w:rsidR="009638D0" w:rsidRPr="006A0747">
        <w:rPr>
          <w:rFonts w:ascii="Times New Roman" w:eastAsia="Calibri" w:hAnsi="Times New Roman" w:cs="Times New Roman"/>
          <w:color w:val="767171"/>
          <w:spacing w:val="20"/>
          <w:sz w:val="24"/>
          <w:szCs w:val="24"/>
        </w:rPr>
        <w:t>2024</w:t>
      </w:r>
      <w:r w:rsidR="007E028E" w:rsidRPr="006A0747">
        <w:rPr>
          <w:rFonts w:ascii="Times New Roman" w:eastAsia="Calibri" w:hAnsi="Times New Roman" w:cs="Times New Roman"/>
          <w:color w:val="767171"/>
          <w:spacing w:val="20"/>
          <w:sz w:val="24"/>
          <w:szCs w:val="24"/>
        </w:rPr>
        <w:t>,</w:t>
      </w:r>
      <w:r w:rsidR="009638D0" w:rsidRPr="006A0747">
        <w:rPr>
          <w:rFonts w:ascii="Times New Roman" w:eastAsia="Calibri" w:hAnsi="Times New Roman" w:cs="Times New Roman"/>
          <w:color w:val="767171"/>
          <w:spacing w:val="20"/>
          <w:sz w:val="24"/>
          <w:szCs w:val="24"/>
        </w:rPr>
        <w:t xml:space="preserve"> </w:t>
      </w:r>
      <w:r w:rsidR="004E4F4C" w:rsidRPr="006A0747">
        <w:rPr>
          <w:rFonts w:ascii="Times New Roman" w:eastAsia="Calibri" w:hAnsi="Times New Roman" w:cs="Times New Roman"/>
          <w:color w:val="767171"/>
          <w:spacing w:val="20"/>
          <w:sz w:val="24"/>
          <w:szCs w:val="24"/>
        </w:rPr>
        <w:t>se realizaron once (11) inspecciones a sujetos obligados (SO) que representan más del 40% de los activos totales del sector financiero. Dichas inspecciones se enfocaron en la evaluación del marco de gestión de riesgos de lavado de activos, financiamiento del terrorismo y de la proliferación de armas de destrucción masiva (PLAFTPADM) y del programa de cumplimiento basado en riesgos. Estas inspecciones incluyeron la evaluación de la glosa documental, análisis de datos</w:t>
      </w:r>
      <w:r w:rsidR="00FE1801" w:rsidRPr="006A0747">
        <w:rPr>
          <w:rFonts w:ascii="Times New Roman" w:eastAsia="Calibri" w:hAnsi="Times New Roman" w:cs="Times New Roman"/>
          <w:color w:val="767171"/>
          <w:spacing w:val="20"/>
          <w:sz w:val="24"/>
          <w:szCs w:val="24"/>
        </w:rPr>
        <w:t xml:space="preserve"> y</w:t>
      </w:r>
      <w:r w:rsidR="004E4F4C" w:rsidRPr="006A0747">
        <w:rPr>
          <w:rFonts w:ascii="Times New Roman" w:eastAsia="Calibri" w:hAnsi="Times New Roman" w:cs="Times New Roman"/>
          <w:color w:val="767171"/>
          <w:spacing w:val="20"/>
          <w:sz w:val="24"/>
          <w:szCs w:val="24"/>
        </w:rPr>
        <w:t xml:space="preserve"> verificación del cumplimiento de las responsabilidades de los órganos de control y las líneas de defensa.</w:t>
      </w:r>
    </w:p>
    <w:p w14:paraId="059C266D" w14:textId="6E1FDA63" w:rsidR="00804AEE" w:rsidRPr="006A0747" w:rsidRDefault="009638D0" w:rsidP="00804AEE">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En </w:t>
      </w:r>
      <w:r w:rsidR="00FA14E1" w:rsidRPr="006A0747">
        <w:rPr>
          <w:rFonts w:ascii="Times New Roman" w:eastAsia="Calibri" w:hAnsi="Times New Roman" w:cs="Times New Roman"/>
          <w:color w:val="767171"/>
          <w:spacing w:val="20"/>
          <w:sz w:val="24"/>
          <w:szCs w:val="24"/>
        </w:rPr>
        <w:t>el</w:t>
      </w:r>
      <w:r w:rsidRPr="006A0747">
        <w:rPr>
          <w:rFonts w:ascii="Times New Roman" w:eastAsia="Calibri" w:hAnsi="Times New Roman" w:cs="Times New Roman"/>
          <w:color w:val="767171"/>
          <w:spacing w:val="20"/>
          <w:sz w:val="24"/>
          <w:szCs w:val="24"/>
        </w:rPr>
        <w:t xml:space="preserve"> mismo orden, </w:t>
      </w:r>
      <w:r w:rsidR="00804AEE" w:rsidRPr="006A0747">
        <w:rPr>
          <w:rFonts w:ascii="Times New Roman" w:eastAsia="Calibri" w:hAnsi="Times New Roman" w:cs="Times New Roman"/>
          <w:color w:val="767171"/>
          <w:spacing w:val="20"/>
          <w:sz w:val="24"/>
          <w:szCs w:val="24"/>
        </w:rPr>
        <w:t xml:space="preserve">y de conformidad con lo establecido en la Ley núm. 155-17, en lo relativo a responsabilidad de retroalimentación constante a los sujetos obligados, </w:t>
      </w:r>
      <w:r w:rsidR="00102215" w:rsidRPr="006A0747">
        <w:rPr>
          <w:rFonts w:ascii="Times New Roman" w:eastAsia="Calibri" w:hAnsi="Times New Roman" w:cs="Times New Roman"/>
          <w:color w:val="767171"/>
          <w:spacing w:val="20"/>
          <w:sz w:val="24"/>
          <w:szCs w:val="24"/>
        </w:rPr>
        <w:t xml:space="preserve">la Superintendencia de Bancos </w:t>
      </w:r>
      <w:r w:rsidR="00804AEE" w:rsidRPr="006A0747">
        <w:rPr>
          <w:rFonts w:ascii="Times New Roman" w:eastAsia="Calibri" w:hAnsi="Times New Roman" w:cs="Times New Roman"/>
          <w:color w:val="767171"/>
          <w:spacing w:val="20"/>
          <w:sz w:val="24"/>
          <w:szCs w:val="24"/>
        </w:rPr>
        <w:t xml:space="preserve">realizó durante el año 2024, por primera vez, dos (2) evaluaciones diagnósticas sobre el nivel de adecuación de la normativa vigente PLAFTPADM a dos (2) entidades de intermediación financiera. </w:t>
      </w:r>
    </w:p>
    <w:p w14:paraId="527ACD7B" w14:textId="77777777" w:rsidR="00804AEE" w:rsidRPr="006A0747" w:rsidRDefault="00804AEE" w:rsidP="00804AEE">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En los informes resultantes, se detallaron las principales recomendaciones para que estas entidades diseñen planes de acción con el objetivo de estar alineados a los requerimientos normativos y mitigar los riesgos inherentes del sector. </w:t>
      </w:r>
    </w:p>
    <w:p w14:paraId="6AE093A8" w14:textId="0C74D312" w:rsidR="00F13612" w:rsidRPr="006A0747" w:rsidRDefault="00F13612" w:rsidP="00F13612">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Además, la Superintendencia de Bancos realizó tres (3) evaluaciones sectoriales de conformidad con lo dispuesto en el artículo 100, numeral 5 de la Ley núm.155-17. La primera de ellas, sobre los riesgos relacionados con las operaciones de remesas realizadas para el período enero – diciembre 2023, que abarcó a las trece (13) entidades autorizadas para ofrecer este servicio. </w:t>
      </w:r>
    </w:p>
    <w:p w14:paraId="66C50C4F" w14:textId="2EC767E2" w:rsidR="00102215" w:rsidRDefault="00F13612" w:rsidP="00F13612">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lastRenderedPageBreak/>
        <w:t xml:space="preserve">Este análisis permitió validar aspectos transaccionales, la operatividad por jurisdicción, incluyendo países de alto riesgo; así como la identificación de oportunidades de mejora en las herramientas de depuración, seguimiento y monitoreo implementadas por las entidades. Como resultado del ejercicio, se llevaron a cabo i) mesas de trabajo con las diferentes entidades y sus gremios; </w:t>
      </w:r>
      <w:proofErr w:type="spellStart"/>
      <w:r w:rsidRPr="006A0747">
        <w:rPr>
          <w:rFonts w:ascii="Times New Roman" w:eastAsia="Calibri" w:hAnsi="Times New Roman" w:cs="Times New Roman"/>
          <w:color w:val="767171"/>
          <w:spacing w:val="20"/>
          <w:sz w:val="24"/>
          <w:szCs w:val="24"/>
        </w:rPr>
        <w:t>ii</w:t>
      </w:r>
      <w:proofErr w:type="spellEnd"/>
      <w:r w:rsidRPr="006A0747">
        <w:rPr>
          <w:rFonts w:ascii="Times New Roman" w:eastAsia="Calibri" w:hAnsi="Times New Roman" w:cs="Times New Roman"/>
          <w:color w:val="767171"/>
          <w:spacing w:val="20"/>
          <w:sz w:val="24"/>
          <w:szCs w:val="24"/>
        </w:rPr>
        <w:t xml:space="preserve">) conversatorios con los miembros de los comités PLAFT y la alta gerencia de los supervisados, y; </w:t>
      </w:r>
      <w:proofErr w:type="spellStart"/>
      <w:r w:rsidRPr="006A0747">
        <w:rPr>
          <w:rFonts w:ascii="Times New Roman" w:eastAsia="Calibri" w:hAnsi="Times New Roman" w:cs="Times New Roman"/>
          <w:color w:val="767171"/>
          <w:spacing w:val="20"/>
          <w:sz w:val="24"/>
          <w:szCs w:val="24"/>
        </w:rPr>
        <w:t>iii</w:t>
      </w:r>
      <w:proofErr w:type="spellEnd"/>
      <w:r w:rsidRPr="006A0747">
        <w:rPr>
          <w:rFonts w:ascii="Times New Roman" w:eastAsia="Calibri" w:hAnsi="Times New Roman" w:cs="Times New Roman"/>
          <w:color w:val="767171"/>
          <w:spacing w:val="20"/>
          <w:sz w:val="24"/>
          <w:szCs w:val="24"/>
        </w:rPr>
        <w:t>) el establecimiento de planes de remediación, por parte de las entidades para la adecuación de los hallazgos detectados.</w:t>
      </w:r>
    </w:p>
    <w:p w14:paraId="4A5266E5" w14:textId="6623D529" w:rsidR="0094700E" w:rsidRDefault="00EC0510" w:rsidP="00F13612">
      <w:pPr>
        <w:spacing w:line="360" w:lineRule="auto"/>
        <w:jc w:val="both"/>
        <w:rPr>
          <w:rFonts w:ascii="Times New Roman" w:eastAsia="Calibri" w:hAnsi="Times New Roman" w:cs="Times New Roman"/>
          <w:color w:val="767171"/>
          <w:spacing w:val="20"/>
          <w:sz w:val="24"/>
          <w:szCs w:val="24"/>
        </w:rPr>
      </w:pPr>
      <w:r>
        <w:rPr>
          <w:rFonts w:ascii="Times New Roman" w:eastAsia="Calibri" w:hAnsi="Times New Roman" w:cs="Times New Roman"/>
          <w:color w:val="767171"/>
          <w:spacing w:val="20"/>
          <w:sz w:val="24"/>
          <w:szCs w:val="24"/>
        </w:rPr>
        <w:t>Por otro lado</w:t>
      </w:r>
      <w:r w:rsidR="007375A3" w:rsidRPr="007375A3">
        <w:rPr>
          <w:rFonts w:ascii="Times New Roman" w:eastAsia="Calibri" w:hAnsi="Times New Roman" w:cs="Times New Roman"/>
          <w:color w:val="767171"/>
          <w:spacing w:val="20"/>
          <w:sz w:val="24"/>
          <w:szCs w:val="24"/>
        </w:rPr>
        <w:t>, se realizó un análisis sectorial sobre las operaciones de las Cooperativas en el sector bancario; para esto se analizaron todos los productos y servicios durante el período 2020-2024. Como resultado de este levantamiento se identificaron alrededor de mil trecientas (1,300) cooperativas de distintos tipos y sectores, así como la concentración de este tipo de clientes en el sistema bancario.</w:t>
      </w:r>
    </w:p>
    <w:p w14:paraId="08B50C39" w14:textId="77777777" w:rsidR="007375A3" w:rsidRPr="007375A3" w:rsidRDefault="007375A3" w:rsidP="007375A3">
      <w:pPr>
        <w:spacing w:line="360" w:lineRule="auto"/>
        <w:jc w:val="both"/>
        <w:rPr>
          <w:rFonts w:ascii="Times New Roman" w:eastAsia="Calibri" w:hAnsi="Times New Roman" w:cs="Times New Roman"/>
          <w:color w:val="767171"/>
          <w:spacing w:val="20"/>
          <w:sz w:val="24"/>
          <w:szCs w:val="24"/>
        </w:rPr>
      </w:pPr>
      <w:r w:rsidRPr="007375A3">
        <w:rPr>
          <w:rFonts w:ascii="Times New Roman" w:eastAsia="Calibri" w:hAnsi="Times New Roman" w:cs="Times New Roman"/>
          <w:color w:val="767171"/>
          <w:spacing w:val="20"/>
          <w:sz w:val="24"/>
          <w:szCs w:val="24"/>
        </w:rPr>
        <w:t>Por último, el DSPLAFT también realizó un análisis sectorial con relación a la identificación de perfiles de personas físicas y jurídicas que promocionan productos y servicios financieros relacionados con inversiones, compra y venta de divisas, remesas y otras actividades que podrían impactar negativamente a los usuarios del sistema financiero.</w:t>
      </w:r>
    </w:p>
    <w:p w14:paraId="24A29983" w14:textId="77777777" w:rsidR="007375A3" w:rsidRPr="007375A3" w:rsidRDefault="007375A3" w:rsidP="007375A3">
      <w:pPr>
        <w:spacing w:line="360" w:lineRule="auto"/>
        <w:jc w:val="both"/>
        <w:rPr>
          <w:rFonts w:ascii="Times New Roman" w:eastAsia="Calibri" w:hAnsi="Times New Roman" w:cs="Times New Roman"/>
          <w:color w:val="767171"/>
          <w:spacing w:val="20"/>
          <w:sz w:val="24"/>
          <w:szCs w:val="24"/>
        </w:rPr>
      </w:pPr>
      <w:r w:rsidRPr="007375A3">
        <w:rPr>
          <w:rFonts w:ascii="Times New Roman" w:eastAsia="Calibri" w:hAnsi="Times New Roman" w:cs="Times New Roman"/>
          <w:color w:val="767171"/>
          <w:spacing w:val="20"/>
          <w:sz w:val="24"/>
          <w:szCs w:val="24"/>
        </w:rPr>
        <w:t>Este ejercicio propició la realización de mesas de trabajo con las entidades y supervisiones especiales con miras de robustecer la gestión de monitoreo de sus clientes.</w:t>
      </w:r>
    </w:p>
    <w:p w14:paraId="34773361" w14:textId="77777777" w:rsidR="007375A3" w:rsidRDefault="007375A3" w:rsidP="00F13612">
      <w:pPr>
        <w:spacing w:line="360" w:lineRule="auto"/>
        <w:jc w:val="both"/>
        <w:rPr>
          <w:rFonts w:ascii="Times New Roman" w:eastAsia="Calibri" w:hAnsi="Times New Roman" w:cs="Times New Roman"/>
          <w:color w:val="767171"/>
          <w:spacing w:val="20"/>
          <w:sz w:val="24"/>
          <w:szCs w:val="24"/>
        </w:rPr>
      </w:pPr>
    </w:p>
    <w:p w14:paraId="75E161BE" w14:textId="77777777" w:rsidR="00E25E20" w:rsidRDefault="00E25E20" w:rsidP="00F13612">
      <w:pPr>
        <w:spacing w:line="360" w:lineRule="auto"/>
        <w:jc w:val="both"/>
        <w:rPr>
          <w:rFonts w:ascii="Times New Roman" w:eastAsia="Calibri" w:hAnsi="Times New Roman" w:cs="Times New Roman"/>
          <w:color w:val="767171"/>
          <w:spacing w:val="20"/>
          <w:sz w:val="24"/>
          <w:szCs w:val="24"/>
        </w:rPr>
      </w:pPr>
    </w:p>
    <w:p w14:paraId="722D46B5" w14:textId="77777777" w:rsidR="00E25E20" w:rsidRPr="006A0747" w:rsidRDefault="00E25E20" w:rsidP="00F13612">
      <w:pPr>
        <w:spacing w:line="360" w:lineRule="auto"/>
        <w:jc w:val="both"/>
        <w:rPr>
          <w:rFonts w:ascii="Times New Roman" w:eastAsia="Calibri" w:hAnsi="Times New Roman" w:cs="Times New Roman"/>
          <w:color w:val="767171"/>
          <w:spacing w:val="20"/>
          <w:sz w:val="24"/>
          <w:szCs w:val="24"/>
        </w:rPr>
      </w:pPr>
    </w:p>
    <w:p w14:paraId="779AC0DC" w14:textId="5F63F166" w:rsidR="00006A36" w:rsidRPr="006A0747" w:rsidRDefault="00006A36" w:rsidP="00006A36">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lastRenderedPageBreak/>
        <w:t>Cooperación con organismos competentes</w:t>
      </w:r>
    </w:p>
    <w:p w14:paraId="06E5B5BB" w14:textId="07B4E41E" w:rsidR="00006A36" w:rsidRPr="006A0747" w:rsidRDefault="00006A36" w:rsidP="00006A36">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En relación con los requerimientos de información de organismos competentes en materia de </w:t>
      </w:r>
      <w:r w:rsidR="00ED564D" w:rsidRPr="006A0747">
        <w:rPr>
          <w:rFonts w:ascii="Times New Roman" w:eastAsia="Calibri" w:hAnsi="Times New Roman" w:cs="Times New Roman"/>
          <w:color w:val="767171"/>
          <w:spacing w:val="20"/>
          <w:sz w:val="24"/>
          <w:szCs w:val="24"/>
        </w:rPr>
        <w:t>P</w:t>
      </w:r>
      <w:r w:rsidRPr="006A0747">
        <w:rPr>
          <w:rFonts w:ascii="Times New Roman" w:eastAsia="Calibri" w:hAnsi="Times New Roman" w:cs="Times New Roman"/>
          <w:color w:val="767171"/>
          <w:spacing w:val="20"/>
          <w:sz w:val="24"/>
          <w:szCs w:val="24"/>
        </w:rPr>
        <w:t xml:space="preserve">LAFTPADM, durante el 2024 fueron atendidas un total de 4,264 solicitudes de información, de las </w:t>
      </w:r>
      <w:r w:rsidR="0007077C" w:rsidRPr="006A0747">
        <w:rPr>
          <w:rFonts w:ascii="Times New Roman" w:eastAsia="Calibri" w:hAnsi="Times New Roman" w:cs="Times New Roman"/>
          <w:color w:val="767171"/>
          <w:spacing w:val="20"/>
          <w:sz w:val="24"/>
          <w:szCs w:val="24"/>
        </w:rPr>
        <w:t>cuales,</w:t>
      </w:r>
      <w:r w:rsidRPr="006A0747">
        <w:rPr>
          <w:rFonts w:ascii="Times New Roman" w:eastAsia="Calibri" w:hAnsi="Times New Roman" w:cs="Times New Roman"/>
          <w:color w:val="767171"/>
          <w:spacing w:val="20"/>
          <w:sz w:val="24"/>
          <w:szCs w:val="24"/>
        </w:rPr>
        <w:t xml:space="preserve"> 3,210 correspondieron a las distintas jurisdicciones y departamentos del Ministerio Público, destacándose la Procuraduría Especializada de Persecución de la Corrupción Administrativa (PEPCA) y la Procuraduría Especializada Antilavado de Activos. Asimismo, se atendieron solicitudes del i) Poder Judicial; </w:t>
      </w:r>
      <w:proofErr w:type="spellStart"/>
      <w:r w:rsidRPr="006A0747">
        <w:rPr>
          <w:rFonts w:ascii="Times New Roman" w:eastAsia="Calibri" w:hAnsi="Times New Roman" w:cs="Times New Roman"/>
          <w:color w:val="767171"/>
          <w:spacing w:val="20"/>
          <w:sz w:val="24"/>
          <w:szCs w:val="24"/>
        </w:rPr>
        <w:t>ii</w:t>
      </w:r>
      <w:proofErr w:type="spellEnd"/>
      <w:r w:rsidRPr="006A0747">
        <w:rPr>
          <w:rFonts w:ascii="Times New Roman" w:eastAsia="Calibri" w:hAnsi="Times New Roman" w:cs="Times New Roman"/>
          <w:color w:val="767171"/>
          <w:spacing w:val="20"/>
          <w:sz w:val="24"/>
          <w:szCs w:val="24"/>
        </w:rPr>
        <w:t xml:space="preserve">) Dirección General de Impuestos Internos; y </w:t>
      </w:r>
      <w:proofErr w:type="spellStart"/>
      <w:r w:rsidRPr="006A0747">
        <w:rPr>
          <w:rFonts w:ascii="Times New Roman" w:eastAsia="Calibri" w:hAnsi="Times New Roman" w:cs="Times New Roman"/>
          <w:color w:val="767171"/>
          <w:spacing w:val="20"/>
          <w:sz w:val="24"/>
          <w:szCs w:val="24"/>
        </w:rPr>
        <w:t>iii</w:t>
      </w:r>
      <w:proofErr w:type="spellEnd"/>
      <w:r w:rsidRPr="006A0747">
        <w:rPr>
          <w:rFonts w:ascii="Times New Roman" w:eastAsia="Calibri" w:hAnsi="Times New Roman" w:cs="Times New Roman"/>
          <w:color w:val="767171"/>
          <w:spacing w:val="20"/>
          <w:sz w:val="24"/>
          <w:szCs w:val="24"/>
        </w:rPr>
        <w:t xml:space="preserve">) Superintendencia de Seguros, entre otras. </w:t>
      </w:r>
    </w:p>
    <w:p w14:paraId="35797983" w14:textId="26383164" w:rsidR="00006A36" w:rsidRPr="006A0747" w:rsidRDefault="00006A36" w:rsidP="00006A36">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Del total de requerimientos, 4,025 correspondieron a solicitudes de información financiera, certificaciones de transacciones, cheques y/o documentos; 149 a congelamientos o inmovilizaciones de cuentas y noventa (90) a descongelamientos de </w:t>
      </w:r>
      <w:r w:rsidR="00DE05F9" w:rsidRPr="006A0747">
        <w:rPr>
          <w:rFonts w:ascii="Times New Roman" w:eastAsia="Calibri" w:hAnsi="Times New Roman" w:cs="Times New Roman"/>
          <w:color w:val="767171"/>
          <w:spacing w:val="20"/>
          <w:sz w:val="24"/>
          <w:szCs w:val="24"/>
        </w:rPr>
        <w:t>estas</w:t>
      </w:r>
      <w:r w:rsidRPr="006A0747">
        <w:rPr>
          <w:rFonts w:ascii="Times New Roman" w:eastAsia="Calibri" w:hAnsi="Times New Roman" w:cs="Times New Roman"/>
          <w:color w:val="767171"/>
          <w:spacing w:val="20"/>
          <w:sz w:val="24"/>
          <w:szCs w:val="24"/>
        </w:rPr>
        <w:t>.</w:t>
      </w:r>
    </w:p>
    <w:p w14:paraId="5B0F0283" w14:textId="0C0AF504" w:rsidR="00F372DC" w:rsidRPr="006A0747" w:rsidRDefault="00006A36" w:rsidP="00E00B87">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Las cifras arriba detalladas representan un incremento de productividad de un 21% con relación al mismo período del año 2023.</w:t>
      </w:r>
    </w:p>
    <w:p w14:paraId="210D5899" w14:textId="77777777" w:rsidR="007857B6" w:rsidRPr="006A0747" w:rsidRDefault="007857B6" w:rsidP="0006452E">
      <w:pPr>
        <w:rPr>
          <w:rFonts w:ascii="Times New Roman" w:hAnsi="Times New Roman" w:cs="Times New Roman"/>
          <w:color w:val="2E74B5" w:themeColor="accent5" w:themeShade="BF"/>
        </w:rPr>
      </w:pPr>
    </w:p>
    <w:p w14:paraId="6ED13924" w14:textId="5FA27277" w:rsidR="00222863" w:rsidRPr="006A0747" w:rsidRDefault="00222863" w:rsidP="000813B9">
      <w:pPr>
        <w:pStyle w:val="Ttulo2"/>
        <w:numPr>
          <w:ilvl w:val="1"/>
          <w:numId w:val="17"/>
        </w:numPr>
        <w:rPr>
          <w:rFonts w:ascii="Times New Roman" w:eastAsia="Calibri" w:hAnsi="Times New Roman" w:cs="Times New Roman"/>
          <w:b/>
          <w:color w:val="767171"/>
          <w:spacing w:val="20"/>
          <w:sz w:val="24"/>
          <w:szCs w:val="24"/>
        </w:rPr>
      </w:pPr>
      <w:bookmarkStart w:id="33" w:name="_Toc185274996"/>
      <w:r w:rsidRPr="006A0747">
        <w:rPr>
          <w:rFonts w:ascii="Times New Roman" w:eastAsia="Calibri" w:hAnsi="Times New Roman" w:cs="Times New Roman"/>
          <w:b/>
          <w:color w:val="767171"/>
          <w:spacing w:val="20"/>
          <w:sz w:val="24"/>
          <w:szCs w:val="24"/>
        </w:rPr>
        <w:t>Procesos Sancionadores</w:t>
      </w:r>
      <w:bookmarkEnd w:id="33"/>
    </w:p>
    <w:p w14:paraId="185CFCC3" w14:textId="77777777" w:rsidR="00836659" w:rsidRPr="006A0747" w:rsidRDefault="00836659" w:rsidP="00836659">
      <w:pPr>
        <w:rPr>
          <w:color w:val="767171"/>
        </w:rPr>
      </w:pPr>
    </w:p>
    <w:p w14:paraId="6B8A0779" w14:textId="77777777" w:rsidR="00222863" w:rsidRPr="006A0747" w:rsidRDefault="00222863" w:rsidP="00222863">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t>Desempeño de los Procedimientos Administrativos Sancionadores</w:t>
      </w:r>
    </w:p>
    <w:p w14:paraId="00D3CF73" w14:textId="176D1DE9" w:rsidR="007F7F91" w:rsidRPr="006A0747" w:rsidRDefault="00536C78" w:rsidP="00222863">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Entre los resultados alcanzados por la Superintendencia de Bancos en materia de sanciones, en </w:t>
      </w:r>
      <w:r w:rsidR="000F0403" w:rsidRPr="006A0747">
        <w:rPr>
          <w:rFonts w:ascii="Times New Roman" w:eastAsia="Calibri" w:hAnsi="Times New Roman" w:cs="Times New Roman"/>
          <w:color w:val="767171"/>
          <w:spacing w:val="20"/>
          <w:sz w:val="24"/>
          <w:szCs w:val="24"/>
        </w:rPr>
        <w:t>el año</w:t>
      </w:r>
      <w:r w:rsidRPr="006A0747">
        <w:rPr>
          <w:rFonts w:ascii="Times New Roman" w:eastAsia="Calibri" w:hAnsi="Times New Roman" w:cs="Times New Roman"/>
          <w:color w:val="767171"/>
          <w:spacing w:val="20"/>
          <w:sz w:val="24"/>
          <w:szCs w:val="24"/>
        </w:rPr>
        <w:t xml:space="preserve"> 2024, se destacan los siguientes: 1) procesamiento de 440 incumplimientos detectados 2) elaboración de pliegos y tramitación de 89 procedimientos sancionares; y 3) la aplicación de </w:t>
      </w:r>
      <w:r w:rsidR="00ED3204" w:rsidRPr="006A0747">
        <w:rPr>
          <w:rFonts w:ascii="Times New Roman" w:eastAsia="Calibri" w:hAnsi="Times New Roman" w:cs="Times New Roman"/>
          <w:color w:val="767171"/>
          <w:spacing w:val="20"/>
          <w:sz w:val="24"/>
          <w:szCs w:val="24"/>
        </w:rPr>
        <w:t xml:space="preserve">52 </w:t>
      </w:r>
      <w:r w:rsidRPr="006A0747">
        <w:rPr>
          <w:rFonts w:ascii="Times New Roman" w:eastAsia="Calibri" w:hAnsi="Times New Roman" w:cs="Times New Roman"/>
          <w:color w:val="767171"/>
          <w:spacing w:val="20"/>
          <w:sz w:val="24"/>
          <w:szCs w:val="24"/>
        </w:rPr>
        <w:t xml:space="preserve">sanciones por un monto de RD$ </w:t>
      </w:r>
      <w:r w:rsidRPr="006A0747">
        <w:rPr>
          <w:rFonts w:ascii="Times New Roman" w:eastAsia="Calibri" w:hAnsi="Times New Roman" w:cs="Times New Roman"/>
          <w:b/>
          <w:color w:val="767171"/>
          <w:spacing w:val="20"/>
          <w:sz w:val="24"/>
          <w:szCs w:val="24"/>
        </w:rPr>
        <w:t>23.84</w:t>
      </w:r>
      <w:r w:rsidRPr="006A0747">
        <w:rPr>
          <w:rFonts w:ascii="Times New Roman" w:eastAsia="Calibri" w:hAnsi="Times New Roman" w:cs="Times New Roman"/>
          <w:color w:val="767171"/>
          <w:spacing w:val="20"/>
          <w:sz w:val="24"/>
          <w:szCs w:val="24"/>
        </w:rPr>
        <w:t xml:space="preserve"> millones</w:t>
      </w:r>
      <w:r w:rsidR="008922EF" w:rsidRPr="006A0747">
        <w:rPr>
          <w:rFonts w:ascii="Times New Roman" w:eastAsia="Calibri" w:hAnsi="Times New Roman" w:cs="Times New Roman"/>
          <w:color w:val="767171"/>
          <w:spacing w:val="20"/>
          <w:sz w:val="24"/>
          <w:szCs w:val="24"/>
        </w:rPr>
        <w:t>, estas sanciones</w:t>
      </w:r>
      <w:r w:rsidR="008E64BE" w:rsidRPr="006A0747">
        <w:rPr>
          <w:rFonts w:ascii="Times New Roman" w:eastAsia="Calibri" w:hAnsi="Times New Roman" w:cs="Times New Roman"/>
          <w:color w:val="767171"/>
          <w:spacing w:val="20"/>
          <w:sz w:val="24"/>
          <w:szCs w:val="24"/>
        </w:rPr>
        <w:t xml:space="preserve"> aplicadas 22 a Bancos Múltiples, 10 a Agentes de Cambio, </w:t>
      </w:r>
      <w:r w:rsidR="002C3499" w:rsidRPr="006A0747">
        <w:rPr>
          <w:rFonts w:ascii="Times New Roman" w:eastAsia="Calibri" w:hAnsi="Times New Roman" w:cs="Times New Roman"/>
          <w:color w:val="767171"/>
          <w:spacing w:val="20"/>
          <w:sz w:val="24"/>
          <w:szCs w:val="24"/>
        </w:rPr>
        <w:t xml:space="preserve">5 a Bancos de Ahorro y Crédito, 12 a Asociaciones de Ahorro y Préstamos y 3 a Agentes de Remesas y </w:t>
      </w:r>
      <w:r w:rsidR="00E06CA8" w:rsidRPr="006A0747">
        <w:rPr>
          <w:rFonts w:ascii="Times New Roman" w:eastAsia="Calibri" w:hAnsi="Times New Roman" w:cs="Times New Roman"/>
          <w:color w:val="767171"/>
          <w:spacing w:val="20"/>
          <w:sz w:val="24"/>
          <w:szCs w:val="24"/>
        </w:rPr>
        <w:t xml:space="preserve">de </w:t>
      </w:r>
      <w:r w:rsidR="002C3499" w:rsidRPr="006A0747">
        <w:rPr>
          <w:rFonts w:ascii="Times New Roman" w:eastAsia="Calibri" w:hAnsi="Times New Roman" w:cs="Times New Roman"/>
          <w:color w:val="767171"/>
          <w:spacing w:val="20"/>
          <w:sz w:val="24"/>
          <w:szCs w:val="24"/>
        </w:rPr>
        <w:t>Cambio.</w:t>
      </w:r>
    </w:p>
    <w:p w14:paraId="21F03BFC" w14:textId="75E25BE5" w:rsidR="00222863" w:rsidRPr="006A0747" w:rsidRDefault="00222863" w:rsidP="00222863">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lastRenderedPageBreak/>
        <w:t xml:space="preserve">Tabla </w:t>
      </w:r>
      <w:r w:rsidR="00F23BEA" w:rsidRPr="006A0747">
        <w:rPr>
          <w:rFonts w:ascii="Times New Roman" w:eastAsia="Calibri" w:hAnsi="Times New Roman" w:cs="Times New Roman"/>
          <w:b/>
          <w:color w:val="767171"/>
          <w:spacing w:val="20"/>
          <w:sz w:val="24"/>
          <w:szCs w:val="24"/>
        </w:rPr>
        <w:t>3</w:t>
      </w:r>
      <w:r w:rsidRPr="006A0747">
        <w:rPr>
          <w:rFonts w:ascii="Times New Roman" w:eastAsia="Calibri" w:hAnsi="Times New Roman" w:cs="Times New Roman"/>
          <w:b/>
          <w:color w:val="767171"/>
          <w:spacing w:val="20"/>
          <w:sz w:val="24"/>
          <w:szCs w:val="24"/>
        </w:rPr>
        <w:t xml:space="preserve">. Sanciones impuestas según tipo de entidad (enero - junio 2024) </w:t>
      </w:r>
    </w:p>
    <w:tbl>
      <w:tblPr>
        <w:tblW w:w="7362" w:type="dxa"/>
        <w:jc w:val="center"/>
        <w:tblCellMar>
          <w:top w:w="15" w:type="dxa"/>
          <w:left w:w="70" w:type="dxa"/>
          <w:bottom w:w="15" w:type="dxa"/>
          <w:right w:w="70" w:type="dxa"/>
        </w:tblCellMar>
        <w:tblLook w:val="04A0" w:firstRow="1" w:lastRow="0" w:firstColumn="1" w:lastColumn="0" w:noHBand="0" w:noVBand="1"/>
      </w:tblPr>
      <w:tblGrid>
        <w:gridCol w:w="5136"/>
        <w:gridCol w:w="2226"/>
      </w:tblGrid>
      <w:tr w:rsidR="00CF75E4" w:rsidRPr="006A0747" w14:paraId="425A89E1" w14:textId="77777777">
        <w:trPr>
          <w:trHeight w:val="327"/>
          <w:tblHeader/>
          <w:jc w:val="center"/>
        </w:trPr>
        <w:tc>
          <w:tcPr>
            <w:tcW w:w="5136" w:type="dxa"/>
            <w:tcBorders>
              <w:top w:val="single" w:sz="8" w:space="0" w:color="auto"/>
              <w:left w:val="single" w:sz="8" w:space="0" w:color="auto"/>
              <w:bottom w:val="single" w:sz="8" w:space="0" w:color="auto"/>
              <w:right w:val="single" w:sz="8" w:space="0" w:color="000000"/>
            </w:tcBorders>
            <w:shd w:val="clear" w:color="auto" w:fill="011C50"/>
            <w:noWrap/>
            <w:vAlign w:val="center"/>
            <w:hideMark/>
          </w:tcPr>
          <w:p w14:paraId="1839FBC1" w14:textId="77777777" w:rsidR="00222863" w:rsidRPr="006A0747" w:rsidRDefault="00222863">
            <w:pPr>
              <w:spacing w:line="360" w:lineRule="auto"/>
              <w:jc w:val="center"/>
              <w:rPr>
                <w:rFonts w:ascii="Times New Roman" w:eastAsia="Calibri" w:hAnsi="Times New Roman" w:cs="Times New Roman"/>
                <w:b/>
                <w:color w:val="FFFFFF" w:themeColor="background1"/>
                <w:spacing w:val="20"/>
                <w:sz w:val="24"/>
                <w:szCs w:val="24"/>
              </w:rPr>
            </w:pPr>
            <w:r w:rsidRPr="006A0747">
              <w:rPr>
                <w:rFonts w:ascii="Times New Roman" w:eastAsia="Calibri" w:hAnsi="Times New Roman" w:cs="Times New Roman"/>
                <w:b/>
                <w:color w:val="FFFFFF" w:themeColor="background1"/>
                <w:spacing w:val="20"/>
                <w:sz w:val="24"/>
                <w:szCs w:val="24"/>
              </w:rPr>
              <w:t>Tipo de Entidad</w:t>
            </w:r>
          </w:p>
        </w:tc>
        <w:tc>
          <w:tcPr>
            <w:tcW w:w="2226" w:type="dxa"/>
            <w:tcBorders>
              <w:top w:val="single" w:sz="8" w:space="0" w:color="auto"/>
              <w:left w:val="single" w:sz="8" w:space="0" w:color="auto"/>
              <w:bottom w:val="single" w:sz="8" w:space="0" w:color="auto"/>
              <w:right w:val="single" w:sz="8" w:space="0" w:color="000000"/>
            </w:tcBorders>
            <w:shd w:val="clear" w:color="auto" w:fill="011C50"/>
            <w:noWrap/>
            <w:vAlign w:val="center"/>
            <w:hideMark/>
          </w:tcPr>
          <w:p w14:paraId="037BE05A" w14:textId="77777777" w:rsidR="00222863" w:rsidRPr="006A0747" w:rsidRDefault="00222863">
            <w:pPr>
              <w:spacing w:line="360" w:lineRule="auto"/>
              <w:jc w:val="center"/>
              <w:rPr>
                <w:rFonts w:ascii="Times New Roman" w:eastAsia="Calibri" w:hAnsi="Times New Roman" w:cs="Times New Roman"/>
                <w:b/>
                <w:color w:val="FFFFFF" w:themeColor="background1"/>
                <w:spacing w:val="20"/>
                <w:sz w:val="24"/>
                <w:szCs w:val="24"/>
              </w:rPr>
            </w:pPr>
            <w:r w:rsidRPr="006A0747">
              <w:rPr>
                <w:rFonts w:ascii="Times New Roman" w:eastAsia="Calibri" w:hAnsi="Times New Roman" w:cs="Times New Roman"/>
                <w:b/>
                <w:color w:val="FFFFFF" w:themeColor="background1"/>
                <w:spacing w:val="20"/>
                <w:sz w:val="24"/>
                <w:szCs w:val="24"/>
              </w:rPr>
              <w:t>Sanciones</w:t>
            </w:r>
          </w:p>
        </w:tc>
      </w:tr>
      <w:tr w:rsidR="00CF75E4" w:rsidRPr="006A0747" w14:paraId="31CE1B6E" w14:textId="77777777">
        <w:trPr>
          <w:trHeight w:val="327"/>
          <w:jc w:val="center"/>
        </w:trPr>
        <w:tc>
          <w:tcPr>
            <w:tcW w:w="51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684485" w14:textId="77777777" w:rsidR="00222863" w:rsidRPr="006A0747" w:rsidRDefault="00222863">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Bancos Múltiples</w:t>
            </w:r>
          </w:p>
        </w:tc>
        <w:tc>
          <w:tcPr>
            <w:tcW w:w="22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197C9C" w14:textId="657C3EBB" w:rsidR="00222863" w:rsidRPr="006A0747" w:rsidRDefault="00675494" w:rsidP="00675494">
            <w:pPr>
              <w:spacing w:line="360" w:lineRule="auto"/>
              <w:jc w:val="center"/>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22</w:t>
            </w:r>
          </w:p>
        </w:tc>
      </w:tr>
      <w:tr w:rsidR="00CF75E4" w:rsidRPr="006A0747" w14:paraId="4FDBCF91" w14:textId="77777777">
        <w:trPr>
          <w:trHeight w:val="327"/>
          <w:jc w:val="center"/>
        </w:trPr>
        <w:tc>
          <w:tcPr>
            <w:tcW w:w="51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FF0BA0" w14:textId="77777777" w:rsidR="00222863" w:rsidRPr="006A0747" w:rsidRDefault="00222863">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Agentes de Cambio</w:t>
            </w:r>
          </w:p>
        </w:tc>
        <w:tc>
          <w:tcPr>
            <w:tcW w:w="22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6DC999" w14:textId="6D460176" w:rsidR="00222863" w:rsidRPr="006A0747" w:rsidRDefault="00675494" w:rsidP="00675494">
            <w:pPr>
              <w:spacing w:line="360" w:lineRule="auto"/>
              <w:jc w:val="center"/>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10</w:t>
            </w:r>
          </w:p>
        </w:tc>
      </w:tr>
      <w:tr w:rsidR="00CF75E4" w:rsidRPr="006A0747" w14:paraId="34B5C23A" w14:textId="77777777">
        <w:trPr>
          <w:trHeight w:val="327"/>
          <w:jc w:val="center"/>
        </w:trPr>
        <w:tc>
          <w:tcPr>
            <w:tcW w:w="51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B6D77A" w14:textId="77777777" w:rsidR="00222863" w:rsidRPr="006A0747" w:rsidRDefault="00222863">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Bancos de Ahorro y Crédito</w:t>
            </w:r>
          </w:p>
        </w:tc>
        <w:tc>
          <w:tcPr>
            <w:tcW w:w="22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752915" w14:textId="53F80ABE" w:rsidR="00222863" w:rsidRPr="006A0747" w:rsidRDefault="0067691A" w:rsidP="00675494">
            <w:pPr>
              <w:spacing w:line="360" w:lineRule="auto"/>
              <w:jc w:val="center"/>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5</w:t>
            </w:r>
          </w:p>
        </w:tc>
      </w:tr>
      <w:tr w:rsidR="00CF75E4" w:rsidRPr="006A0747" w14:paraId="03E54549" w14:textId="77777777">
        <w:trPr>
          <w:trHeight w:val="327"/>
          <w:jc w:val="center"/>
        </w:trPr>
        <w:tc>
          <w:tcPr>
            <w:tcW w:w="51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E8FC5E" w14:textId="77777777" w:rsidR="00222863" w:rsidRPr="006A0747" w:rsidRDefault="00222863">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Asociaciones de Ahorros y Préstamos</w:t>
            </w:r>
          </w:p>
        </w:tc>
        <w:tc>
          <w:tcPr>
            <w:tcW w:w="22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267F0F" w14:textId="5D275B6E" w:rsidR="00222863" w:rsidRPr="006A0747" w:rsidRDefault="0067691A" w:rsidP="00675494">
            <w:pPr>
              <w:spacing w:line="360" w:lineRule="auto"/>
              <w:jc w:val="center"/>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12</w:t>
            </w:r>
          </w:p>
        </w:tc>
      </w:tr>
      <w:tr w:rsidR="00CF75E4" w:rsidRPr="006A0747" w14:paraId="12C460EB" w14:textId="77777777">
        <w:trPr>
          <w:trHeight w:val="327"/>
          <w:jc w:val="center"/>
        </w:trPr>
        <w:tc>
          <w:tcPr>
            <w:tcW w:w="51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AD9198" w14:textId="5D9E32DE" w:rsidR="00222863" w:rsidRPr="006A0747" w:rsidRDefault="00222863">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Agentes de Remesas y </w:t>
            </w:r>
            <w:r w:rsidR="00E06CA8" w:rsidRPr="006A0747">
              <w:rPr>
                <w:rFonts w:ascii="Times New Roman" w:eastAsia="Calibri" w:hAnsi="Times New Roman" w:cs="Times New Roman"/>
                <w:color w:val="767171"/>
                <w:spacing w:val="20"/>
                <w:sz w:val="24"/>
                <w:szCs w:val="24"/>
              </w:rPr>
              <w:t xml:space="preserve">de </w:t>
            </w:r>
            <w:r w:rsidRPr="006A0747">
              <w:rPr>
                <w:rFonts w:ascii="Times New Roman" w:eastAsia="Calibri" w:hAnsi="Times New Roman" w:cs="Times New Roman"/>
                <w:color w:val="767171"/>
                <w:spacing w:val="20"/>
                <w:sz w:val="24"/>
                <w:szCs w:val="24"/>
              </w:rPr>
              <w:t>Cambio</w:t>
            </w:r>
          </w:p>
        </w:tc>
        <w:tc>
          <w:tcPr>
            <w:tcW w:w="22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B751A8" w14:textId="673BF5FF" w:rsidR="00222863" w:rsidRPr="006A0747" w:rsidRDefault="0067691A" w:rsidP="00675494">
            <w:pPr>
              <w:spacing w:line="360" w:lineRule="auto"/>
              <w:jc w:val="center"/>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3</w:t>
            </w:r>
          </w:p>
        </w:tc>
      </w:tr>
      <w:tr w:rsidR="00CF75E4" w:rsidRPr="006A0747" w14:paraId="60EB73A7" w14:textId="77777777" w:rsidTr="00E11717">
        <w:trPr>
          <w:trHeight w:val="327"/>
          <w:jc w:val="center"/>
        </w:trPr>
        <w:tc>
          <w:tcPr>
            <w:tcW w:w="5136" w:type="dxa"/>
            <w:tcBorders>
              <w:top w:val="single" w:sz="8" w:space="0" w:color="auto"/>
              <w:left w:val="single" w:sz="8" w:space="0" w:color="auto"/>
              <w:bottom w:val="single" w:sz="8" w:space="0" w:color="auto"/>
              <w:right w:val="single" w:sz="8" w:space="0" w:color="000000"/>
            </w:tcBorders>
            <w:shd w:val="clear" w:color="auto" w:fill="011C50"/>
            <w:noWrap/>
            <w:vAlign w:val="center"/>
            <w:hideMark/>
          </w:tcPr>
          <w:p w14:paraId="12C6C468" w14:textId="77777777" w:rsidR="00222863" w:rsidRPr="006A0747" w:rsidRDefault="00222863" w:rsidP="00E11717">
            <w:pPr>
              <w:spacing w:line="360" w:lineRule="auto"/>
              <w:jc w:val="center"/>
              <w:rPr>
                <w:rFonts w:ascii="Times New Roman" w:eastAsia="Calibri" w:hAnsi="Times New Roman" w:cs="Times New Roman"/>
                <w:b/>
                <w:color w:val="FFFFFF" w:themeColor="background1"/>
                <w:spacing w:val="20"/>
                <w:sz w:val="24"/>
                <w:szCs w:val="24"/>
              </w:rPr>
            </w:pPr>
            <w:r w:rsidRPr="006A0747">
              <w:rPr>
                <w:rFonts w:ascii="Times New Roman" w:eastAsia="Calibri" w:hAnsi="Times New Roman" w:cs="Times New Roman"/>
                <w:b/>
                <w:color w:val="FFFFFF" w:themeColor="background1"/>
                <w:spacing w:val="20"/>
                <w:sz w:val="24"/>
                <w:szCs w:val="24"/>
              </w:rPr>
              <w:t>Total</w:t>
            </w:r>
          </w:p>
        </w:tc>
        <w:tc>
          <w:tcPr>
            <w:tcW w:w="2226" w:type="dxa"/>
            <w:tcBorders>
              <w:top w:val="single" w:sz="8" w:space="0" w:color="auto"/>
              <w:left w:val="single" w:sz="8" w:space="0" w:color="auto"/>
              <w:bottom w:val="single" w:sz="8" w:space="0" w:color="auto"/>
              <w:right w:val="single" w:sz="8" w:space="0" w:color="000000"/>
            </w:tcBorders>
            <w:shd w:val="clear" w:color="auto" w:fill="011C50"/>
            <w:noWrap/>
            <w:vAlign w:val="center"/>
            <w:hideMark/>
          </w:tcPr>
          <w:p w14:paraId="6E6983A0" w14:textId="08C51550" w:rsidR="00222863" w:rsidRPr="006A0747" w:rsidRDefault="0067691A" w:rsidP="00E11717">
            <w:pPr>
              <w:spacing w:line="360" w:lineRule="auto"/>
              <w:jc w:val="center"/>
              <w:rPr>
                <w:rFonts w:ascii="Times New Roman" w:eastAsia="Calibri" w:hAnsi="Times New Roman" w:cs="Times New Roman"/>
                <w:b/>
                <w:color w:val="FFFFFF" w:themeColor="background1"/>
                <w:spacing w:val="20"/>
                <w:sz w:val="24"/>
                <w:szCs w:val="24"/>
              </w:rPr>
            </w:pPr>
            <w:r w:rsidRPr="006A0747">
              <w:rPr>
                <w:rFonts w:ascii="Times New Roman" w:eastAsia="Calibri" w:hAnsi="Times New Roman" w:cs="Times New Roman"/>
                <w:b/>
                <w:color w:val="FFFFFF" w:themeColor="background1"/>
                <w:spacing w:val="20"/>
                <w:sz w:val="24"/>
                <w:szCs w:val="24"/>
              </w:rPr>
              <w:t>52</w:t>
            </w:r>
          </w:p>
        </w:tc>
      </w:tr>
    </w:tbl>
    <w:p w14:paraId="43C0C87A" w14:textId="4CA7AAAA" w:rsidR="00222863" w:rsidRPr="006A0747" w:rsidRDefault="00222863" w:rsidP="007F7F91">
      <w:pPr>
        <w:spacing w:line="360" w:lineRule="auto"/>
        <w:jc w:val="center"/>
        <w:rPr>
          <w:rFonts w:ascii="Times New Roman" w:eastAsia="Calibri" w:hAnsi="Times New Roman" w:cs="Times New Roman"/>
          <w:i/>
          <w:color w:val="767171"/>
          <w:spacing w:val="20"/>
          <w:sz w:val="18"/>
          <w:szCs w:val="18"/>
        </w:rPr>
      </w:pPr>
      <w:r w:rsidRPr="006A0747">
        <w:rPr>
          <w:rFonts w:ascii="Times New Roman" w:eastAsia="Calibri" w:hAnsi="Times New Roman" w:cs="Times New Roman"/>
          <w:b/>
          <w:i/>
          <w:color w:val="767171"/>
          <w:spacing w:val="20"/>
          <w:sz w:val="18"/>
          <w:szCs w:val="18"/>
        </w:rPr>
        <w:t xml:space="preserve">Fuente: </w:t>
      </w:r>
      <w:r w:rsidRPr="006A0747">
        <w:rPr>
          <w:rFonts w:ascii="Times New Roman" w:eastAsia="Calibri" w:hAnsi="Times New Roman" w:cs="Times New Roman"/>
          <w:i/>
          <w:color w:val="767171"/>
          <w:spacing w:val="20"/>
          <w:sz w:val="18"/>
          <w:szCs w:val="18"/>
        </w:rPr>
        <w:t>Departamento de Sanciones de la Superintendencia de Bancos de la República Dominicana.</w:t>
      </w:r>
    </w:p>
    <w:p w14:paraId="41B14E79" w14:textId="2A57A417" w:rsidR="0044491F" w:rsidRPr="006A0747" w:rsidRDefault="0044491F" w:rsidP="00E11717">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Igualmente, desde el Departamento de Sanciones se desarrolló un </w:t>
      </w:r>
      <w:r w:rsidR="008D601F" w:rsidRPr="006A0747">
        <w:rPr>
          <w:rFonts w:ascii="Times New Roman" w:eastAsia="Calibri" w:hAnsi="Times New Roman" w:cs="Times New Roman"/>
          <w:color w:val="767171"/>
          <w:spacing w:val="20"/>
          <w:sz w:val="24"/>
          <w:szCs w:val="24"/>
        </w:rPr>
        <w:t>entrenamiento</w:t>
      </w:r>
      <w:r w:rsidRPr="006A0747">
        <w:rPr>
          <w:rFonts w:ascii="Times New Roman" w:eastAsia="Calibri" w:hAnsi="Times New Roman" w:cs="Times New Roman"/>
          <w:color w:val="767171"/>
          <w:spacing w:val="20"/>
          <w:sz w:val="24"/>
          <w:szCs w:val="24"/>
        </w:rPr>
        <w:t xml:space="preserve"> titulado: “Entidades 360: Gestión de riesgos y cumplimiento desde la perspectiva preventiva de sanciones” impactando a 230 participantes de las entidades de intermediación financiera y cambiaria</w:t>
      </w:r>
      <w:r w:rsidR="00424378" w:rsidRPr="006A0747">
        <w:rPr>
          <w:rFonts w:ascii="Times New Roman" w:eastAsia="Calibri" w:hAnsi="Times New Roman" w:cs="Times New Roman"/>
          <w:color w:val="767171"/>
          <w:spacing w:val="20"/>
          <w:sz w:val="24"/>
          <w:szCs w:val="24"/>
        </w:rPr>
        <w:t>,</w:t>
      </w:r>
      <w:r w:rsidRPr="006A0747">
        <w:rPr>
          <w:rFonts w:ascii="Times New Roman" w:eastAsia="Calibri" w:hAnsi="Times New Roman" w:cs="Times New Roman"/>
          <w:color w:val="767171"/>
          <w:spacing w:val="20"/>
          <w:sz w:val="24"/>
          <w:szCs w:val="24"/>
        </w:rPr>
        <w:t xml:space="preserve"> con temas como la importancia del procedimiento sancionador para atender y corregir los sesgos de conducta y la relevancia de que las entidades incorporen en sus planes una visión completa de los riesgos, incluyendo los reputacionales, de modo que puedan prevenirlos y garantizar la continuidad de sus operaciones.</w:t>
      </w:r>
    </w:p>
    <w:p w14:paraId="1623E489" w14:textId="77777777" w:rsidR="0044491F" w:rsidRDefault="0044491F" w:rsidP="00E11717">
      <w:pPr>
        <w:spacing w:line="360" w:lineRule="auto"/>
        <w:jc w:val="both"/>
        <w:rPr>
          <w:rFonts w:ascii="Times New Roman" w:eastAsia="Calibri" w:hAnsi="Times New Roman" w:cs="Times New Roman"/>
          <w:color w:val="2E74B5" w:themeColor="accent5" w:themeShade="BF"/>
          <w:spacing w:val="20"/>
          <w:sz w:val="24"/>
          <w:szCs w:val="24"/>
        </w:rPr>
      </w:pPr>
    </w:p>
    <w:p w14:paraId="3AA9D58A" w14:textId="77777777" w:rsidR="00E25E20" w:rsidRDefault="00E25E20" w:rsidP="00E11717">
      <w:pPr>
        <w:spacing w:line="360" w:lineRule="auto"/>
        <w:jc w:val="both"/>
        <w:rPr>
          <w:rFonts w:ascii="Times New Roman" w:eastAsia="Calibri" w:hAnsi="Times New Roman" w:cs="Times New Roman"/>
          <w:color w:val="2E74B5" w:themeColor="accent5" w:themeShade="BF"/>
          <w:spacing w:val="20"/>
          <w:sz w:val="24"/>
          <w:szCs w:val="24"/>
        </w:rPr>
      </w:pPr>
    </w:p>
    <w:p w14:paraId="4DDB006E" w14:textId="77777777" w:rsidR="00E25E20" w:rsidRPr="006A0747" w:rsidRDefault="00E25E20" w:rsidP="00E11717">
      <w:pPr>
        <w:spacing w:line="360" w:lineRule="auto"/>
        <w:jc w:val="both"/>
        <w:rPr>
          <w:rFonts w:ascii="Times New Roman" w:eastAsia="Calibri" w:hAnsi="Times New Roman" w:cs="Times New Roman"/>
          <w:color w:val="2E74B5" w:themeColor="accent5" w:themeShade="BF"/>
          <w:spacing w:val="20"/>
          <w:sz w:val="24"/>
          <w:szCs w:val="24"/>
        </w:rPr>
      </w:pPr>
    </w:p>
    <w:p w14:paraId="74C8CC9F" w14:textId="08A152BA" w:rsidR="000872E5" w:rsidRPr="006A0747" w:rsidRDefault="00031D72" w:rsidP="000813B9">
      <w:pPr>
        <w:pStyle w:val="Ttulo2"/>
        <w:numPr>
          <w:ilvl w:val="1"/>
          <w:numId w:val="17"/>
        </w:numPr>
        <w:rPr>
          <w:rFonts w:ascii="Times New Roman" w:eastAsia="Calibri" w:hAnsi="Times New Roman" w:cs="Times New Roman"/>
          <w:b/>
          <w:color w:val="767171"/>
          <w:spacing w:val="20"/>
          <w:sz w:val="24"/>
          <w:szCs w:val="24"/>
        </w:rPr>
      </w:pPr>
      <w:bookmarkStart w:id="34" w:name="_Toc185274997"/>
      <w:r w:rsidRPr="006A0747">
        <w:rPr>
          <w:rFonts w:ascii="Times New Roman" w:eastAsia="Calibri" w:hAnsi="Times New Roman" w:cs="Times New Roman"/>
          <w:b/>
          <w:color w:val="767171"/>
          <w:spacing w:val="20"/>
          <w:sz w:val="24"/>
          <w:szCs w:val="24"/>
        </w:rPr>
        <w:lastRenderedPageBreak/>
        <w:t>Regulación</w:t>
      </w:r>
      <w:bookmarkEnd w:id="34"/>
    </w:p>
    <w:p w14:paraId="233D52C3" w14:textId="77777777" w:rsidR="002D7A6A" w:rsidRPr="006A0747" w:rsidRDefault="002D7A6A" w:rsidP="008C4F57">
      <w:pPr>
        <w:spacing w:line="360" w:lineRule="auto"/>
        <w:jc w:val="both"/>
        <w:rPr>
          <w:rFonts w:ascii="Times New Roman" w:eastAsia="Calibri" w:hAnsi="Times New Roman" w:cs="Times New Roman"/>
          <w:color w:val="767171"/>
          <w:spacing w:val="20"/>
          <w:sz w:val="24"/>
          <w:szCs w:val="24"/>
        </w:rPr>
      </w:pPr>
    </w:p>
    <w:p w14:paraId="325FA0AA" w14:textId="75F6E636" w:rsidR="008C4F57" w:rsidRPr="006A0747" w:rsidRDefault="008C4F57" w:rsidP="008C4F57">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La Superintendencia de Bancos, en </w:t>
      </w:r>
      <w:r w:rsidR="008D5CF4" w:rsidRPr="006A0747">
        <w:rPr>
          <w:rFonts w:ascii="Times New Roman" w:eastAsia="Calibri" w:hAnsi="Times New Roman" w:cs="Times New Roman"/>
          <w:color w:val="767171"/>
          <w:spacing w:val="20"/>
          <w:sz w:val="24"/>
          <w:szCs w:val="24"/>
        </w:rPr>
        <w:t>el</w:t>
      </w:r>
      <w:r w:rsidRPr="006A0747">
        <w:rPr>
          <w:rFonts w:ascii="Times New Roman" w:eastAsia="Calibri" w:hAnsi="Times New Roman" w:cs="Times New Roman"/>
          <w:color w:val="767171"/>
          <w:spacing w:val="20"/>
          <w:sz w:val="24"/>
          <w:szCs w:val="24"/>
        </w:rPr>
        <w:t xml:space="preserve"> rol que le confiere la Ley Núm. 183-02 Monetaria y Financiera, junto con el Banco Central y la Junta Monetaria, desempeña un papel fundamental en la regulación del sistema mediante la gestión, formulación, emisión y actualización de las disposiciones normativas </w:t>
      </w:r>
      <w:r w:rsidR="00B62D26" w:rsidRPr="006A0747">
        <w:rPr>
          <w:rFonts w:ascii="Times New Roman" w:eastAsia="Calibri" w:hAnsi="Times New Roman" w:cs="Times New Roman"/>
          <w:color w:val="767171"/>
          <w:spacing w:val="20"/>
          <w:sz w:val="24"/>
          <w:szCs w:val="24"/>
        </w:rPr>
        <w:t>en la forma de</w:t>
      </w:r>
      <w:r w:rsidRPr="006A0747">
        <w:rPr>
          <w:rFonts w:ascii="Times New Roman" w:eastAsia="Calibri" w:hAnsi="Times New Roman" w:cs="Times New Roman"/>
          <w:color w:val="767171"/>
          <w:spacing w:val="20"/>
          <w:sz w:val="24"/>
          <w:szCs w:val="24"/>
        </w:rPr>
        <w:t xml:space="preserve"> reglamentos, resoluciones, instructivos, circulares y cartas circulares, dirigidas a salvaguardar la estabilidad del sistema financiero. </w:t>
      </w:r>
    </w:p>
    <w:p w14:paraId="062A62BA" w14:textId="782796D5" w:rsidR="00FB16EA" w:rsidRPr="006A0747" w:rsidRDefault="00F93E0F" w:rsidP="008C4F57">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Durante el periodo 2024, la SB publicó doce (12) Circulares, diecisiete (17) Cartas Circulares y tres (3) Instructivos. A continuación, se </w:t>
      </w:r>
      <w:r w:rsidR="00B62D26" w:rsidRPr="006A0747">
        <w:rPr>
          <w:rFonts w:ascii="Times New Roman" w:eastAsia="Calibri" w:hAnsi="Times New Roman" w:cs="Times New Roman"/>
          <w:color w:val="767171"/>
          <w:spacing w:val="20"/>
          <w:sz w:val="24"/>
          <w:szCs w:val="24"/>
        </w:rPr>
        <w:t>detallan</w:t>
      </w:r>
      <w:r w:rsidRPr="006A0747">
        <w:rPr>
          <w:rFonts w:ascii="Times New Roman" w:eastAsia="Calibri" w:hAnsi="Times New Roman" w:cs="Times New Roman"/>
          <w:color w:val="767171"/>
          <w:spacing w:val="20"/>
          <w:sz w:val="24"/>
          <w:szCs w:val="24"/>
        </w:rPr>
        <w:t xml:space="preserve"> las principales normativas que han sido emitidas en el periodo y que son relevantes para el contexto actual</w:t>
      </w:r>
      <w:r w:rsidR="008A5317" w:rsidRPr="006A0747">
        <w:rPr>
          <w:rFonts w:ascii="Times New Roman" w:eastAsia="Calibri" w:hAnsi="Times New Roman" w:cs="Times New Roman"/>
          <w:color w:val="767171"/>
          <w:spacing w:val="20"/>
          <w:sz w:val="24"/>
          <w:szCs w:val="24"/>
        </w:rPr>
        <w:t>:</w:t>
      </w:r>
    </w:p>
    <w:p w14:paraId="4B8488CE" w14:textId="77777777" w:rsidR="009414F6" w:rsidRPr="006A0747" w:rsidRDefault="009414F6" w:rsidP="008C4F57">
      <w:pPr>
        <w:spacing w:line="360" w:lineRule="auto"/>
        <w:jc w:val="both"/>
        <w:rPr>
          <w:rFonts w:ascii="Times New Roman" w:eastAsia="Calibri" w:hAnsi="Times New Roman" w:cs="Times New Roman"/>
          <w:color w:val="767171"/>
          <w:spacing w:val="20"/>
          <w:sz w:val="24"/>
          <w:szCs w:val="24"/>
        </w:rPr>
      </w:pPr>
    </w:p>
    <w:p w14:paraId="0842D5B9" w14:textId="02DB5ED3" w:rsidR="008C4F57" w:rsidRPr="006A0747" w:rsidRDefault="00CC32FC" w:rsidP="008C4F57">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t>Circulares emitidas</w:t>
      </w:r>
      <w:r w:rsidR="00F81FD3" w:rsidRPr="006A0747">
        <w:rPr>
          <w:rFonts w:ascii="Times New Roman" w:eastAsia="Calibri" w:hAnsi="Times New Roman" w:cs="Times New Roman"/>
          <w:b/>
          <w:color w:val="767171"/>
          <w:spacing w:val="20"/>
          <w:sz w:val="24"/>
          <w:szCs w:val="24"/>
        </w:rPr>
        <w:t xml:space="preserve"> con mayor relevancia</w:t>
      </w:r>
      <w:r w:rsidRPr="006A0747">
        <w:rPr>
          <w:rFonts w:ascii="Times New Roman" w:eastAsia="Calibri" w:hAnsi="Times New Roman" w:cs="Times New Roman"/>
          <w:b/>
          <w:color w:val="767171"/>
          <w:spacing w:val="20"/>
          <w:sz w:val="24"/>
          <w:szCs w:val="24"/>
        </w:rPr>
        <w:t>:</w:t>
      </w:r>
    </w:p>
    <w:p w14:paraId="36E92C23" w14:textId="2602228B" w:rsidR="008C4F57" w:rsidRPr="006A0747" w:rsidRDefault="008C4F57" w:rsidP="008C4F57">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t xml:space="preserve">Circular: CSB-REG-202400001 del 7 de febrero de 2024 “Modificación de la Circular CSB-REG-202300009 sobre </w:t>
      </w:r>
      <w:r w:rsidR="008F4EA9" w:rsidRPr="006A0747">
        <w:rPr>
          <w:rFonts w:ascii="Times New Roman" w:eastAsia="Calibri" w:hAnsi="Times New Roman" w:cs="Times New Roman"/>
          <w:b/>
          <w:color w:val="767171"/>
          <w:spacing w:val="20"/>
          <w:sz w:val="24"/>
          <w:szCs w:val="24"/>
        </w:rPr>
        <w:t>t</w:t>
      </w:r>
      <w:r w:rsidRPr="006A0747">
        <w:rPr>
          <w:rFonts w:ascii="Times New Roman" w:eastAsia="Calibri" w:hAnsi="Times New Roman" w:cs="Times New Roman"/>
          <w:b/>
          <w:color w:val="767171"/>
          <w:spacing w:val="20"/>
          <w:sz w:val="24"/>
          <w:szCs w:val="24"/>
        </w:rPr>
        <w:t>ransparencia de la información publicada a los cuentahabientes sobre el estatus y la disponibilidad de los fondos provenientes de cheques depositados en ventanilla, dispositivo móvil o cajero automático”.</w:t>
      </w:r>
    </w:p>
    <w:p w14:paraId="0F4384EB" w14:textId="15081CF4" w:rsidR="008C4F57" w:rsidRPr="006A0747" w:rsidRDefault="008C4F57" w:rsidP="008C4F57">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La </w:t>
      </w:r>
      <w:r w:rsidR="006027E1" w:rsidRPr="006A0747">
        <w:rPr>
          <w:rFonts w:ascii="Times New Roman" w:eastAsia="Calibri" w:hAnsi="Times New Roman" w:cs="Times New Roman"/>
          <w:color w:val="767171"/>
          <w:spacing w:val="20"/>
          <w:sz w:val="24"/>
          <w:szCs w:val="24"/>
        </w:rPr>
        <w:t>c</w:t>
      </w:r>
      <w:r w:rsidRPr="006A0747">
        <w:rPr>
          <w:rFonts w:ascii="Times New Roman" w:eastAsia="Calibri" w:hAnsi="Times New Roman" w:cs="Times New Roman"/>
          <w:color w:val="767171"/>
          <w:spacing w:val="20"/>
          <w:sz w:val="24"/>
          <w:szCs w:val="24"/>
        </w:rPr>
        <w:t xml:space="preserve">ircular requiere a las Entidades de Intermediación Financiera </w:t>
      </w:r>
      <w:r w:rsidR="00252F06" w:rsidRPr="006A0747">
        <w:rPr>
          <w:rFonts w:ascii="Times New Roman" w:eastAsia="Calibri" w:hAnsi="Times New Roman" w:cs="Times New Roman"/>
          <w:color w:val="767171"/>
          <w:spacing w:val="20"/>
          <w:sz w:val="24"/>
          <w:szCs w:val="24"/>
        </w:rPr>
        <w:t>(EIF)</w:t>
      </w:r>
      <w:r w:rsidR="00287554" w:rsidRPr="006A0747">
        <w:rPr>
          <w:rFonts w:ascii="Times New Roman" w:eastAsia="Calibri" w:hAnsi="Times New Roman" w:cs="Times New Roman"/>
          <w:color w:val="767171"/>
          <w:spacing w:val="20"/>
          <w:sz w:val="24"/>
          <w:szCs w:val="24"/>
        </w:rPr>
        <w:t xml:space="preserve"> </w:t>
      </w:r>
      <w:r w:rsidRPr="006A0747">
        <w:rPr>
          <w:rFonts w:ascii="Times New Roman" w:eastAsia="Calibri" w:hAnsi="Times New Roman" w:cs="Times New Roman"/>
          <w:color w:val="767171"/>
          <w:spacing w:val="20"/>
          <w:sz w:val="24"/>
          <w:szCs w:val="24"/>
        </w:rPr>
        <w:t>presentar en la consulta</w:t>
      </w:r>
      <w:r w:rsidR="00204BD7" w:rsidRPr="006A0747">
        <w:rPr>
          <w:rFonts w:ascii="Times New Roman" w:eastAsia="Calibri" w:hAnsi="Times New Roman" w:cs="Times New Roman"/>
          <w:color w:val="767171"/>
          <w:spacing w:val="20"/>
          <w:sz w:val="24"/>
          <w:szCs w:val="24"/>
        </w:rPr>
        <w:t xml:space="preserve"> </w:t>
      </w:r>
      <w:r w:rsidR="0099332A" w:rsidRPr="006A0747">
        <w:rPr>
          <w:rFonts w:ascii="Times New Roman" w:eastAsia="Calibri" w:hAnsi="Times New Roman" w:cs="Times New Roman"/>
          <w:color w:val="767171"/>
          <w:spacing w:val="20"/>
          <w:sz w:val="24"/>
          <w:szCs w:val="24"/>
        </w:rPr>
        <w:t>a</w:t>
      </w:r>
      <w:r w:rsidR="00204BD7" w:rsidRPr="006A0747">
        <w:rPr>
          <w:rFonts w:ascii="Times New Roman" w:eastAsia="Calibri" w:hAnsi="Times New Roman" w:cs="Times New Roman"/>
          <w:color w:val="767171"/>
          <w:spacing w:val="20"/>
          <w:sz w:val="24"/>
          <w:szCs w:val="24"/>
        </w:rPr>
        <w:t xml:space="preserve">l </w:t>
      </w:r>
      <w:r w:rsidR="004C79FB" w:rsidRPr="006A0747">
        <w:rPr>
          <w:rFonts w:ascii="Times New Roman" w:eastAsia="Calibri" w:hAnsi="Times New Roman" w:cs="Times New Roman"/>
          <w:color w:val="767171"/>
          <w:spacing w:val="20"/>
          <w:sz w:val="24"/>
          <w:szCs w:val="24"/>
        </w:rPr>
        <w:t>c</w:t>
      </w:r>
      <w:r w:rsidR="00DE22A4" w:rsidRPr="006A0747">
        <w:rPr>
          <w:rFonts w:ascii="Times New Roman" w:eastAsia="Calibri" w:hAnsi="Times New Roman" w:cs="Times New Roman"/>
          <w:color w:val="767171"/>
          <w:spacing w:val="20"/>
          <w:sz w:val="24"/>
          <w:szCs w:val="24"/>
        </w:rPr>
        <w:t xml:space="preserve">uentahabiente y </w:t>
      </w:r>
      <w:r w:rsidR="004C79FB" w:rsidRPr="006A0747">
        <w:rPr>
          <w:rFonts w:ascii="Times New Roman" w:eastAsia="Calibri" w:hAnsi="Times New Roman" w:cs="Times New Roman"/>
          <w:color w:val="767171"/>
          <w:spacing w:val="20"/>
          <w:sz w:val="24"/>
          <w:szCs w:val="24"/>
        </w:rPr>
        <w:t>t</w:t>
      </w:r>
      <w:r w:rsidR="00204BD7" w:rsidRPr="006A0747">
        <w:rPr>
          <w:rFonts w:ascii="Times New Roman" w:eastAsia="Calibri" w:hAnsi="Times New Roman" w:cs="Times New Roman"/>
          <w:color w:val="767171"/>
          <w:spacing w:val="20"/>
          <w:sz w:val="24"/>
          <w:szCs w:val="24"/>
        </w:rPr>
        <w:t>arjetahabiente</w:t>
      </w:r>
      <w:r w:rsidRPr="006A0747">
        <w:rPr>
          <w:rFonts w:ascii="Times New Roman" w:eastAsia="Calibri" w:hAnsi="Times New Roman" w:cs="Times New Roman"/>
          <w:color w:val="767171"/>
          <w:spacing w:val="20"/>
          <w:sz w:val="24"/>
          <w:szCs w:val="24"/>
        </w:rPr>
        <w:t xml:space="preserve"> el balance en tránsito en el Sistema de Compensación de Cheques (SCC) y balance disponible, a fin de mostrar de manera transparente</w:t>
      </w:r>
      <w:r w:rsidR="0009703F" w:rsidRPr="006A0747">
        <w:rPr>
          <w:rFonts w:ascii="Times New Roman" w:eastAsia="Calibri" w:hAnsi="Times New Roman" w:cs="Times New Roman"/>
          <w:color w:val="767171"/>
          <w:spacing w:val="20"/>
          <w:sz w:val="24"/>
          <w:szCs w:val="24"/>
        </w:rPr>
        <w:t xml:space="preserve"> </w:t>
      </w:r>
      <w:r w:rsidRPr="006A0747">
        <w:rPr>
          <w:rFonts w:ascii="Times New Roman" w:eastAsia="Calibri" w:hAnsi="Times New Roman" w:cs="Times New Roman"/>
          <w:color w:val="767171"/>
          <w:spacing w:val="20"/>
          <w:sz w:val="24"/>
          <w:szCs w:val="24"/>
        </w:rPr>
        <w:t xml:space="preserve">el saldo real. Al proporcionar a los clientes esta información se les brinda mayor claridad y certeza sobre el estado de los fondos y su </w:t>
      </w:r>
      <w:r w:rsidRPr="006A0747">
        <w:rPr>
          <w:rFonts w:ascii="Times New Roman" w:eastAsia="Calibri" w:hAnsi="Times New Roman" w:cs="Times New Roman"/>
          <w:color w:val="767171"/>
          <w:spacing w:val="20"/>
          <w:sz w:val="24"/>
          <w:szCs w:val="24"/>
        </w:rPr>
        <w:lastRenderedPageBreak/>
        <w:t xml:space="preserve">disponibilidad, contribuyendo a </w:t>
      </w:r>
      <w:r w:rsidR="00D73DA6" w:rsidRPr="006A0747">
        <w:rPr>
          <w:rFonts w:ascii="Times New Roman" w:eastAsia="Calibri" w:hAnsi="Times New Roman" w:cs="Times New Roman"/>
          <w:color w:val="767171"/>
          <w:spacing w:val="20"/>
          <w:sz w:val="24"/>
          <w:szCs w:val="24"/>
        </w:rPr>
        <w:t>que los usuarios del sistema puedan tomar</w:t>
      </w:r>
      <w:r w:rsidRPr="006A0747">
        <w:rPr>
          <w:rFonts w:ascii="Times New Roman" w:eastAsia="Calibri" w:hAnsi="Times New Roman" w:cs="Times New Roman"/>
          <w:color w:val="767171"/>
          <w:spacing w:val="20"/>
          <w:sz w:val="24"/>
          <w:szCs w:val="24"/>
        </w:rPr>
        <w:t xml:space="preserve"> decisiones financieras más informadas. </w:t>
      </w:r>
    </w:p>
    <w:p w14:paraId="4384161C" w14:textId="77777777" w:rsidR="00CC32FC" w:rsidRPr="006A0747" w:rsidRDefault="00CC32FC" w:rsidP="008C4F57">
      <w:pPr>
        <w:spacing w:line="360" w:lineRule="auto"/>
        <w:jc w:val="both"/>
        <w:rPr>
          <w:rFonts w:ascii="Times New Roman" w:eastAsia="Calibri" w:hAnsi="Times New Roman" w:cs="Times New Roman"/>
          <w:color w:val="767171"/>
          <w:spacing w:val="20"/>
          <w:sz w:val="24"/>
          <w:szCs w:val="24"/>
        </w:rPr>
      </w:pPr>
    </w:p>
    <w:p w14:paraId="67F905D0" w14:textId="77777777" w:rsidR="008C4F57" w:rsidRPr="006A0747" w:rsidRDefault="008C4F57" w:rsidP="008C4F57">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t xml:space="preserve">Circular: CSB-REG-202400002 del 23 de febrero de 2024 “Descontinuar el uso de </w:t>
      </w:r>
      <w:proofErr w:type="spellStart"/>
      <w:r w:rsidRPr="006A0747">
        <w:rPr>
          <w:rFonts w:ascii="Times New Roman" w:eastAsia="Calibri" w:hAnsi="Times New Roman" w:cs="Times New Roman"/>
          <w:b/>
          <w:color w:val="767171"/>
          <w:spacing w:val="20"/>
          <w:sz w:val="24"/>
          <w:szCs w:val="24"/>
        </w:rPr>
        <w:t>Bancanet</w:t>
      </w:r>
      <w:proofErr w:type="spellEnd"/>
      <w:r w:rsidRPr="006A0747">
        <w:rPr>
          <w:rFonts w:ascii="Times New Roman" w:eastAsia="Calibri" w:hAnsi="Times New Roman" w:cs="Times New Roman"/>
          <w:b/>
          <w:color w:val="767171"/>
          <w:spacing w:val="20"/>
          <w:sz w:val="24"/>
          <w:szCs w:val="24"/>
        </w:rPr>
        <w:t xml:space="preserve"> para la remisión de reportes regulatorios a la Superintendencia de Bancos”.</w:t>
      </w:r>
    </w:p>
    <w:p w14:paraId="4AC4FA4A" w14:textId="6E644B25" w:rsidR="008C4F57" w:rsidRPr="006A0747" w:rsidRDefault="008C4F57" w:rsidP="008C4F57">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Esta disposición permite centralizar y controlar el proceso de remisión de los reportes regulatorios </w:t>
      </w:r>
      <w:r w:rsidR="0016081C" w:rsidRPr="006A0747">
        <w:rPr>
          <w:rFonts w:ascii="Times New Roman" w:eastAsia="Calibri" w:hAnsi="Times New Roman" w:cs="Times New Roman"/>
          <w:color w:val="767171"/>
          <w:spacing w:val="20"/>
          <w:sz w:val="24"/>
          <w:szCs w:val="24"/>
        </w:rPr>
        <w:t>que suministran</w:t>
      </w:r>
      <w:r w:rsidRPr="006A0747">
        <w:rPr>
          <w:rFonts w:ascii="Times New Roman" w:eastAsia="Calibri" w:hAnsi="Times New Roman" w:cs="Times New Roman"/>
          <w:color w:val="767171"/>
          <w:spacing w:val="20"/>
          <w:sz w:val="24"/>
          <w:szCs w:val="24"/>
        </w:rPr>
        <w:t xml:space="preserve"> las entidades supervisadas a la SB y al Banco Central, a través del Portal de la Administración Monetaria y Financiera</w:t>
      </w:r>
      <w:r w:rsidR="00E4434A" w:rsidRPr="006A0747">
        <w:rPr>
          <w:rFonts w:ascii="Times New Roman" w:eastAsia="Calibri" w:hAnsi="Times New Roman" w:cs="Times New Roman"/>
          <w:color w:val="767171"/>
          <w:spacing w:val="20"/>
          <w:sz w:val="24"/>
          <w:szCs w:val="24"/>
        </w:rPr>
        <w:t xml:space="preserve"> (PAMF)</w:t>
      </w:r>
      <w:r w:rsidR="0016081C" w:rsidRPr="006A0747">
        <w:rPr>
          <w:rFonts w:ascii="Times New Roman" w:eastAsia="Calibri" w:hAnsi="Times New Roman" w:cs="Times New Roman"/>
          <w:color w:val="767171"/>
          <w:spacing w:val="20"/>
          <w:sz w:val="24"/>
          <w:szCs w:val="24"/>
        </w:rPr>
        <w:t>. Esto</w:t>
      </w:r>
      <w:r w:rsidRPr="006A0747">
        <w:rPr>
          <w:rFonts w:ascii="Times New Roman" w:eastAsia="Calibri" w:hAnsi="Times New Roman" w:cs="Times New Roman"/>
          <w:color w:val="767171"/>
          <w:spacing w:val="20"/>
          <w:sz w:val="24"/>
          <w:szCs w:val="24"/>
        </w:rPr>
        <w:t xml:space="preserve"> conforme</w:t>
      </w:r>
      <w:r w:rsidR="0016081C" w:rsidRPr="006A0747">
        <w:rPr>
          <w:rFonts w:ascii="Times New Roman" w:eastAsia="Calibri" w:hAnsi="Times New Roman" w:cs="Times New Roman"/>
          <w:color w:val="767171"/>
          <w:spacing w:val="20"/>
          <w:sz w:val="24"/>
          <w:szCs w:val="24"/>
        </w:rPr>
        <w:t xml:space="preserve"> a</w:t>
      </w:r>
      <w:r w:rsidRPr="006A0747">
        <w:rPr>
          <w:rFonts w:ascii="Times New Roman" w:eastAsia="Calibri" w:hAnsi="Times New Roman" w:cs="Times New Roman"/>
          <w:color w:val="767171"/>
          <w:spacing w:val="20"/>
          <w:sz w:val="24"/>
          <w:szCs w:val="24"/>
        </w:rPr>
        <w:t xml:space="preserve"> lo dispuesto en el Manual de Requerimientos de Información de la Administración Monetaria y Financiera (MRI)</w:t>
      </w:r>
      <w:r w:rsidR="0009703F" w:rsidRPr="006A0747">
        <w:rPr>
          <w:rFonts w:ascii="Times New Roman" w:eastAsia="Calibri" w:hAnsi="Times New Roman" w:cs="Times New Roman"/>
          <w:color w:val="767171"/>
          <w:spacing w:val="20"/>
          <w:sz w:val="24"/>
          <w:szCs w:val="24"/>
        </w:rPr>
        <w:t>.</w:t>
      </w:r>
    </w:p>
    <w:p w14:paraId="392462F6" w14:textId="77777777" w:rsidR="00AE08D3" w:rsidRPr="006A0747" w:rsidRDefault="00AE08D3" w:rsidP="008C4F57">
      <w:pPr>
        <w:spacing w:line="360" w:lineRule="auto"/>
        <w:jc w:val="both"/>
        <w:rPr>
          <w:rFonts w:ascii="Times New Roman" w:eastAsia="Calibri" w:hAnsi="Times New Roman" w:cs="Times New Roman"/>
          <w:color w:val="767171"/>
          <w:spacing w:val="20"/>
          <w:sz w:val="24"/>
          <w:szCs w:val="24"/>
        </w:rPr>
      </w:pPr>
    </w:p>
    <w:p w14:paraId="01C2CEA4" w14:textId="77777777" w:rsidR="008C4F57" w:rsidRPr="006A0747" w:rsidRDefault="008C4F57" w:rsidP="008C4F57">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t>Circular: CSB-REG-202400003 del 23 de febrero de 2024 “Tratamiento para los acuerdos de pago de las tarjetas de crédito corporativas y personales”.</w:t>
      </w:r>
    </w:p>
    <w:p w14:paraId="0E5CA0D6" w14:textId="2B85A2C8" w:rsidR="008C4F57" w:rsidRPr="006A0747" w:rsidRDefault="000D2617" w:rsidP="008C4F57">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Esta</w:t>
      </w:r>
      <w:r w:rsidR="008C4F57" w:rsidRPr="006A0747">
        <w:rPr>
          <w:rFonts w:ascii="Times New Roman" w:eastAsia="Calibri" w:hAnsi="Times New Roman" w:cs="Times New Roman"/>
          <w:color w:val="767171"/>
          <w:spacing w:val="20"/>
          <w:sz w:val="24"/>
          <w:szCs w:val="24"/>
        </w:rPr>
        <w:t xml:space="preserve"> </w:t>
      </w:r>
      <w:r w:rsidR="006027E1" w:rsidRPr="006A0747">
        <w:rPr>
          <w:rFonts w:ascii="Times New Roman" w:eastAsia="Calibri" w:hAnsi="Times New Roman" w:cs="Times New Roman"/>
          <w:color w:val="767171"/>
          <w:spacing w:val="20"/>
          <w:sz w:val="24"/>
          <w:szCs w:val="24"/>
        </w:rPr>
        <w:t>c</w:t>
      </w:r>
      <w:r w:rsidR="008C4F57" w:rsidRPr="006A0747">
        <w:rPr>
          <w:rFonts w:ascii="Times New Roman" w:eastAsia="Calibri" w:hAnsi="Times New Roman" w:cs="Times New Roman"/>
          <w:color w:val="767171"/>
          <w:spacing w:val="20"/>
          <w:sz w:val="24"/>
          <w:szCs w:val="24"/>
        </w:rPr>
        <w:t>ircular requiere</w:t>
      </w:r>
      <w:r w:rsidRPr="006A0747">
        <w:rPr>
          <w:rFonts w:ascii="Times New Roman" w:eastAsia="Calibri" w:hAnsi="Times New Roman" w:cs="Times New Roman"/>
          <w:color w:val="767171"/>
          <w:spacing w:val="20"/>
          <w:sz w:val="24"/>
          <w:szCs w:val="24"/>
        </w:rPr>
        <w:t xml:space="preserve"> a</w:t>
      </w:r>
      <w:r w:rsidR="008C4F57" w:rsidRPr="006A0747">
        <w:rPr>
          <w:rFonts w:ascii="Times New Roman" w:eastAsia="Calibri" w:hAnsi="Times New Roman" w:cs="Times New Roman"/>
          <w:color w:val="767171"/>
          <w:spacing w:val="20"/>
          <w:sz w:val="24"/>
          <w:szCs w:val="24"/>
        </w:rPr>
        <w:t xml:space="preserve"> las EIF clasificar los acuerdos de pago de tarjetas de crédito corporativas y personales como créditos reestructurados. Las disposiciones de esta normativa permiten catalogar adecuadamente los acuerdos de pago de tarjetas de crédito con miras a dar el tratamiento correspondiente conforme se establece en el</w:t>
      </w:r>
      <w:r w:rsidR="00B30847" w:rsidRPr="006A0747">
        <w:rPr>
          <w:rFonts w:ascii="Times New Roman" w:eastAsia="Calibri" w:hAnsi="Times New Roman" w:cs="Times New Roman"/>
          <w:color w:val="767171"/>
          <w:spacing w:val="20"/>
          <w:sz w:val="24"/>
          <w:szCs w:val="24"/>
        </w:rPr>
        <w:t xml:space="preserve"> Reglamento de Evaluación de Activos</w:t>
      </w:r>
      <w:r w:rsidR="008C4F57" w:rsidRPr="006A0747">
        <w:rPr>
          <w:rFonts w:ascii="Times New Roman" w:eastAsia="Calibri" w:hAnsi="Times New Roman" w:cs="Times New Roman"/>
          <w:color w:val="767171"/>
          <w:spacing w:val="20"/>
          <w:sz w:val="24"/>
          <w:szCs w:val="24"/>
        </w:rPr>
        <w:t xml:space="preserve"> </w:t>
      </w:r>
      <w:r w:rsidR="00B30847" w:rsidRPr="006A0747">
        <w:rPr>
          <w:rFonts w:ascii="Times New Roman" w:eastAsia="Calibri" w:hAnsi="Times New Roman" w:cs="Times New Roman"/>
          <w:color w:val="767171"/>
          <w:spacing w:val="20"/>
          <w:sz w:val="24"/>
          <w:szCs w:val="24"/>
        </w:rPr>
        <w:t>(</w:t>
      </w:r>
      <w:r w:rsidR="008C4F57" w:rsidRPr="006A0747">
        <w:rPr>
          <w:rFonts w:ascii="Times New Roman" w:eastAsia="Calibri" w:hAnsi="Times New Roman" w:cs="Times New Roman"/>
          <w:color w:val="767171"/>
          <w:spacing w:val="20"/>
          <w:sz w:val="24"/>
          <w:szCs w:val="24"/>
        </w:rPr>
        <w:t>REA</w:t>
      </w:r>
      <w:r w:rsidR="00B30847" w:rsidRPr="006A0747">
        <w:rPr>
          <w:rFonts w:ascii="Times New Roman" w:eastAsia="Calibri" w:hAnsi="Times New Roman" w:cs="Times New Roman"/>
          <w:color w:val="767171"/>
          <w:spacing w:val="20"/>
          <w:sz w:val="24"/>
          <w:szCs w:val="24"/>
        </w:rPr>
        <w:t>)</w:t>
      </w:r>
      <w:r w:rsidR="008C4F57" w:rsidRPr="006A0747">
        <w:rPr>
          <w:rFonts w:ascii="Times New Roman" w:eastAsia="Calibri" w:hAnsi="Times New Roman" w:cs="Times New Roman"/>
          <w:color w:val="767171"/>
          <w:spacing w:val="20"/>
          <w:sz w:val="24"/>
          <w:szCs w:val="24"/>
        </w:rPr>
        <w:t>, para garantizar el buen seguimiento del nivel de exposición adquirido del crédito y el riesgo implícito.</w:t>
      </w:r>
    </w:p>
    <w:p w14:paraId="31033F5F" w14:textId="77777777" w:rsidR="0000782F" w:rsidRPr="006A0747" w:rsidRDefault="0000782F" w:rsidP="008C4F57">
      <w:pPr>
        <w:spacing w:line="360" w:lineRule="auto"/>
        <w:jc w:val="both"/>
        <w:rPr>
          <w:rFonts w:ascii="Times New Roman" w:eastAsia="Calibri" w:hAnsi="Times New Roman" w:cs="Times New Roman"/>
          <w:color w:val="767171"/>
          <w:spacing w:val="20"/>
          <w:sz w:val="24"/>
          <w:szCs w:val="24"/>
        </w:rPr>
      </w:pPr>
    </w:p>
    <w:p w14:paraId="13025928" w14:textId="7E0CA5B5" w:rsidR="008C4F57" w:rsidRPr="006A0747" w:rsidRDefault="008C4F57" w:rsidP="008C4F57">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lastRenderedPageBreak/>
        <w:t>Circular: CSB-REG-202400005 del 27 de marzo de 2024 “Poner en vigencia el uso del nuevo Aplicativo de Gestión de Grupos de Riesgos en el Portal SB Interactivo”.</w:t>
      </w:r>
    </w:p>
    <w:p w14:paraId="5C230A4D" w14:textId="638C3125" w:rsidR="008C4F57" w:rsidRPr="006A0747" w:rsidRDefault="008C4F57" w:rsidP="008C4F57">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La citada </w:t>
      </w:r>
      <w:r w:rsidR="006027E1" w:rsidRPr="006A0747">
        <w:rPr>
          <w:rFonts w:ascii="Times New Roman" w:eastAsia="Calibri" w:hAnsi="Times New Roman" w:cs="Times New Roman"/>
          <w:color w:val="767171"/>
          <w:spacing w:val="20"/>
          <w:sz w:val="24"/>
          <w:szCs w:val="24"/>
        </w:rPr>
        <w:t>c</w:t>
      </w:r>
      <w:r w:rsidRPr="006A0747">
        <w:rPr>
          <w:rFonts w:ascii="Times New Roman" w:eastAsia="Calibri" w:hAnsi="Times New Roman" w:cs="Times New Roman"/>
          <w:color w:val="767171"/>
          <w:spacing w:val="20"/>
          <w:sz w:val="24"/>
          <w:szCs w:val="24"/>
        </w:rPr>
        <w:t>ircular, habilita en el Portal SB Interactivo, un nuevo módulo denominado “Gestión de Grupos de Riesgos”, por el cual las entidades de intermediación financiera podrán realizar sus solicitudes para crear, modificar o eliminar sus Grupos de Riesgos</w:t>
      </w:r>
    </w:p>
    <w:p w14:paraId="0BD50DBA" w14:textId="77B238CE" w:rsidR="009B7CFD" w:rsidRPr="006A0747" w:rsidRDefault="008C4F57" w:rsidP="008C4F57">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Con la implementación del nuevo módulo de Gestión de Grupos de Riesgos </w:t>
      </w:r>
      <w:r w:rsidR="0060370B" w:rsidRPr="006A0747">
        <w:rPr>
          <w:rFonts w:ascii="Times New Roman" w:eastAsia="Calibri" w:hAnsi="Times New Roman" w:cs="Times New Roman"/>
          <w:color w:val="767171"/>
          <w:spacing w:val="20"/>
          <w:sz w:val="24"/>
          <w:szCs w:val="24"/>
        </w:rPr>
        <w:t xml:space="preserve">se hace más eficiente </w:t>
      </w:r>
      <w:r w:rsidRPr="006A0747">
        <w:rPr>
          <w:rFonts w:ascii="Times New Roman" w:eastAsia="Calibri" w:hAnsi="Times New Roman" w:cs="Times New Roman"/>
          <w:color w:val="767171"/>
          <w:spacing w:val="20"/>
          <w:sz w:val="24"/>
          <w:szCs w:val="24"/>
        </w:rPr>
        <w:t>la operatividad que llevaban a cabo las entidades, ya que elimina la remisión de 6 reportes de “Grupos de Riesgos”, los cuales eran enviados semestralmente y de forma manual a través de la reportería regulatoria</w:t>
      </w:r>
      <w:r w:rsidR="0000782F" w:rsidRPr="006A0747">
        <w:rPr>
          <w:rFonts w:ascii="Times New Roman" w:eastAsia="Calibri" w:hAnsi="Times New Roman" w:cs="Times New Roman"/>
          <w:color w:val="767171"/>
          <w:spacing w:val="20"/>
          <w:sz w:val="24"/>
          <w:szCs w:val="24"/>
        </w:rPr>
        <w:t>.</w:t>
      </w:r>
    </w:p>
    <w:p w14:paraId="44B24EB9" w14:textId="77777777" w:rsidR="009B7CFD" w:rsidRPr="006A0747" w:rsidRDefault="009B7CFD" w:rsidP="008C4F57">
      <w:pPr>
        <w:spacing w:line="360" w:lineRule="auto"/>
        <w:jc w:val="both"/>
        <w:rPr>
          <w:rFonts w:ascii="Times New Roman" w:eastAsia="Calibri" w:hAnsi="Times New Roman" w:cs="Times New Roman"/>
          <w:color w:val="767171"/>
          <w:spacing w:val="20"/>
          <w:sz w:val="24"/>
          <w:szCs w:val="24"/>
        </w:rPr>
      </w:pPr>
    </w:p>
    <w:p w14:paraId="25A3D992" w14:textId="77777777" w:rsidR="008C4F57" w:rsidRPr="006A0747" w:rsidRDefault="008C4F57" w:rsidP="008C4F57">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t>Circular: CSB-REG-202400006 del 23 de abril de 2024 “Establecer las características y requisitos mínimos de seguridad que deben cumplir las EIF para acceder al Servicio API de la Central de Riesgos de la Superintendencia de Bancos”.</w:t>
      </w:r>
    </w:p>
    <w:p w14:paraId="285FECF1" w14:textId="7FB998EB" w:rsidR="008C4F57" w:rsidRPr="006A0747" w:rsidRDefault="008C4F57" w:rsidP="008C4F57">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La </w:t>
      </w:r>
      <w:r w:rsidR="006027E1" w:rsidRPr="006A0747">
        <w:rPr>
          <w:rFonts w:ascii="Times New Roman" w:eastAsia="Calibri" w:hAnsi="Times New Roman" w:cs="Times New Roman"/>
          <w:color w:val="767171"/>
          <w:spacing w:val="20"/>
          <w:sz w:val="24"/>
          <w:szCs w:val="24"/>
        </w:rPr>
        <w:t>c</w:t>
      </w:r>
      <w:r w:rsidRPr="006A0747">
        <w:rPr>
          <w:rFonts w:ascii="Times New Roman" w:eastAsia="Calibri" w:hAnsi="Times New Roman" w:cs="Times New Roman"/>
          <w:color w:val="767171"/>
          <w:spacing w:val="20"/>
          <w:sz w:val="24"/>
          <w:szCs w:val="24"/>
        </w:rPr>
        <w:t xml:space="preserve">ircular establece los requerimientos mínimos que deben cumplir los servidores o computadores personales que utilizarán las EIF </w:t>
      </w:r>
      <w:r w:rsidR="0089664E" w:rsidRPr="006A0747">
        <w:rPr>
          <w:rFonts w:ascii="Times New Roman" w:eastAsia="Calibri" w:hAnsi="Times New Roman" w:cs="Times New Roman"/>
          <w:color w:val="767171"/>
          <w:spacing w:val="20"/>
          <w:sz w:val="24"/>
          <w:szCs w:val="24"/>
        </w:rPr>
        <w:t>con el fin de</w:t>
      </w:r>
      <w:r w:rsidRPr="006A0747">
        <w:rPr>
          <w:rFonts w:ascii="Times New Roman" w:eastAsia="Calibri" w:hAnsi="Times New Roman" w:cs="Times New Roman"/>
          <w:color w:val="767171"/>
          <w:spacing w:val="20"/>
          <w:sz w:val="24"/>
          <w:szCs w:val="24"/>
        </w:rPr>
        <w:t xml:space="preserve"> obtener y mantener la autorización </w:t>
      </w:r>
      <w:r w:rsidR="007A0B5B" w:rsidRPr="006A0747">
        <w:rPr>
          <w:rFonts w:ascii="Times New Roman" w:eastAsia="Calibri" w:hAnsi="Times New Roman" w:cs="Times New Roman"/>
          <w:color w:val="767171"/>
          <w:spacing w:val="20"/>
          <w:sz w:val="24"/>
          <w:szCs w:val="24"/>
        </w:rPr>
        <w:t>para</w:t>
      </w:r>
      <w:r w:rsidRPr="006A0747">
        <w:rPr>
          <w:rFonts w:ascii="Times New Roman" w:eastAsia="Calibri" w:hAnsi="Times New Roman" w:cs="Times New Roman"/>
          <w:color w:val="767171"/>
          <w:spacing w:val="20"/>
          <w:sz w:val="24"/>
          <w:szCs w:val="24"/>
        </w:rPr>
        <w:t xml:space="preserve"> descarga</w:t>
      </w:r>
      <w:r w:rsidR="007A0B5B" w:rsidRPr="006A0747">
        <w:rPr>
          <w:rFonts w:ascii="Times New Roman" w:eastAsia="Calibri" w:hAnsi="Times New Roman" w:cs="Times New Roman"/>
          <w:color w:val="767171"/>
          <w:spacing w:val="20"/>
          <w:sz w:val="24"/>
          <w:szCs w:val="24"/>
        </w:rPr>
        <w:t>r</w:t>
      </w:r>
      <w:r w:rsidRPr="006A0747">
        <w:rPr>
          <w:rFonts w:ascii="Times New Roman" w:eastAsia="Calibri" w:hAnsi="Times New Roman" w:cs="Times New Roman"/>
          <w:color w:val="767171"/>
          <w:spacing w:val="20"/>
          <w:sz w:val="24"/>
          <w:szCs w:val="24"/>
        </w:rPr>
        <w:t xml:space="preserve"> y almacenar las informaciones provistas por esta SB a través del </w:t>
      </w:r>
      <w:r w:rsidR="00A9049F" w:rsidRPr="006A0747">
        <w:rPr>
          <w:rFonts w:ascii="Times New Roman" w:eastAsia="Calibri" w:hAnsi="Times New Roman" w:cs="Times New Roman"/>
          <w:color w:val="767171"/>
          <w:spacing w:val="20"/>
          <w:sz w:val="24"/>
          <w:szCs w:val="24"/>
        </w:rPr>
        <w:t>s</w:t>
      </w:r>
      <w:r w:rsidRPr="006A0747">
        <w:rPr>
          <w:rFonts w:ascii="Times New Roman" w:eastAsia="Calibri" w:hAnsi="Times New Roman" w:cs="Times New Roman"/>
          <w:color w:val="767171"/>
          <w:spacing w:val="20"/>
          <w:sz w:val="24"/>
          <w:szCs w:val="24"/>
        </w:rPr>
        <w:t>ervicio API de la Central de Riesgos.</w:t>
      </w:r>
      <w:r w:rsidR="00685947" w:rsidRPr="006A0747">
        <w:rPr>
          <w:rFonts w:ascii="Times New Roman" w:eastAsia="Calibri" w:hAnsi="Times New Roman" w:cs="Times New Roman"/>
          <w:color w:val="767171"/>
          <w:spacing w:val="20"/>
          <w:sz w:val="24"/>
          <w:szCs w:val="24"/>
        </w:rPr>
        <w:t xml:space="preserve"> </w:t>
      </w:r>
      <w:r w:rsidRPr="006A0747">
        <w:rPr>
          <w:rFonts w:ascii="Times New Roman" w:eastAsia="Calibri" w:hAnsi="Times New Roman" w:cs="Times New Roman"/>
          <w:color w:val="767171"/>
          <w:spacing w:val="20"/>
          <w:sz w:val="24"/>
          <w:szCs w:val="24"/>
        </w:rPr>
        <w:t>Esto</w:t>
      </w:r>
      <w:r w:rsidR="00AF0D87" w:rsidRPr="006A0747">
        <w:rPr>
          <w:rFonts w:ascii="Times New Roman" w:eastAsia="Calibri" w:hAnsi="Times New Roman" w:cs="Times New Roman"/>
          <w:color w:val="767171"/>
          <w:spacing w:val="20"/>
          <w:sz w:val="24"/>
          <w:szCs w:val="24"/>
        </w:rPr>
        <w:t xml:space="preserve"> tiene previsto</w:t>
      </w:r>
      <w:r w:rsidRPr="006A0747">
        <w:rPr>
          <w:rFonts w:ascii="Times New Roman" w:eastAsia="Calibri" w:hAnsi="Times New Roman" w:cs="Times New Roman"/>
          <w:color w:val="767171"/>
          <w:spacing w:val="20"/>
          <w:sz w:val="24"/>
          <w:szCs w:val="24"/>
        </w:rPr>
        <w:t xml:space="preserve"> incrementar la calidad de las informaciones recibidas de las entidades supervisadas, contribuyendo a aumentar la efectividad y calidad de la gestión con un enfoque orientado a resultados y mejora continua.</w:t>
      </w:r>
    </w:p>
    <w:p w14:paraId="3D96CA8C" w14:textId="77777777" w:rsidR="0000782F" w:rsidRPr="006A0747" w:rsidRDefault="0000782F" w:rsidP="008C4F57">
      <w:pPr>
        <w:spacing w:line="360" w:lineRule="auto"/>
        <w:jc w:val="both"/>
        <w:rPr>
          <w:rFonts w:ascii="Times New Roman" w:eastAsia="Calibri" w:hAnsi="Times New Roman" w:cs="Times New Roman"/>
          <w:color w:val="767171"/>
          <w:spacing w:val="20"/>
          <w:sz w:val="24"/>
          <w:szCs w:val="24"/>
        </w:rPr>
      </w:pPr>
    </w:p>
    <w:p w14:paraId="03119FD6" w14:textId="77777777" w:rsidR="008C4F57" w:rsidRPr="006A0747" w:rsidRDefault="008C4F57" w:rsidP="008C4F57">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lastRenderedPageBreak/>
        <w:t>Circular: CSB-REG-202400007 del 31 de mayo de 2024 “Aprobar y poner en vigencia el “Instructivo de aplicación del reglamento de protección al usuario de los productos y servicios financieros”.</w:t>
      </w:r>
    </w:p>
    <w:p w14:paraId="684A2EA2" w14:textId="7B2F66B1" w:rsidR="008C4F57" w:rsidRPr="006A0747" w:rsidRDefault="00F372DC" w:rsidP="008C4F57">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Esta </w:t>
      </w:r>
      <w:r w:rsidR="006027E1" w:rsidRPr="006A0747">
        <w:rPr>
          <w:rFonts w:ascii="Times New Roman" w:eastAsia="Calibri" w:hAnsi="Times New Roman" w:cs="Times New Roman"/>
          <w:color w:val="767171"/>
          <w:spacing w:val="20"/>
          <w:sz w:val="24"/>
          <w:szCs w:val="24"/>
        </w:rPr>
        <w:t>c</w:t>
      </w:r>
      <w:r w:rsidRPr="006A0747">
        <w:rPr>
          <w:rFonts w:ascii="Times New Roman" w:eastAsia="Calibri" w:hAnsi="Times New Roman" w:cs="Times New Roman"/>
          <w:color w:val="767171"/>
          <w:spacing w:val="20"/>
          <w:sz w:val="24"/>
          <w:szCs w:val="24"/>
        </w:rPr>
        <w:t>ircular e</w:t>
      </w:r>
      <w:r w:rsidR="008C4F57" w:rsidRPr="006A0747">
        <w:rPr>
          <w:rFonts w:ascii="Times New Roman" w:eastAsia="Calibri" w:hAnsi="Times New Roman" w:cs="Times New Roman"/>
          <w:color w:val="767171"/>
          <w:spacing w:val="20"/>
          <w:sz w:val="24"/>
          <w:szCs w:val="24"/>
        </w:rPr>
        <w:t>stablece los lineamientos, requerimientos y procedimientos operativos y de control que deberán considerar y aplicar las entidades supervisadas a fin de dar cumplimiento a las disposiciones contenidas</w:t>
      </w:r>
      <w:r w:rsidR="003253B2" w:rsidRPr="006A0747">
        <w:rPr>
          <w:rFonts w:ascii="Times New Roman" w:eastAsia="Calibri" w:hAnsi="Times New Roman" w:cs="Times New Roman"/>
          <w:color w:val="767171"/>
          <w:spacing w:val="20"/>
          <w:sz w:val="24"/>
          <w:szCs w:val="24"/>
        </w:rPr>
        <w:t xml:space="preserve"> </w:t>
      </w:r>
      <w:r w:rsidR="008C4F57" w:rsidRPr="006A0747">
        <w:rPr>
          <w:rFonts w:ascii="Times New Roman" w:eastAsia="Calibri" w:hAnsi="Times New Roman" w:cs="Times New Roman"/>
          <w:color w:val="767171"/>
          <w:spacing w:val="20"/>
          <w:sz w:val="24"/>
          <w:szCs w:val="24"/>
        </w:rPr>
        <w:t>en el Reglamento de Protección al Usuario de los Productos y Servicios Financieros</w:t>
      </w:r>
      <w:r w:rsidR="00245A45" w:rsidRPr="006A0747">
        <w:rPr>
          <w:rFonts w:ascii="Times New Roman" w:eastAsia="Calibri" w:hAnsi="Times New Roman" w:cs="Times New Roman"/>
          <w:color w:val="767171"/>
          <w:spacing w:val="20"/>
          <w:sz w:val="24"/>
          <w:szCs w:val="24"/>
        </w:rPr>
        <w:t>,</w:t>
      </w:r>
      <w:r w:rsidR="008C4F57" w:rsidRPr="006A0747">
        <w:rPr>
          <w:rFonts w:ascii="Times New Roman" w:eastAsia="Calibri" w:hAnsi="Times New Roman" w:cs="Times New Roman"/>
          <w:color w:val="767171"/>
          <w:spacing w:val="20"/>
          <w:sz w:val="24"/>
          <w:szCs w:val="24"/>
        </w:rPr>
        <w:t xml:space="preserve"> aprobado por la Junta Monetaria mediante Primera Resolución del 5 de febrero de 2015 y su modificación. El </w:t>
      </w:r>
      <w:r w:rsidR="009F60C8" w:rsidRPr="006A0747">
        <w:rPr>
          <w:rFonts w:ascii="Times New Roman" w:eastAsia="Calibri" w:hAnsi="Times New Roman" w:cs="Times New Roman"/>
          <w:color w:val="767171"/>
          <w:spacing w:val="20"/>
          <w:sz w:val="24"/>
          <w:szCs w:val="24"/>
        </w:rPr>
        <w:t>i</w:t>
      </w:r>
      <w:r w:rsidR="008C4F57" w:rsidRPr="006A0747">
        <w:rPr>
          <w:rFonts w:ascii="Times New Roman" w:eastAsia="Calibri" w:hAnsi="Times New Roman" w:cs="Times New Roman"/>
          <w:color w:val="767171"/>
          <w:spacing w:val="20"/>
          <w:sz w:val="24"/>
          <w:szCs w:val="24"/>
        </w:rPr>
        <w:t xml:space="preserve">nstructivo proporciona una guía clara y detallada sobre los derechos y responsabilidades tanto de los usuarios como de las entidades, promoviendo la transparencia, la equidad y la protección de los usuarios, </w:t>
      </w:r>
      <w:r w:rsidR="00CE1CB8" w:rsidRPr="006A0747">
        <w:rPr>
          <w:rFonts w:ascii="Times New Roman" w:eastAsia="Calibri" w:hAnsi="Times New Roman" w:cs="Times New Roman"/>
          <w:color w:val="767171"/>
          <w:spacing w:val="20"/>
          <w:sz w:val="24"/>
          <w:szCs w:val="24"/>
        </w:rPr>
        <w:t xml:space="preserve">en procura </w:t>
      </w:r>
      <w:r w:rsidR="00357EC5" w:rsidRPr="006A0747">
        <w:rPr>
          <w:rFonts w:ascii="Times New Roman" w:eastAsia="Calibri" w:hAnsi="Times New Roman" w:cs="Times New Roman"/>
          <w:color w:val="767171"/>
          <w:spacing w:val="20"/>
          <w:sz w:val="24"/>
          <w:szCs w:val="24"/>
        </w:rPr>
        <w:t xml:space="preserve">de </w:t>
      </w:r>
      <w:r w:rsidR="008C4F57" w:rsidRPr="006A0747">
        <w:rPr>
          <w:rFonts w:ascii="Times New Roman" w:eastAsia="Calibri" w:hAnsi="Times New Roman" w:cs="Times New Roman"/>
          <w:color w:val="767171"/>
          <w:spacing w:val="20"/>
          <w:sz w:val="24"/>
          <w:szCs w:val="24"/>
        </w:rPr>
        <w:t>contribu</w:t>
      </w:r>
      <w:r w:rsidR="00357EC5" w:rsidRPr="006A0747">
        <w:rPr>
          <w:rFonts w:ascii="Times New Roman" w:eastAsia="Calibri" w:hAnsi="Times New Roman" w:cs="Times New Roman"/>
          <w:color w:val="767171"/>
          <w:spacing w:val="20"/>
          <w:sz w:val="24"/>
          <w:szCs w:val="24"/>
        </w:rPr>
        <w:t>ir</w:t>
      </w:r>
      <w:r w:rsidR="008C4F57" w:rsidRPr="006A0747">
        <w:rPr>
          <w:rFonts w:ascii="Times New Roman" w:eastAsia="Calibri" w:hAnsi="Times New Roman" w:cs="Times New Roman"/>
          <w:color w:val="767171"/>
          <w:spacing w:val="20"/>
          <w:sz w:val="24"/>
          <w:szCs w:val="24"/>
        </w:rPr>
        <w:t xml:space="preserve"> a un sistema financiero más justo y seguro para todos los involucrados. </w:t>
      </w:r>
    </w:p>
    <w:p w14:paraId="55BE51E5" w14:textId="77777777" w:rsidR="0000782F" w:rsidRPr="006A0747" w:rsidRDefault="0000782F" w:rsidP="008C4F57">
      <w:pPr>
        <w:spacing w:line="360" w:lineRule="auto"/>
        <w:jc w:val="both"/>
        <w:rPr>
          <w:rFonts w:ascii="Times New Roman" w:eastAsia="Calibri" w:hAnsi="Times New Roman" w:cs="Times New Roman"/>
          <w:color w:val="767171"/>
          <w:spacing w:val="20"/>
          <w:sz w:val="24"/>
          <w:szCs w:val="24"/>
        </w:rPr>
      </w:pPr>
    </w:p>
    <w:p w14:paraId="32A6C593" w14:textId="77777777" w:rsidR="008C4F57" w:rsidRPr="006A0747" w:rsidRDefault="008C4F57" w:rsidP="008C4F57">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t>Circular: CSB-REG-202400008 del 31 de mayo de 2024 “Aprobar y poner en vigencia la modificación del “Instructivo para la Aplicación del Reglamento sobre Cuentas Inactivas y/o Abandonadas en las Entidades de Intermediación Financiera”.</w:t>
      </w:r>
    </w:p>
    <w:p w14:paraId="4690BF20" w14:textId="1FDCCD05" w:rsidR="008C4F57" w:rsidRPr="006A0747" w:rsidRDefault="008C4F57" w:rsidP="008C4F57">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En el interés de fortalecer la regulación vigente</w:t>
      </w:r>
      <w:r w:rsidR="00627322" w:rsidRPr="006A0747">
        <w:rPr>
          <w:rFonts w:ascii="Times New Roman" w:eastAsia="Calibri" w:hAnsi="Times New Roman" w:cs="Times New Roman"/>
          <w:color w:val="767171"/>
          <w:spacing w:val="20"/>
          <w:sz w:val="24"/>
          <w:szCs w:val="24"/>
        </w:rPr>
        <w:t>,</w:t>
      </w:r>
      <w:r w:rsidRPr="006A0747">
        <w:rPr>
          <w:rFonts w:ascii="Times New Roman" w:eastAsia="Calibri" w:hAnsi="Times New Roman" w:cs="Times New Roman"/>
          <w:color w:val="767171"/>
          <w:spacing w:val="20"/>
          <w:sz w:val="24"/>
          <w:szCs w:val="24"/>
        </w:rPr>
        <w:t xml:space="preserve"> </w:t>
      </w:r>
      <w:r w:rsidR="000A2CE8" w:rsidRPr="006A0747">
        <w:rPr>
          <w:rFonts w:ascii="Times New Roman" w:eastAsia="Calibri" w:hAnsi="Times New Roman" w:cs="Times New Roman"/>
          <w:color w:val="767171"/>
          <w:spacing w:val="20"/>
          <w:sz w:val="24"/>
          <w:szCs w:val="24"/>
        </w:rPr>
        <w:t>se</w:t>
      </w:r>
      <w:r w:rsidR="00E206C4" w:rsidRPr="006A0747">
        <w:rPr>
          <w:rFonts w:ascii="Times New Roman" w:eastAsia="Calibri" w:hAnsi="Times New Roman" w:cs="Times New Roman"/>
          <w:color w:val="767171"/>
          <w:spacing w:val="20"/>
          <w:sz w:val="24"/>
          <w:szCs w:val="24"/>
        </w:rPr>
        <w:t xml:space="preserve"> actualizaron</w:t>
      </w:r>
      <w:r w:rsidRPr="006A0747">
        <w:rPr>
          <w:rFonts w:ascii="Times New Roman" w:eastAsia="Calibri" w:hAnsi="Times New Roman" w:cs="Times New Roman"/>
          <w:color w:val="767171"/>
          <w:spacing w:val="20"/>
          <w:sz w:val="24"/>
          <w:szCs w:val="24"/>
        </w:rPr>
        <w:t xml:space="preserve"> las disposiciones de este instructivo para adecuarlo a l</w:t>
      </w:r>
      <w:r w:rsidR="00AE16FE" w:rsidRPr="006A0747">
        <w:rPr>
          <w:rFonts w:ascii="Times New Roman" w:eastAsia="Calibri" w:hAnsi="Times New Roman" w:cs="Times New Roman"/>
          <w:color w:val="767171"/>
          <w:spacing w:val="20"/>
          <w:sz w:val="24"/>
          <w:szCs w:val="24"/>
        </w:rPr>
        <w:t>o</w:t>
      </w:r>
      <w:r w:rsidRPr="006A0747">
        <w:rPr>
          <w:rFonts w:ascii="Times New Roman" w:eastAsia="Calibri" w:hAnsi="Times New Roman" w:cs="Times New Roman"/>
          <w:color w:val="767171"/>
          <w:spacing w:val="20"/>
          <w:sz w:val="24"/>
          <w:szCs w:val="24"/>
        </w:rPr>
        <w:t>s nuev</w:t>
      </w:r>
      <w:r w:rsidR="00AE16FE" w:rsidRPr="006A0747">
        <w:rPr>
          <w:rFonts w:ascii="Times New Roman" w:eastAsia="Calibri" w:hAnsi="Times New Roman" w:cs="Times New Roman"/>
          <w:color w:val="767171"/>
          <w:spacing w:val="20"/>
          <w:sz w:val="24"/>
          <w:szCs w:val="24"/>
        </w:rPr>
        <w:t>o</w:t>
      </w:r>
      <w:r w:rsidRPr="006A0747">
        <w:rPr>
          <w:rFonts w:ascii="Times New Roman" w:eastAsia="Calibri" w:hAnsi="Times New Roman" w:cs="Times New Roman"/>
          <w:color w:val="767171"/>
          <w:spacing w:val="20"/>
          <w:sz w:val="24"/>
          <w:szCs w:val="24"/>
        </w:rPr>
        <w:t xml:space="preserve">s </w:t>
      </w:r>
      <w:r w:rsidR="00226EA4" w:rsidRPr="006A0747">
        <w:rPr>
          <w:rFonts w:ascii="Times New Roman" w:eastAsia="Calibri" w:hAnsi="Times New Roman" w:cs="Times New Roman"/>
          <w:color w:val="767171"/>
          <w:spacing w:val="20"/>
          <w:sz w:val="24"/>
          <w:szCs w:val="24"/>
        </w:rPr>
        <w:t>lineamientos</w:t>
      </w:r>
      <w:r w:rsidRPr="006A0747">
        <w:rPr>
          <w:rFonts w:ascii="Times New Roman" w:eastAsia="Calibri" w:hAnsi="Times New Roman" w:cs="Times New Roman"/>
          <w:color w:val="767171"/>
          <w:spacing w:val="20"/>
          <w:sz w:val="24"/>
          <w:szCs w:val="24"/>
        </w:rPr>
        <w:t xml:space="preserve"> del Reglamento sobre Cuentas Inactivas y/o Abandonadas.</w:t>
      </w:r>
    </w:p>
    <w:p w14:paraId="53F0D770" w14:textId="7ECED034" w:rsidR="008C4F57" w:rsidRPr="006A0747" w:rsidRDefault="008C4F57" w:rsidP="008C4F57">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Esta normativa aporta una serie de beneficios importantes tanto a los usuarios como a las entidades supervisadas en términos de protección, prevención, transparencia y eficiencia</w:t>
      </w:r>
      <w:r w:rsidR="002C4947" w:rsidRPr="006A0747">
        <w:rPr>
          <w:rFonts w:ascii="Times New Roman" w:eastAsia="Calibri" w:hAnsi="Times New Roman" w:cs="Times New Roman"/>
          <w:color w:val="767171"/>
          <w:spacing w:val="20"/>
          <w:sz w:val="24"/>
          <w:szCs w:val="24"/>
        </w:rPr>
        <w:t>;</w:t>
      </w:r>
      <w:r w:rsidRPr="006A0747">
        <w:rPr>
          <w:rFonts w:ascii="Times New Roman" w:eastAsia="Calibri" w:hAnsi="Times New Roman" w:cs="Times New Roman"/>
          <w:color w:val="767171"/>
          <w:spacing w:val="20"/>
          <w:sz w:val="24"/>
          <w:szCs w:val="24"/>
        </w:rPr>
        <w:t xml:space="preserve"> contribuyendo a un sistema financiero más sólido, seguro y confiable para todos los involucrados. Mediante estas </w:t>
      </w:r>
      <w:r w:rsidR="00455EE9" w:rsidRPr="006A0747">
        <w:rPr>
          <w:rFonts w:ascii="Times New Roman" w:eastAsia="Calibri" w:hAnsi="Times New Roman" w:cs="Times New Roman"/>
          <w:color w:val="767171"/>
          <w:spacing w:val="20"/>
          <w:sz w:val="24"/>
          <w:szCs w:val="24"/>
        </w:rPr>
        <w:t>nuevas</w:t>
      </w:r>
      <w:r w:rsidRPr="006A0747">
        <w:rPr>
          <w:rFonts w:ascii="Times New Roman" w:eastAsia="Calibri" w:hAnsi="Times New Roman" w:cs="Times New Roman"/>
          <w:color w:val="767171"/>
          <w:spacing w:val="20"/>
          <w:sz w:val="24"/>
          <w:szCs w:val="24"/>
        </w:rPr>
        <w:t xml:space="preserve"> disposiciones</w:t>
      </w:r>
      <w:r w:rsidR="00455EE9" w:rsidRPr="006A0747">
        <w:rPr>
          <w:rFonts w:ascii="Times New Roman" w:eastAsia="Calibri" w:hAnsi="Times New Roman" w:cs="Times New Roman"/>
          <w:color w:val="767171"/>
          <w:spacing w:val="20"/>
          <w:sz w:val="24"/>
          <w:szCs w:val="24"/>
        </w:rPr>
        <w:t>,</w:t>
      </w:r>
      <w:r w:rsidRPr="006A0747">
        <w:rPr>
          <w:rFonts w:ascii="Times New Roman" w:eastAsia="Calibri" w:hAnsi="Times New Roman" w:cs="Times New Roman"/>
          <w:color w:val="767171"/>
          <w:spacing w:val="20"/>
          <w:sz w:val="24"/>
          <w:szCs w:val="24"/>
        </w:rPr>
        <w:t xml:space="preserve"> se garantiza que las cuentas inactivas y abandonadas estén protegidas y resguardadas</w:t>
      </w:r>
      <w:r w:rsidR="00455EE9" w:rsidRPr="006A0747">
        <w:rPr>
          <w:rFonts w:ascii="Times New Roman" w:eastAsia="Calibri" w:hAnsi="Times New Roman" w:cs="Times New Roman"/>
          <w:color w:val="767171"/>
          <w:spacing w:val="20"/>
          <w:sz w:val="24"/>
          <w:szCs w:val="24"/>
        </w:rPr>
        <w:t>,</w:t>
      </w:r>
      <w:r w:rsidRPr="006A0747">
        <w:rPr>
          <w:rFonts w:ascii="Times New Roman" w:eastAsia="Calibri" w:hAnsi="Times New Roman" w:cs="Times New Roman"/>
          <w:color w:val="767171"/>
          <w:spacing w:val="20"/>
          <w:sz w:val="24"/>
          <w:szCs w:val="24"/>
        </w:rPr>
        <w:t xml:space="preserve"> </w:t>
      </w:r>
      <w:r w:rsidRPr="006A0747">
        <w:rPr>
          <w:rFonts w:ascii="Times New Roman" w:eastAsia="Calibri" w:hAnsi="Times New Roman" w:cs="Times New Roman"/>
          <w:color w:val="767171"/>
          <w:spacing w:val="20"/>
          <w:sz w:val="24"/>
          <w:szCs w:val="24"/>
        </w:rPr>
        <w:lastRenderedPageBreak/>
        <w:t>evitando posibles pérdidas de fondos para los titulares de las cuentas</w:t>
      </w:r>
      <w:r w:rsidR="00455EE9" w:rsidRPr="006A0747">
        <w:rPr>
          <w:rFonts w:ascii="Times New Roman" w:eastAsia="Calibri" w:hAnsi="Times New Roman" w:cs="Times New Roman"/>
          <w:color w:val="767171"/>
          <w:spacing w:val="20"/>
          <w:sz w:val="24"/>
          <w:szCs w:val="24"/>
        </w:rPr>
        <w:t>. En adición</w:t>
      </w:r>
      <w:r w:rsidRPr="006A0747">
        <w:rPr>
          <w:rFonts w:ascii="Times New Roman" w:eastAsia="Calibri" w:hAnsi="Times New Roman" w:cs="Times New Roman"/>
          <w:color w:val="767171"/>
          <w:spacing w:val="20"/>
          <w:sz w:val="24"/>
          <w:szCs w:val="24"/>
        </w:rPr>
        <w:t xml:space="preserve"> ayuda a prevenir posibles casos de fraudes o mal uso de los fondos por parte de terceros; y proporciona transparencia y claridad sobre los plazos y procesos que deben seguirse con las cuentas inactivas.</w:t>
      </w:r>
    </w:p>
    <w:p w14:paraId="572722D6" w14:textId="77777777" w:rsidR="00BF65A1" w:rsidRPr="006A0747" w:rsidRDefault="00BF65A1" w:rsidP="008C4F57">
      <w:pPr>
        <w:spacing w:line="360" w:lineRule="auto"/>
        <w:jc w:val="both"/>
        <w:rPr>
          <w:rFonts w:ascii="Times New Roman" w:eastAsia="Calibri" w:hAnsi="Times New Roman" w:cs="Times New Roman"/>
          <w:color w:val="767171"/>
          <w:spacing w:val="20"/>
          <w:sz w:val="24"/>
          <w:szCs w:val="24"/>
        </w:rPr>
      </w:pPr>
    </w:p>
    <w:p w14:paraId="28FE5443" w14:textId="1BFC085E" w:rsidR="00BF65A1" w:rsidRPr="006A0747" w:rsidRDefault="00BF65A1" w:rsidP="00BF65A1">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t>CIRCULAR SB: CSB-REG-202400010 de fecha 09 de julio de 2024 “Mecanismo de verificación digital de documentos emitidos por las entidades de intermediación financiera”.</w:t>
      </w:r>
    </w:p>
    <w:p w14:paraId="7355F367" w14:textId="5C7B5A80" w:rsidR="00BF65A1" w:rsidRPr="006A0747" w:rsidRDefault="00BF65A1" w:rsidP="00BF65A1">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La citada </w:t>
      </w:r>
      <w:r w:rsidR="000D42B2" w:rsidRPr="006A0747">
        <w:rPr>
          <w:rFonts w:ascii="Times New Roman" w:eastAsia="Calibri" w:hAnsi="Times New Roman" w:cs="Times New Roman"/>
          <w:color w:val="767171"/>
          <w:spacing w:val="20"/>
          <w:sz w:val="24"/>
          <w:szCs w:val="24"/>
        </w:rPr>
        <w:t>c</w:t>
      </w:r>
      <w:r w:rsidRPr="006A0747">
        <w:rPr>
          <w:rFonts w:ascii="Times New Roman" w:eastAsia="Calibri" w:hAnsi="Times New Roman" w:cs="Times New Roman"/>
          <w:color w:val="767171"/>
          <w:spacing w:val="20"/>
          <w:sz w:val="24"/>
          <w:szCs w:val="24"/>
        </w:rPr>
        <w:t xml:space="preserve">ircular tiene por objeto, requerir a las entidades de intermediación financiera el establecimiento de mecanismos de verificación digital que aseguren la autenticidad, integridad y validez del contenido de los documentos que éstas emitan a solicitud de sus clientes, ya sean para </w:t>
      </w:r>
      <w:r w:rsidR="00714715" w:rsidRPr="006A0747">
        <w:rPr>
          <w:rFonts w:ascii="Times New Roman" w:eastAsia="Calibri" w:hAnsi="Times New Roman" w:cs="Times New Roman"/>
          <w:color w:val="767171"/>
          <w:spacing w:val="20"/>
          <w:sz w:val="24"/>
          <w:szCs w:val="24"/>
        </w:rPr>
        <w:t xml:space="preserve">uso </w:t>
      </w:r>
      <w:r w:rsidR="00740A10" w:rsidRPr="006A0747">
        <w:rPr>
          <w:rFonts w:ascii="Times New Roman" w:eastAsia="Calibri" w:hAnsi="Times New Roman" w:cs="Times New Roman"/>
          <w:color w:val="767171"/>
          <w:spacing w:val="20"/>
          <w:sz w:val="24"/>
          <w:szCs w:val="24"/>
        </w:rPr>
        <w:t>de la entidad</w:t>
      </w:r>
      <w:r w:rsidRPr="006A0747">
        <w:rPr>
          <w:rFonts w:ascii="Times New Roman" w:eastAsia="Calibri" w:hAnsi="Times New Roman" w:cs="Times New Roman"/>
          <w:color w:val="767171"/>
          <w:spacing w:val="20"/>
          <w:sz w:val="24"/>
          <w:szCs w:val="24"/>
        </w:rPr>
        <w:t xml:space="preserve"> o para terceros usuarios de la información, como: cartas de referencias bancarias, estados de cuentas, entre otros. </w:t>
      </w:r>
    </w:p>
    <w:p w14:paraId="4367B7D2" w14:textId="77777777" w:rsidR="00BF65A1" w:rsidRPr="006A0747" w:rsidRDefault="00BF65A1" w:rsidP="00BF65A1">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Esta normativa ofrece beneficios significativos en términos de seguridad y transparencia de las operaciones bancarias, promoviendo la seguridad de los documentos emitidos por las entidades, lo que reduce el riesgo de fraudes y alteraciones y contribuye a que la información presentada sea auténtica y fiable.</w:t>
      </w:r>
    </w:p>
    <w:p w14:paraId="7D03C170" w14:textId="77777777" w:rsidR="00BF65A1" w:rsidRPr="006A0747" w:rsidRDefault="00BF65A1" w:rsidP="00BF65A1">
      <w:pPr>
        <w:spacing w:line="360" w:lineRule="auto"/>
        <w:jc w:val="both"/>
        <w:rPr>
          <w:rFonts w:ascii="Times New Roman" w:eastAsia="Calibri" w:hAnsi="Times New Roman" w:cs="Times New Roman"/>
          <w:color w:val="767171"/>
          <w:spacing w:val="20"/>
          <w:sz w:val="24"/>
          <w:szCs w:val="24"/>
        </w:rPr>
      </w:pPr>
    </w:p>
    <w:p w14:paraId="49F871FD" w14:textId="089349FF" w:rsidR="00BF65A1" w:rsidRPr="006A0747" w:rsidRDefault="00BF65A1" w:rsidP="00BF65A1">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t>CIRCULAR SB: CSB-REG-202400011 de fecha 26 de julio de 2024 “Poner en vigencia la cuarta versión del Instructivo sobre Formalización, Registro y Control de Garantías”.</w:t>
      </w:r>
    </w:p>
    <w:p w14:paraId="714D366A" w14:textId="3CE0EEA1" w:rsidR="005A5188" w:rsidRPr="006A0747" w:rsidRDefault="005A5188" w:rsidP="00BF65A1">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Esta normativa tiene por objetivo adecuar el Instructivo sobre Formalización, Registro y Control de Garantías" emitido mediante Circular SIB: 008/18 del 15 de marzo de 2018, a los términos y </w:t>
      </w:r>
      <w:r w:rsidRPr="006A0747">
        <w:rPr>
          <w:rFonts w:ascii="Times New Roman" w:eastAsia="Calibri" w:hAnsi="Times New Roman" w:cs="Times New Roman"/>
          <w:color w:val="767171"/>
          <w:spacing w:val="20"/>
          <w:sz w:val="24"/>
          <w:szCs w:val="24"/>
        </w:rPr>
        <w:lastRenderedPageBreak/>
        <w:t>conceptos de la Ley núm. 45-20 sobre Garantías Mobiliarias</w:t>
      </w:r>
      <w:r w:rsidR="00F33183" w:rsidRPr="006A0747">
        <w:rPr>
          <w:rFonts w:ascii="Times New Roman" w:eastAsia="Calibri" w:hAnsi="Times New Roman" w:cs="Times New Roman"/>
          <w:color w:val="767171"/>
          <w:spacing w:val="20"/>
          <w:sz w:val="24"/>
          <w:szCs w:val="24"/>
        </w:rPr>
        <w:t>;</w:t>
      </w:r>
      <w:r w:rsidRPr="006A0747">
        <w:rPr>
          <w:rFonts w:ascii="Times New Roman" w:eastAsia="Calibri" w:hAnsi="Times New Roman" w:cs="Times New Roman"/>
          <w:color w:val="767171"/>
          <w:spacing w:val="20"/>
          <w:sz w:val="24"/>
          <w:szCs w:val="24"/>
        </w:rPr>
        <w:t xml:space="preserve"> e incluir nuevos tipos de garantías mobiliarias que puedan considerarse como admisibles.</w:t>
      </w:r>
    </w:p>
    <w:p w14:paraId="5720A3DB" w14:textId="52113435" w:rsidR="00BF65A1" w:rsidRPr="006A0747" w:rsidRDefault="00BF65A1" w:rsidP="00BF65A1">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Este </w:t>
      </w:r>
      <w:r w:rsidR="00740A10" w:rsidRPr="006A0747">
        <w:rPr>
          <w:rFonts w:ascii="Times New Roman" w:eastAsia="Calibri" w:hAnsi="Times New Roman" w:cs="Times New Roman"/>
          <w:color w:val="767171"/>
          <w:spacing w:val="20"/>
          <w:sz w:val="24"/>
          <w:szCs w:val="24"/>
        </w:rPr>
        <w:t>i</w:t>
      </w:r>
      <w:r w:rsidRPr="006A0747">
        <w:rPr>
          <w:rFonts w:ascii="Times New Roman" w:eastAsia="Calibri" w:hAnsi="Times New Roman" w:cs="Times New Roman"/>
          <w:color w:val="767171"/>
          <w:spacing w:val="20"/>
          <w:sz w:val="24"/>
          <w:szCs w:val="24"/>
        </w:rPr>
        <w:t>nstructivo establece los lineamientos mínimos que deben observar las entidades de intermediación financiera en sus políticas y procedimientos sobre evaluación, constitución, formalización, registro, custodia, seguimiento y control de las garantías que respaldan los créditos en las entidades de intermediación financiera</w:t>
      </w:r>
      <w:r w:rsidR="00740A10" w:rsidRPr="006A0747">
        <w:rPr>
          <w:rFonts w:ascii="Times New Roman" w:eastAsia="Calibri" w:hAnsi="Times New Roman" w:cs="Times New Roman"/>
          <w:color w:val="767171"/>
          <w:spacing w:val="20"/>
          <w:sz w:val="24"/>
          <w:szCs w:val="24"/>
        </w:rPr>
        <w:t>. Esto</w:t>
      </w:r>
      <w:r w:rsidRPr="006A0747">
        <w:rPr>
          <w:rFonts w:ascii="Times New Roman" w:eastAsia="Calibri" w:hAnsi="Times New Roman" w:cs="Times New Roman"/>
          <w:color w:val="767171"/>
          <w:spacing w:val="20"/>
          <w:sz w:val="24"/>
          <w:szCs w:val="24"/>
        </w:rPr>
        <w:t>, de conformidad con el derecho común, Ley núm. 189-11 para el Desarrollo del Mercado Hipotecario y el Fideicomiso en la República Dominicana, Ley núm. 28-03 sobre Fideicomiso Público, Ley núm. 249-17 del Mercado de Valores en la República Dominicana y la Ley núm. 45-20 de Garantías Mobiliarias; así como su admisibilidad para mitigar la constitución de provisiones, conforme las disposiciones contenidas en el Reglamento de Evaluación de Activos (REA).</w:t>
      </w:r>
    </w:p>
    <w:p w14:paraId="744C55EB" w14:textId="77777777" w:rsidR="00BF65A1" w:rsidRPr="006A0747" w:rsidRDefault="00BF65A1" w:rsidP="00BF65A1">
      <w:pPr>
        <w:spacing w:line="360" w:lineRule="auto"/>
        <w:jc w:val="both"/>
        <w:rPr>
          <w:rFonts w:ascii="Times New Roman" w:eastAsia="Calibri" w:hAnsi="Times New Roman" w:cs="Times New Roman"/>
          <w:color w:val="767171"/>
          <w:spacing w:val="20"/>
          <w:sz w:val="24"/>
          <w:szCs w:val="24"/>
        </w:rPr>
      </w:pPr>
    </w:p>
    <w:p w14:paraId="2F891607" w14:textId="77777777" w:rsidR="005E0BAC" w:rsidRPr="006A0747" w:rsidRDefault="00BF65A1" w:rsidP="00BF65A1">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t>CARTAS CIRCULARES EMITIDAS:</w:t>
      </w:r>
    </w:p>
    <w:p w14:paraId="5E91138F" w14:textId="4C8D2663" w:rsidR="00BF65A1" w:rsidRPr="006A0747" w:rsidRDefault="00BF65A1" w:rsidP="00BF65A1">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t>Carta Circular: CCI-REG-202400006 del 7 de mayo de 2024 “Aclaraciones sobre las sociedades fiduciarias y fideicomisos que requieren ser registrados en la Superintendencia de Bancos (SB) y el tratamiento aplicable a las garantías admisibles”.</w:t>
      </w:r>
    </w:p>
    <w:p w14:paraId="7EA82D5D" w14:textId="42445DE9" w:rsidR="00BF65A1" w:rsidRPr="006A0747" w:rsidRDefault="00BF65A1" w:rsidP="00BF65A1">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Aclara cuales son las personas jurídicas facultadas a fungir como fiduciarios, que entran dentro del alcance y supervisión de la SB; y </w:t>
      </w:r>
      <w:r w:rsidR="005E0BAC" w:rsidRPr="006A0747">
        <w:rPr>
          <w:rFonts w:ascii="Times New Roman" w:eastAsia="Calibri" w:hAnsi="Times New Roman" w:cs="Times New Roman"/>
          <w:color w:val="767171"/>
          <w:spacing w:val="20"/>
          <w:sz w:val="24"/>
          <w:szCs w:val="24"/>
        </w:rPr>
        <w:t>que,</w:t>
      </w:r>
      <w:r w:rsidRPr="006A0747">
        <w:rPr>
          <w:rFonts w:ascii="Times New Roman" w:eastAsia="Calibri" w:hAnsi="Times New Roman" w:cs="Times New Roman"/>
          <w:color w:val="767171"/>
          <w:spacing w:val="20"/>
          <w:sz w:val="24"/>
          <w:szCs w:val="24"/>
        </w:rPr>
        <w:t xml:space="preserve"> por tanto, deben solicitar su inscripción en el registro de la Superintendencia de Bancos, así como, remitir una copia del acto constitutivo de cada fideicomiso creado. También dispone que las sociedades fiduciarias que ofrecen servicios a una entidad de intermediación financiera o a un grupo financiero cuando estas </w:t>
      </w:r>
      <w:r w:rsidRPr="006A0747">
        <w:rPr>
          <w:rFonts w:ascii="Times New Roman" w:eastAsia="Calibri" w:hAnsi="Times New Roman" w:cs="Times New Roman"/>
          <w:color w:val="767171"/>
          <w:spacing w:val="20"/>
          <w:sz w:val="24"/>
          <w:szCs w:val="24"/>
        </w:rPr>
        <w:lastRenderedPageBreak/>
        <w:t>participen como fideicomitente, fideicomisario o beneficiario, deberán registrar en la Superintendencia de Bancos el fideicomiso constituido.</w:t>
      </w:r>
    </w:p>
    <w:p w14:paraId="215B0800" w14:textId="77777777" w:rsidR="00BF65A1" w:rsidRPr="006A0747" w:rsidRDefault="00BF65A1" w:rsidP="00BF65A1">
      <w:pPr>
        <w:spacing w:line="360" w:lineRule="auto"/>
        <w:jc w:val="both"/>
        <w:rPr>
          <w:rFonts w:ascii="Times New Roman" w:eastAsia="Calibri" w:hAnsi="Times New Roman" w:cs="Times New Roman"/>
          <w:color w:val="767171"/>
          <w:spacing w:val="20"/>
          <w:sz w:val="24"/>
          <w:szCs w:val="24"/>
        </w:rPr>
      </w:pPr>
    </w:p>
    <w:p w14:paraId="33D6CDA2" w14:textId="7E0CF500" w:rsidR="00BF65A1" w:rsidRPr="006A0747" w:rsidRDefault="00BF65A1" w:rsidP="00BF65A1">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t>Carta Circular: CCI-REG-202400012 del 10 de julio de 2024, “Registro correcto de los ingresos operacionales y no operacionales”.</w:t>
      </w:r>
    </w:p>
    <w:p w14:paraId="348F620E" w14:textId="126F1023" w:rsidR="00BF65A1" w:rsidRPr="006A0747" w:rsidRDefault="00BF65A1" w:rsidP="00BF65A1">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Esta Carta Circular tiene el objetivo de requerir a las entidades de intermediación financiera observar las disposiciones establecidas en el manual de Contabilidad para Entidades Supervisadas para asegurar el correcto registro contable de los ingresos operacionales y los ingresos no operacionales.</w:t>
      </w:r>
    </w:p>
    <w:p w14:paraId="62957301" w14:textId="3F409D69" w:rsidR="00BF65A1" w:rsidRPr="006A0747" w:rsidRDefault="00BF65A1" w:rsidP="00BF65A1">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La citada Carta Circular, aclara que las comisiones recibidas por la gestión de venta de pólizas de seguros y por venta de marbetes, no corresponden ser registradas en las cuentas del subgrupo de ingresos operacionales, debiendo ser registradas en la cuenta correspondiente del subgrupo de otros ingresos no operacionales, ya que dichas comisiones no forman parte de las actividades de negocios principales realizadas por las entidades de intermediación financiera.</w:t>
      </w:r>
    </w:p>
    <w:p w14:paraId="30071860" w14:textId="77777777" w:rsidR="005E0BAC" w:rsidRPr="006A0747" w:rsidRDefault="005E0BAC" w:rsidP="00BF65A1">
      <w:pPr>
        <w:spacing w:line="360" w:lineRule="auto"/>
        <w:jc w:val="both"/>
        <w:rPr>
          <w:rFonts w:ascii="Times New Roman" w:eastAsia="Calibri" w:hAnsi="Times New Roman" w:cs="Times New Roman"/>
          <w:color w:val="767171"/>
          <w:spacing w:val="20"/>
          <w:sz w:val="24"/>
          <w:szCs w:val="24"/>
        </w:rPr>
      </w:pPr>
    </w:p>
    <w:p w14:paraId="1EE9EB3F" w14:textId="3B7E272E" w:rsidR="00BF65A1" w:rsidRPr="006A0747" w:rsidRDefault="00BF65A1" w:rsidP="00BF65A1">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t>Carta Circular: CCI-REG-202400014 del 2 de agosto de 2024, “Notificar la actualización del Marco de Supervisión Basado en Riesgos (SBR)”.</w:t>
      </w:r>
    </w:p>
    <w:p w14:paraId="0C974B11" w14:textId="33F3597C" w:rsidR="00BF65A1" w:rsidRPr="006A0747" w:rsidRDefault="00BF65A1" w:rsidP="00BF65A1">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Mediante esta circular la SB informa la aprobación de la tercera versión del “Marco de Supervisión Basado en Riesgos” (Marco SBR) el cual tiene por finalidad fortalecer el sistema bancario mediante una evaluación continua y sistemática de los riesgos que puedan comprometer la estabilidad financiera, a través de un análisis </w:t>
      </w:r>
      <w:r w:rsidRPr="006A0747">
        <w:rPr>
          <w:rFonts w:ascii="Times New Roman" w:eastAsia="Calibri" w:hAnsi="Times New Roman" w:cs="Times New Roman"/>
          <w:color w:val="767171"/>
          <w:spacing w:val="20"/>
          <w:sz w:val="24"/>
          <w:szCs w:val="24"/>
        </w:rPr>
        <w:lastRenderedPageBreak/>
        <w:t>constante del perfil de riesgos, su condición financiera, los procesos y la cultura de gestión de riesgos implementados por las entidades.</w:t>
      </w:r>
    </w:p>
    <w:p w14:paraId="4FD34324" w14:textId="4C03087B" w:rsidR="00BF65A1" w:rsidRPr="006A0747" w:rsidRDefault="00BF65A1" w:rsidP="00BF65A1">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El Marco SBR impacta positivamente en la estabilidad del sistema financiero permitiendo una supervisión más proactiva, efectiva y adaptativa enfocada en identificar y mitigar los riesgos, en un entorno financiero en constantes cambios. El Marco SBR incentiva a las entidades a mejorar sus propias prácticas de gestión de riesgos y a implementar controles internos más robustos, aumentando la confianza de los usuarios del sistema financiero.</w:t>
      </w:r>
    </w:p>
    <w:p w14:paraId="2E3C5E98" w14:textId="77777777" w:rsidR="005E0BAC" w:rsidRPr="006A0747" w:rsidRDefault="005E0BAC" w:rsidP="00BF65A1">
      <w:pPr>
        <w:spacing w:line="360" w:lineRule="auto"/>
        <w:jc w:val="both"/>
        <w:rPr>
          <w:rFonts w:ascii="Times New Roman" w:eastAsia="Calibri" w:hAnsi="Times New Roman" w:cs="Times New Roman"/>
          <w:color w:val="767171"/>
          <w:spacing w:val="20"/>
          <w:sz w:val="24"/>
          <w:szCs w:val="24"/>
        </w:rPr>
      </w:pPr>
    </w:p>
    <w:p w14:paraId="4901E28B" w14:textId="09C27CE3" w:rsidR="00BF65A1" w:rsidRPr="006A0747" w:rsidRDefault="00BF65A1" w:rsidP="00BF65A1">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t>Carta Circular: CCI-REG-202400015 del 1 de octubre de 2024, “Requisito del Registro en la Unidad de Análisis Financiera (UAF) a los Sujetos Obligados de la Ley núm. 155-17, contra el Lavado de Activos y Financiamiento del Terrorismo”.</w:t>
      </w:r>
    </w:p>
    <w:p w14:paraId="4919ECF3" w14:textId="2B693FE2" w:rsidR="00BF65A1" w:rsidRPr="006A0747" w:rsidRDefault="00BF65A1" w:rsidP="00BF65A1">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Esta Carta Circular tiene el objetivo de aclarar que la Unidad de Análisis Financiero (UAF) es el órgano que tiene como función la recepción de los Reportes de Operación Sospechosa (ROS) y Reporte de Transacciones en Efectivo (RTE). Por tanto, los Sujetos Obligados, para obtener las credenciales de acceso que le permitirán enviar los Reportes de Operación Sospechosa (ROS) y Reporte de Transacciones en Efectivo (RTE), deben estar registrados en la Unidad de Análisis Financiera (UAF). La Carta Circular requiere a las Entidades de Intermediación Financiera, los Intermediarios Cambiarios y las Fiduciarias, como parte de las medidas de debida diligencia, requerir y verificar a los clientes y potenciales clientes, considerados como Sujetos Obligados, la constancia de registro ante la UAF y la constancia de acceso al sistema de GOAML o cualquier herramienta que se designe a tal fin, en cumplimiento de las obligaciones previstas en la referida Ley.</w:t>
      </w:r>
    </w:p>
    <w:p w14:paraId="02A40BF6" w14:textId="74871A95" w:rsidR="00BF65A1" w:rsidRPr="006A0747" w:rsidRDefault="00BF65A1" w:rsidP="00BF65A1">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lastRenderedPageBreak/>
        <w:t xml:space="preserve">Esta Circular refuerza el cumplimiento de las medidas de debida </w:t>
      </w:r>
      <w:r w:rsidR="005E0BAC" w:rsidRPr="006A0747">
        <w:rPr>
          <w:rFonts w:ascii="Times New Roman" w:eastAsia="Calibri" w:hAnsi="Times New Roman" w:cs="Times New Roman"/>
          <w:color w:val="767171"/>
          <w:spacing w:val="20"/>
          <w:sz w:val="24"/>
          <w:szCs w:val="24"/>
        </w:rPr>
        <w:t>diligencia de aquellos</w:t>
      </w:r>
      <w:r w:rsidRPr="006A0747">
        <w:rPr>
          <w:rFonts w:ascii="Times New Roman" w:eastAsia="Calibri" w:hAnsi="Times New Roman" w:cs="Times New Roman"/>
          <w:color w:val="767171"/>
          <w:spacing w:val="20"/>
          <w:sz w:val="24"/>
          <w:szCs w:val="24"/>
        </w:rPr>
        <w:t xml:space="preserve"> clientes, relacionados o beneficiario finales que s</w:t>
      </w:r>
      <w:r w:rsidR="00D111B6" w:rsidRPr="006A0747">
        <w:rPr>
          <w:rFonts w:ascii="Times New Roman" w:eastAsia="Calibri" w:hAnsi="Times New Roman" w:cs="Times New Roman"/>
          <w:color w:val="767171"/>
          <w:spacing w:val="20"/>
          <w:sz w:val="24"/>
          <w:szCs w:val="24"/>
        </w:rPr>
        <w:t>ea</w:t>
      </w:r>
      <w:r w:rsidRPr="006A0747">
        <w:rPr>
          <w:rFonts w:ascii="Times New Roman" w:eastAsia="Calibri" w:hAnsi="Times New Roman" w:cs="Times New Roman"/>
          <w:color w:val="767171"/>
          <w:spacing w:val="20"/>
          <w:sz w:val="24"/>
          <w:szCs w:val="24"/>
        </w:rPr>
        <w:t>n un sujeto obligado de acuerdo con la Ley núm. 155-17 contra el Lavado de Activos y Financiamiento del Terrorismo del 1 de junio de 2017.</w:t>
      </w:r>
    </w:p>
    <w:p w14:paraId="6A6B7C22" w14:textId="77777777" w:rsidR="00BF65A1" w:rsidRPr="006A0747" w:rsidRDefault="00BF65A1" w:rsidP="00BF65A1">
      <w:pPr>
        <w:spacing w:line="360" w:lineRule="auto"/>
        <w:jc w:val="both"/>
        <w:rPr>
          <w:rFonts w:ascii="Times New Roman" w:eastAsia="Calibri" w:hAnsi="Times New Roman" w:cs="Times New Roman"/>
          <w:color w:val="767171"/>
          <w:spacing w:val="20"/>
          <w:sz w:val="24"/>
          <w:szCs w:val="24"/>
        </w:rPr>
      </w:pPr>
    </w:p>
    <w:p w14:paraId="38862528" w14:textId="77777777" w:rsidR="00BF65A1" w:rsidRPr="006A0747" w:rsidRDefault="00BF65A1" w:rsidP="00BF65A1">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t>PROPUESTAS NORMATIVAS EN CONSULTA PÚBLICA</w:t>
      </w:r>
    </w:p>
    <w:p w14:paraId="41BBDDCA" w14:textId="08BF0D30" w:rsidR="00BF65A1" w:rsidRPr="006A0747" w:rsidRDefault="00BF65A1" w:rsidP="00BF65A1">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t>Carta Circular: CCI-REG-202400009 del 12 de junio de 2024, “Puesta en vistas públicas de la propuesta del “Instructivo sobre las Sociedades de Información Crediticia (SIC)”.</w:t>
      </w:r>
    </w:p>
    <w:p w14:paraId="50FC7200" w14:textId="48C5A4BA" w:rsidR="00BF65A1" w:rsidRPr="006A0747" w:rsidRDefault="00BF65A1" w:rsidP="00BF65A1">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La SB pone en consulta pública para recopilar las observaciones de los sectores interesados, la propuesta del “Instructivo sobre las Sociedades de Información Crediticia (SIC)”. La propuesta persigue establecer los lineamientos, requerimientos y procedimientos que deberán cumplir las sociedades comerciales interesadas en operar como Sociedad de Información Crediticia (SIC), con el objetivo de recopilar y procesar información crediticia para ofertar los servicios de suministro, consulta e intercambio de historial crediticio de las personas físicas o jurídicas, conforme lo establecido en la Ley No. 172-13 sobre protección de datos del 13 de diciembre de 2013.</w:t>
      </w:r>
    </w:p>
    <w:p w14:paraId="6CDC0F9C" w14:textId="77777777" w:rsidR="005E0BAC" w:rsidRPr="006A0747" w:rsidRDefault="005E0BAC" w:rsidP="00BF65A1">
      <w:pPr>
        <w:spacing w:line="360" w:lineRule="auto"/>
        <w:jc w:val="both"/>
        <w:rPr>
          <w:rFonts w:ascii="Times New Roman" w:eastAsia="Calibri" w:hAnsi="Times New Roman" w:cs="Times New Roman"/>
          <w:color w:val="767171"/>
          <w:spacing w:val="20"/>
          <w:sz w:val="24"/>
          <w:szCs w:val="24"/>
        </w:rPr>
      </w:pPr>
    </w:p>
    <w:p w14:paraId="5998D5DB" w14:textId="217F6B34" w:rsidR="00BF65A1" w:rsidRPr="006A0747" w:rsidRDefault="00BF65A1" w:rsidP="00BF65A1">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t>Carta Circular: CCI-REG-202400017 del 12 de noviembre de 2024, “Puesta en vistas públicas de la propuesta del “Instructivo para la Conformación y Determinación de las Concentraciones Individuales y por Grupos de Riesgo”.</w:t>
      </w:r>
    </w:p>
    <w:p w14:paraId="57511F94" w14:textId="7B770858" w:rsidR="00BF65A1" w:rsidRPr="006A0747" w:rsidRDefault="00A50DC7" w:rsidP="00BF65A1">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El</w:t>
      </w:r>
      <w:r w:rsidR="00696422" w:rsidRPr="006A0747">
        <w:rPr>
          <w:rFonts w:ascii="Times New Roman" w:eastAsia="Calibri" w:hAnsi="Times New Roman" w:cs="Times New Roman"/>
          <w:color w:val="767171"/>
          <w:spacing w:val="20"/>
          <w:sz w:val="24"/>
          <w:szCs w:val="24"/>
        </w:rPr>
        <w:t xml:space="preserve"> instructivo </w:t>
      </w:r>
      <w:r w:rsidRPr="006A0747">
        <w:rPr>
          <w:rFonts w:ascii="Times New Roman" w:eastAsia="Calibri" w:hAnsi="Times New Roman" w:cs="Times New Roman"/>
          <w:color w:val="767171"/>
          <w:spacing w:val="20"/>
          <w:sz w:val="24"/>
          <w:szCs w:val="24"/>
        </w:rPr>
        <w:t>propuesto</w:t>
      </w:r>
      <w:r w:rsidR="00882345" w:rsidRPr="006A0747">
        <w:rPr>
          <w:rFonts w:ascii="Times New Roman" w:eastAsia="Calibri" w:hAnsi="Times New Roman" w:cs="Times New Roman"/>
          <w:color w:val="767171"/>
          <w:spacing w:val="20"/>
          <w:sz w:val="24"/>
          <w:szCs w:val="24"/>
        </w:rPr>
        <w:t>,</w:t>
      </w:r>
      <w:r w:rsidR="007F2AB4" w:rsidRPr="006A0747">
        <w:rPr>
          <w:rFonts w:ascii="Times New Roman" w:eastAsia="Calibri" w:hAnsi="Times New Roman" w:cs="Times New Roman"/>
          <w:color w:val="767171"/>
          <w:spacing w:val="20"/>
          <w:sz w:val="24"/>
          <w:szCs w:val="24"/>
        </w:rPr>
        <w:t xml:space="preserve"> colocado</w:t>
      </w:r>
      <w:r w:rsidR="00696422" w:rsidRPr="006A0747">
        <w:rPr>
          <w:rFonts w:ascii="Times New Roman" w:eastAsia="Calibri" w:hAnsi="Times New Roman" w:cs="Times New Roman"/>
          <w:color w:val="767171"/>
          <w:spacing w:val="20"/>
          <w:sz w:val="24"/>
          <w:szCs w:val="24"/>
        </w:rPr>
        <w:t xml:space="preserve"> en vistas públicas</w:t>
      </w:r>
      <w:r w:rsidR="00882345" w:rsidRPr="006A0747">
        <w:rPr>
          <w:rFonts w:ascii="Times New Roman" w:eastAsia="Calibri" w:hAnsi="Times New Roman" w:cs="Times New Roman"/>
          <w:color w:val="767171"/>
          <w:spacing w:val="20"/>
          <w:sz w:val="24"/>
          <w:szCs w:val="24"/>
        </w:rPr>
        <w:t>,</w:t>
      </w:r>
      <w:r w:rsidR="00BF65A1" w:rsidRPr="006A0747">
        <w:rPr>
          <w:rFonts w:ascii="Times New Roman" w:eastAsia="Calibri" w:hAnsi="Times New Roman" w:cs="Times New Roman"/>
          <w:color w:val="767171"/>
          <w:spacing w:val="20"/>
          <w:sz w:val="24"/>
          <w:szCs w:val="24"/>
        </w:rPr>
        <w:t xml:space="preserve"> tiene por finalidad establecer los lineamientos mínimos que deberán cumplir las </w:t>
      </w:r>
      <w:r w:rsidR="001F7E28" w:rsidRPr="006A0747">
        <w:rPr>
          <w:rFonts w:ascii="Times New Roman" w:eastAsia="Calibri" w:hAnsi="Times New Roman" w:cs="Times New Roman"/>
          <w:color w:val="767171"/>
          <w:spacing w:val="20"/>
          <w:sz w:val="24"/>
          <w:szCs w:val="24"/>
        </w:rPr>
        <w:t>EIF,</w:t>
      </w:r>
      <w:r w:rsidR="00BF65A1" w:rsidRPr="006A0747">
        <w:rPr>
          <w:rFonts w:ascii="Times New Roman" w:eastAsia="Calibri" w:hAnsi="Times New Roman" w:cs="Times New Roman"/>
          <w:color w:val="767171"/>
          <w:spacing w:val="20"/>
          <w:sz w:val="24"/>
          <w:szCs w:val="24"/>
        </w:rPr>
        <w:t xml:space="preserve"> y que utilizará la Superintendencia de Bancos para la </w:t>
      </w:r>
      <w:r w:rsidR="00BF65A1" w:rsidRPr="006A0747">
        <w:rPr>
          <w:rFonts w:ascii="Times New Roman" w:eastAsia="Calibri" w:hAnsi="Times New Roman" w:cs="Times New Roman"/>
          <w:color w:val="767171"/>
          <w:spacing w:val="20"/>
          <w:sz w:val="24"/>
          <w:szCs w:val="24"/>
        </w:rPr>
        <w:lastRenderedPageBreak/>
        <w:t>conformación de los Grupos de Riesgo, así como el mecanismo para la determinación de la concentración de riesgos y el cómputo de los límites por operaciones de financiamientos directos e indirectos establecidos en el literal a) del artículo 47 de la Ley Núm. 183-02 Monetaria y Financiera. Estos lineamientos han sido formulados de conformidad con las disposiciones del Reglamento sobre Concentración de Riesgos aprobado por la Junta Monetaria en la Quinta Resolución del 19 de diciembre de 2006 y sus modificaciones.</w:t>
      </w:r>
    </w:p>
    <w:p w14:paraId="3F227AF8" w14:textId="77777777" w:rsidR="00BF65A1" w:rsidRPr="006A0747" w:rsidRDefault="00BF65A1" w:rsidP="00BF65A1">
      <w:pPr>
        <w:spacing w:line="360" w:lineRule="auto"/>
        <w:jc w:val="both"/>
        <w:rPr>
          <w:rFonts w:ascii="Times New Roman" w:eastAsia="Calibri" w:hAnsi="Times New Roman" w:cs="Times New Roman"/>
          <w:color w:val="767171"/>
          <w:spacing w:val="20"/>
          <w:sz w:val="24"/>
          <w:szCs w:val="24"/>
        </w:rPr>
      </w:pPr>
    </w:p>
    <w:p w14:paraId="7613D66E" w14:textId="1F6F4FBC" w:rsidR="00BF65A1" w:rsidRPr="006A0747" w:rsidRDefault="005E0BAC" w:rsidP="00BF65A1">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t>Otros logros en temas de regulación que se llevaron a cabo fueron:</w:t>
      </w:r>
    </w:p>
    <w:p w14:paraId="709EA19B" w14:textId="61C9AC10" w:rsidR="00BF65A1" w:rsidRPr="006A0747" w:rsidRDefault="00BF65A1" w:rsidP="00BF65A1">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t>Informe Anual sobre Resultados Revisión de Calidad de las Auditorías externas de las EIF</w:t>
      </w:r>
      <w:r w:rsidR="005E0BAC" w:rsidRPr="006A0747">
        <w:rPr>
          <w:rFonts w:ascii="Times New Roman" w:eastAsia="Calibri" w:hAnsi="Times New Roman" w:cs="Times New Roman"/>
          <w:b/>
          <w:color w:val="767171"/>
          <w:spacing w:val="20"/>
          <w:sz w:val="24"/>
          <w:szCs w:val="24"/>
        </w:rPr>
        <w:t>.</w:t>
      </w:r>
    </w:p>
    <w:p w14:paraId="10AA9E7D" w14:textId="02AB0DCF" w:rsidR="00BF65A1" w:rsidRPr="006A0747" w:rsidRDefault="00BF65A1" w:rsidP="00BF65A1">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Mediante la Vigésima Resolución de la Junta Monetaria del 16 de mayo de 2024, se </w:t>
      </w:r>
      <w:r w:rsidR="00436508" w:rsidRPr="006A0747">
        <w:rPr>
          <w:rFonts w:ascii="Times New Roman" w:eastAsia="Calibri" w:hAnsi="Times New Roman" w:cs="Times New Roman"/>
          <w:color w:val="767171"/>
          <w:spacing w:val="20"/>
          <w:sz w:val="24"/>
          <w:szCs w:val="24"/>
        </w:rPr>
        <w:t>dio</w:t>
      </w:r>
      <w:r w:rsidRPr="006A0747">
        <w:rPr>
          <w:rFonts w:ascii="Times New Roman" w:eastAsia="Calibri" w:hAnsi="Times New Roman" w:cs="Times New Roman"/>
          <w:color w:val="767171"/>
          <w:spacing w:val="20"/>
          <w:sz w:val="24"/>
          <w:szCs w:val="24"/>
        </w:rPr>
        <w:t xml:space="preserve"> por conocido el Informe Anual sobre Resultados Revisión de Calidad de las Auditorías externas de las EIF. Este informe proporciona un resumen de los resultados del programa de revisiones de calidad de las auditorías externas de las EIF, ejecutado por la SB durante el periodo 2023</w:t>
      </w:r>
      <w:r w:rsidR="00E2027C" w:rsidRPr="006A0747">
        <w:rPr>
          <w:rFonts w:ascii="Times New Roman" w:eastAsia="Calibri" w:hAnsi="Times New Roman" w:cs="Times New Roman"/>
          <w:color w:val="767171"/>
          <w:spacing w:val="20"/>
          <w:sz w:val="24"/>
          <w:szCs w:val="24"/>
        </w:rPr>
        <w:t>,</w:t>
      </w:r>
      <w:r w:rsidRPr="006A0747">
        <w:rPr>
          <w:rFonts w:ascii="Times New Roman" w:eastAsia="Calibri" w:hAnsi="Times New Roman" w:cs="Times New Roman"/>
          <w:color w:val="767171"/>
          <w:spacing w:val="20"/>
          <w:sz w:val="24"/>
          <w:szCs w:val="24"/>
        </w:rPr>
        <w:t xml:space="preserve"> </w:t>
      </w:r>
      <w:r w:rsidR="00E2027C" w:rsidRPr="006A0747">
        <w:rPr>
          <w:rFonts w:ascii="Times New Roman" w:eastAsia="Calibri" w:hAnsi="Times New Roman" w:cs="Times New Roman"/>
          <w:color w:val="767171"/>
          <w:spacing w:val="20"/>
          <w:sz w:val="24"/>
          <w:szCs w:val="24"/>
        </w:rPr>
        <w:t>sobre</w:t>
      </w:r>
      <w:r w:rsidRPr="006A0747">
        <w:rPr>
          <w:rFonts w:ascii="Times New Roman" w:eastAsia="Calibri" w:hAnsi="Times New Roman" w:cs="Times New Roman"/>
          <w:color w:val="767171"/>
          <w:spacing w:val="20"/>
          <w:sz w:val="24"/>
          <w:szCs w:val="24"/>
        </w:rPr>
        <w:t xml:space="preserve"> los estados financieros con periodos finalizados al cierre del 2022</w:t>
      </w:r>
      <w:r w:rsidR="00E0067E" w:rsidRPr="006A0747">
        <w:rPr>
          <w:rFonts w:ascii="Times New Roman" w:eastAsia="Calibri" w:hAnsi="Times New Roman" w:cs="Times New Roman"/>
          <w:color w:val="767171"/>
          <w:spacing w:val="20"/>
          <w:sz w:val="24"/>
          <w:szCs w:val="24"/>
        </w:rPr>
        <w:t>.</w:t>
      </w:r>
      <w:r w:rsidR="00436508" w:rsidRPr="006A0747">
        <w:rPr>
          <w:rFonts w:ascii="Times New Roman" w:eastAsia="Calibri" w:hAnsi="Times New Roman" w:cs="Times New Roman"/>
          <w:color w:val="767171"/>
          <w:spacing w:val="20"/>
          <w:sz w:val="24"/>
          <w:szCs w:val="24"/>
        </w:rPr>
        <w:t xml:space="preserve"> La revisión</w:t>
      </w:r>
      <w:r w:rsidRPr="006A0747">
        <w:rPr>
          <w:rFonts w:ascii="Times New Roman" w:eastAsia="Calibri" w:hAnsi="Times New Roman" w:cs="Times New Roman"/>
          <w:color w:val="767171"/>
          <w:spacing w:val="20"/>
          <w:sz w:val="24"/>
          <w:szCs w:val="24"/>
        </w:rPr>
        <w:t xml:space="preserve"> abarcó un total de dieciocho (18) auditorías. </w:t>
      </w:r>
    </w:p>
    <w:p w14:paraId="0E8FEF54" w14:textId="21D08E10" w:rsidR="00BF65A1" w:rsidRPr="006A0747" w:rsidRDefault="00BF65A1" w:rsidP="00BF65A1">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Dichas revisiones, consisten en efectuar evaluaciones a las prácticas y procedimientos de las firmas en la ejecución de las auditorías, con el objeto de evaluar el cumplimiento de las Normas Internacionales de Auditoría y los requerimientos establecidos en el Reglamento para Auditorías. Se pretende esencialmente, contribuir a la mejora de la calidad de las auditorías para aportar información valiosa que contribuya a la eficacia del proceso de supervisión.</w:t>
      </w:r>
    </w:p>
    <w:p w14:paraId="11129940" w14:textId="77777777" w:rsidR="004D2910" w:rsidRPr="006A0747" w:rsidRDefault="004D2910" w:rsidP="00222863">
      <w:pPr>
        <w:spacing w:line="360" w:lineRule="auto"/>
        <w:jc w:val="both"/>
        <w:rPr>
          <w:rFonts w:ascii="Times New Roman" w:eastAsia="Calibri" w:hAnsi="Times New Roman" w:cs="Times New Roman"/>
          <w:color w:val="767171"/>
          <w:spacing w:val="20"/>
          <w:sz w:val="24"/>
          <w:szCs w:val="24"/>
        </w:rPr>
      </w:pPr>
    </w:p>
    <w:p w14:paraId="12741D6E" w14:textId="77777777" w:rsidR="00222863" w:rsidRPr="006A0747" w:rsidRDefault="00222863" w:rsidP="000813B9">
      <w:pPr>
        <w:pStyle w:val="Ttulo2"/>
        <w:numPr>
          <w:ilvl w:val="1"/>
          <w:numId w:val="17"/>
        </w:numPr>
        <w:rPr>
          <w:rFonts w:ascii="Times New Roman" w:eastAsia="Calibri" w:hAnsi="Times New Roman" w:cs="Times New Roman"/>
          <w:b/>
          <w:color w:val="767171"/>
          <w:spacing w:val="20"/>
          <w:sz w:val="24"/>
          <w:szCs w:val="24"/>
        </w:rPr>
      </w:pPr>
      <w:bookmarkStart w:id="35" w:name="_Toc185274998"/>
      <w:r w:rsidRPr="006A0747">
        <w:rPr>
          <w:rFonts w:ascii="Times New Roman" w:eastAsia="Calibri" w:hAnsi="Times New Roman" w:cs="Times New Roman"/>
          <w:b/>
          <w:color w:val="767171"/>
          <w:spacing w:val="20"/>
          <w:sz w:val="24"/>
          <w:szCs w:val="24"/>
        </w:rPr>
        <w:lastRenderedPageBreak/>
        <w:t>Procesos de Registro y Autorizaciones</w:t>
      </w:r>
      <w:bookmarkEnd w:id="35"/>
    </w:p>
    <w:p w14:paraId="0B99C687" w14:textId="77777777" w:rsidR="00222863" w:rsidRPr="006A0747" w:rsidRDefault="00222863" w:rsidP="00222863">
      <w:pPr>
        <w:rPr>
          <w:rFonts w:ascii="Times New Roman" w:hAnsi="Times New Roman" w:cs="Times New Roman"/>
          <w:color w:val="767171"/>
        </w:rPr>
      </w:pPr>
    </w:p>
    <w:p w14:paraId="2561DA0C" w14:textId="5BFDFD6E" w:rsidR="00222863" w:rsidRPr="006A0747" w:rsidRDefault="00D22D0F" w:rsidP="00222863">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Una de las funciones</w:t>
      </w:r>
      <w:r w:rsidR="0068032A" w:rsidRPr="006A0747">
        <w:rPr>
          <w:rFonts w:ascii="Times New Roman" w:eastAsia="Calibri" w:hAnsi="Times New Roman" w:cs="Times New Roman"/>
          <w:color w:val="767171"/>
          <w:spacing w:val="20"/>
          <w:sz w:val="24"/>
          <w:szCs w:val="24"/>
        </w:rPr>
        <w:t xml:space="preserve"> y atribuciones</w:t>
      </w:r>
      <w:r w:rsidRPr="006A0747">
        <w:rPr>
          <w:rFonts w:ascii="Times New Roman" w:eastAsia="Calibri" w:hAnsi="Times New Roman" w:cs="Times New Roman"/>
          <w:color w:val="767171"/>
          <w:spacing w:val="20"/>
          <w:sz w:val="24"/>
          <w:szCs w:val="24"/>
        </w:rPr>
        <w:t xml:space="preserve"> de la Superintendencia de Bancos es recibir y gestionar las solicitudes de autorizaciones, no objeciones y notificaciones realizadas por las entidades de intermediación financiera, entidades de intermediación cambiaria, oficinas de representación, sociedades de información crediticia, fiduciarias, subagentes bancarios y otras entidades vinculadas al sistema financiero.</w:t>
      </w:r>
      <w:r w:rsidR="00222863" w:rsidRPr="006A0747">
        <w:rPr>
          <w:rFonts w:ascii="Times New Roman" w:eastAsia="Calibri" w:hAnsi="Times New Roman" w:cs="Times New Roman"/>
          <w:color w:val="767171"/>
          <w:spacing w:val="20"/>
          <w:sz w:val="24"/>
          <w:szCs w:val="24"/>
        </w:rPr>
        <w:t xml:space="preserve"> Concomitantemente, está a su cargo la actualización del sistema de registros con la información</w:t>
      </w:r>
      <w:r w:rsidR="00902279" w:rsidRPr="006A0747">
        <w:rPr>
          <w:rFonts w:ascii="Times New Roman" w:eastAsia="Calibri" w:hAnsi="Times New Roman" w:cs="Times New Roman"/>
          <w:color w:val="767171"/>
          <w:spacing w:val="20"/>
          <w:sz w:val="24"/>
          <w:szCs w:val="24"/>
        </w:rPr>
        <w:t xml:space="preserve"> requerida por la normativa vigente,</w:t>
      </w:r>
      <w:r w:rsidR="00222863" w:rsidRPr="006A0747">
        <w:rPr>
          <w:rFonts w:ascii="Times New Roman" w:eastAsia="Calibri" w:hAnsi="Times New Roman" w:cs="Times New Roman"/>
          <w:color w:val="767171"/>
          <w:spacing w:val="20"/>
          <w:sz w:val="24"/>
          <w:szCs w:val="24"/>
        </w:rPr>
        <w:t xml:space="preserve"> relativa a la autorización y cumplimiento de la entida</w:t>
      </w:r>
      <w:r w:rsidR="00902279" w:rsidRPr="006A0747">
        <w:rPr>
          <w:rFonts w:ascii="Times New Roman" w:eastAsia="Calibri" w:hAnsi="Times New Roman" w:cs="Times New Roman"/>
          <w:color w:val="767171"/>
          <w:spacing w:val="20"/>
          <w:sz w:val="24"/>
          <w:szCs w:val="24"/>
        </w:rPr>
        <w:t>d</w:t>
      </w:r>
      <w:r w:rsidR="00222863" w:rsidRPr="006A0747">
        <w:rPr>
          <w:rFonts w:ascii="Times New Roman" w:eastAsia="Calibri" w:hAnsi="Times New Roman" w:cs="Times New Roman"/>
          <w:color w:val="767171"/>
          <w:spacing w:val="20"/>
          <w:sz w:val="24"/>
          <w:szCs w:val="24"/>
        </w:rPr>
        <w:t>. Bajo este rol, la Superintendencia de Bancos, verifica y evalúa los documentos de soporte sometidos por las entidades, emite opiniones técnicas, da respuesta a las solicitudes que recibe, y mantiene actualizados los registros de entidades bajo su supervisión en las plataformas tecnológicas diseñadas para tales fines.</w:t>
      </w:r>
    </w:p>
    <w:p w14:paraId="458490C0" w14:textId="6092CA8E" w:rsidR="00FA3231" w:rsidRPr="006A0747" w:rsidRDefault="00222863" w:rsidP="00FA3231">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Durante </w:t>
      </w:r>
      <w:r w:rsidR="00913F71" w:rsidRPr="006A0747">
        <w:rPr>
          <w:rFonts w:ascii="Times New Roman" w:eastAsia="Calibri" w:hAnsi="Times New Roman" w:cs="Times New Roman"/>
          <w:color w:val="767171"/>
          <w:spacing w:val="20"/>
          <w:sz w:val="24"/>
          <w:szCs w:val="24"/>
        </w:rPr>
        <w:t>el</w:t>
      </w:r>
      <w:r w:rsidRPr="006A0747">
        <w:rPr>
          <w:rFonts w:ascii="Times New Roman" w:eastAsia="Calibri" w:hAnsi="Times New Roman" w:cs="Times New Roman"/>
          <w:color w:val="767171"/>
          <w:spacing w:val="20"/>
          <w:sz w:val="24"/>
          <w:szCs w:val="24"/>
        </w:rPr>
        <w:t xml:space="preserve"> 2024, la Superintendencia de Bancos recibió un total de </w:t>
      </w:r>
      <w:r w:rsidR="00190A28" w:rsidRPr="006A0747">
        <w:rPr>
          <w:rFonts w:ascii="Times New Roman" w:eastAsia="Calibri" w:hAnsi="Times New Roman" w:cs="Times New Roman"/>
          <w:color w:val="767171"/>
          <w:spacing w:val="20"/>
          <w:sz w:val="24"/>
          <w:szCs w:val="24"/>
        </w:rPr>
        <w:t>5</w:t>
      </w:r>
      <w:r w:rsidR="004605C6" w:rsidRPr="006A0747">
        <w:rPr>
          <w:rFonts w:ascii="Times New Roman" w:eastAsia="Calibri" w:hAnsi="Times New Roman" w:cs="Times New Roman"/>
          <w:color w:val="767171"/>
          <w:spacing w:val="20"/>
          <w:sz w:val="24"/>
          <w:szCs w:val="24"/>
        </w:rPr>
        <w:t>,109</w:t>
      </w:r>
      <w:r w:rsidRPr="006A0747">
        <w:rPr>
          <w:rFonts w:ascii="Times New Roman" w:eastAsia="Calibri" w:hAnsi="Times New Roman" w:cs="Times New Roman"/>
          <w:color w:val="767171"/>
          <w:spacing w:val="20"/>
          <w:sz w:val="24"/>
          <w:szCs w:val="24"/>
        </w:rPr>
        <w:t xml:space="preserve"> solicitudes, lo que representa un aumento del </w:t>
      </w:r>
      <w:r w:rsidR="004605C6" w:rsidRPr="006A0747">
        <w:rPr>
          <w:rFonts w:ascii="Times New Roman" w:eastAsia="Calibri" w:hAnsi="Times New Roman" w:cs="Times New Roman"/>
          <w:color w:val="767171"/>
          <w:spacing w:val="20"/>
          <w:sz w:val="24"/>
          <w:szCs w:val="24"/>
        </w:rPr>
        <w:t>3</w:t>
      </w:r>
      <w:r w:rsidRPr="006A0747">
        <w:rPr>
          <w:rFonts w:ascii="Times New Roman" w:eastAsia="Calibri" w:hAnsi="Times New Roman" w:cs="Times New Roman"/>
          <w:color w:val="767171"/>
          <w:spacing w:val="20"/>
          <w:sz w:val="24"/>
          <w:szCs w:val="24"/>
        </w:rPr>
        <w:t xml:space="preserve">% con respecto al mismo período del año anterior. </w:t>
      </w:r>
      <w:r w:rsidR="00EB03EE" w:rsidRPr="006A0747">
        <w:rPr>
          <w:rFonts w:ascii="Times New Roman" w:eastAsia="Calibri" w:hAnsi="Times New Roman" w:cs="Times New Roman"/>
          <w:color w:val="767171"/>
          <w:spacing w:val="20"/>
          <w:sz w:val="24"/>
          <w:szCs w:val="24"/>
        </w:rPr>
        <w:t>E</w:t>
      </w:r>
      <w:r w:rsidR="00FA3231" w:rsidRPr="006A0747">
        <w:rPr>
          <w:rFonts w:ascii="Times New Roman" w:eastAsia="Calibri" w:hAnsi="Times New Roman" w:cs="Times New Roman"/>
          <w:color w:val="767171"/>
          <w:spacing w:val="20"/>
          <w:sz w:val="24"/>
          <w:szCs w:val="24"/>
        </w:rPr>
        <w:t xml:space="preserve">n </w:t>
      </w:r>
      <w:r w:rsidR="00EB03EE" w:rsidRPr="006A0747">
        <w:rPr>
          <w:rFonts w:ascii="Times New Roman" w:eastAsia="Calibri" w:hAnsi="Times New Roman" w:cs="Times New Roman"/>
          <w:color w:val="767171"/>
          <w:spacing w:val="20"/>
          <w:sz w:val="24"/>
          <w:szCs w:val="24"/>
        </w:rPr>
        <w:t>este</w:t>
      </w:r>
      <w:r w:rsidR="00FA3231" w:rsidRPr="006A0747">
        <w:rPr>
          <w:rFonts w:ascii="Times New Roman" w:eastAsia="Calibri" w:hAnsi="Times New Roman" w:cs="Times New Roman"/>
          <w:color w:val="767171"/>
          <w:spacing w:val="20"/>
          <w:sz w:val="24"/>
          <w:szCs w:val="24"/>
        </w:rPr>
        <w:t xml:space="preserve"> período</w:t>
      </w:r>
      <w:r w:rsidR="00EB03EE" w:rsidRPr="006A0747">
        <w:rPr>
          <w:rFonts w:ascii="Times New Roman" w:eastAsia="Calibri" w:hAnsi="Times New Roman" w:cs="Times New Roman"/>
          <w:color w:val="767171"/>
          <w:spacing w:val="20"/>
          <w:sz w:val="24"/>
          <w:szCs w:val="24"/>
        </w:rPr>
        <w:t xml:space="preserve">, </w:t>
      </w:r>
      <w:r w:rsidR="00FA3231" w:rsidRPr="006A0747">
        <w:rPr>
          <w:rFonts w:ascii="Times New Roman" w:eastAsia="Calibri" w:hAnsi="Times New Roman" w:cs="Times New Roman"/>
          <w:color w:val="767171"/>
          <w:spacing w:val="20"/>
          <w:sz w:val="24"/>
          <w:szCs w:val="24"/>
        </w:rPr>
        <w:t>se respondieron 5,099 solicitudes a las entidades en diferentes trámites que incluyen autorizaciones, no objeción, respuestas, notificaciones y cumplimientos, para un incremento de 2% respecto al mismo periodo del año anterior.</w:t>
      </w:r>
    </w:p>
    <w:p w14:paraId="73D58634" w14:textId="58B2989B" w:rsidR="00FA3231" w:rsidRPr="006A0747" w:rsidRDefault="00E70617" w:rsidP="00FA3231">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Cabe destacar que, durante </w:t>
      </w:r>
      <w:r w:rsidR="00A24E67" w:rsidRPr="006A0747">
        <w:rPr>
          <w:rFonts w:ascii="Times New Roman" w:eastAsia="Calibri" w:hAnsi="Times New Roman" w:cs="Times New Roman"/>
          <w:color w:val="767171"/>
          <w:spacing w:val="20"/>
          <w:sz w:val="24"/>
          <w:szCs w:val="24"/>
        </w:rPr>
        <w:t>este año</w:t>
      </w:r>
      <w:r w:rsidR="00DA248A" w:rsidRPr="006A0747">
        <w:rPr>
          <w:rFonts w:ascii="Times New Roman" w:eastAsia="Calibri" w:hAnsi="Times New Roman" w:cs="Times New Roman"/>
          <w:color w:val="767171"/>
          <w:spacing w:val="20"/>
          <w:sz w:val="24"/>
          <w:szCs w:val="24"/>
        </w:rPr>
        <w:t xml:space="preserve">, </w:t>
      </w:r>
      <w:r w:rsidR="00FA3231" w:rsidRPr="006A0747">
        <w:rPr>
          <w:rFonts w:ascii="Times New Roman" w:eastAsia="Calibri" w:hAnsi="Times New Roman" w:cs="Times New Roman"/>
          <w:color w:val="767171"/>
          <w:spacing w:val="20"/>
          <w:sz w:val="24"/>
          <w:szCs w:val="24"/>
        </w:rPr>
        <w:t xml:space="preserve">se ha </w:t>
      </w:r>
      <w:r w:rsidR="007A06BB" w:rsidRPr="006A0747">
        <w:rPr>
          <w:rFonts w:ascii="Times New Roman" w:eastAsia="Calibri" w:hAnsi="Times New Roman" w:cs="Times New Roman"/>
          <w:color w:val="767171"/>
          <w:spacing w:val="20"/>
          <w:sz w:val="24"/>
          <w:szCs w:val="24"/>
        </w:rPr>
        <w:t>dado prioridad a</w:t>
      </w:r>
      <w:r w:rsidR="00FA3231" w:rsidRPr="006A0747">
        <w:rPr>
          <w:rFonts w:ascii="Times New Roman" w:eastAsia="Calibri" w:hAnsi="Times New Roman" w:cs="Times New Roman"/>
          <w:color w:val="767171"/>
          <w:spacing w:val="20"/>
          <w:sz w:val="24"/>
          <w:szCs w:val="24"/>
        </w:rPr>
        <w:t xml:space="preserve"> las solicitudes relacionadas con nuevos productos, servicios y procesos basados en nuevas tecnologías, firmas electrónicas, </w:t>
      </w:r>
      <w:r w:rsidR="0087271B" w:rsidRPr="006A0747">
        <w:rPr>
          <w:rFonts w:ascii="Times New Roman" w:eastAsia="Calibri" w:hAnsi="Times New Roman" w:cs="Times New Roman"/>
          <w:color w:val="767171"/>
          <w:spacing w:val="20"/>
          <w:sz w:val="24"/>
          <w:szCs w:val="24"/>
        </w:rPr>
        <w:t>I</w:t>
      </w:r>
      <w:r w:rsidR="00FA3231" w:rsidRPr="006A0747">
        <w:rPr>
          <w:rFonts w:ascii="Times New Roman" w:eastAsia="Calibri" w:hAnsi="Times New Roman" w:cs="Times New Roman"/>
          <w:color w:val="767171"/>
          <w:spacing w:val="20"/>
          <w:sz w:val="24"/>
          <w:szCs w:val="24"/>
        </w:rPr>
        <w:t xml:space="preserve">nternet </w:t>
      </w:r>
      <w:proofErr w:type="spellStart"/>
      <w:r w:rsidR="0087271B" w:rsidRPr="006A0747">
        <w:rPr>
          <w:rFonts w:ascii="Times New Roman" w:eastAsia="Calibri" w:hAnsi="Times New Roman" w:cs="Times New Roman"/>
          <w:color w:val="767171"/>
          <w:spacing w:val="20"/>
          <w:sz w:val="24"/>
          <w:szCs w:val="24"/>
        </w:rPr>
        <w:t>B</w:t>
      </w:r>
      <w:r w:rsidR="00FA3231" w:rsidRPr="006A0747">
        <w:rPr>
          <w:rFonts w:ascii="Times New Roman" w:eastAsia="Calibri" w:hAnsi="Times New Roman" w:cs="Times New Roman"/>
          <w:color w:val="767171"/>
          <w:spacing w:val="20"/>
          <w:sz w:val="24"/>
          <w:szCs w:val="24"/>
        </w:rPr>
        <w:t>anking</w:t>
      </w:r>
      <w:proofErr w:type="spellEnd"/>
      <w:r w:rsidR="00FA3231" w:rsidRPr="006A0747">
        <w:rPr>
          <w:rFonts w:ascii="Times New Roman" w:eastAsia="Calibri" w:hAnsi="Times New Roman" w:cs="Times New Roman"/>
          <w:color w:val="767171"/>
          <w:spacing w:val="20"/>
          <w:sz w:val="24"/>
          <w:szCs w:val="24"/>
        </w:rPr>
        <w:t xml:space="preserve"> y aplicaciones móviles. Esto, a los fines de </w:t>
      </w:r>
      <w:r w:rsidR="009219D6" w:rsidRPr="006A0747">
        <w:rPr>
          <w:rFonts w:ascii="Times New Roman" w:eastAsia="Calibri" w:hAnsi="Times New Roman" w:cs="Times New Roman"/>
          <w:color w:val="767171"/>
          <w:spacing w:val="20"/>
          <w:sz w:val="24"/>
          <w:szCs w:val="24"/>
        </w:rPr>
        <w:t>propiciar</w:t>
      </w:r>
      <w:r w:rsidR="00720BBB" w:rsidRPr="006A0747">
        <w:rPr>
          <w:rFonts w:ascii="Times New Roman" w:eastAsia="Calibri" w:hAnsi="Times New Roman" w:cs="Times New Roman"/>
          <w:color w:val="767171"/>
          <w:spacing w:val="20"/>
          <w:sz w:val="24"/>
          <w:szCs w:val="24"/>
        </w:rPr>
        <w:t xml:space="preserve"> el establecimiento de</w:t>
      </w:r>
      <w:r w:rsidR="00FA3231" w:rsidRPr="006A0747">
        <w:rPr>
          <w:rFonts w:ascii="Times New Roman" w:eastAsia="Calibri" w:hAnsi="Times New Roman" w:cs="Times New Roman"/>
          <w:color w:val="767171"/>
          <w:spacing w:val="20"/>
          <w:sz w:val="24"/>
          <w:szCs w:val="24"/>
        </w:rPr>
        <w:t xml:space="preserve"> nuevos modelos de negocios </w:t>
      </w:r>
      <w:r w:rsidR="00AF730E" w:rsidRPr="006A0747">
        <w:rPr>
          <w:rFonts w:ascii="Times New Roman" w:eastAsia="Calibri" w:hAnsi="Times New Roman" w:cs="Times New Roman"/>
          <w:color w:val="767171"/>
          <w:spacing w:val="20"/>
          <w:sz w:val="24"/>
          <w:szCs w:val="24"/>
        </w:rPr>
        <w:t>por parte de</w:t>
      </w:r>
      <w:r w:rsidR="00FA3231" w:rsidRPr="006A0747">
        <w:rPr>
          <w:rFonts w:ascii="Times New Roman" w:eastAsia="Calibri" w:hAnsi="Times New Roman" w:cs="Times New Roman"/>
          <w:color w:val="767171"/>
          <w:spacing w:val="20"/>
          <w:sz w:val="24"/>
          <w:szCs w:val="24"/>
        </w:rPr>
        <w:t xml:space="preserve"> las </w:t>
      </w:r>
      <w:r w:rsidR="00AF730E" w:rsidRPr="006A0747">
        <w:rPr>
          <w:rFonts w:ascii="Times New Roman" w:eastAsia="Calibri" w:hAnsi="Times New Roman" w:cs="Times New Roman"/>
          <w:color w:val="767171"/>
          <w:spacing w:val="20"/>
          <w:sz w:val="24"/>
          <w:szCs w:val="24"/>
        </w:rPr>
        <w:t>EIF</w:t>
      </w:r>
      <w:r w:rsidR="00FA3231" w:rsidRPr="006A0747">
        <w:rPr>
          <w:rFonts w:ascii="Times New Roman" w:eastAsia="Calibri" w:hAnsi="Times New Roman" w:cs="Times New Roman"/>
          <w:color w:val="767171"/>
          <w:spacing w:val="20"/>
          <w:sz w:val="24"/>
          <w:szCs w:val="24"/>
        </w:rPr>
        <w:t xml:space="preserve"> y facilitar la provisión de servicios de forma no presencial. La </w:t>
      </w:r>
      <w:r w:rsidR="00FA3231" w:rsidRPr="006A0747">
        <w:rPr>
          <w:rFonts w:ascii="Times New Roman" w:eastAsia="Calibri" w:hAnsi="Times New Roman" w:cs="Times New Roman"/>
          <w:color w:val="767171"/>
          <w:spacing w:val="20"/>
          <w:sz w:val="24"/>
          <w:szCs w:val="24"/>
        </w:rPr>
        <w:lastRenderedPageBreak/>
        <w:t>S</w:t>
      </w:r>
      <w:r w:rsidR="004B3CD8" w:rsidRPr="006A0747">
        <w:rPr>
          <w:rFonts w:ascii="Times New Roman" w:eastAsia="Calibri" w:hAnsi="Times New Roman" w:cs="Times New Roman"/>
          <w:color w:val="767171"/>
          <w:spacing w:val="20"/>
          <w:sz w:val="24"/>
          <w:szCs w:val="24"/>
        </w:rPr>
        <w:t xml:space="preserve">uperintendencia de </w:t>
      </w:r>
      <w:r w:rsidR="00FA3231" w:rsidRPr="006A0747">
        <w:rPr>
          <w:rFonts w:ascii="Times New Roman" w:eastAsia="Calibri" w:hAnsi="Times New Roman" w:cs="Times New Roman"/>
          <w:color w:val="767171"/>
          <w:spacing w:val="20"/>
          <w:sz w:val="24"/>
          <w:szCs w:val="24"/>
        </w:rPr>
        <w:t>B</w:t>
      </w:r>
      <w:r w:rsidR="004B3CD8" w:rsidRPr="006A0747">
        <w:rPr>
          <w:rFonts w:ascii="Times New Roman" w:eastAsia="Calibri" w:hAnsi="Times New Roman" w:cs="Times New Roman"/>
          <w:color w:val="767171"/>
          <w:spacing w:val="20"/>
          <w:sz w:val="24"/>
          <w:szCs w:val="24"/>
        </w:rPr>
        <w:t>ancos</w:t>
      </w:r>
      <w:r w:rsidR="00FA3231" w:rsidRPr="006A0747">
        <w:rPr>
          <w:rFonts w:ascii="Times New Roman" w:eastAsia="Calibri" w:hAnsi="Times New Roman" w:cs="Times New Roman"/>
          <w:color w:val="767171"/>
          <w:spacing w:val="20"/>
          <w:sz w:val="24"/>
          <w:szCs w:val="24"/>
        </w:rPr>
        <w:t>, ha procesado y cerrado exitosamente 17 solicitudes de no objeción orientadas a este fin.</w:t>
      </w:r>
    </w:p>
    <w:p w14:paraId="618A67A2" w14:textId="2298D831" w:rsidR="00FA3231" w:rsidRPr="006A0747" w:rsidRDefault="00FA3231" w:rsidP="00FA3231">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Uno de los hitos a resaltar, de cara a las iniciativas de inclusión financiera</w:t>
      </w:r>
      <w:r w:rsidR="00B14820" w:rsidRPr="006A0747">
        <w:rPr>
          <w:rFonts w:ascii="Times New Roman" w:eastAsia="Calibri" w:hAnsi="Times New Roman" w:cs="Times New Roman"/>
          <w:color w:val="767171"/>
          <w:spacing w:val="20"/>
          <w:sz w:val="24"/>
          <w:szCs w:val="24"/>
        </w:rPr>
        <w:t>,</w:t>
      </w:r>
      <w:r w:rsidRPr="006A0747">
        <w:rPr>
          <w:rFonts w:ascii="Times New Roman" w:eastAsia="Calibri" w:hAnsi="Times New Roman" w:cs="Times New Roman"/>
          <w:color w:val="767171"/>
          <w:spacing w:val="20"/>
          <w:sz w:val="24"/>
          <w:szCs w:val="24"/>
        </w:rPr>
        <w:t xml:space="preserve"> fue</w:t>
      </w:r>
      <w:r w:rsidR="00B14653" w:rsidRPr="006A0747">
        <w:rPr>
          <w:rFonts w:ascii="Times New Roman" w:eastAsia="Calibri" w:hAnsi="Times New Roman" w:cs="Times New Roman"/>
          <w:color w:val="767171"/>
          <w:spacing w:val="20"/>
          <w:sz w:val="24"/>
          <w:szCs w:val="24"/>
        </w:rPr>
        <w:t xml:space="preserve"> el registro exitoso </w:t>
      </w:r>
      <w:r w:rsidR="00ED0F74" w:rsidRPr="006A0747">
        <w:rPr>
          <w:rFonts w:ascii="Times New Roman" w:eastAsia="Calibri" w:hAnsi="Times New Roman" w:cs="Times New Roman"/>
          <w:color w:val="767171"/>
          <w:spacing w:val="20"/>
          <w:sz w:val="24"/>
          <w:szCs w:val="24"/>
        </w:rPr>
        <w:t>de los dos primeros administradores de subagentes bancarios, figura creada gracias a</w:t>
      </w:r>
      <w:r w:rsidRPr="006A0747">
        <w:rPr>
          <w:rFonts w:ascii="Times New Roman" w:eastAsia="Calibri" w:hAnsi="Times New Roman" w:cs="Times New Roman"/>
          <w:color w:val="767171"/>
          <w:spacing w:val="20"/>
          <w:sz w:val="24"/>
          <w:szCs w:val="24"/>
        </w:rPr>
        <w:t xml:space="preserve"> la aprobación </w:t>
      </w:r>
      <w:r w:rsidR="00B14820" w:rsidRPr="006A0747">
        <w:rPr>
          <w:rFonts w:ascii="Times New Roman" w:eastAsia="Calibri" w:hAnsi="Times New Roman" w:cs="Times New Roman"/>
          <w:color w:val="767171"/>
          <w:spacing w:val="20"/>
          <w:sz w:val="24"/>
          <w:szCs w:val="24"/>
        </w:rPr>
        <w:t xml:space="preserve">del Reglamento de Subagente Bancario </w:t>
      </w:r>
      <w:r w:rsidRPr="006A0747">
        <w:rPr>
          <w:rFonts w:ascii="Times New Roman" w:eastAsia="Calibri" w:hAnsi="Times New Roman" w:cs="Times New Roman"/>
          <w:color w:val="767171"/>
          <w:spacing w:val="20"/>
          <w:sz w:val="24"/>
          <w:szCs w:val="24"/>
        </w:rPr>
        <w:t>por parte de la Junta Monetaria</w:t>
      </w:r>
      <w:r w:rsidR="00ED0F74" w:rsidRPr="006A0747">
        <w:rPr>
          <w:rFonts w:ascii="Times New Roman" w:eastAsia="Calibri" w:hAnsi="Times New Roman" w:cs="Times New Roman"/>
          <w:color w:val="767171"/>
          <w:spacing w:val="20"/>
          <w:sz w:val="24"/>
          <w:szCs w:val="24"/>
        </w:rPr>
        <w:t xml:space="preserve">, </w:t>
      </w:r>
      <w:r w:rsidR="005D0BD1" w:rsidRPr="006A0747">
        <w:rPr>
          <w:rFonts w:ascii="Times New Roman" w:eastAsia="Calibri" w:hAnsi="Times New Roman" w:cs="Times New Roman"/>
          <w:color w:val="767171"/>
          <w:spacing w:val="20"/>
          <w:sz w:val="24"/>
          <w:szCs w:val="24"/>
        </w:rPr>
        <w:t>a través</w:t>
      </w:r>
      <w:r w:rsidRPr="006A0747">
        <w:rPr>
          <w:rFonts w:ascii="Times New Roman" w:eastAsia="Calibri" w:hAnsi="Times New Roman" w:cs="Times New Roman"/>
          <w:color w:val="767171"/>
          <w:spacing w:val="20"/>
          <w:sz w:val="24"/>
          <w:szCs w:val="24"/>
        </w:rPr>
        <w:t xml:space="preserve"> de la Quinta Resolución de fecha 25 de enero del 2024.</w:t>
      </w:r>
    </w:p>
    <w:p w14:paraId="15B69DAD" w14:textId="19CF2941" w:rsidR="00FA3231" w:rsidRPr="006A0747" w:rsidRDefault="00FA3231" w:rsidP="00FA3231">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De igual forma se trabajaron procesos relacionados con la apertura de sucursales y agencias en el territorio nacional</w:t>
      </w:r>
      <w:r w:rsidR="00143370" w:rsidRPr="006A0747">
        <w:rPr>
          <w:rFonts w:ascii="Times New Roman" w:eastAsia="Calibri" w:hAnsi="Times New Roman" w:cs="Times New Roman"/>
          <w:color w:val="767171"/>
          <w:spacing w:val="20"/>
          <w:sz w:val="24"/>
          <w:szCs w:val="24"/>
        </w:rPr>
        <w:t>,</w:t>
      </w:r>
      <w:r w:rsidRPr="006A0747">
        <w:rPr>
          <w:rFonts w:ascii="Times New Roman" w:eastAsia="Calibri" w:hAnsi="Times New Roman" w:cs="Times New Roman"/>
          <w:color w:val="767171"/>
          <w:spacing w:val="20"/>
          <w:sz w:val="24"/>
          <w:szCs w:val="24"/>
        </w:rPr>
        <w:t xml:space="preserve"> completando exitosamente 24 solicitudes de autorizaciones orientadas a este fin.</w:t>
      </w:r>
    </w:p>
    <w:p w14:paraId="4754D6C2" w14:textId="08AAB9B0" w:rsidR="00FA3231" w:rsidRPr="006A0747" w:rsidRDefault="00FA3231" w:rsidP="00FA3231">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Finalmente, se realizó una encuesta para medir la satisfacción de las entidades con</w:t>
      </w:r>
      <w:r w:rsidR="00BC7984" w:rsidRPr="006A0747">
        <w:rPr>
          <w:rFonts w:ascii="Times New Roman" w:eastAsia="Calibri" w:hAnsi="Times New Roman" w:cs="Times New Roman"/>
          <w:color w:val="767171"/>
          <w:spacing w:val="20"/>
          <w:sz w:val="24"/>
          <w:szCs w:val="24"/>
        </w:rPr>
        <w:t xml:space="preserve"> el</w:t>
      </w:r>
      <w:r w:rsidRPr="006A0747">
        <w:rPr>
          <w:rFonts w:ascii="Times New Roman" w:eastAsia="Calibri" w:hAnsi="Times New Roman" w:cs="Times New Roman"/>
          <w:color w:val="767171"/>
          <w:spacing w:val="20"/>
          <w:sz w:val="24"/>
          <w:szCs w:val="24"/>
        </w:rPr>
        <w:t xml:space="preserve"> servicio</w:t>
      </w:r>
      <w:r w:rsidR="00BC7984" w:rsidRPr="006A0747">
        <w:rPr>
          <w:rFonts w:ascii="Times New Roman" w:eastAsia="Calibri" w:hAnsi="Times New Roman" w:cs="Times New Roman"/>
          <w:color w:val="767171"/>
          <w:spacing w:val="20"/>
          <w:sz w:val="24"/>
          <w:szCs w:val="24"/>
        </w:rPr>
        <w:t xml:space="preserve"> de Registro y Autorizaciones</w:t>
      </w:r>
      <w:r w:rsidRPr="006A0747">
        <w:rPr>
          <w:rFonts w:ascii="Times New Roman" w:eastAsia="Calibri" w:hAnsi="Times New Roman" w:cs="Times New Roman"/>
          <w:color w:val="767171"/>
          <w:spacing w:val="20"/>
          <w:sz w:val="24"/>
          <w:szCs w:val="24"/>
        </w:rPr>
        <w:t xml:space="preserve"> prestado por</w:t>
      </w:r>
      <w:r w:rsidR="00BD3082" w:rsidRPr="006A0747">
        <w:rPr>
          <w:rFonts w:ascii="Times New Roman" w:eastAsia="Calibri" w:hAnsi="Times New Roman" w:cs="Times New Roman"/>
          <w:color w:val="767171"/>
          <w:spacing w:val="20"/>
          <w:sz w:val="24"/>
          <w:szCs w:val="24"/>
        </w:rPr>
        <w:t xml:space="preserve"> la SB, </w:t>
      </w:r>
      <w:r w:rsidR="00005C1F" w:rsidRPr="006A0747">
        <w:rPr>
          <w:rFonts w:ascii="Times New Roman" w:eastAsia="Calibri" w:hAnsi="Times New Roman" w:cs="Times New Roman"/>
          <w:color w:val="767171"/>
          <w:spacing w:val="20"/>
          <w:sz w:val="24"/>
          <w:szCs w:val="24"/>
        </w:rPr>
        <w:t xml:space="preserve">para la cual se obtuvo </w:t>
      </w:r>
      <w:r w:rsidR="009D0C22" w:rsidRPr="006A0747">
        <w:rPr>
          <w:rFonts w:ascii="Times New Roman" w:eastAsia="Calibri" w:hAnsi="Times New Roman" w:cs="Times New Roman"/>
          <w:color w:val="767171"/>
          <w:spacing w:val="20"/>
          <w:sz w:val="24"/>
          <w:szCs w:val="24"/>
        </w:rPr>
        <w:t xml:space="preserve">un </w:t>
      </w:r>
      <w:r w:rsidRPr="006A0747">
        <w:rPr>
          <w:rFonts w:ascii="Times New Roman" w:eastAsia="Calibri" w:hAnsi="Times New Roman" w:cs="Times New Roman"/>
          <w:color w:val="767171"/>
          <w:spacing w:val="20"/>
          <w:sz w:val="24"/>
          <w:szCs w:val="24"/>
        </w:rPr>
        <w:t xml:space="preserve">índice de satisfacción general </w:t>
      </w:r>
      <w:r w:rsidR="009D0C22" w:rsidRPr="006A0747">
        <w:rPr>
          <w:rFonts w:ascii="Times New Roman" w:eastAsia="Calibri" w:hAnsi="Times New Roman" w:cs="Times New Roman"/>
          <w:color w:val="767171"/>
          <w:spacing w:val="20"/>
          <w:sz w:val="24"/>
          <w:szCs w:val="24"/>
        </w:rPr>
        <w:t xml:space="preserve">de </w:t>
      </w:r>
      <w:r w:rsidRPr="006A0747">
        <w:rPr>
          <w:rFonts w:ascii="Times New Roman" w:eastAsia="Calibri" w:hAnsi="Times New Roman" w:cs="Times New Roman"/>
          <w:color w:val="767171"/>
          <w:spacing w:val="20"/>
          <w:sz w:val="24"/>
          <w:szCs w:val="24"/>
        </w:rPr>
        <w:t>89%</w:t>
      </w:r>
      <w:r w:rsidR="00AC7D74" w:rsidRPr="006A0747">
        <w:rPr>
          <w:rFonts w:ascii="Times New Roman" w:eastAsia="Calibri" w:hAnsi="Times New Roman" w:cs="Times New Roman"/>
          <w:color w:val="767171"/>
          <w:spacing w:val="20"/>
          <w:sz w:val="24"/>
          <w:szCs w:val="24"/>
        </w:rPr>
        <w:t>;</w:t>
      </w:r>
      <w:r w:rsidR="009B0CD6" w:rsidRPr="006A0747">
        <w:rPr>
          <w:rFonts w:ascii="Times New Roman" w:eastAsia="Calibri" w:hAnsi="Times New Roman" w:cs="Times New Roman"/>
          <w:color w:val="767171"/>
          <w:spacing w:val="20"/>
          <w:sz w:val="24"/>
          <w:szCs w:val="24"/>
        </w:rPr>
        <w:t xml:space="preserve"> una califi</w:t>
      </w:r>
      <w:r w:rsidR="0048063B" w:rsidRPr="006A0747">
        <w:rPr>
          <w:rFonts w:ascii="Times New Roman" w:eastAsia="Calibri" w:hAnsi="Times New Roman" w:cs="Times New Roman"/>
          <w:color w:val="767171"/>
          <w:spacing w:val="20"/>
          <w:sz w:val="24"/>
          <w:szCs w:val="24"/>
        </w:rPr>
        <w:t>cación</w:t>
      </w:r>
      <w:r w:rsidR="009D0C22" w:rsidRPr="006A0747">
        <w:rPr>
          <w:rFonts w:ascii="Times New Roman" w:eastAsia="Calibri" w:hAnsi="Times New Roman" w:cs="Times New Roman"/>
          <w:color w:val="767171"/>
          <w:spacing w:val="20"/>
          <w:sz w:val="24"/>
          <w:szCs w:val="24"/>
        </w:rPr>
        <w:t xml:space="preserve"> </w:t>
      </w:r>
      <w:r w:rsidR="009B0CD6" w:rsidRPr="006A0747">
        <w:rPr>
          <w:rFonts w:ascii="Times New Roman" w:eastAsia="Calibri" w:hAnsi="Times New Roman" w:cs="Times New Roman"/>
          <w:color w:val="767171"/>
          <w:spacing w:val="20"/>
          <w:sz w:val="24"/>
          <w:szCs w:val="24"/>
        </w:rPr>
        <w:t xml:space="preserve">dos puntos porcentuales (2%) superior </w:t>
      </w:r>
      <w:r w:rsidR="0048063B" w:rsidRPr="006A0747">
        <w:rPr>
          <w:rFonts w:ascii="Times New Roman" w:eastAsia="Calibri" w:hAnsi="Times New Roman" w:cs="Times New Roman"/>
          <w:color w:val="767171"/>
          <w:spacing w:val="20"/>
          <w:sz w:val="24"/>
          <w:szCs w:val="24"/>
        </w:rPr>
        <w:t>a los resultados del 2023</w:t>
      </w:r>
      <w:r w:rsidRPr="006A0747">
        <w:rPr>
          <w:rFonts w:ascii="Times New Roman" w:eastAsia="Calibri" w:hAnsi="Times New Roman" w:cs="Times New Roman"/>
          <w:color w:val="767171"/>
          <w:spacing w:val="20"/>
          <w:sz w:val="24"/>
          <w:szCs w:val="24"/>
        </w:rPr>
        <w:t>.</w:t>
      </w:r>
    </w:p>
    <w:p w14:paraId="79078478" w14:textId="77777777" w:rsidR="00222863" w:rsidRPr="006A0747" w:rsidRDefault="00222863" w:rsidP="00604B4B">
      <w:pPr>
        <w:spacing w:line="360" w:lineRule="auto"/>
        <w:jc w:val="both"/>
        <w:rPr>
          <w:rFonts w:ascii="Times New Roman" w:eastAsia="Calibri" w:hAnsi="Times New Roman" w:cs="Times New Roman"/>
          <w:color w:val="2E74B5" w:themeColor="accent5" w:themeShade="BF"/>
          <w:spacing w:val="20"/>
          <w:sz w:val="24"/>
          <w:szCs w:val="24"/>
        </w:rPr>
      </w:pPr>
    </w:p>
    <w:p w14:paraId="510F12C9" w14:textId="052507AD" w:rsidR="00C13445" w:rsidRPr="006A0747" w:rsidRDefault="00AA0580" w:rsidP="000813B9">
      <w:pPr>
        <w:pStyle w:val="Ttulo2"/>
        <w:numPr>
          <w:ilvl w:val="1"/>
          <w:numId w:val="17"/>
        </w:numPr>
        <w:rPr>
          <w:rFonts w:ascii="Times New Roman" w:eastAsia="Calibri" w:hAnsi="Times New Roman" w:cs="Times New Roman"/>
          <w:b/>
          <w:color w:val="767171"/>
          <w:spacing w:val="20"/>
          <w:sz w:val="24"/>
          <w:szCs w:val="24"/>
        </w:rPr>
      </w:pPr>
      <w:bookmarkStart w:id="36" w:name="_Toc185274999"/>
      <w:r w:rsidRPr="006A0747">
        <w:rPr>
          <w:rFonts w:ascii="Times New Roman" w:eastAsia="Calibri" w:hAnsi="Times New Roman" w:cs="Times New Roman"/>
          <w:b/>
          <w:color w:val="767171"/>
          <w:spacing w:val="20"/>
          <w:sz w:val="24"/>
          <w:szCs w:val="24"/>
        </w:rPr>
        <w:t xml:space="preserve">Sobre la Protección </w:t>
      </w:r>
      <w:r w:rsidR="00E3786F" w:rsidRPr="006A0747">
        <w:rPr>
          <w:rFonts w:ascii="Times New Roman" w:eastAsia="Calibri" w:hAnsi="Times New Roman" w:cs="Times New Roman"/>
          <w:b/>
          <w:color w:val="767171"/>
          <w:spacing w:val="20"/>
          <w:sz w:val="24"/>
          <w:szCs w:val="24"/>
        </w:rPr>
        <w:t xml:space="preserve">y Atención </w:t>
      </w:r>
      <w:r w:rsidR="004E5383" w:rsidRPr="006A0747">
        <w:rPr>
          <w:rFonts w:ascii="Times New Roman" w:eastAsia="Calibri" w:hAnsi="Times New Roman" w:cs="Times New Roman"/>
          <w:b/>
          <w:color w:val="767171"/>
          <w:spacing w:val="20"/>
          <w:sz w:val="24"/>
          <w:szCs w:val="24"/>
        </w:rPr>
        <w:t>a</w:t>
      </w:r>
      <w:r w:rsidRPr="006A0747">
        <w:rPr>
          <w:rFonts w:ascii="Times New Roman" w:eastAsia="Calibri" w:hAnsi="Times New Roman" w:cs="Times New Roman"/>
          <w:b/>
          <w:color w:val="767171"/>
          <w:spacing w:val="20"/>
          <w:sz w:val="24"/>
          <w:szCs w:val="24"/>
        </w:rPr>
        <w:t xml:space="preserve"> los Usuarios Financieros</w:t>
      </w:r>
      <w:bookmarkEnd w:id="36"/>
    </w:p>
    <w:p w14:paraId="193E5FF2" w14:textId="77777777" w:rsidR="00E23A02" w:rsidRPr="006A0747" w:rsidRDefault="00E23A02" w:rsidP="000921A9">
      <w:pPr>
        <w:spacing w:line="360" w:lineRule="auto"/>
        <w:jc w:val="both"/>
        <w:rPr>
          <w:rFonts w:ascii="Times New Roman" w:eastAsia="Calibri" w:hAnsi="Times New Roman" w:cs="Times New Roman"/>
          <w:color w:val="767171"/>
          <w:spacing w:val="20"/>
          <w:sz w:val="24"/>
          <w:szCs w:val="24"/>
        </w:rPr>
      </w:pPr>
    </w:p>
    <w:p w14:paraId="54792E31" w14:textId="576C8381" w:rsidR="000921A9" w:rsidRPr="006A0747" w:rsidRDefault="000921A9" w:rsidP="000921A9">
      <w:pPr>
        <w:spacing w:line="360" w:lineRule="auto"/>
        <w:jc w:val="both"/>
        <w:rPr>
          <w:rFonts w:ascii="Times New Roman" w:eastAsia="Calibri" w:hAnsi="Times New Roman" w:cs="Times New Roman"/>
          <w:color w:val="767171"/>
          <w:spacing w:val="20"/>
          <w:sz w:val="24"/>
          <w:szCs w:val="24"/>
        </w:rPr>
      </w:pPr>
      <w:bookmarkStart w:id="37" w:name="_Hlk167706924"/>
      <w:r w:rsidRPr="006A0747">
        <w:rPr>
          <w:rFonts w:ascii="Times New Roman" w:eastAsia="Calibri" w:hAnsi="Times New Roman" w:cs="Times New Roman"/>
          <w:color w:val="767171"/>
          <w:spacing w:val="20"/>
          <w:sz w:val="24"/>
          <w:szCs w:val="24"/>
        </w:rPr>
        <w:t>La protección de los derechos de las usuarias y los usuarios de los servicios financieros y cambiarios es una responsabilidad a cargo de la Superintendencia de Bancos, que se origina en los Artículos 52 y 53 de Ley Monetaria y Financiera</w:t>
      </w:r>
      <w:r w:rsidR="00B23C74" w:rsidRPr="006A0747">
        <w:rPr>
          <w:rFonts w:ascii="Times New Roman" w:eastAsia="Calibri" w:hAnsi="Times New Roman" w:cs="Times New Roman"/>
          <w:color w:val="767171"/>
          <w:spacing w:val="20"/>
          <w:sz w:val="24"/>
          <w:szCs w:val="24"/>
        </w:rPr>
        <w:t xml:space="preserve">. </w:t>
      </w:r>
      <w:r w:rsidRPr="006A0747">
        <w:rPr>
          <w:rFonts w:ascii="Times New Roman" w:eastAsia="Calibri" w:hAnsi="Times New Roman" w:cs="Times New Roman"/>
          <w:color w:val="767171"/>
          <w:spacing w:val="20"/>
          <w:sz w:val="24"/>
          <w:szCs w:val="24"/>
        </w:rPr>
        <w:t xml:space="preserve">A tales propósitos, fue creada la Oficina de Servicios y Protección al Usuario de los Productos y Servicios Financieros (ProUsuario), con facultades establecidas para garantizar el cumplimiento de las normas que regulan la protección efectiva de los derechos de los usuarios y la sanción del incumplimiento, conforme lo dispone la Primera Resolución de la </w:t>
      </w:r>
      <w:r w:rsidRPr="006A0747">
        <w:rPr>
          <w:rFonts w:ascii="Times New Roman" w:eastAsia="Calibri" w:hAnsi="Times New Roman" w:cs="Times New Roman"/>
          <w:color w:val="767171"/>
          <w:spacing w:val="20"/>
          <w:sz w:val="24"/>
          <w:szCs w:val="24"/>
        </w:rPr>
        <w:lastRenderedPageBreak/>
        <w:t>Junta Monetaria (JM) de fecha 05 de febrero de 2015 y sus modificaciones.</w:t>
      </w:r>
    </w:p>
    <w:p w14:paraId="0FF1F029" w14:textId="2555F34D" w:rsidR="009B7CFD" w:rsidRPr="006A0747" w:rsidRDefault="000921A9" w:rsidP="000921A9">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Durante el </w:t>
      </w:r>
      <w:r w:rsidR="00ED6B0E" w:rsidRPr="006A0747">
        <w:rPr>
          <w:rFonts w:ascii="Times New Roman" w:eastAsia="Calibri" w:hAnsi="Times New Roman" w:cs="Times New Roman"/>
          <w:color w:val="767171"/>
          <w:spacing w:val="20"/>
          <w:sz w:val="24"/>
          <w:szCs w:val="24"/>
        </w:rPr>
        <w:t>año</w:t>
      </w:r>
      <w:r w:rsidRPr="006A0747">
        <w:rPr>
          <w:rFonts w:ascii="Times New Roman" w:eastAsia="Calibri" w:hAnsi="Times New Roman" w:cs="Times New Roman"/>
          <w:color w:val="767171"/>
          <w:spacing w:val="20"/>
          <w:sz w:val="24"/>
          <w:szCs w:val="24"/>
        </w:rPr>
        <w:t xml:space="preserve"> 2024,</w:t>
      </w:r>
      <w:r w:rsidR="00946CC0" w:rsidRPr="006A0747">
        <w:rPr>
          <w:rFonts w:ascii="Times New Roman" w:eastAsia="Calibri" w:hAnsi="Times New Roman" w:cs="Times New Roman"/>
          <w:color w:val="767171"/>
          <w:spacing w:val="20"/>
          <w:sz w:val="24"/>
          <w:szCs w:val="24"/>
        </w:rPr>
        <w:t xml:space="preserve"> los usuarios del sistema financiero </w:t>
      </w:r>
      <w:r w:rsidRPr="006A0747">
        <w:rPr>
          <w:rFonts w:ascii="Times New Roman" w:eastAsia="Calibri" w:hAnsi="Times New Roman" w:cs="Times New Roman"/>
          <w:color w:val="767171"/>
          <w:spacing w:val="20"/>
          <w:sz w:val="24"/>
          <w:szCs w:val="24"/>
        </w:rPr>
        <w:t>ha</w:t>
      </w:r>
      <w:r w:rsidR="00190681" w:rsidRPr="006A0747">
        <w:rPr>
          <w:rFonts w:ascii="Times New Roman" w:eastAsia="Calibri" w:hAnsi="Times New Roman" w:cs="Times New Roman"/>
          <w:color w:val="767171"/>
          <w:spacing w:val="20"/>
          <w:sz w:val="24"/>
          <w:szCs w:val="24"/>
        </w:rPr>
        <w:t>n</w:t>
      </w:r>
      <w:r w:rsidRPr="006A0747">
        <w:rPr>
          <w:rFonts w:ascii="Times New Roman" w:eastAsia="Calibri" w:hAnsi="Times New Roman" w:cs="Times New Roman"/>
          <w:color w:val="767171"/>
          <w:spacing w:val="20"/>
          <w:sz w:val="24"/>
          <w:szCs w:val="24"/>
        </w:rPr>
        <w:t xml:space="preserve"> </w:t>
      </w:r>
      <w:r w:rsidR="00C73C30" w:rsidRPr="006A0747">
        <w:rPr>
          <w:rFonts w:ascii="Times New Roman" w:eastAsia="Calibri" w:hAnsi="Times New Roman" w:cs="Times New Roman"/>
          <w:color w:val="767171"/>
          <w:spacing w:val="20"/>
          <w:sz w:val="24"/>
          <w:szCs w:val="24"/>
        </w:rPr>
        <w:t xml:space="preserve">realizado </w:t>
      </w:r>
      <w:r w:rsidR="00B2425D" w:rsidRPr="006A0747">
        <w:rPr>
          <w:rFonts w:ascii="Times New Roman" w:eastAsia="Calibri" w:hAnsi="Times New Roman" w:cs="Times New Roman"/>
          <w:b/>
          <w:color w:val="767171"/>
          <w:spacing w:val="20"/>
          <w:sz w:val="24"/>
          <w:szCs w:val="24"/>
        </w:rPr>
        <w:t>2</w:t>
      </w:r>
      <w:r w:rsidR="00E62F24" w:rsidRPr="006A0747">
        <w:rPr>
          <w:rFonts w:ascii="Times New Roman" w:eastAsia="Calibri" w:hAnsi="Times New Roman" w:cs="Times New Roman"/>
          <w:b/>
          <w:color w:val="767171"/>
          <w:spacing w:val="20"/>
          <w:sz w:val="24"/>
          <w:szCs w:val="24"/>
        </w:rPr>
        <w:t>32,</w:t>
      </w:r>
      <w:r w:rsidR="00FB6EDC" w:rsidRPr="006A0747">
        <w:rPr>
          <w:rFonts w:ascii="Times New Roman" w:eastAsia="Calibri" w:hAnsi="Times New Roman" w:cs="Times New Roman"/>
          <w:b/>
          <w:color w:val="767171"/>
          <w:spacing w:val="20"/>
          <w:sz w:val="24"/>
          <w:szCs w:val="24"/>
        </w:rPr>
        <w:t>212</w:t>
      </w:r>
      <w:r w:rsidRPr="006A0747">
        <w:rPr>
          <w:rFonts w:ascii="Times New Roman" w:eastAsia="Calibri" w:hAnsi="Times New Roman" w:cs="Times New Roman"/>
          <w:b/>
          <w:color w:val="767171"/>
          <w:spacing w:val="20"/>
          <w:sz w:val="24"/>
          <w:szCs w:val="24"/>
        </w:rPr>
        <w:t xml:space="preserve"> </w:t>
      </w:r>
      <w:r w:rsidRPr="006A0747">
        <w:rPr>
          <w:rFonts w:ascii="Times New Roman" w:eastAsia="Calibri" w:hAnsi="Times New Roman" w:cs="Times New Roman"/>
          <w:color w:val="767171"/>
          <w:spacing w:val="20"/>
          <w:sz w:val="24"/>
          <w:szCs w:val="24"/>
        </w:rPr>
        <w:t xml:space="preserve">contactos con </w:t>
      </w:r>
      <w:r w:rsidR="000C74F5" w:rsidRPr="006A0747">
        <w:rPr>
          <w:rFonts w:ascii="Times New Roman" w:eastAsia="Calibri" w:hAnsi="Times New Roman" w:cs="Times New Roman"/>
          <w:color w:val="767171"/>
          <w:spacing w:val="20"/>
          <w:sz w:val="24"/>
          <w:szCs w:val="24"/>
        </w:rPr>
        <w:t>ProUsuario</w:t>
      </w:r>
      <w:r w:rsidRPr="006A0747">
        <w:rPr>
          <w:rFonts w:ascii="Times New Roman" w:eastAsia="Calibri" w:hAnsi="Times New Roman" w:cs="Times New Roman"/>
          <w:color w:val="767171"/>
          <w:spacing w:val="20"/>
          <w:sz w:val="24"/>
          <w:szCs w:val="24"/>
        </w:rPr>
        <w:t xml:space="preserve">, representando un incremento de un </w:t>
      </w:r>
      <w:r w:rsidR="006112B0" w:rsidRPr="006A0747">
        <w:rPr>
          <w:rFonts w:ascii="Times New Roman" w:eastAsia="Calibri" w:hAnsi="Times New Roman" w:cs="Times New Roman"/>
          <w:b/>
          <w:color w:val="767171"/>
          <w:spacing w:val="20"/>
          <w:sz w:val="24"/>
          <w:szCs w:val="24"/>
        </w:rPr>
        <w:t>46</w:t>
      </w:r>
      <w:r w:rsidRPr="006A0747">
        <w:rPr>
          <w:rFonts w:ascii="Times New Roman" w:eastAsia="Calibri" w:hAnsi="Times New Roman" w:cs="Times New Roman"/>
          <w:b/>
          <w:color w:val="767171"/>
          <w:spacing w:val="20"/>
          <w:sz w:val="24"/>
          <w:szCs w:val="24"/>
        </w:rPr>
        <w:t>%</w:t>
      </w:r>
      <w:r w:rsidRPr="006A0747">
        <w:rPr>
          <w:rFonts w:ascii="Times New Roman" w:eastAsia="Calibri" w:hAnsi="Times New Roman" w:cs="Times New Roman"/>
          <w:color w:val="767171"/>
          <w:spacing w:val="20"/>
          <w:sz w:val="24"/>
          <w:szCs w:val="24"/>
        </w:rPr>
        <w:t xml:space="preserve"> con relación al mismo período del año 2023. Cabe destacar que, del total de contactos con usuarios, </w:t>
      </w:r>
      <w:r w:rsidR="00D00ED8" w:rsidRPr="006A0747">
        <w:rPr>
          <w:rFonts w:ascii="Times New Roman" w:eastAsia="Calibri" w:hAnsi="Times New Roman" w:cs="Times New Roman"/>
          <w:b/>
          <w:color w:val="767171"/>
          <w:spacing w:val="20"/>
          <w:sz w:val="24"/>
          <w:szCs w:val="24"/>
        </w:rPr>
        <w:t>36</w:t>
      </w:r>
      <w:r w:rsidRPr="006A0747">
        <w:rPr>
          <w:rFonts w:ascii="Times New Roman" w:eastAsia="Calibri" w:hAnsi="Times New Roman" w:cs="Times New Roman"/>
          <w:b/>
          <w:color w:val="767171"/>
          <w:spacing w:val="20"/>
          <w:sz w:val="24"/>
          <w:szCs w:val="24"/>
        </w:rPr>
        <w:t>%</w:t>
      </w:r>
      <w:r w:rsidRPr="006A0747">
        <w:rPr>
          <w:rFonts w:ascii="Times New Roman" w:eastAsia="Calibri" w:hAnsi="Times New Roman" w:cs="Times New Roman"/>
          <w:color w:val="767171"/>
          <w:spacing w:val="20"/>
          <w:sz w:val="24"/>
          <w:szCs w:val="24"/>
        </w:rPr>
        <w:t xml:space="preserve"> fueron realizados a través de los canales presenciales y alternos (oficinas, teléfono, correo electrónico, redes sociales, APP ProUsuario, WhatsApp, atención virtual y chat)</w:t>
      </w:r>
      <w:r w:rsidR="00A80392" w:rsidRPr="006A0747">
        <w:rPr>
          <w:rFonts w:ascii="Times New Roman" w:eastAsia="Calibri" w:hAnsi="Times New Roman" w:cs="Times New Roman"/>
          <w:color w:val="767171"/>
          <w:spacing w:val="20"/>
          <w:sz w:val="24"/>
          <w:szCs w:val="24"/>
        </w:rPr>
        <w:t>,</w:t>
      </w:r>
      <w:r w:rsidRPr="006A0747">
        <w:rPr>
          <w:rFonts w:ascii="Times New Roman" w:eastAsia="Calibri" w:hAnsi="Times New Roman" w:cs="Times New Roman"/>
          <w:color w:val="767171"/>
          <w:spacing w:val="20"/>
          <w:sz w:val="24"/>
          <w:szCs w:val="24"/>
        </w:rPr>
        <w:t xml:space="preserve"> mientras que un </w:t>
      </w:r>
      <w:r w:rsidR="00DE5370" w:rsidRPr="006A0747">
        <w:rPr>
          <w:rFonts w:ascii="Times New Roman" w:eastAsia="Calibri" w:hAnsi="Times New Roman" w:cs="Times New Roman"/>
          <w:b/>
          <w:color w:val="767171"/>
          <w:spacing w:val="20"/>
          <w:sz w:val="24"/>
          <w:szCs w:val="24"/>
        </w:rPr>
        <w:t>64</w:t>
      </w:r>
      <w:r w:rsidRPr="006A0747">
        <w:rPr>
          <w:rFonts w:ascii="Times New Roman" w:eastAsia="Calibri" w:hAnsi="Times New Roman" w:cs="Times New Roman"/>
          <w:b/>
          <w:color w:val="767171"/>
          <w:spacing w:val="20"/>
          <w:sz w:val="24"/>
          <w:szCs w:val="24"/>
        </w:rPr>
        <w:t>%</w:t>
      </w:r>
      <w:r w:rsidRPr="006A0747">
        <w:rPr>
          <w:rFonts w:ascii="Times New Roman" w:eastAsia="Calibri" w:hAnsi="Times New Roman" w:cs="Times New Roman"/>
          <w:color w:val="767171"/>
          <w:spacing w:val="20"/>
          <w:sz w:val="24"/>
          <w:szCs w:val="24"/>
        </w:rPr>
        <w:t xml:space="preserve"> fueron realizados a través de canales de autoservicio (Sistema de IVR, página web, </w:t>
      </w:r>
      <w:bookmarkStart w:id="38" w:name="_Int_Gq6LZPdr"/>
      <w:r w:rsidRPr="006A0747">
        <w:rPr>
          <w:rFonts w:ascii="Times New Roman" w:eastAsia="Calibri" w:hAnsi="Times New Roman" w:cs="Times New Roman"/>
          <w:color w:val="767171"/>
          <w:spacing w:val="20"/>
          <w:sz w:val="24"/>
          <w:szCs w:val="24"/>
        </w:rPr>
        <w:t>ChatBot</w:t>
      </w:r>
      <w:bookmarkEnd w:id="38"/>
      <w:r w:rsidRPr="006A0747">
        <w:rPr>
          <w:rFonts w:ascii="Times New Roman" w:eastAsia="Calibri" w:hAnsi="Times New Roman" w:cs="Times New Roman"/>
          <w:color w:val="767171"/>
          <w:spacing w:val="20"/>
          <w:sz w:val="24"/>
          <w:szCs w:val="24"/>
        </w:rPr>
        <w:t xml:space="preserve"> Lucía: web y WhatsApp).</w:t>
      </w:r>
    </w:p>
    <w:p w14:paraId="3CC411A3" w14:textId="76DBE537" w:rsidR="000921A9" w:rsidRPr="006A0747" w:rsidRDefault="000921A9" w:rsidP="009C61DA">
      <w:pPr>
        <w:spacing w:line="360" w:lineRule="auto"/>
        <w:jc w:val="center"/>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t xml:space="preserve">Tabla </w:t>
      </w:r>
      <w:r w:rsidR="008F243D" w:rsidRPr="006A0747">
        <w:rPr>
          <w:rFonts w:ascii="Times New Roman" w:eastAsia="Calibri" w:hAnsi="Times New Roman" w:cs="Times New Roman"/>
          <w:b/>
          <w:color w:val="767171"/>
          <w:spacing w:val="20"/>
          <w:sz w:val="24"/>
          <w:szCs w:val="24"/>
        </w:rPr>
        <w:t>4</w:t>
      </w:r>
      <w:r w:rsidRPr="006A0747">
        <w:rPr>
          <w:rFonts w:ascii="Times New Roman" w:eastAsia="Calibri" w:hAnsi="Times New Roman" w:cs="Times New Roman"/>
          <w:b/>
          <w:color w:val="767171"/>
          <w:spacing w:val="20"/>
          <w:sz w:val="24"/>
          <w:szCs w:val="24"/>
        </w:rPr>
        <w:t xml:space="preserve">. </w:t>
      </w:r>
      <w:proofErr w:type="gramStart"/>
      <w:r w:rsidRPr="006A0747">
        <w:rPr>
          <w:rFonts w:ascii="Times New Roman" w:eastAsia="Calibri" w:hAnsi="Times New Roman" w:cs="Times New Roman"/>
          <w:b/>
          <w:color w:val="767171"/>
          <w:spacing w:val="20"/>
          <w:sz w:val="24"/>
          <w:szCs w:val="24"/>
        </w:rPr>
        <w:t>Usuarios y usuarias</w:t>
      </w:r>
      <w:proofErr w:type="gramEnd"/>
      <w:r w:rsidRPr="006A0747">
        <w:rPr>
          <w:rFonts w:ascii="Times New Roman" w:eastAsia="Calibri" w:hAnsi="Times New Roman" w:cs="Times New Roman"/>
          <w:b/>
          <w:color w:val="767171"/>
          <w:spacing w:val="20"/>
          <w:sz w:val="24"/>
          <w:szCs w:val="24"/>
        </w:rPr>
        <w:t xml:space="preserve"> atendidos (as) por ProUsuario, según </w:t>
      </w:r>
      <w:r w:rsidR="00786883" w:rsidRPr="006A0747">
        <w:rPr>
          <w:rFonts w:ascii="Times New Roman" w:eastAsia="Calibri" w:hAnsi="Times New Roman" w:cs="Times New Roman"/>
          <w:b/>
          <w:color w:val="767171"/>
          <w:spacing w:val="20"/>
          <w:sz w:val="24"/>
          <w:szCs w:val="24"/>
        </w:rPr>
        <w:t xml:space="preserve">canal </w:t>
      </w:r>
      <w:r w:rsidR="00DE5370" w:rsidRPr="006A0747">
        <w:rPr>
          <w:rFonts w:ascii="Times New Roman" w:eastAsia="Calibri" w:hAnsi="Times New Roman" w:cs="Times New Roman"/>
          <w:b/>
          <w:color w:val="767171"/>
          <w:spacing w:val="20"/>
          <w:sz w:val="24"/>
          <w:szCs w:val="24"/>
        </w:rPr>
        <w:t>año</w:t>
      </w:r>
      <w:r w:rsidR="001C225A" w:rsidRPr="006A0747">
        <w:rPr>
          <w:rFonts w:ascii="Times New Roman" w:eastAsia="Calibri" w:hAnsi="Times New Roman" w:cs="Times New Roman"/>
          <w:b/>
          <w:color w:val="767171"/>
          <w:spacing w:val="20"/>
          <w:sz w:val="24"/>
          <w:szCs w:val="24"/>
        </w:rPr>
        <w:t xml:space="preserve"> </w:t>
      </w:r>
      <w:r w:rsidRPr="006A0747">
        <w:rPr>
          <w:rFonts w:ascii="Times New Roman" w:eastAsia="Calibri" w:hAnsi="Times New Roman" w:cs="Times New Roman"/>
          <w:b/>
          <w:color w:val="767171"/>
          <w:spacing w:val="20"/>
          <w:sz w:val="24"/>
          <w:szCs w:val="24"/>
        </w:rPr>
        <w:t>2024</w:t>
      </w:r>
      <w:r w:rsidR="001C225A" w:rsidRPr="006A0747">
        <w:rPr>
          <w:rFonts w:ascii="Times New Roman" w:eastAsia="Calibri" w:hAnsi="Times New Roman" w:cs="Times New Roman"/>
          <w:b/>
          <w:color w:val="767171"/>
          <w:spacing w:val="20"/>
          <w:sz w:val="24"/>
          <w:szCs w:val="24"/>
        </w:rPr>
        <w:t>.</w:t>
      </w:r>
    </w:p>
    <w:tbl>
      <w:tblPr>
        <w:tblStyle w:val="Tablaconcuadrcula"/>
        <w:tblW w:w="0" w:type="auto"/>
        <w:tblLook w:val="04A0" w:firstRow="1" w:lastRow="0" w:firstColumn="1" w:lastColumn="0" w:noHBand="0" w:noVBand="1"/>
      </w:tblPr>
      <w:tblGrid>
        <w:gridCol w:w="1828"/>
        <w:gridCol w:w="3671"/>
        <w:gridCol w:w="2411"/>
      </w:tblGrid>
      <w:tr w:rsidR="00CF75E4" w:rsidRPr="006A0747" w14:paraId="498CD6C9" w14:textId="77777777" w:rsidTr="009524B0">
        <w:trPr>
          <w:trHeight w:val="619"/>
          <w:tblHeader/>
        </w:trPr>
        <w:tc>
          <w:tcPr>
            <w:tcW w:w="1838" w:type="dxa"/>
            <w:shd w:val="clear" w:color="auto" w:fill="011C50"/>
            <w:vAlign w:val="center"/>
          </w:tcPr>
          <w:p w14:paraId="48E57C85" w14:textId="77777777" w:rsidR="000921A9" w:rsidRPr="006A0747" w:rsidRDefault="000921A9" w:rsidP="009524B0">
            <w:pPr>
              <w:spacing w:line="360" w:lineRule="auto"/>
              <w:rPr>
                <w:rFonts w:ascii="Times New Roman" w:eastAsia="Calibri" w:hAnsi="Times New Roman" w:cs="Times New Roman"/>
                <w:b/>
                <w:color w:val="FFFFFF" w:themeColor="background1"/>
                <w:spacing w:val="20"/>
                <w:sz w:val="24"/>
                <w:szCs w:val="24"/>
              </w:rPr>
            </w:pPr>
            <w:r w:rsidRPr="006A0747">
              <w:rPr>
                <w:rFonts w:ascii="Times New Roman" w:eastAsia="Calibri" w:hAnsi="Times New Roman" w:cs="Times New Roman"/>
                <w:b/>
                <w:color w:val="FFFFFF" w:themeColor="background1"/>
                <w:spacing w:val="20"/>
                <w:sz w:val="24"/>
                <w:szCs w:val="24"/>
              </w:rPr>
              <w:t>Clasificación de Canal</w:t>
            </w:r>
          </w:p>
        </w:tc>
        <w:tc>
          <w:tcPr>
            <w:tcW w:w="4253" w:type="dxa"/>
            <w:shd w:val="clear" w:color="auto" w:fill="011C50"/>
            <w:vAlign w:val="center"/>
          </w:tcPr>
          <w:p w14:paraId="26E6E025" w14:textId="77777777" w:rsidR="000921A9" w:rsidRPr="006A0747" w:rsidRDefault="000921A9" w:rsidP="009524B0">
            <w:pPr>
              <w:spacing w:line="360" w:lineRule="auto"/>
              <w:rPr>
                <w:rFonts w:ascii="Times New Roman" w:eastAsia="Calibri" w:hAnsi="Times New Roman" w:cs="Times New Roman"/>
                <w:b/>
                <w:color w:val="FFFFFF" w:themeColor="background1"/>
                <w:spacing w:val="20"/>
                <w:sz w:val="24"/>
                <w:szCs w:val="24"/>
              </w:rPr>
            </w:pPr>
            <w:r w:rsidRPr="006A0747">
              <w:rPr>
                <w:rFonts w:ascii="Times New Roman" w:eastAsia="Calibri" w:hAnsi="Times New Roman" w:cs="Times New Roman"/>
                <w:b/>
                <w:color w:val="FFFFFF" w:themeColor="background1"/>
                <w:spacing w:val="20"/>
                <w:sz w:val="24"/>
                <w:szCs w:val="24"/>
              </w:rPr>
              <w:t>Tipo de Canal</w:t>
            </w:r>
          </w:p>
        </w:tc>
        <w:tc>
          <w:tcPr>
            <w:tcW w:w="2686" w:type="dxa"/>
            <w:shd w:val="clear" w:color="auto" w:fill="011C50"/>
            <w:vAlign w:val="center"/>
          </w:tcPr>
          <w:p w14:paraId="0231BF84" w14:textId="77777777" w:rsidR="000921A9" w:rsidRPr="006A0747" w:rsidRDefault="000921A9" w:rsidP="001C225A">
            <w:pPr>
              <w:spacing w:line="360" w:lineRule="auto"/>
              <w:jc w:val="center"/>
              <w:rPr>
                <w:rFonts w:ascii="Times New Roman" w:eastAsia="Calibri" w:hAnsi="Times New Roman" w:cs="Times New Roman"/>
                <w:b/>
                <w:color w:val="FFFFFF" w:themeColor="background1"/>
                <w:spacing w:val="20"/>
                <w:sz w:val="24"/>
                <w:szCs w:val="24"/>
              </w:rPr>
            </w:pPr>
            <w:r w:rsidRPr="006A0747">
              <w:rPr>
                <w:rFonts w:ascii="Times New Roman" w:eastAsia="Calibri" w:hAnsi="Times New Roman" w:cs="Times New Roman"/>
                <w:b/>
                <w:color w:val="FFFFFF" w:themeColor="background1"/>
                <w:spacing w:val="20"/>
                <w:sz w:val="24"/>
                <w:szCs w:val="24"/>
              </w:rPr>
              <w:t>Usuarios Atendidos</w:t>
            </w:r>
          </w:p>
        </w:tc>
      </w:tr>
      <w:tr w:rsidR="00CF75E4" w:rsidRPr="006A0747" w14:paraId="48EF554C" w14:textId="77777777" w:rsidTr="009524B0">
        <w:trPr>
          <w:trHeight w:val="300"/>
        </w:trPr>
        <w:tc>
          <w:tcPr>
            <w:tcW w:w="1838" w:type="dxa"/>
            <w:vMerge w:val="restart"/>
            <w:shd w:val="clear" w:color="auto" w:fill="auto"/>
            <w:vAlign w:val="center"/>
          </w:tcPr>
          <w:p w14:paraId="3B18C0D4" w14:textId="77777777" w:rsidR="000921A9" w:rsidRPr="006A0747" w:rsidRDefault="000921A9" w:rsidP="009524B0">
            <w:pPr>
              <w:spacing w:line="360" w:lineRule="auto"/>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t>Alternos</w:t>
            </w:r>
          </w:p>
        </w:tc>
        <w:tc>
          <w:tcPr>
            <w:tcW w:w="4253" w:type="dxa"/>
            <w:shd w:val="clear" w:color="auto" w:fill="auto"/>
            <w:vAlign w:val="center"/>
          </w:tcPr>
          <w:p w14:paraId="3FAA4D66" w14:textId="77777777" w:rsidR="000921A9" w:rsidRPr="006A0747" w:rsidRDefault="000921A9" w:rsidP="009524B0">
            <w:pPr>
              <w:spacing w:line="360" w:lineRule="auto"/>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Presencial </w:t>
            </w:r>
          </w:p>
        </w:tc>
        <w:tc>
          <w:tcPr>
            <w:tcW w:w="2686" w:type="dxa"/>
            <w:shd w:val="clear" w:color="auto" w:fill="auto"/>
            <w:vAlign w:val="center"/>
          </w:tcPr>
          <w:p w14:paraId="0368075E" w14:textId="1C547316" w:rsidR="000921A9" w:rsidRPr="006A0747" w:rsidRDefault="001C225A" w:rsidP="001C225A">
            <w:pPr>
              <w:spacing w:line="360" w:lineRule="auto"/>
              <w:jc w:val="center"/>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13,457</w:t>
            </w:r>
          </w:p>
        </w:tc>
      </w:tr>
      <w:tr w:rsidR="00CF75E4" w:rsidRPr="006A0747" w14:paraId="166C57B9" w14:textId="77777777" w:rsidTr="009524B0">
        <w:trPr>
          <w:trHeight w:val="300"/>
        </w:trPr>
        <w:tc>
          <w:tcPr>
            <w:tcW w:w="1838" w:type="dxa"/>
            <w:vMerge/>
            <w:shd w:val="clear" w:color="auto" w:fill="auto"/>
            <w:vAlign w:val="center"/>
          </w:tcPr>
          <w:p w14:paraId="20A82EA3" w14:textId="77777777" w:rsidR="000921A9" w:rsidRPr="006A0747" w:rsidRDefault="000921A9" w:rsidP="009524B0">
            <w:pPr>
              <w:spacing w:line="360" w:lineRule="auto"/>
              <w:rPr>
                <w:rFonts w:ascii="Times New Roman" w:eastAsia="Calibri" w:hAnsi="Times New Roman" w:cs="Times New Roman"/>
                <w:b/>
                <w:color w:val="767171"/>
                <w:spacing w:val="20"/>
                <w:sz w:val="24"/>
                <w:szCs w:val="24"/>
              </w:rPr>
            </w:pPr>
          </w:p>
        </w:tc>
        <w:tc>
          <w:tcPr>
            <w:tcW w:w="4253" w:type="dxa"/>
            <w:shd w:val="clear" w:color="auto" w:fill="auto"/>
            <w:vAlign w:val="center"/>
          </w:tcPr>
          <w:p w14:paraId="6F11D783" w14:textId="77777777" w:rsidR="000921A9" w:rsidRPr="006A0747" w:rsidRDefault="000921A9" w:rsidP="009524B0">
            <w:pPr>
              <w:spacing w:line="360" w:lineRule="auto"/>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Teléfono</w:t>
            </w:r>
          </w:p>
        </w:tc>
        <w:tc>
          <w:tcPr>
            <w:tcW w:w="2686" w:type="dxa"/>
            <w:shd w:val="clear" w:color="auto" w:fill="auto"/>
            <w:vAlign w:val="center"/>
          </w:tcPr>
          <w:p w14:paraId="1A85B48D" w14:textId="32ABEB47" w:rsidR="000921A9" w:rsidRPr="006A0747" w:rsidRDefault="00E94D51" w:rsidP="001C225A">
            <w:pPr>
              <w:spacing w:line="360" w:lineRule="auto"/>
              <w:jc w:val="center"/>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26,622</w:t>
            </w:r>
          </w:p>
        </w:tc>
      </w:tr>
      <w:tr w:rsidR="00CF75E4" w:rsidRPr="006A0747" w14:paraId="2B3FD9BB" w14:textId="77777777" w:rsidTr="009524B0">
        <w:trPr>
          <w:trHeight w:val="300"/>
        </w:trPr>
        <w:tc>
          <w:tcPr>
            <w:tcW w:w="1838" w:type="dxa"/>
            <w:vMerge/>
            <w:shd w:val="clear" w:color="auto" w:fill="auto"/>
            <w:vAlign w:val="center"/>
          </w:tcPr>
          <w:p w14:paraId="556E0728" w14:textId="77777777" w:rsidR="000921A9" w:rsidRPr="006A0747" w:rsidRDefault="000921A9" w:rsidP="009524B0">
            <w:pPr>
              <w:spacing w:line="360" w:lineRule="auto"/>
              <w:rPr>
                <w:rFonts w:ascii="Times New Roman" w:eastAsia="Calibri" w:hAnsi="Times New Roman" w:cs="Times New Roman"/>
                <w:b/>
                <w:color w:val="767171"/>
                <w:spacing w:val="20"/>
                <w:sz w:val="24"/>
                <w:szCs w:val="24"/>
              </w:rPr>
            </w:pPr>
          </w:p>
        </w:tc>
        <w:tc>
          <w:tcPr>
            <w:tcW w:w="4253" w:type="dxa"/>
            <w:shd w:val="clear" w:color="auto" w:fill="auto"/>
            <w:vAlign w:val="center"/>
          </w:tcPr>
          <w:p w14:paraId="79157726" w14:textId="77777777" w:rsidR="000921A9" w:rsidRPr="006A0747" w:rsidRDefault="000921A9" w:rsidP="009524B0">
            <w:pPr>
              <w:spacing w:line="360" w:lineRule="auto"/>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Correo electrónico </w:t>
            </w:r>
          </w:p>
          <w:p w14:paraId="4788E30B" w14:textId="77777777" w:rsidR="000921A9" w:rsidRPr="006A0747" w:rsidRDefault="000921A9" w:rsidP="009524B0">
            <w:pPr>
              <w:spacing w:line="360" w:lineRule="auto"/>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(Incluyendo App ProUsuario)</w:t>
            </w:r>
          </w:p>
        </w:tc>
        <w:tc>
          <w:tcPr>
            <w:tcW w:w="2686" w:type="dxa"/>
            <w:shd w:val="clear" w:color="auto" w:fill="auto"/>
            <w:vAlign w:val="center"/>
          </w:tcPr>
          <w:p w14:paraId="697AE8BF" w14:textId="6157FE21" w:rsidR="000921A9" w:rsidRPr="006A0747" w:rsidRDefault="00DA60E7" w:rsidP="001C225A">
            <w:pPr>
              <w:spacing w:line="360" w:lineRule="auto"/>
              <w:jc w:val="center"/>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19,342</w:t>
            </w:r>
          </w:p>
        </w:tc>
      </w:tr>
      <w:tr w:rsidR="00CF75E4" w:rsidRPr="006A0747" w14:paraId="41D27EB6" w14:textId="77777777" w:rsidTr="009524B0">
        <w:trPr>
          <w:trHeight w:val="300"/>
        </w:trPr>
        <w:tc>
          <w:tcPr>
            <w:tcW w:w="1838" w:type="dxa"/>
            <w:vMerge/>
            <w:shd w:val="clear" w:color="auto" w:fill="auto"/>
            <w:vAlign w:val="center"/>
          </w:tcPr>
          <w:p w14:paraId="4B909574" w14:textId="77777777" w:rsidR="000921A9" w:rsidRPr="006A0747" w:rsidRDefault="000921A9" w:rsidP="009524B0">
            <w:pPr>
              <w:spacing w:line="360" w:lineRule="auto"/>
              <w:rPr>
                <w:rFonts w:ascii="Times New Roman" w:eastAsia="Calibri" w:hAnsi="Times New Roman" w:cs="Times New Roman"/>
                <w:b/>
                <w:color w:val="767171"/>
                <w:spacing w:val="20"/>
                <w:sz w:val="24"/>
                <w:szCs w:val="24"/>
              </w:rPr>
            </w:pPr>
          </w:p>
        </w:tc>
        <w:tc>
          <w:tcPr>
            <w:tcW w:w="4253" w:type="dxa"/>
            <w:shd w:val="clear" w:color="auto" w:fill="auto"/>
            <w:vAlign w:val="center"/>
          </w:tcPr>
          <w:p w14:paraId="04C257AA" w14:textId="77777777" w:rsidR="000921A9" w:rsidRPr="006A0747" w:rsidRDefault="000921A9" w:rsidP="009524B0">
            <w:pPr>
              <w:spacing w:line="360" w:lineRule="auto"/>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Chat</w:t>
            </w:r>
          </w:p>
        </w:tc>
        <w:tc>
          <w:tcPr>
            <w:tcW w:w="2686" w:type="dxa"/>
            <w:shd w:val="clear" w:color="auto" w:fill="auto"/>
            <w:vAlign w:val="center"/>
          </w:tcPr>
          <w:p w14:paraId="2EA9C40A" w14:textId="4A0607ED" w:rsidR="000921A9" w:rsidRPr="006A0747" w:rsidRDefault="005304D3" w:rsidP="001C225A">
            <w:pPr>
              <w:spacing w:line="360" w:lineRule="auto"/>
              <w:jc w:val="center"/>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10,008</w:t>
            </w:r>
          </w:p>
        </w:tc>
      </w:tr>
      <w:tr w:rsidR="00CF75E4" w:rsidRPr="006A0747" w14:paraId="3DFFC1CB" w14:textId="77777777" w:rsidTr="009524B0">
        <w:trPr>
          <w:trHeight w:val="300"/>
        </w:trPr>
        <w:tc>
          <w:tcPr>
            <w:tcW w:w="1838" w:type="dxa"/>
            <w:vMerge/>
            <w:shd w:val="clear" w:color="auto" w:fill="auto"/>
            <w:vAlign w:val="center"/>
          </w:tcPr>
          <w:p w14:paraId="4353E61B" w14:textId="77777777" w:rsidR="000921A9" w:rsidRPr="006A0747" w:rsidRDefault="000921A9" w:rsidP="009524B0">
            <w:pPr>
              <w:spacing w:line="360" w:lineRule="auto"/>
              <w:rPr>
                <w:rFonts w:ascii="Times New Roman" w:eastAsia="Calibri" w:hAnsi="Times New Roman" w:cs="Times New Roman"/>
                <w:b/>
                <w:color w:val="767171"/>
                <w:spacing w:val="20"/>
                <w:sz w:val="24"/>
                <w:szCs w:val="24"/>
              </w:rPr>
            </w:pPr>
          </w:p>
        </w:tc>
        <w:tc>
          <w:tcPr>
            <w:tcW w:w="4253" w:type="dxa"/>
            <w:shd w:val="clear" w:color="auto" w:fill="auto"/>
            <w:vAlign w:val="center"/>
          </w:tcPr>
          <w:p w14:paraId="04AF796C" w14:textId="77777777" w:rsidR="000921A9" w:rsidRPr="006A0747" w:rsidRDefault="000921A9" w:rsidP="009524B0">
            <w:pPr>
              <w:spacing w:line="360" w:lineRule="auto"/>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WhatsApp</w:t>
            </w:r>
          </w:p>
        </w:tc>
        <w:tc>
          <w:tcPr>
            <w:tcW w:w="2686" w:type="dxa"/>
            <w:shd w:val="clear" w:color="auto" w:fill="auto"/>
            <w:vAlign w:val="center"/>
          </w:tcPr>
          <w:p w14:paraId="5AD1CF04" w14:textId="22A22955" w:rsidR="000921A9" w:rsidRPr="006A0747" w:rsidRDefault="00C429B6" w:rsidP="001C225A">
            <w:pPr>
              <w:spacing w:line="360" w:lineRule="auto"/>
              <w:jc w:val="center"/>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9,531</w:t>
            </w:r>
          </w:p>
        </w:tc>
      </w:tr>
      <w:tr w:rsidR="00CF75E4" w:rsidRPr="006A0747" w14:paraId="1167FF5A" w14:textId="77777777" w:rsidTr="009524B0">
        <w:trPr>
          <w:trHeight w:val="300"/>
        </w:trPr>
        <w:tc>
          <w:tcPr>
            <w:tcW w:w="1838" w:type="dxa"/>
            <w:vMerge/>
            <w:shd w:val="clear" w:color="auto" w:fill="auto"/>
            <w:vAlign w:val="center"/>
          </w:tcPr>
          <w:p w14:paraId="17BA4D75" w14:textId="77777777" w:rsidR="000921A9" w:rsidRPr="006A0747" w:rsidRDefault="000921A9" w:rsidP="009524B0">
            <w:pPr>
              <w:spacing w:line="360" w:lineRule="auto"/>
              <w:rPr>
                <w:rFonts w:ascii="Times New Roman" w:eastAsia="Calibri" w:hAnsi="Times New Roman" w:cs="Times New Roman"/>
                <w:b/>
                <w:color w:val="767171"/>
                <w:spacing w:val="20"/>
                <w:sz w:val="24"/>
                <w:szCs w:val="24"/>
              </w:rPr>
            </w:pPr>
          </w:p>
        </w:tc>
        <w:tc>
          <w:tcPr>
            <w:tcW w:w="4253" w:type="dxa"/>
            <w:shd w:val="clear" w:color="auto" w:fill="auto"/>
            <w:vAlign w:val="center"/>
          </w:tcPr>
          <w:p w14:paraId="613A4AA2" w14:textId="77777777" w:rsidR="000921A9" w:rsidRPr="006A0747" w:rsidRDefault="000921A9" w:rsidP="009524B0">
            <w:pPr>
              <w:spacing w:line="360" w:lineRule="auto"/>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Redes Sociales (RRSS)</w:t>
            </w:r>
          </w:p>
        </w:tc>
        <w:tc>
          <w:tcPr>
            <w:tcW w:w="2686" w:type="dxa"/>
            <w:shd w:val="clear" w:color="auto" w:fill="auto"/>
            <w:vAlign w:val="center"/>
          </w:tcPr>
          <w:p w14:paraId="144E0D7C" w14:textId="25F226A1" w:rsidR="000921A9" w:rsidRPr="006A0747" w:rsidRDefault="00F54016" w:rsidP="001C225A">
            <w:pPr>
              <w:spacing w:line="360" w:lineRule="auto"/>
              <w:jc w:val="center"/>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3,</w:t>
            </w:r>
            <w:r w:rsidR="00926B36" w:rsidRPr="006A0747">
              <w:rPr>
                <w:rFonts w:ascii="Times New Roman" w:eastAsia="Calibri" w:hAnsi="Times New Roman" w:cs="Times New Roman"/>
                <w:color w:val="767171"/>
                <w:spacing w:val="20"/>
                <w:sz w:val="24"/>
                <w:szCs w:val="24"/>
              </w:rPr>
              <w:t>459</w:t>
            </w:r>
          </w:p>
        </w:tc>
      </w:tr>
      <w:tr w:rsidR="00CF75E4" w:rsidRPr="006A0747" w14:paraId="72621165" w14:textId="77777777" w:rsidTr="009524B0">
        <w:trPr>
          <w:trHeight w:val="300"/>
        </w:trPr>
        <w:tc>
          <w:tcPr>
            <w:tcW w:w="1838" w:type="dxa"/>
            <w:vMerge/>
            <w:shd w:val="clear" w:color="auto" w:fill="auto"/>
            <w:vAlign w:val="center"/>
          </w:tcPr>
          <w:p w14:paraId="5DBBE71A" w14:textId="77777777" w:rsidR="000921A9" w:rsidRPr="006A0747" w:rsidRDefault="000921A9" w:rsidP="009524B0">
            <w:pPr>
              <w:spacing w:line="360" w:lineRule="auto"/>
              <w:rPr>
                <w:rFonts w:ascii="Times New Roman" w:eastAsia="Calibri" w:hAnsi="Times New Roman" w:cs="Times New Roman"/>
                <w:b/>
                <w:color w:val="767171"/>
                <w:spacing w:val="20"/>
                <w:sz w:val="24"/>
                <w:szCs w:val="24"/>
              </w:rPr>
            </w:pPr>
          </w:p>
        </w:tc>
        <w:tc>
          <w:tcPr>
            <w:tcW w:w="4253" w:type="dxa"/>
            <w:shd w:val="clear" w:color="auto" w:fill="auto"/>
            <w:vAlign w:val="center"/>
          </w:tcPr>
          <w:p w14:paraId="0C9DAE42" w14:textId="77777777" w:rsidR="000921A9" w:rsidRPr="006A0747" w:rsidRDefault="000921A9" w:rsidP="009524B0">
            <w:pPr>
              <w:spacing w:line="360" w:lineRule="auto"/>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Atención Virtual </w:t>
            </w:r>
          </w:p>
        </w:tc>
        <w:tc>
          <w:tcPr>
            <w:tcW w:w="2686" w:type="dxa"/>
            <w:shd w:val="clear" w:color="auto" w:fill="auto"/>
            <w:vAlign w:val="center"/>
          </w:tcPr>
          <w:p w14:paraId="1832DD57" w14:textId="2B892287" w:rsidR="000921A9" w:rsidRPr="006A0747" w:rsidRDefault="00E9762F" w:rsidP="001C225A">
            <w:pPr>
              <w:spacing w:line="360" w:lineRule="auto"/>
              <w:jc w:val="center"/>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391</w:t>
            </w:r>
          </w:p>
        </w:tc>
      </w:tr>
      <w:tr w:rsidR="00CF75E4" w:rsidRPr="006A0747" w14:paraId="6D76D505" w14:textId="77777777" w:rsidTr="009524B0">
        <w:trPr>
          <w:trHeight w:val="300"/>
        </w:trPr>
        <w:tc>
          <w:tcPr>
            <w:tcW w:w="1838" w:type="dxa"/>
            <w:vMerge w:val="restart"/>
            <w:shd w:val="clear" w:color="auto" w:fill="auto"/>
            <w:vAlign w:val="center"/>
          </w:tcPr>
          <w:p w14:paraId="374231C6" w14:textId="77777777" w:rsidR="000921A9" w:rsidRPr="006A0747" w:rsidRDefault="000921A9" w:rsidP="009524B0">
            <w:pPr>
              <w:spacing w:line="360" w:lineRule="auto"/>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t>Autoservicio</w:t>
            </w:r>
          </w:p>
        </w:tc>
        <w:tc>
          <w:tcPr>
            <w:tcW w:w="4253" w:type="dxa"/>
            <w:shd w:val="clear" w:color="auto" w:fill="auto"/>
            <w:vAlign w:val="center"/>
          </w:tcPr>
          <w:p w14:paraId="017C49EE" w14:textId="77777777" w:rsidR="000921A9" w:rsidRPr="006A0747" w:rsidRDefault="000921A9" w:rsidP="009524B0">
            <w:pPr>
              <w:spacing w:line="360" w:lineRule="auto"/>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Sistema de IVR </w:t>
            </w:r>
          </w:p>
          <w:p w14:paraId="182CF080" w14:textId="77777777" w:rsidR="000921A9" w:rsidRPr="006A0747" w:rsidRDefault="000921A9" w:rsidP="009524B0">
            <w:pPr>
              <w:spacing w:line="360" w:lineRule="auto"/>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(consulta estatus de caso)</w:t>
            </w:r>
          </w:p>
        </w:tc>
        <w:tc>
          <w:tcPr>
            <w:tcW w:w="2686" w:type="dxa"/>
            <w:shd w:val="clear" w:color="auto" w:fill="auto"/>
            <w:vAlign w:val="center"/>
          </w:tcPr>
          <w:p w14:paraId="0F132B75" w14:textId="716989B9" w:rsidR="000921A9" w:rsidRPr="006A0747" w:rsidRDefault="005A4B1F" w:rsidP="001C225A">
            <w:pPr>
              <w:spacing w:line="360" w:lineRule="auto"/>
              <w:jc w:val="center"/>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6,412</w:t>
            </w:r>
          </w:p>
        </w:tc>
      </w:tr>
      <w:tr w:rsidR="00CF75E4" w:rsidRPr="006A0747" w14:paraId="5B722CEA" w14:textId="77777777" w:rsidTr="009524B0">
        <w:trPr>
          <w:trHeight w:val="300"/>
        </w:trPr>
        <w:tc>
          <w:tcPr>
            <w:tcW w:w="1838" w:type="dxa"/>
            <w:vMerge/>
            <w:shd w:val="clear" w:color="auto" w:fill="auto"/>
            <w:vAlign w:val="center"/>
          </w:tcPr>
          <w:p w14:paraId="02D71B24" w14:textId="77777777" w:rsidR="000921A9" w:rsidRPr="006A0747" w:rsidRDefault="000921A9" w:rsidP="009524B0">
            <w:pPr>
              <w:spacing w:line="360" w:lineRule="auto"/>
              <w:rPr>
                <w:rFonts w:ascii="Times New Roman" w:eastAsia="Calibri" w:hAnsi="Times New Roman" w:cs="Times New Roman"/>
                <w:color w:val="767171"/>
                <w:spacing w:val="20"/>
                <w:sz w:val="24"/>
                <w:szCs w:val="24"/>
              </w:rPr>
            </w:pPr>
          </w:p>
        </w:tc>
        <w:tc>
          <w:tcPr>
            <w:tcW w:w="4253" w:type="dxa"/>
            <w:shd w:val="clear" w:color="auto" w:fill="auto"/>
            <w:vAlign w:val="center"/>
          </w:tcPr>
          <w:p w14:paraId="1138E8C2" w14:textId="77777777" w:rsidR="000921A9" w:rsidRPr="006A0747" w:rsidRDefault="000921A9" w:rsidP="009524B0">
            <w:pPr>
              <w:spacing w:line="360" w:lineRule="auto"/>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Página web </w:t>
            </w:r>
          </w:p>
          <w:p w14:paraId="4F460231" w14:textId="77777777" w:rsidR="000921A9" w:rsidRPr="006A0747" w:rsidRDefault="000921A9" w:rsidP="009524B0">
            <w:pPr>
              <w:spacing w:line="360" w:lineRule="auto"/>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(consulta estatus de caso)</w:t>
            </w:r>
          </w:p>
        </w:tc>
        <w:tc>
          <w:tcPr>
            <w:tcW w:w="2686" w:type="dxa"/>
            <w:shd w:val="clear" w:color="auto" w:fill="auto"/>
            <w:vAlign w:val="center"/>
          </w:tcPr>
          <w:p w14:paraId="4BCEE69F" w14:textId="77C67233" w:rsidR="000921A9" w:rsidRPr="006A0747" w:rsidRDefault="00BF1FA0" w:rsidP="001C225A">
            <w:pPr>
              <w:spacing w:line="360" w:lineRule="auto"/>
              <w:jc w:val="center"/>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7,9</w:t>
            </w:r>
            <w:r w:rsidR="00DD7055" w:rsidRPr="006A0747">
              <w:rPr>
                <w:rFonts w:ascii="Times New Roman" w:eastAsia="Calibri" w:hAnsi="Times New Roman" w:cs="Times New Roman"/>
                <w:color w:val="767171"/>
                <w:spacing w:val="20"/>
                <w:sz w:val="24"/>
                <w:szCs w:val="24"/>
              </w:rPr>
              <w:t>69</w:t>
            </w:r>
          </w:p>
        </w:tc>
      </w:tr>
      <w:tr w:rsidR="00CF75E4" w:rsidRPr="006A0747" w14:paraId="184300EA" w14:textId="77777777" w:rsidTr="009524B0">
        <w:trPr>
          <w:trHeight w:val="300"/>
        </w:trPr>
        <w:tc>
          <w:tcPr>
            <w:tcW w:w="1838" w:type="dxa"/>
            <w:vMerge/>
            <w:vAlign w:val="center"/>
          </w:tcPr>
          <w:p w14:paraId="4631EDF7" w14:textId="77777777" w:rsidR="000921A9" w:rsidRPr="006A0747" w:rsidRDefault="000921A9" w:rsidP="009524B0">
            <w:pPr>
              <w:spacing w:line="360" w:lineRule="auto"/>
              <w:rPr>
                <w:rFonts w:ascii="Times New Roman" w:eastAsia="Calibri" w:hAnsi="Times New Roman" w:cs="Times New Roman"/>
                <w:color w:val="767171"/>
                <w:spacing w:val="20"/>
                <w:sz w:val="24"/>
                <w:szCs w:val="24"/>
              </w:rPr>
            </w:pPr>
          </w:p>
        </w:tc>
        <w:tc>
          <w:tcPr>
            <w:tcW w:w="4253" w:type="dxa"/>
            <w:vAlign w:val="center"/>
          </w:tcPr>
          <w:p w14:paraId="0482F839" w14:textId="77777777" w:rsidR="000921A9" w:rsidRPr="006A0747" w:rsidRDefault="000921A9" w:rsidP="009524B0">
            <w:pPr>
              <w:spacing w:line="360" w:lineRule="auto"/>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ChatBot Lucía </w:t>
            </w:r>
          </w:p>
          <w:p w14:paraId="2F794DDE" w14:textId="77777777" w:rsidR="000921A9" w:rsidRPr="006A0747" w:rsidRDefault="000921A9" w:rsidP="009524B0">
            <w:pPr>
              <w:spacing w:line="360" w:lineRule="auto"/>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(página web y WhatsApp)</w:t>
            </w:r>
          </w:p>
        </w:tc>
        <w:tc>
          <w:tcPr>
            <w:tcW w:w="2686" w:type="dxa"/>
            <w:vAlign w:val="center"/>
          </w:tcPr>
          <w:p w14:paraId="5BAD091A" w14:textId="14AA986A" w:rsidR="000921A9" w:rsidRPr="006A0747" w:rsidRDefault="00AD3718" w:rsidP="001C225A">
            <w:pPr>
              <w:spacing w:line="360" w:lineRule="auto"/>
              <w:jc w:val="center"/>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135,021</w:t>
            </w:r>
          </w:p>
        </w:tc>
      </w:tr>
      <w:tr w:rsidR="00CF75E4" w:rsidRPr="006A0747" w14:paraId="0A963FE8" w14:textId="77777777" w:rsidTr="009524B0">
        <w:trPr>
          <w:trHeight w:val="127"/>
        </w:trPr>
        <w:tc>
          <w:tcPr>
            <w:tcW w:w="6091" w:type="dxa"/>
            <w:gridSpan w:val="2"/>
            <w:vAlign w:val="center"/>
          </w:tcPr>
          <w:p w14:paraId="5D86DC02" w14:textId="77777777" w:rsidR="000921A9" w:rsidRPr="006A0747" w:rsidRDefault="000921A9" w:rsidP="000B1112">
            <w:pPr>
              <w:spacing w:line="360" w:lineRule="auto"/>
              <w:jc w:val="right"/>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lastRenderedPageBreak/>
              <w:t>Total</w:t>
            </w:r>
          </w:p>
        </w:tc>
        <w:tc>
          <w:tcPr>
            <w:tcW w:w="2686" w:type="dxa"/>
            <w:vAlign w:val="center"/>
          </w:tcPr>
          <w:p w14:paraId="19B3321D" w14:textId="170BA4A2" w:rsidR="000921A9" w:rsidRPr="006A0747" w:rsidRDefault="00287E0E" w:rsidP="001C225A">
            <w:pPr>
              <w:spacing w:line="360" w:lineRule="auto"/>
              <w:jc w:val="center"/>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t>232,212</w:t>
            </w:r>
          </w:p>
        </w:tc>
      </w:tr>
    </w:tbl>
    <w:p w14:paraId="411E51B1" w14:textId="7F1AD883" w:rsidR="000921A9" w:rsidRPr="006A0747" w:rsidRDefault="000921A9" w:rsidP="006B68AF">
      <w:pPr>
        <w:spacing w:line="360" w:lineRule="auto"/>
        <w:jc w:val="center"/>
        <w:rPr>
          <w:rFonts w:ascii="Times New Roman" w:eastAsia="Calibri" w:hAnsi="Times New Roman" w:cs="Times New Roman"/>
          <w:i/>
          <w:color w:val="767171"/>
          <w:spacing w:val="20"/>
          <w:sz w:val="18"/>
          <w:szCs w:val="18"/>
        </w:rPr>
      </w:pPr>
      <w:r w:rsidRPr="006A0747">
        <w:rPr>
          <w:rFonts w:ascii="Times New Roman" w:eastAsia="Calibri" w:hAnsi="Times New Roman" w:cs="Times New Roman"/>
          <w:b/>
          <w:i/>
          <w:color w:val="767171"/>
          <w:spacing w:val="20"/>
          <w:sz w:val="18"/>
          <w:szCs w:val="18"/>
        </w:rPr>
        <w:t>Fuente</w:t>
      </w:r>
      <w:r w:rsidRPr="006A0747">
        <w:rPr>
          <w:rFonts w:ascii="Times New Roman" w:eastAsia="Calibri" w:hAnsi="Times New Roman" w:cs="Times New Roman"/>
          <w:i/>
          <w:color w:val="767171"/>
          <w:spacing w:val="20"/>
          <w:sz w:val="18"/>
          <w:szCs w:val="18"/>
        </w:rPr>
        <w:t xml:space="preserve">: </w:t>
      </w:r>
      <w:r w:rsidR="00774DE4" w:rsidRPr="006A0747">
        <w:rPr>
          <w:rFonts w:ascii="Times New Roman" w:eastAsia="Calibri" w:hAnsi="Times New Roman" w:cs="Times New Roman"/>
          <w:i/>
          <w:color w:val="767171"/>
          <w:spacing w:val="20"/>
          <w:sz w:val="18"/>
          <w:szCs w:val="18"/>
        </w:rPr>
        <w:t xml:space="preserve">Datos propios de la Oficina </w:t>
      </w:r>
      <w:r w:rsidR="00786883" w:rsidRPr="006A0747">
        <w:rPr>
          <w:rFonts w:ascii="Times New Roman" w:eastAsia="Calibri" w:hAnsi="Times New Roman" w:cs="Times New Roman"/>
          <w:i/>
          <w:color w:val="767171"/>
          <w:spacing w:val="20"/>
          <w:sz w:val="18"/>
          <w:szCs w:val="18"/>
        </w:rPr>
        <w:t>de servicios</w:t>
      </w:r>
      <w:r w:rsidR="00414D94" w:rsidRPr="006A0747">
        <w:rPr>
          <w:rFonts w:ascii="Times New Roman" w:eastAsia="Calibri" w:hAnsi="Times New Roman" w:cs="Times New Roman"/>
          <w:i/>
          <w:color w:val="767171"/>
          <w:spacing w:val="20"/>
          <w:sz w:val="18"/>
          <w:szCs w:val="18"/>
        </w:rPr>
        <w:t xml:space="preserve"> </w:t>
      </w:r>
      <w:r w:rsidR="00786883" w:rsidRPr="006A0747">
        <w:rPr>
          <w:rFonts w:ascii="Times New Roman" w:eastAsia="Calibri" w:hAnsi="Times New Roman" w:cs="Times New Roman"/>
          <w:i/>
          <w:color w:val="767171"/>
          <w:spacing w:val="20"/>
          <w:sz w:val="18"/>
          <w:szCs w:val="18"/>
        </w:rPr>
        <w:t>y protección</w:t>
      </w:r>
      <w:r w:rsidR="00774DE4" w:rsidRPr="006A0747">
        <w:rPr>
          <w:rFonts w:ascii="Times New Roman" w:eastAsia="Calibri" w:hAnsi="Times New Roman" w:cs="Times New Roman"/>
          <w:i/>
          <w:color w:val="767171"/>
          <w:spacing w:val="20"/>
          <w:sz w:val="18"/>
          <w:szCs w:val="18"/>
        </w:rPr>
        <w:t xml:space="preserve"> al Usuario (</w:t>
      </w:r>
      <w:r w:rsidRPr="006A0747">
        <w:rPr>
          <w:rFonts w:ascii="Times New Roman" w:eastAsia="Calibri" w:hAnsi="Times New Roman" w:cs="Times New Roman"/>
          <w:i/>
          <w:color w:val="767171"/>
          <w:spacing w:val="20"/>
          <w:sz w:val="18"/>
          <w:szCs w:val="18"/>
        </w:rPr>
        <w:t>ProUsuario</w:t>
      </w:r>
      <w:r w:rsidR="00774DE4" w:rsidRPr="006A0747">
        <w:rPr>
          <w:rFonts w:ascii="Times New Roman" w:eastAsia="Calibri" w:hAnsi="Times New Roman" w:cs="Times New Roman"/>
          <w:i/>
          <w:color w:val="767171"/>
          <w:spacing w:val="20"/>
          <w:sz w:val="18"/>
          <w:szCs w:val="18"/>
        </w:rPr>
        <w:t>)</w:t>
      </w:r>
      <w:r w:rsidRPr="006A0747">
        <w:rPr>
          <w:rFonts w:ascii="Times New Roman" w:eastAsia="Calibri" w:hAnsi="Times New Roman" w:cs="Times New Roman"/>
          <w:i/>
          <w:color w:val="767171"/>
          <w:spacing w:val="20"/>
          <w:sz w:val="18"/>
          <w:szCs w:val="18"/>
        </w:rPr>
        <w:t xml:space="preserve">. Superintendencia de Bancos de la República </w:t>
      </w:r>
      <w:r w:rsidR="00774DE4" w:rsidRPr="006A0747">
        <w:rPr>
          <w:rFonts w:ascii="Times New Roman" w:eastAsia="Calibri" w:hAnsi="Times New Roman" w:cs="Times New Roman"/>
          <w:i/>
          <w:color w:val="767171"/>
          <w:spacing w:val="20"/>
          <w:sz w:val="18"/>
          <w:szCs w:val="18"/>
        </w:rPr>
        <w:t>Dominicana.</w:t>
      </w:r>
    </w:p>
    <w:p w14:paraId="76C80960" w14:textId="77777777" w:rsidR="004D2910" w:rsidRPr="006A0747" w:rsidRDefault="004D2910" w:rsidP="000921A9">
      <w:pPr>
        <w:spacing w:line="360" w:lineRule="auto"/>
        <w:jc w:val="both"/>
        <w:rPr>
          <w:rFonts w:ascii="Times New Roman" w:eastAsia="Calibri" w:hAnsi="Times New Roman" w:cs="Times New Roman"/>
          <w:color w:val="767171"/>
          <w:spacing w:val="20"/>
          <w:sz w:val="24"/>
          <w:szCs w:val="24"/>
        </w:rPr>
      </w:pPr>
    </w:p>
    <w:p w14:paraId="4330C5CC" w14:textId="198DFA4D" w:rsidR="000921A9" w:rsidRPr="006A0747" w:rsidRDefault="000921A9" w:rsidP="000921A9">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La atención brindada ha sido bien valorada por los usuarios asistidos(as), obteniendo </w:t>
      </w:r>
      <w:r w:rsidR="000C74F5" w:rsidRPr="006A0747">
        <w:rPr>
          <w:rFonts w:ascii="Times New Roman" w:eastAsia="Calibri" w:hAnsi="Times New Roman" w:cs="Times New Roman"/>
          <w:color w:val="767171"/>
          <w:spacing w:val="20"/>
          <w:sz w:val="24"/>
          <w:szCs w:val="24"/>
        </w:rPr>
        <w:t>este año</w:t>
      </w:r>
      <w:r w:rsidR="00077CF7" w:rsidRPr="006A0747">
        <w:rPr>
          <w:rFonts w:ascii="Times New Roman" w:eastAsia="Calibri" w:hAnsi="Times New Roman" w:cs="Times New Roman"/>
          <w:color w:val="767171"/>
          <w:spacing w:val="20"/>
          <w:sz w:val="24"/>
          <w:szCs w:val="24"/>
        </w:rPr>
        <w:t xml:space="preserve"> </w:t>
      </w:r>
      <w:r w:rsidRPr="006A0747">
        <w:rPr>
          <w:rFonts w:ascii="Times New Roman" w:eastAsia="Calibri" w:hAnsi="Times New Roman" w:cs="Times New Roman"/>
          <w:color w:val="767171"/>
          <w:spacing w:val="20"/>
          <w:sz w:val="24"/>
          <w:szCs w:val="24"/>
        </w:rPr>
        <w:t xml:space="preserve">un promedio mensual de satisfacción de </w:t>
      </w:r>
      <w:r w:rsidRPr="006A0747">
        <w:rPr>
          <w:rFonts w:ascii="Times New Roman" w:eastAsia="Calibri" w:hAnsi="Times New Roman" w:cs="Times New Roman"/>
          <w:b/>
          <w:color w:val="767171"/>
          <w:spacing w:val="20"/>
          <w:sz w:val="24"/>
          <w:szCs w:val="24"/>
        </w:rPr>
        <w:t>9</w:t>
      </w:r>
      <w:r w:rsidR="004B5D2F" w:rsidRPr="006A0747">
        <w:rPr>
          <w:rFonts w:ascii="Times New Roman" w:eastAsia="Calibri" w:hAnsi="Times New Roman" w:cs="Times New Roman"/>
          <w:b/>
          <w:color w:val="767171"/>
          <w:spacing w:val="20"/>
          <w:sz w:val="24"/>
          <w:szCs w:val="24"/>
        </w:rPr>
        <w:t>2</w:t>
      </w:r>
      <w:r w:rsidRPr="006A0747">
        <w:rPr>
          <w:rFonts w:ascii="Times New Roman" w:eastAsia="Calibri" w:hAnsi="Times New Roman" w:cs="Times New Roman"/>
          <w:b/>
          <w:color w:val="767171"/>
          <w:spacing w:val="20"/>
          <w:sz w:val="24"/>
          <w:szCs w:val="24"/>
        </w:rPr>
        <w:t>%.</w:t>
      </w:r>
      <w:r w:rsidRPr="006A0747">
        <w:rPr>
          <w:rFonts w:ascii="Times New Roman" w:eastAsia="Calibri" w:hAnsi="Times New Roman" w:cs="Times New Roman"/>
          <w:color w:val="767171"/>
          <w:spacing w:val="20"/>
          <w:sz w:val="24"/>
          <w:szCs w:val="24"/>
        </w:rPr>
        <w:t xml:space="preserve"> Esto, según lo indicado por las </w:t>
      </w:r>
      <w:r w:rsidR="004622D3" w:rsidRPr="006A0747">
        <w:rPr>
          <w:rFonts w:ascii="Times New Roman" w:eastAsia="Calibri" w:hAnsi="Times New Roman" w:cs="Times New Roman"/>
          <w:color w:val="767171"/>
          <w:spacing w:val="20"/>
          <w:sz w:val="24"/>
          <w:szCs w:val="24"/>
        </w:rPr>
        <w:t>17,</w:t>
      </w:r>
      <w:r w:rsidR="001073E3" w:rsidRPr="006A0747">
        <w:rPr>
          <w:rFonts w:ascii="Times New Roman" w:eastAsia="Calibri" w:hAnsi="Times New Roman" w:cs="Times New Roman"/>
          <w:color w:val="767171"/>
          <w:spacing w:val="20"/>
          <w:sz w:val="24"/>
          <w:szCs w:val="24"/>
        </w:rPr>
        <w:t>673</w:t>
      </w:r>
      <w:r w:rsidRPr="006A0747">
        <w:rPr>
          <w:rFonts w:ascii="Times New Roman" w:eastAsia="Calibri" w:hAnsi="Times New Roman" w:cs="Times New Roman"/>
          <w:color w:val="767171"/>
          <w:spacing w:val="20"/>
          <w:sz w:val="24"/>
          <w:szCs w:val="24"/>
        </w:rPr>
        <w:t xml:space="preserve"> encuestas </w:t>
      </w:r>
      <w:r w:rsidR="00646398" w:rsidRPr="006A0747">
        <w:rPr>
          <w:rFonts w:ascii="Times New Roman" w:eastAsia="Calibri" w:hAnsi="Times New Roman" w:cs="Times New Roman"/>
          <w:color w:val="767171"/>
          <w:spacing w:val="20"/>
          <w:sz w:val="24"/>
          <w:szCs w:val="24"/>
        </w:rPr>
        <w:t>completadas</w:t>
      </w:r>
      <w:r w:rsidRPr="006A0747">
        <w:rPr>
          <w:rFonts w:ascii="Times New Roman" w:eastAsia="Calibri" w:hAnsi="Times New Roman" w:cs="Times New Roman"/>
          <w:color w:val="767171"/>
          <w:spacing w:val="20"/>
          <w:sz w:val="24"/>
          <w:szCs w:val="24"/>
        </w:rPr>
        <w:t xml:space="preserve"> luego de </w:t>
      </w:r>
      <w:r w:rsidR="00451AC3" w:rsidRPr="006A0747">
        <w:rPr>
          <w:rFonts w:ascii="Times New Roman" w:eastAsia="Calibri" w:hAnsi="Times New Roman" w:cs="Times New Roman"/>
          <w:color w:val="767171"/>
          <w:spacing w:val="20"/>
          <w:sz w:val="24"/>
          <w:szCs w:val="24"/>
        </w:rPr>
        <w:t>recibir</w:t>
      </w:r>
      <w:r w:rsidRPr="006A0747">
        <w:rPr>
          <w:rFonts w:ascii="Times New Roman" w:eastAsia="Calibri" w:hAnsi="Times New Roman" w:cs="Times New Roman"/>
          <w:color w:val="767171"/>
          <w:spacing w:val="20"/>
          <w:sz w:val="24"/>
          <w:szCs w:val="24"/>
        </w:rPr>
        <w:t xml:space="preserve"> servicios </w:t>
      </w:r>
      <w:r w:rsidR="00451AC3" w:rsidRPr="006A0747">
        <w:rPr>
          <w:rFonts w:ascii="Times New Roman" w:eastAsia="Calibri" w:hAnsi="Times New Roman" w:cs="Times New Roman"/>
          <w:color w:val="767171"/>
          <w:spacing w:val="20"/>
          <w:sz w:val="24"/>
          <w:szCs w:val="24"/>
        </w:rPr>
        <w:t>a través de</w:t>
      </w:r>
      <w:r w:rsidRPr="006A0747">
        <w:rPr>
          <w:rFonts w:ascii="Times New Roman" w:eastAsia="Calibri" w:hAnsi="Times New Roman" w:cs="Times New Roman"/>
          <w:color w:val="767171"/>
          <w:spacing w:val="20"/>
          <w:sz w:val="24"/>
          <w:szCs w:val="24"/>
        </w:rPr>
        <w:t xml:space="preserve"> los canales de atención. Cabe resaltar que, para continuar asegurando la calidad del servicio brindado</w:t>
      </w:r>
      <w:r w:rsidR="00CF3218" w:rsidRPr="006A0747">
        <w:rPr>
          <w:rFonts w:ascii="Times New Roman" w:eastAsia="Calibri" w:hAnsi="Times New Roman" w:cs="Times New Roman"/>
          <w:color w:val="767171"/>
          <w:spacing w:val="20"/>
          <w:sz w:val="24"/>
          <w:szCs w:val="24"/>
        </w:rPr>
        <w:t>,</w:t>
      </w:r>
      <w:r w:rsidRPr="006A0747">
        <w:rPr>
          <w:rFonts w:ascii="Times New Roman" w:eastAsia="Calibri" w:hAnsi="Times New Roman" w:cs="Times New Roman"/>
          <w:color w:val="767171"/>
          <w:spacing w:val="20"/>
          <w:sz w:val="24"/>
          <w:szCs w:val="24"/>
        </w:rPr>
        <w:t xml:space="preserve"> se implementó el monitoreo mediante "cliente incógnito" en </w:t>
      </w:r>
      <w:r w:rsidR="00763801" w:rsidRPr="006A0747">
        <w:rPr>
          <w:rFonts w:ascii="Times New Roman" w:eastAsia="Calibri" w:hAnsi="Times New Roman" w:cs="Times New Roman"/>
          <w:color w:val="767171"/>
          <w:spacing w:val="20"/>
          <w:sz w:val="24"/>
          <w:szCs w:val="24"/>
        </w:rPr>
        <w:t xml:space="preserve">las </w:t>
      </w:r>
      <w:r w:rsidRPr="006A0747">
        <w:rPr>
          <w:rFonts w:ascii="Times New Roman" w:eastAsia="Calibri" w:hAnsi="Times New Roman" w:cs="Times New Roman"/>
          <w:color w:val="767171"/>
          <w:spacing w:val="20"/>
          <w:sz w:val="24"/>
          <w:szCs w:val="24"/>
        </w:rPr>
        <w:t xml:space="preserve">oficinas presenciales, </w:t>
      </w:r>
      <w:r w:rsidR="00797569" w:rsidRPr="006A0747">
        <w:rPr>
          <w:rFonts w:ascii="Times New Roman" w:eastAsia="Calibri" w:hAnsi="Times New Roman" w:cs="Times New Roman"/>
          <w:color w:val="767171"/>
          <w:spacing w:val="20"/>
          <w:sz w:val="24"/>
          <w:szCs w:val="24"/>
        </w:rPr>
        <w:t xml:space="preserve">a fin de </w:t>
      </w:r>
      <w:r w:rsidR="004953A3" w:rsidRPr="006A0747">
        <w:rPr>
          <w:rFonts w:ascii="Times New Roman" w:eastAsia="Calibri" w:hAnsi="Times New Roman" w:cs="Times New Roman"/>
          <w:color w:val="767171"/>
          <w:spacing w:val="20"/>
          <w:sz w:val="24"/>
          <w:szCs w:val="24"/>
        </w:rPr>
        <w:t xml:space="preserve">identificar oportunidades de mejora </w:t>
      </w:r>
      <w:r w:rsidR="00BA7775" w:rsidRPr="006A0747">
        <w:rPr>
          <w:rFonts w:ascii="Times New Roman" w:eastAsia="Calibri" w:hAnsi="Times New Roman" w:cs="Times New Roman"/>
          <w:color w:val="767171"/>
          <w:spacing w:val="20"/>
          <w:sz w:val="24"/>
          <w:szCs w:val="24"/>
        </w:rPr>
        <w:t xml:space="preserve">a partir de </w:t>
      </w:r>
      <w:r w:rsidRPr="006A0747">
        <w:rPr>
          <w:rFonts w:ascii="Times New Roman" w:eastAsia="Calibri" w:hAnsi="Times New Roman" w:cs="Times New Roman"/>
          <w:color w:val="767171"/>
          <w:spacing w:val="20"/>
          <w:sz w:val="24"/>
          <w:szCs w:val="24"/>
        </w:rPr>
        <w:t xml:space="preserve">una </w:t>
      </w:r>
      <w:r w:rsidR="00BA7775" w:rsidRPr="006A0747">
        <w:rPr>
          <w:rFonts w:ascii="Times New Roman" w:eastAsia="Calibri" w:hAnsi="Times New Roman" w:cs="Times New Roman"/>
          <w:color w:val="767171"/>
          <w:spacing w:val="20"/>
          <w:sz w:val="24"/>
          <w:szCs w:val="24"/>
        </w:rPr>
        <w:t>mirada</w:t>
      </w:r>
      <w:r w:rsidRPr="006A0747">
        <w:rPr>
          <w:rFonts w:ascii="Times New Roman" w:eastAsia="Calibri" w:hAnsi="Times New Roman" w:cs="Times New Roman"/>
          <w:color w:val="767171"/>
          <w:spacing w:val="20"/>
          <w:sz w:val="24"/>
          <w:szCs w:val="24"/>
        </w:rPr>
        <w:t xml:space="preserve"> imparcial y crítica de</w:t>
      </w:r>
      <w:r w:rsidR="00F54DC0" w:rsidRPr="006A0747">
        <w:rPr>
          <w:rFonts w:ascii="Times New Roman" w:eastAsia="Calibri" w:hAnsi="Times New Roman" w:cs="Times New Roman"/>
          <w:color w:val="767171"/>
          <w:spacing w:val="20"/>
          <w:sz w:val="24"/>
          <w:szCs w:val="24"/>
        </w:rPr>
        <w:t>l proceso</w:t>
      </w:r>
      <w:r w:rsidR="00B64491" w:rsidRPr="006A0747">
        <w:rPr>
          <w:rFonts w:ascii="Times New Roman" w:eastAsia="Calibri" w:hAnsi="Times New Roman" w:cs="Times New Roman"/>
          <w:color w:val="767171"/>
          <w:spacing w:val="20"/>
          <w:sz w:val="24"/>
          <w:szCs w:val="24"/>
        </w:rPr>
        <w:t xml:space="preserve"> </w:t>
      </w:r>
      <w:r w:rsidR="00F54DC0" w:rsidRPr="006A0747">
        <w:rPr>
          <w:rFonts w:ascii="Times New Roman" w:eastAsia="Calibri" w:hAnsi="Times New Roman" w:cs="Times New Roman"/>
          <w:color w:val="767171"/>
          <w:spacing w:val="20"/>
          <w:sz w:val="24"/>
          <w:szCs w:val="24"/>
        </w:rPr>
        <w:t>y el</w:t>
      </w:r>
      <w:r w:rsidR="00A51497" w:rsidRPr="006A0747">
        <w:rPr>
          <w:rFonts w:ascii="Times New Roman" w:eastAsia="Calibri" w:hAnsi="Times New Roman" w:cs="Times New Roman"/>
          <w:color w:val="767171"/>
          <w:spacing w:val="20"/>
          <w:sz w:val="24"/>
          <w:szCs w:val="24"/>
        </w:rPr>
        <w:t xml:space="preserve"> </w:t>
      </w:r>
      <w:r w:rsidRPr="006A0747">
        <w:rPr>
          <w:rFonts w:ascii="Times New Roman" w:eastAsia="Calibri" w:hAnsi="Times New Roman" w:cs="Times New Roman"/>
          <w:color w:val="767171"/>
          <w:spacing w:val="20"/>
          <w:sz w:val="24"/>
          <w:szCs w:val="24"/>
        </w:rPr>
        <w:t>desempeño de</w:t>
      </w:r>
      <w:r w:rsidR="00A51497" w:rsidRPr="006A0747">
        <w:rPr>
          <w:rFonts w:ascii="Times New Roman" w:eastAsia="Calibri" w:hAnsi="Times New Roman" w:cs="Times New Roman"/>
          <w:color w:val="767171"/>
          <w:spacing w:val="20"/>
          <w:sz w:val="24"/>
          <w:szCs w:val="24"/>
        </w:rPr>
        <w:t xml:space="preserve"> los</w:t>
      </w:r>
      <w:r w:rsidRPr="006A0747">
        <w:rPr>
          <w:rFonts w:ascii="Times New Roman" w:eastAsia="Calibri" w:hAnsi="Times New Roman" w:cs="Times New Roman"/>
          <w:color w:val="767171"/>
          <w:spacing w:val="20"/>
          <w:sz w:val="24"/>
          <w:szCs w:val="24"/>
        </w:rPr>
        <w:t xml:space="preserve"> colaborador</w:t>
      </w:r>
      <w:r w:rsidR="00F54DC0" w:rsidRPr="006A0747">
        <w:rPr>
          <w:rFonts w:ascii="Times New Roman" w:eastAsia="Calibri" w:hAnsi="Times New Roman" w:cs="Times New Roman"/>
          <w:color w:val="767171"/>
          <w:spacing w:val="20"/>
          <w:sz w:val="24"/>
          <w:szCs w:val="24"/>
        </w:rPr>
        <w:t>es.</w:t>
      </w:r>
    </w:p>
    <w:p w14:paraId="2980A8DB" w14:textId="1C5D0D7E" w:rsidR="000921A9" w:rsidRPr="006A0747" w:rsidRDefault="008E55C9" w:rsidP="000921A9">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Entre las innovaciones </w:t>
      </w:r>
      <w:r w:rsidR="008411EB" w:rsidRPr="006A0747">
        <w:rPr>
          <w:rFonts w:ascii="Times New Roman" w:eastAsia="Calibri" w:hAnsi="Times New Roman" w:cs="Times New Roman"/>
          <w:color w:val="767171"/>
          <w:spacing w:val="20"/>
          <w:sz w:val="24"/>
          <w:szCs w:val="24"/>
        </w:rPr>
        <w:t xml:space="preserve">orientadas a aumentar el </w:t>
      </w:r>
      <w:r w:rsidRPr="006A0747">
        <w:rPr>
          <w:rFonts w:ascii="Times New Roman" w:eastAsia="Calibri" w:hAnsi="Times New Roman" w:cs="Times New Roman"/>
          <w:color w:val="767171"/>
          <w:spacing w:val="20"/>
          <w:sz w:val="24"/>
          <w:szCs w:val="24"/>
        </w:rPr>
        <w:t>bienestar de los usuarios</w:t>
      </w:r>
      <w:r w:rsidR="001970ED" w:rsidRPr="006A0747">
        <w:rPr>
          <w:rFonts w:ascii="Times New Roman" w:eastAsia="Calibri" w:hAnsi="Times New Roman" w:cs="Times New Roman"/>
          <w:color w:val="767171"/>
          <w:spacing w:val="20"/>
          <w:sz w:val="24"/>
          <w:szCs w:val="24"/>
        </w:rPr>
        <w:t>,</w:t>
      </w:r>
      <w:r w:rsidRPr="006A0747">
        <w:rPr>
          <w:rFonts w:ascii="Times New Roman" w:eastAsia="Calibri" w:hAnsi="Times New Roman" w:cs="Times New Roman"/>
          <w:color w:val="767171"/>
          <w:spacing w:val="20"/>
          <w:sz w:val="24"/>
          <w:szCs w:val="24"/>
        </w:rPr>
        <w:t xml:space="preserve"> la SB incorporó en </w:t>
      </w:r>
      <w:r w:rsidR="000921A9" w:rsidRPr="006A0747">
        <w:rPr>
          <w:rFonts w:ascii="Times New Roman" w:eastAsia="Calibri" w:hAnsi="Times New Roman" w:cs="Times New Roman"/>
          <w:color w:val="767171"/>
          <w:spacing w:val="20"/>
          <w:sz w:val="24"/>
          <w:szCs w:val="24"/>
        </w:rPr>
        <w:t xml:space="preserve">la Aplicación ProUsuario la funcionalidad de “Llamadas no deseadas” a través de la cual los usuarios pueden solicitar a las entidades supervisadas la exclusión </w:t>
      </w:r>
      <w:r w:rsidR="00DD0630" w:rsidRPr="006A0747">
        <w:rPr>
          <w:rFonts w:ascii="Times New Roman" w:eastAsia="Calibri" w:hAnsi="Times New Roman" w:cs="Times New Roman"/>
          <w:color w:val="767171"/>
          <w:spacing w:val="20"/>
          <w:sz w:val="24"/>
          <w:szCs w:val="24"/>
        </w:rPr>
        <w:t>las listas</w:t>
      </w:r>
      <w:r w:rsidR="000921A9" w:rsidRPr="006A0747">
        <w:rPr>
          <w:rFonts w:ascii="Times New Roman" w:eastAsia="Calibri" w:hAnsi="Times New Roman" w:cs="Times New Roman"/>
          <w:color w:val="767171"/>
          <w:spacing w:val="20"/>
          <w:sz w:val="24"/>
          <w:szCs w:val="24"/>
        </w:rPr>
        <w:t xml:space="preserve"> de contacto</w:t>
      </w:r>
      <w:r w:rsidR="00E75BB1" w:rsidRPr="006A0747">
        <w:rPr>
          <w:rFonts w:ascii="Times New Roman" w:eastAsia="Calibri" w:hAnsi="Times New Roman" w:cs="Times New Roman"/>
          <w:color w:val="767171"/>
          <w:spacing w:val="20"/>
          <w:sz w:val="24"/>
          <w:szCs w:val="24"/>
        </w:rPr>
        <w:t>s</w:t>
      </w:r>
      <w:r w:rsidR="00C56E65" w:rsidRPr="006A0747">
        <w:rPr>
          <w:rFonts w:ascii="Times New Roman" w:eastAsia="Calibri" w:hAnsi="Times New Roman" w:cs="Times New Roman"/>
          <w:color w:val="767171"/>
          <w:spacing w:val="20"/>
          <w:sz w:val="24"/>
          <w:szCs w:val="24"/>
        </w:rPr>
        <w:t xml:space="preserve"> usadas</w:t>
      </w:r>
      <w:r w:rsidR="000921A9" w:rsidRPr="006A0747">
        <w:rPr>
          <w:rFonts w:ascii="Times New Roman" w:eastAsia="Calibri" w:hAnsi="Times New Roman" w:cs="Times New Roman"/>
          <w:color w:val="767171"/>
          <w:spacing w:val="20"/>
          <w:sz w:val="24"/>
          <w:szCs w:val="24"/>
        </w:rPr>
        <w:t xml:space="preserve"> para </w:t>
      </w:r>
      <w:r w:rsidR="00770A69" w:rsidRPr="006A0747">
        <w:rPr>
          <w:rFonts w:ascii="Times New Roman" w:eastAsia="Calibri" w:hAnsi="Times New Roman" w:cs="Times New Roman"/>
          <w:color w:val="767171"/>
          <w:spacing w:val="20"/>
          <w:sz w:val="24"/>
          <w:szCs w:val="24"/>
        </w:rPr>
        <w:t xml:space="preserve">ofrecer </w:t>
      </w:r>
      <w:r w:rsidR="00A94B8D" w:rsidRPr="006A0747">
        <w:rPr>
          <w:rFonts w:ascii="Times New Roman" w:eastAsia="Calibri" w:hAnsi="Times New Roman" w:cs="Times New Roman"/>
          <w:color w:val="767171"/>
          <w:spacing w:val="20"/>
          <w:sz w:val="24"/>
          <w:szCs w:val="24"/>
        </w:rPr>
        <w:t>productos</w:t>
      </w:r>
      <w:r w:rsidR="000921A9" w:rsidRPr="006A0747">
        <w:rPr>
          <w:rFonts w:ascii="Times New Roman" w:eastAsia="Calibri" w:hAnsi="Times New Roman" w:cs="Times New Roman"/>
          <w:color w:val="767171"/>
          <w:spacing w:val="20"/>
          <w:sz w:val="24"/>
          <w:szCs w:val="24"/>
        </w:rPr>
        <w:t>, servicios y promocion</w:t>
      </w:r>
      <w:r w:rsidR="00C56E65" w:rsidRPr="006A0747">
        <w:rPr>
          <w:rFonts w:ascii="Times New Roman" w:eastAsia="Calibri" w:hAnsi="Times New Roman" w:cs="Times New Roman"/>
          <w:color w:val="767171"/>
          <w:spacing w:val="20"/>
          <w:sz w:val="24"/>
          <w:szCs w:val="24"/>
        </w:rPr>
        <w:t>es</w:t>
      </w:r>
      <w:r w:rsidR="000921A9" w:rsidRPr="006A0747">
        <w:rPr>
          <w:rFonts w:ascii="Times New Roman" w:eastAsia="Calibri" w:hAnsi="Times New Roman" w:cs="Times New Roman"/>
          <w:color w:val="767171"/>
          <w:spacing w:val="20"/>
          <w:sz w:val="24"/>
          <w:szCs w:val="24"/>
        </w:rPr>
        <w:t xml:space="preserve">. Mediante esta funcionalidad más de </w:t>
      </w:r>
      <w:r w:rsidR="00FF07C1" w:rsidRPr="006A0747">
        <w:rPr>
          <w:rFonts w:ascii="Times New Roman" w:eastAsia="Calibri" w:hAnsi="Times New Roman" w:cs="Times New Roman"/>
          <w:color w:val="767171"/>
          <w:spacing w:val="20"/>
          <w:sz w:val="24"/>
          <w:szCs w:val="24"/>
        </w:rPr>
        <w:t>12</w:t>
      </w:r>
      <w:r w:rsidR="000921A9" w:rsidRPr="006A0747">
        <w:rPr>
          <w:rFonts w:ascii="Times New Roman" w:eastAsia="Calibri" w:hAnsi="Times New Roman" w:cs="Times New Roman"/>
          <w:color w:val="767171"/>
          <w:spacing w:val="20"/>
          <w:sz w:val="24"/>
          <w:szCs w:val="24"/>
        </w:rPr>
        <w:t xml:space="preserve">,000 usuarios han realizado más de </w:t>
      </w:r>
      <w:r w:rsidR="00DD7C00" w:rsidRPr="006A0747">
        <w:rPr>
          <w:rFonts w:ascii="Times New Roman" w:eastAsia="Calibri" w:hAnsi="Times New Roman" w:cs="Times New Roman"/>
          <w:color w:val="767171"/>
          <w:spacing w:val="20"/>
          <w:sz w:val="24"/>
          <w:szCs w:val="24"/>
        </w:rPr>
        <w:t>40</w:t>
      </w:r>
      <w:r w:rsidR="00E47BC4" w:rsidRPr="006A0747">
        <w:rPr>
          <w:rFonts w:ascii="Times New Roman" w:eastAsia="Calibri" w:hAnsi="Times New Roman" w:cs="Times New Roman"/>
          <w:color w:val="767171"/>
          <w:spacing w:val="20"/>
          <w:sz w:val="24"/>
          <w:szCs w:val="24"/>
        </w:rPr>
        <w:t xml:space="preserve">0,000 </w:t>
      </w:r>
      <w:r w:rsidR="000921A9" w:rsidRPr="006A0747">
        <w:rPr>
          <w:rFonts w:ascii="Times New Roman" w:eastAsia="Calibri" w:hAnsi="Times New Roman" w:cs="Times New Roman"/>
          <w:color w:val="767171"/>
          <w:spacing w:val="20"/>
          <w:sz w:val="24"/>
          <w:szCs w:val="24"/>
        </w:rPr>
        <w:t xml:space="preserve">solicitudes con un nivel de cumplimiento por parte de las entidades supervisadas de un 91%. </w:t>
      </w:r>
    </w:p>
    <w:p w14:paraId="5D5EEF97" w14:textId="1DDA626E" w:rsidR="009B7CFD" w:rsidRPr="006A0747" w:rsidRDefault="000921A9" w:rsidP="000921A9">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Al </w:t>
      </w:r>
      <w:r w:rsidR="005F0873" w:rsidRPr="006A0747">
        <w:rPr>
          <w:rFonts w:ascii="Times New Roman" w:eastAsia="Calibri" w:hAnsi="Times New Roman" w:cs="Times New Roman"/>
          <w:color w:val="767171"/>
          <w:spacing w:val="20"/>
          <w:sz w:val="24"/>
          <w:szCs w:val="24"/>
        </w:rPr>
        <w:t>cierre del</w:t>
      </w:r>
      <w:r w:rsidRPr="006A0747">
        <w:rPr>
          <w:rFonts w:ascii="Times New Roman" w:eastAsia="Calibri" w:hAnsi="Times New Roman" w:cs="Times New Roman"/>
          <w:color w:val="767171"/>
          <w:spacing w:val="20"/>
          <w:sz w:val="24"/>
          <w:szCs w:val="24"/>
        </w:rPr>
        <w:t xml:space="preserve"> 2024</w:t>
      </w:r>
      <w:r w:rsidR="00F9426B" w:rsidRPr="006A0747">
        <w:rPr>
          <w:rFonts w:ascii="Times New Roman" w:eastAsia="Calibri" w:hAnsi="Times New Roman" w:cs="Times New Roman"/>
          <w:color w:val="767171"/>
          <w:spacing w:val="20"/>
          <w:sz w:val="24"/>
          <w:szCs w:val="24"/>
        </w:rPr>
        <w:t>,</w:t>
      </w:r>
      <w:r w:rsidRPr="006A0747">
        <w:rPr>
          <w:rFonts w:ascii="Times New Roman" w:eastAsia="Calibri" w:hAnsi="Times New Roman" w:cs="Times New Roman"/>
          <w:color w:val="767171"/>
          <w:spacing w:val="20"/>
          <w:sz w:val="24"/>
          <w:szCs w:val="24"/>
        </w:rPr>
        <w:t xml:space="preserve"> la </w:t>
      </w:r>
      <w:r w:rsidR="00DD0630" w:rsidRPr="006A0747">
        <w:rPr>
          <w:rFonts w:ascii="Times New Roman" w:eastAsia="Calibri" w:hAnsi="Times New Roman" w:cs="Times New Roman"/>
          <w:color w:val="767171"/>
          <w:spacing w:val="20"/>
          <w:sz w:val="24"/>
          <w:szCs w:val="24"/>
        </w:rPr>
        <w:t>a</w:t>
      </w:r>
      <w:r w:rsidRPr="006A0747">
        <w:rPr>
          <w:rFonts w:ascii="Times New Roman" w:eastAsia="Calibri" w:hAnsi="Times New Roman" w:cs="Times New Roman"/>
          <w:color w:val="767171"/>
          <w:spacing w:val="20"/>
          <w:sz w:val="24"/>
          <w:szCs w:val="24"/>
        </w:rPr>
        <w:t>plicación ProUsuario ha alcanzado más d</w:t>
      </w:r>
      <w:r w:rsidR="009F67C4" w:rsidRPr="006A0747">
        <w:rPr>
          <w:rFonts w:ascii="Times New Roman" w:eastAsia="Calibri" w:hAnsi="Times New Roman" w:cs="Times New Roman"/>
          <w:color w:val="767171"/>
          <w:spacing w:val="20"/>
          <w:sz w:val="24"/>
          <w:szCs w:val="24"/>
        </w:rPr>
        <w:t xml:space="preserve">e </w:t>
      </w:r>
      <w:r w:rsidR="005F0873" w:rsidRPr="006A0747">
        <w:rPr>
          <w:rFonts w:ascii="Times New Roman" w:eastAsia="Calibri" w:hAnsi="Times New Roman" w:cs="Times New Roman"/>
          <w:color w:val="767171"/>
          <w:spacing w:val="20"/>
          <w:sz w:val="24"/>
          <w:szCs w:val="24"/>
        </w:rPr>
        <w:t>343</w:t>
      </w:r>
      <w:r w:rsidRPr="006A0747">
        <w:rPr>
          <w:rFonts w:ascii="Times New Roman" w:eastAsia="Calibri" w:hAnsi="Times New Roman" w:cs="Times New Roman"/>
          <w:color w:val="767171"/>
          <w:spacing w:val="20"/>
          <w:sz w:val="24"/>
          <w:szCs w:val="24"/>
        </w:rPr>
        <w:t xml:space="preserve">,000 </w:t>
      </w:r>
      <w:proofErr w:type="gramStart"/>
      <w:r w:rsidRPr="006A0747">
        <w:rPr>
          <w:rFonts w:ascii="Times New Roman" w:eastAsia="Calibri" w:hAnsi="Times New Roman" w:cs="Times New Roman"/>
          <w:color w:val="767171"/>
          <w:spacing w:val="20"/>
          <w:sz w:val="24"/>
          <w:szCs w:val="24"/>
        </w:rPr>
        <w:t>usuarios</w:t>
      </w:r>
      <w:r w:rsidR="009F67C4" w:rsidRPr="006A0747">
        <w:rPr>
          <w:rFonts w:ascii="Times New Roman" w:eastAsia="Calibri" w:hAnsi="Times New Roman" w:cs="Times New Roman"/>
          <w:color w:val="767171"/>
          <w:spacing w:val="20"/>
          <w:sz w:val="24"/>
          <w:szCs w:val="24"/>
        </w:rPr>
        <w:t xml:space="preserve"> y usuarias</w:t>
      </w:r>
      <w:proofErr w:type="gramEnd"/>
      <w:r w:rsidRPr="006A0747">
        <w:rPr>
          <w:rFonts w:ascii="Times New Roman" w:eastAsia="Calibri" w:hAnsi="Times New Roman" w:cs="Times New Roman"/>
          <w:color w:val="767171"/>
          <w:spacing w:val="20"/>
          <w:sz w:val="24"/>
          <w:szCs w:val="24"/>
        </w:rPr>
        <w:t xml:space="preserve"> registrados</w:t>
      </w:r>
      <w:r w:rsidR="001C5472" w:rsidRPr="006A0747">
        <w:rPr>
          <w:rFonts w:ascii="Times New Roman" w:eastAsia="Calibri" w:hAnsi="Times New Roman" w:cs="Times New Roman"/>
          <w:color w:val="767171"/>
          <w:spacing w:val="20"/>
          <w:sz w:val="24"/>
          <w:szCs w:val="24"/>
        </w:rPr>
        <w:t>, de los cuales</w:t>
      </w:r>
      <w:r w:rsidR="00F9426B" w:rsidRPr="006A0747">
        <w:rPr>
          <w:rFonts w:ascii="Times New Roman" w:eastAsia="Calibri" w:hAnsi="Times New Roman" w:cs="Times New Roman"/>
          <w:color w:val="767171"/>
          <w:spacing w:val="20"/>
          <w:sz w:val="24"/>
          <w:szCs w:val="24"/>
        </w:rPr>
        <w:t xml:space="preserve"> </w:t>
      </w:r>
      <w:r w:rsidR="00CD2CB9" w:rsidRPr="006A0747">
        <w:rPr>
          <w:rFonts w:ascii="Times New Roman" w:eastAsia="Calibri" w:hAnsi="Times New Roman" w:cs="Times New Roman"/>
          <w:color w:val="767171"/>
          <w:spacing w:val="20"/>
          <w:sz w:val="24"/>
          <w:szCs w:val="24"/>
        </w:rPr>
        <w:t xml:space="preserve">101,378 </w:t>
      </w:r>
      <w:r w:rsidRPr="006A0747">
        <w:rPr>
          <w:rFonts w:ascii="Times New Roman" w:eastAsia="Calibri" w:hAnsi="Times New Roman" w:cs="Times New Roman"/>
          <w:color w:val="767171"/>
          <w:spacing w:val="20"/>
          <w:sz w:val="24"/>
          <w:szCs w:val="24"/>
        </w:rPr>
        <w:t>han logrado identificar cuentas inactivas y abandonadas</w:t>
      </w:r>
      <w:r w:rsidR="00F9426B" w:rsidRPr="006A0747">
        <w:rPr>
          <w:rFonts w:ascii="Times New Roman" w:eastAsia="Calibri" w:hAnsi="Times New Roman" w:cs="Times New Roman"/>
          <w:color w:val="767171"/>
          <w:spacing w:val="20"/>
          <w:sz w:val="24"/>
          <w:szCs w:val="24"/>
        </w:rPr>
        <w:t xml:space="preserve">, </w:t>
      </w:r>
      <w:r w:rsidRPr="006A0747">
        <w:rPr>
          <w:rFonts w:ascii="Times New Roman" w:eastAsia="Calibri" w:hAnsi="Times New Roman" w:cs="Times New Roman"/>
          <w:color w:val="767171"/>
          <w:spacing w:val="20"/>
          <w:sz w:val="24"/>
          <w:szCs w:val="24"/>
        </w:rPr>
        <w:t>con fondos que alcanzan un total de RD$</w:t>
      </w:r>
      <w:r w:rsidR="009F67C4" w:rsidRPr="006A0747">
        <w:rPr>
          <w:rFonts w:ascii="Times New Roman" w:eastAsia="Calibri" w:hAnsi="Times New Roman" w:cs="Times New Roman"/>
          <w:color w:val="767171"/>
          <w:spacing w:val="20"/>
          <w:sz w:val="24"/>
          <w:szCs w:val="24"/>
        </w:rPr>
        <w:t xml:space="preserve"> </w:t>
      </w:r>
      <w:r w:rsidR="00AA100A" w:rsidRPr="006A0747">
        <w:rPr>
          <w:rFonts w:ascii="Times New Roman" w:eastAsia="Calibri" w:hAnsi="Times New Roman" w:cs="Times New Roman"/>
          <w:color w:val="767171"/>
          <w:spacing w:val="20"/>
          <w:sz w:val="24"/>
          <w:szCs w:val="24"/>
        </w:rPr>
        <w:t>105</w:t>
      </w:r>
      <w:r w:rsidR="00866520" w:rsidRPr="006A0747">
        <w:rPr>
          <w:rFonts w:ascii="Times New Roman" w:eastAsia="Calibri" w:hAnsi="Times New Roman" w:cs="Times New Roman"/>
          <w:color w:val="767171"/>
          <w:spacing w:val="20"/>
          <w:sz w:val="24"/>
          <w:szCs w:val="24"/>
        </w:rPr>
        <w:t>.</w:t>
      </w:r>
      <w:r w:rsidR="0067147F" w:rsidRPr="006A0747">
        <w:rPr>
          <w:rFonts w:ascii="Times New Roman" w:eastAsia="Calibri" w:hAnsi="Times New Roman" w:cs="Times New Roman"/>
          <w:color w:val="767171"/>
          <w:spacing w:val="20"/>
          <w:sz w:val="24"/>
          <w:szCs w:val="24"/>
        </w:rPr>
        <w:t>94</w:t>
      </w:r>
      <w:r w:rsidRPr="006A0747">
        <w:rPr>
          <w:rFonts w:ascii="Times New Roman" w:eastAsia="Calibri" w:hAnsi="Times New Roman" w:cs="Times New Roman"/>
          <w:color w:val="767171"/>
          <w:spacing w:val="20"/>
          <w:sz w:val="24"/>
          <w:szCs w:val="24"/>
        </w:rPr>
        <w:t xml:space="preserve"> millones.</w:t>
      </w:r>
    </w:p>
    <w:p w14:paraId="334300D4" w14:textId="77777777" w:rsidR="006B68AF" w:rsidRPr="006A0747" w:rsidRDefault="006B68AF" w:rsidP="000921A9">
      <w:pPr>
        <w:spacing w:line="360" w:lineRule="auto"/>
        <w:jc w:val="both"/>
        <w:rPr>
          <w:rFonts w:ascii="Times New Roman" w:eastAsia="Calibri" w:hAnsi="Times New Roman" w:cs="Times New Roman"/>
          <w:color w:val="767171"/>
          <w:spacing w:val="20"/>
          <w:sz w:val="24"/>
          <w:szCs w:val="24"/>
        </w:rPr>
      </w:pPr>
    </w:p>
    <w:p w14:paraId="637CBED7" w14:textId="77777777" w:rsidR="004D2910" w:rsidRPr="006A0747" w:rsidRDefault="004D2910" w:rsidP="000921A9">
      <w:pPr>
        <w:spacing w:line="360" w:lineRule="auto"/>
        <w:jc w:val="both"/>
        <w:rPr>
          <w:rFonts w:ascii="Times New Roman" w:eastAsia="Calibri" w:hAnsi="Times New Roman" w:cs="Times New Roman"/>
          <w:color w:val="767171"/>
          <w:spacing w:val="20"/>
          <w:sz w:val="24"/>
          <w:szCs w:val="24"/>
        </w:rPr>
      </w:pPr>
    </w:p>
    <w:p w14:paraId="2AA2D2EE" w14:textId="4318AEC3" w:rsidR="000921A9" w:rsidRPr="006A0747" w:rsidRDefault="000921A9" w:rsidP="000921A9">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lastRenderedPageBreak/>
        <w:t>Educación Financiera </w:t>
      </w:r>
    </w:p>
    <w:p w14:paraId="4382B280" w14:textId="71614ADF" w:rsidR="000921A9" w:rsidRPr="006A0747" w:rsidRDefault="000921A9" w:rsidP="000921A9">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Dentro de las iniciativas realizadas para promover el empoderamiento de </w:t>
      </w:r>
      <w:proofErr w:type="gramStart"/>
      <w:r w:rsidRPr="006A0747">
        <w:rPr>
          <w:rFonts w:ascii="Times New Roman" w:eastAsia="Calibri" w:hAnsi="Times New Roman" w:cs="Times New Roman"/>
          <w:color w:val="767171"/>
          <w:spacing w:val="20"/>
          <w:sz w:val="24"/>
          <w:szCs w:val="24"/>
        </w:rPr>
        <w:t>los usuarios</w:t>
      </w:r>
      <w:r w:rsidR="009F67C4" w:rsidRPr="006A0747">
        <w:rPr>
          <w:rFonts w:ascii="Times New Roman" w:eastAsia="Calibri" w:hAnsi="Times New Roman" w:cs="Times New Roman"/>
          <w:color w:val="767171"/>
          <w:spacing w:val="20"/>
          <w:sz w:val="24"/>
          <w:szCs w:val="24"/>
        </w:rPr>
        <w:t xml:space="preserve"> y usuarias</w:t>
      </w:r>
      <w:proofErr w:type="gramEnd"/>
      <w:r w:rsidRPr="006A0747">
        <w:rPr>
          <w:rFonts w:ascii="Times New Roman" w:eastAsia="Calibri" w:hAnsi="Times New Roman" w:cs="Times New Roman"/>
          <w:color w:val="767171"/>
          <w:spacing w:val="20"/>
          <w:sz w:val="24"/>
          <w:szCs w:val="24"/>
        </w:rPr>
        <w:t xml:space="preserve"> </w:t>
      </w:r>
      <w:r w:rsidR="009F67C4" w:rsidRPr="006A0747">
        <w:rPr>
          <w:rFonts w:ascii="Times New Roman" w:eastAsia="Calibri" w:hAnsi="Times New Roman" w:cs="Times New Roman"/>
          <w:color w:val="767171"/>
          <w:spacing w:val="20"/>
          <w:sz w:val="24"/>
          <w:szCs w:val="24"/>
        </w:rPr>
        <w:t>del sistema financiero</w:t>
      </w:r>
      <w:r w:rsidR="00D16D99" w:rsidRPr="006A0747">
        <w:rPr>
          <w:rFonts w:ascii="Times New Roman" w:eastAsia="Calibri" w:hAnsi="Times New Roman" w:cs="Times New Roman"/>
          <w:color w:val="767171"/>
          <w:spacing w:val="20"/>
          <w:sz w:val="24"/>
          <w:szCs w:val="24"/>
        </w:rPr>
        <w:t>,</w:t>
      </w:r>
      <w:r w:rsidRPr="006A0747">
        <w:rPr>
          <w:rFonts w:ascii="Times New Roman" w:eastAsia="Calibri" w:hAnsi="Times New Roman" w:cs="Times New Roman"/>
          <w:color w:val="767171"/>
          <w:spacing w:val="20"/>
          <w:sz w:val="24"/>
          <w:szCs w:val="24"/>
        </w:rPr>
        <w:t xml:space="preserve"> se</w:t>
      </w:r>
      <w:r w:rsidR="00CC3DD4" w:rsidRPr="006A0747">
        <w:rPr>
          <w:rFonts w:ascii="Times New Roman" w:eastAsia="Calibri" w:hAnsi="Times New Roman" w:cs="Times New Roman"/>
          <w:color w:val="767171"/>
          <w:spacing w:val="20"/>
          <w:sz w:val="24"/>
          <w:szCs w:val="24"/>
        </w:rPr>
        <w:t xml:space="preserve"> dio</w:t>
      </w:r>
      <w:r w:rsidRPr="006A0747">
        <w:rPr>
          <w:rFonts w:ascii="Times New Roman" w:eastAsia="Calibri" w:hAnsi="Times New Roman" w:cs="Times New Roman"/>
          <w:color w:val="767171"/>
          <w:spacing w:val="20"/>
          <w:sz w:val="24"/>
          <w:szCs w:val="24"/>
        </w:rPr>
        <w:t xml:space="preserve"> continu</w:t>
      </w:r>
      <w:r w:rsidR="00CC3DD4" w:rsidRPr="006A0747">
        <w:rPr>
          <w:rFonts w:ascii="Times New Roman" w:eastAsia="Calibri" w:hAnsi="Times New Roman" w:cs="Times New Roman"/>
          <w:color w:val="767171"/>
          <w:spacing w:val="20"/>
          <w:sz w:val="24"/>
          <w:szCs w:val="24"/>
        </w:rPr>
        <w:t>idad</w:t>
      </w:r>
      <w:r w:rsidRPr="006A0747">
        <w:rPr>
          <w:rFonts w:ascii="Times New Roman" w:eastAsia="Calibri" w:hAnsi="Times New Roman" w:cs="Times New Roman"/>
          <w:color w:val="767171"/>
          <w:spacing w:val="20"/>
          <w:sz w:val="24"/>
          <w:szCs w:val="24"/>
        </w:rPr>
        <w:t xml:space="preserve"> </w:t>
      </w:r>
      <w:r w:rsidR="00531E6E" w:rsidRPr="006A0747">
        <w:rPr>
          <w:rFonts w:ascii="Times New Roman" w:eastAsia="Calibri" w:hAnsi="Times New Roman" w:cs="Times New Roman"/>
          <w:color w:val="767171"/>
          <w:spacing w:val="20"/>
          <w:sz w:val="24"/>
          <w:szCs w:val="24"/>
        </w:rPr>
        <w:t>a</w:t>
      </w:r>
      <w:r w:rsidRPr="006A0747">
        <w:rPr>
          <w:rFonts w:ascii="Times New Roman" w:eastAsia="Calibri" w:hAnsi="Times New Roman" w:cs="Times New Roman"/>
          <w:color w:val="767171"/>
          <w:spacing w:val="20"/>
          <w:sz w:val="24"/>
          <w:szCs w:val="24"/>
        </w:rPr>
        <w:t xml:space="preserve">l desarrollo de la Ruta Nacional de Educación Financiera “Ponte </w:t>
      </w:r>
      <w:bookmarkStart w:id="39" w:name="_Int_h5ayyKIT"/>
      <w:proofErr w:type="spellStart"/>
      <w:r w:rsidRPr="006A0747">
        <w:rPr>
          <w:rFonts w:ascii="Times New Roman" w:eastAsia="Calibri" w:hAnsi="Times New Roman" w:cs="Times New Roman"/>
          <w:color w:val="767171"/>
          <w:spacing w:val="20"/>
          <w:sz w:val="24"/>
          <w:szCs w:val="24"/>
        </w:rPr>
        <w:t>pa</w:t>
      </w:r>
      <w:bookmarkEnd w:id="39"/>
      <w:proofErr w:type="spellEnd"/>
      <w:r w:rsidRPr="006A0747">
        <w:rPr>
          <w:rFonts w:ascii="Times New Roman" w:eastAsia="Calibri" w:hAnsi="Times New Roman" w:cs="Times New Roman"/>
          <w:color w:val="767171"/>
          <w:spacing w:val="20"/>
          <w:sz w:val="24"/>
          <w:szCs w:val="24"/>
        </w:rPr>
        <w:t>´ tus finanzas”.</w:t>
      </w:r>
      <w:r w:rsidR="004B1E19" w:rsidRPr="006A0747">
        <w:rPr>
          <w:rFonts w:ascii="Times New Roman" w:eastAsia="Calibri" w:hAnsi="Times New Roman" w:cs="Times New Roman"/>
          <w:color w:val="767171"/>
          <w:spacing w:val="20"/>
          <w:sz w:val="24"/>
          <w:szCs w:val="24"/>
        </w:rPr>
        <w:t xml:space="preserve"> </w:t>
      </w:r>
      <w:r w:rsidR="00C353F0" w:rsidRPr="006A0747">
        <w:rPr>
          <w:rFonts w:ascii="Times New Roman" w:eastAsia="Calibri" w:hAnsi="Times New Roman" w:cs="Times New Roman"/>
          <w:color w:val="767171"/>
          <w:spacing w:val="20"/>
          <w:sz w:val="24"/>
          <w:szCs w:val="24"/>
        </w:rPr>
        <w:t xml:space="preserve">A través de </w:t>
      </w:r>
      <w:r w:rsidR="00D21579" w:rsidRPr="006A0747">
        <w:rPr>
          <w:rFonts w:ascii="Times New Roman" w:eastAsia="Calibri" w:hAnsi="Times New Roman" w:cs="Times New Roman"/>
          <w:color w:val="767171"/>
          <w:spacing w:val="20"/>
          <w:sz w:val="24"/>
          <w:szCs w:val="24"/>
        </w:rPr>
        <w:t>esta iniciativa</w:t>
      </w:r>
      <w:r w:rsidR="00DB26E6" w:rsidRPr="006A0747">
        <w:rPr>
          <w:rFonts w:ascii="Times New Roman" w:eastAsia="Calibri" w:hAnsi="Times New Roman" w:cs="Times New Roman"/>
          <w:color w:val="767171"/>
          <w:spacing w:val="20"/>
          <w:sz w:val="24"/>
          <w:szCs w:val="24"/>
        </w:rPr>
        <w:t>,</w:t>
      </w:r>
      <w:r w:rsidR="00315DD1" w:rsidRPr="006A0747">
        <w:rPr>
          <w:rFonts w:ascii="Times New Roman" w:eastAsia="Calibri" w:hAnsi="Times New Roman" w:cs="Times New Roman"/>
          <w:color w:val="767171"/>
          <w:spacing w:val="20"/>
          <w:sz w:val="24"/>
          <w:szCs w:val="24"/>
        </w:rPr>
        <w:t xml:space="preserve"> fueron </w:t>
      </w:r>
      <w:r w:rsidR="00DD54DC" w:rsidRPr="006A0747">
        <w:rPr>
          <w:rFonts w:ascii="Times New Roman" w:eastAsia="Calibri" w:hAnsi="Times New Roman" w:cs="Times New Roman"/>
          <w:color w:val="767171"/>
          <w:spacing w:val="20"/>
          <w:sz w:val="24"/>
          <w:szCs w:val="24"/>
        </w:rPr>
        <w:t>realizadas</w:t>
      </w:r>
      <w:r w:rsidR="00DB26E6" w:rsidRPr="006A0747">
        <w:rPr>
          <w:rFonts w:ascii="Times New Roman" w:eastAsia="Calibri" w:hAnsi="Times New Roman" w:cs="Times New Roman"/>
          <w:color w:val="767171"/>
          <w:spacing w:val="20"/>
          <w:sz w:val="24"/>
          <w:szCs w:val="24"/>
        </w:rPr>
        <w:t xml:space="preserve"> cinco</w:t>
      </w:r>
      <w:r w:rsidR="00315DD1" w:rsidRPr="006A0747">
        <w:rPr>
          <w:rFonts w:ascii="Times New Roman" w:eastAsia="Calibri" w:hAnsi="Times New Roman" w:cs="Times New Roman"/>
          <w:color w:val="767171"/>
          <w:spacing w:val="20"/>
          <w:sz w:val="24"/>
          <w:szCs w:val="24"/>
        </w:rPr>
        <w:t xml:space="preserve"> </w:t>
      </w:r>
      <w:r w:rsidR="00DB26E6" w:rsidRPr="006A0747">
        <w:rPr>
          <w:rFonts w:ascii="Times New Roman" w:eastAsia="Calibri" w:hAnsi="Times New Roman" w:cs="Times New Roman"/>
          <w:color w:val="767171"/>
          <w:spacing w:val="20"/>
          <w:sz w:val="24"/>
          <w:szCs w:val="24"/>
        </w:rPr>
        <w:t>(</w:t>
      </w:r>
      <w:r w:rsidR="00315DD1" w:rsidRPr="006A0747">
        <w:rPr>
          <w:rFonts w:ascii="Times New Roman" w:eastAsia="Calibri" w:hAnsi="Times New Roman" w:cs="Times New Roman"/>
          <w:color w:val="767171"/>
          <w:spacing w:val="20"/>
          <w:sz w:val="24"/>
          <w:szCs w:val="24"/>
        </w:rPr>
        <w:t>5</w:t>
      </w:r>
      <w:r w:rsidR="00DB26E6" w:rsidRPr="006A0747">
        <w:rPr>
          <w:rFonts w:ascii="Times New Roman" w:eastAsia="Calibri" w:hAnsi="Times New Roman" w:cs="Times New Roman"/>
          <w:color w:val="767171"/>
          <w:spacing w:val="20"/>
          <w:sz w:val="24"/>
          <w:szCs w:val="24"/>
        </w:rPr>
        <w:t>)</w:t>
      </w:r>
      <w:r w:rsidRPr="006A0747">
        <w:rPr>
          <w:rFonts w:ascii="Times New Roman" w:eastAsia="Calibri" w:hAnsi="Times New Roman" w:cs="Times New Roman"/>
          <w:color w:val="767171"/>
          <w:spacing w:val="20"/>
          <w:sz w:val="24"/>
          <w:szCs w:val="24"/>
        </w:rPr>
        <w:t xml:space="preserve"> </w:t>
      </w:r>
      <w:r w:rsidR="00DD54DC" w:rsidRPr="006A0747">
        <w:rPr>
          <w:rFonts w:ascii="Times New Roman" w:eastAsia="Calibri" w:hAnsi="Times New Roman" w:cs="Times New Roman"/>
          <w:color w:val="767171"/>
          <w:spacing w:val="20"/>
          <w:sz w:val="24"/>
          <w:szCs w:val="24"/>
        </w:rPr>
        <w:t xml:space="preserve">visitas a </w:t>
      </w:r>
      <w:r w:rsidR="00DB26E6" w:rsidRPr="006A0747">
        <w:rPr>
          <w:rFonts w:ascii="Times New Roman" w:eastAsia="Calibri" w:hAnsi="Times New Roman" w:cs="Times New Roman"/>
          <w:color w:val="767171"/>
          <w:spacing w:val="20"/>
          <w:sz w:val="24"/>
          <w:szCs w:val="24"/>
        </w:rPr>
        <w:t>c</w:t>
      </w:r>
      <w:r w:rsidRPr="006A0747">
        <w:rPr>
          <w:rFonts w:ascii="Times New Roman" w:eastAsia="Calibri" w:hAnsi="Times New Roman" w:cs="Times New Roman"/>
          <w:color w:val="767171"/>
          <w:spacing w:val="20"/>
          <w:sz w:val="24"/>
          <w:szCs w:val="24"/>
        </w:rPr>
        <w:t xml:space="preserve">entros de </w:t>
      </w:r>
      <w:r w:rsidR="00DB26E6" w:rsidRPr="006A0747">
        <w:rPr>
          <w:rFonts w:ascii="Times New Roman" w:eastAsia="Calibri" w:hAnsi="Times New Roman" w:cs="Times New Roman"/>
          <w:color w:val="767171"/>
          <w:spacing w:val="20"/>
          <w:sz w:val="24"/>
          <w:szCs w:val="24"/>
        </w:rPr>
        <w:t>e</w:t>
      </w:r>
      <w:r w:rsidRPr="006A0747">
        <w:rPr>
          <w:rFonts w:ascii="Times New Roman" w:eastAsia="Calibri" w:hAnsi="Times New Roman" w:cs="Times New Roman"/>
          <w:color w:val="767171"/>
          <w:spacing w:val="20"/>
          <w:sz w:val="24"/>
          <w:szCs w:val="24"/>
        </w:rPr>
        <w:t xml:space="preserve">studios </w:t>
      </w:r>
      <w:r w:rsidR="00DB26E6" w:rsidRPr="006A0747">
        <w:rPr>
          <w:rFonts w:ascii="Times New Roman" w:eastAsia="Calibri" w:hAnsi="Times New Roman" w:cs="Times New Roman"/>
          <w:color w:val="767171"/>
          <w:spacing w:val="20"/>
          <w:sz w:val="24"/>
          <w:szCs w:val="24"/>
        </w:rPr>
        <w:t>s</w:t>
      </w:r>
      <w:r w:rsidRPr="006A0747">
        <w:rPr>
          <w:rFonts w:ascii="Times New Roman" w:eastAsia="Calibri" w:hAnsi="Times New Roman" w:cs="Times New Roman"/>
          <w:color w:val="767171"/>
          <w:spacing w:val="20"/>
          <w:sz w:val="24"/>
          <w:szCs w:val="24"/>
        </w:rPr>
        <w:t xml:space="preserve">uperiores ubicados en </w:t>
      </w:r>
      <w:r w:rsidR="00605C32" w:rsidRPr="006A0747">
        <w:rPr>
          <w:rFonts w:ascii="Times New Roman" w:eastAsia="Calibri" w:hAnsi="Times New Roman" w:cs="Times New Roman"/>
          <w:color w:val="767171"/>
          <w:spacing w:val="20"/>
          <w:sz w:val="24"/>
          <w:szCs w:val="24"/>
        </w:rPr>
        <w:t xml:space="preserve">diferentes </w:t>
      </w:r>
      <w:r w:rsidRPr="006A0747">
        <w:rPr>
          <w:rFonts w:ascii="Times New Roman" w:eastAsia="Calibri" w:hAnsi="Times New Roman" w:cs="Times New Roman"/>
          <w:color w:val="767171"/>
          <w:spacing w:val="20"/>
          <w:sz w:val="24"/>
          <w:szCs w:val="24"/>
        </w:rPr>
        <w:t xml:space="preserve">provincias </w:t>
      </w:r>
      <w:r w:rsidR="00605C32" w:rsidRPr="006A0747">
        <w:rPr>
          <w:rFonts w:ascii="Times New Roman" w:eastAsia="Calibri" w:hAnsi="Times New Roman" w:cs="Times New Roman"/>
          <w:color w:val="767171"/>
          <w:spacing w:val="20"/>
          <w:sz w:val="24"/>
          <w:szCs w:val="24"/>
        </w:rPr>
        <w:t xml:space="preserve">del país, </w:t>
      </w:r>
      <w:r w:rsidR="0093453C" w:rsidRPr="006A0747">
        <w:rPr>
          <w:rFonts w:ascii="Times New Roman" w:eastAsia="Calibri" w:hAnsi="Times New Roman" w:cs="Times New Roman"/>
          <w:color w:val="767171"/>
          <w:spacing w:val="20"/>
          <w:sz w:val="24"/>
          <w:szCs w:val="24"/>
        </w:rPr>
        <w:t>en</w:t>
      </w:r>
      <w:r w:rsidR="00CB65C6" w:rsidRPr="006A0747">
        <w:rPr>
          <w:rFonts w:ascii="Times New Roman" w:eastAsia="Calibri" w:hAnsi="Times New Roman" w:cs="Times New Roman"/>
          <w:color w:val="767171"/>
          <w:spacing w:val="20"/>
          <w:sz w:val="24"/>
          <w:szCs w:val="24"/>
        </w:rPr>
        <w:t xml:space="preserve"> las cuales se beneficiaron</w:t>
      </w:r>
      <w:r w:rsidRPr="006A0747">
        <w:rPr>
          <w:rFonts w:ascii="Times New Roman" w:eastAsia="Calibri" w:hAnsi="Times New Roman" w:cs="Times New Roman"/>
          <w:color w:val="767171"/>
          <w:spacing w:val="20"/>
          <w:sz w:val="24"/>
          <w:szCs w:val="24"/>
        </w:rPr>
        <w:t xml:space="preserve"> </w:t>
      </w:r>
      <w:r w:rsidR="00B205CC" w:rsidRPr="006A0747">
        <w:rPr>
          <w:rFonts w:ascii="Times New Roman" w:eastAsia="Calibri" w:hAnsi="Times New Roman" w:cs="Times New Roman"/>
          <w:color w:val="767171"/>
          <w:spacing w:val="20"/>
          <w:sz w:val="24"/>
          <w:szCs w:val="24"/>
        </w:rPr>
        <w:t>2</w:t>
      </w:r>
      <w:r w:rsidR="00102023" w:rsidRPr="006A0747">
        <w:rPr>
          <w:rFonts w:ascii="Times New Roman" w:eastAsia="Calibri" w:hAnsi="Times New Roman" w:cs="Times New Roman"/>
          <w:color w:val="767171"/>
          <w:spacing w:val="20"/>
          <w:sz w:val="24"/>
          <w:szCs w:val="24"/>
        </w:rPr>
        <w:t>,</w:t>
      </w:r>
      <w:r w:rsidR="003E33AE" w:rsidRPr="006A0747">
        <w:rPr>
          <w:rFonts w:ascii="Times New Roman" w:eastAsia="Calibri" w:hAnsi="Times New Roman" w:cs="Times New Roman"/>
          <w:color w:val="767171"/>
          <w:spacing w:val="20"/>
          <w:sz w:val="24"/>
          <w:szCs w:val="24"/>
        </w:rPr>
        <w:t>704</w:t>
      </w:r>
      <w:r w:rsidRPr="006A0747">
        <w:rPr>
          <w:rFonts w:ascii="Times New Roman" w:eastAsia="Calibri" w:hAnsi="Times New Roman" w:cs="Times New Roman"/>
          <w:color w:val="767171"/>
          <w:spacing w:val="20"/>
          <w:sz w:val="24"/>
          <w:szCs w:val="24"/>
        </w:rPr>
        <w:t xml:space="preserve"> jóvenes</w:t>
      </w:r>
      <w:r w:rsidR="00C644B2" w:rsidRPr="006A0747">
        <w:rPr>
          <w:rFonts w:ascii="Times New Roman" w:eastAsia="Calibri" w:hAnsi="Times New Roman" w:cs="Times New Roman"/>
          <w:color w:val="767171"/>
          <w:spacing w:val="20"/>
          <w:sz w:val="24"/>
          <w:szCs w:val="24"/>
        </w:rPr>
        <w:t>.</w:t>
      </w:r>
      <w:r w:rsidR="00FB4634" w:rsidRPr="006A0747">
        <w:rPr>
          <w:rFonts w:ascii="Times New Roman" w:eastAsia="Calibri" w:hAnsi="Times New Roman" w:cs="Times New Roman"/>
          <w:color w:val="767171"/>
          <w:spacing w:val="20"/>
          <w:sz w:val="24"/>
          <w:szCs w:val="24"/>
        </w:rPr>
        <w:t xml:space="preserve"> </w:t>
      </w:r>
      <w:r w:rsidR="00DE3D5B" w:rsidRPr="006A0747">
        <w:rPr>
          <w:rFonts w:ascii="Times New Roman" w:eastAsia="Calibri" w:hAnsi="Times New Roman" w:cs="Times New Roman"/>
          <w:color w:val="767171"/>
          <w:spacing w:val="20"/>
          <w:sz w:val="24"/>
          <w:szCs w:val="24"/>
        </w:rPr>
        <w:t>El cierre de esta iniciativa se dio en el marco de la XXVI Feria Internacional el Libro (FILSD 2024), localidad en la que se recibieron estudiantes de distintas universidades de Santo Domingo.</w:t>
      </w:r>
    </w:p>
    <w:p w14:paraId="36C62FE1" w14:textId="5F0C3ABE" w:rsidR="000921A9" w:rsidRPr="006A0747" w:rsidRDefault="000921A9" w:rsidP="000921A9">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Como parte del acuerdo de colaboración realizado con el programa "Supérate", </w:t>
      </w:r>
      <w:r w:rsidR="00646D7E" w:rsidRPr="006A0747">
        <w:rPr>
          <w:rFonts w:ascii="Times New Roman" w:eastAsia="Calibri" w:hAnsi="Times New Roman" w:cs="Times New Roman"/>
          <w:color w:val="767171"/>
          <w:spacing w:val="20"/>
          <w:sz w:val="24"/>
          <w:szCs w:val="24"/>
        </w:rPr>
        <w:t>para</w:t>
      </w:r>
      <w:r w:rsidRPr="006A0747">
        <w:rPr>
          <w:rFonts w:ascii="Times New Roman" w:eastAsia="Calibri" w:hAnsi="Times New Roman" w:cs="Times New Roman"/>
          <w:color w:val="767171"/>
          <w:spacing w:val="20"/>
          <w:sz w:val="24"/>
          <w:szCs w:val="24"/>
        </w:rPr>
        <w:t xml:space="preserve"> realizar aportes en materia de inclusión y educación financiera, este año se dio continuidad al programa de visitas educativas a la Sala de Matemáticas de la Biblioteca Infantil y Juvenil República Dominicana, beneficiando a 480 niños y jóvenes</w:t>
      </w:r>
      <w:r w:rsidR="00646D7E" w:rsidRPr="006A0747">
        <w:rPr>
          <w:rFonts w:ascii="Times New Roman" w:eastAsia="Calibri" w:hAnsi="Times New Roman" w:cs="Times New Roman"/>
          <w:color w:val="767171"/>
          <w:spacing w:val="20"/>
          <w:sz w:val="24"/>
          <w:szCs w:val="24"/>
        </w:rPr>
        <w:t>.</w:t>
      </w:r>
    </w:p>
    <w:p w14:paraId="79005856" w14:textId="0C581006" w:rsidR="00CA0523" w:rsidRPr="006A0747" w:rsidRDefault="00CA0523" w:rsidP="000921A9">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Dentro del programa anual de educación financiera se han impartido quince (15) charlas virtuales y presenciales, </w:t>
      </w:r>
      <w:r w:rsidR="00C61B58" w:rsidRPr="006A0747">
        <w:rPr>
          <w:rFonts w:ascii="Times New Roman" w:eastAsia="Calibri" w:hAnsi="Times New Roman" w:cs="Times New Roman"/>
          <w:color w:val="767171"/>
          <w:spacing w:val="20"/>
          <w:sz w:val="24"/>
          <w:szCs w:val="24"/>
        </w:rPr>
        <w:t>con un temario</w:t>
      </w:r>
      <w:r w:rsidR="00B21E0F" w:rsidRPr="006A0747">
        <w:rPr>
          <w:rFonts w:ascii="Times New Roman" w:eastAsia="Calibri" w:hAnsi="Times New Roman" w:cs="Times New Roman"/>
          <w:color w:val="767171"/>
          <w:spacing w:val="20"/>
          <w:sz w:val="24"/>
          <w:szCs w:val="24"/>
        </w:rPr>
        <w:t xml:space="preserve"> </w:t>
      </w:r>
      <w:r w:rsidR="00155FEC" w:rsidRPr="006A0747">
        <w:rPr>
          <w:rFonts w:ascii="Times New Roman" w:eastAsia="Calibri" w:hAnsi="Times New Roman" w:cs="Times New Roman"/>
          <w:color w:val="767171"/>
          <w:spacing w:val="20"/>
          <w:sz w:val="24"/>
          <w:szCs w:val="24"/>
        </w:rPr>
        <w:t xml:space="preserve">destinado a </w:t>
      </w:r>
      <w:r w:rsidR="00873536" w:rsidRPr="006A0747">
        <w:rPr>
          <w:rFonts w:ascii="Times New Roman" w:eastAsia="Calibri" w:hAnsi="Times New Roman" w:cs="Times New Roman"/>
          <w:color w:val="767171"/>
          <w:spacing w:val="20"/>
          <w:sz w:val="24"/>
          <w:szCs w:val="24"/>
        </w:rPr>
        <w:t>propiciar</w:t>
      </w:r>
      <w:r w:rsidRPr="006A0747">
        <w:rPr>
          <w:rFonts w:ascii="Times New Roman" w:eastAsia="Calibri" w:hAnsi="Times New Roman" w:cs="Times New Roman"/>
          <w:color w:val="767171"/>
          <w:spacing w:val="20"/>
          <w:sz w:val="24"/>
          <w:szCs w:val="24"/>
        </w:rPr>
        <w:t xml:space="preserve"> la salud financiera en los distintos ciclos de vida. </w:t>
      </w:r>
      <w:r w:rsidR="00EF0143" w:rsidRPr="006A0747">
        <w:rPr>
          <w:rFonts w:ascii="Times New Roman" w:eastAsia="Calibri" w:hAnsi="Times New Roman" w:cs="Times New Roman"/>
          <w:color w:val="767171"/>
          <w:spacing w:val="20"/>
          <w:sz w:val="24"/>
          <w:szCs w:val="24"/>
        </w:rPr>
        <w:t xml:space="preserve">Estas </w:t>
      </w:r>
      <w:r w:rsidR="009626F8" w:rsidRPr="006A0747">
        <w:rPr>
          <w:rFonts w:ascii="Times New Roman" w:eastAsia="Calibri" w:hAnsi="Times New Roman" w:cs="Times New Roman"/>
          <w:color w:val="767171"/>
          <w:spacing w:val="20"/>
          <w:sz w:val="24"/>
          <w:szCs w:val="24"/>
        </w:rPr>
        <w:t>orientaciones</w:t>
      </w:r>
      <w:r w:rsidR="00EF0143" w:rsidRPr="006A0747">
        <w:rPr>
          <w:rFonts w:ascii="Times New Roman" w:eastAsia="Calibri" w:hAnsi="Times New Roman" w:cs="Times New Roman"/>
          <w:color w:val="767171"/>
          <w:spacing w:val="20"/>
          <w:sz w:val="24"/>
          <w:szCs w:val="24"/>
        </w:rPr>
        <w:t xml:space="preserve"> contaron con la partici</w:t>
      </w:r>
      <w:r w:rsidR="003B6251" w:rsidRPr="006A0747">
        <w:rPr>
          <w:rFonts w:ascii="Times New Roman" w:eastAsia="Calibri" w:hAnsi="Times New Roman" w:cs="Times New Roman"/>
          <w:color w:val="767171"/>
          <w:spacing w:val="20"/>
          <w:sz w:val="24"/>
          <w:szCs w:val="24"/>
        </w:rPr>
        <w:t>ón</w:t>
      </w:r>
      <w:r w:rsidR="002356A3" w:rsidRPr="006A0747">
        <w:rPr>
          <w:rFonts w:ascii="Times New Roman" w:eastAsia="Calibri" w:hAnsi="Times New Roman" w:cs="Times New Roman"/>
          <w:color w:val="767171"/>
          <w:spacing w:val="20"/>
          <w:sz w:val="24"/>
          <w:szCs w:val="24"/>
        </w:rPr>
        <w:t xml:space="preserve"> </w:t>
      </w:r>
      <w:r w:rsidR="00A40F80" w:rsidRPr="006A0747">
        <w:rPr>
          <w:rFonts w:ascii="Times New Roman" w:eastAsia="Calibri" w:hAnsi="Times New Roman" w:cs="Times New Roman"/>
          <w:color w:val="767171"/>
          <w:spacing w:val="20"/>
          <w:sz w:val="24"/>
          <w:szCs w:val="24"/>
        </w:rPr>
        <w:t xml:space="preserve">de </w:t>
      </w:r>
      <w:r w:rsidR="002356A3" w:rsidRPr="006A0747">
        <w:rPr>
          <w:rFonts w:ascii="Times New Roman" w:eastAsia="Calibri" w:hAnsi="Times New Roman" w:cs="Times New Roman"/>
          <w:color w:val="767171"/>
          <w:spacing w:val="20"/>
          <w:sz w:val="24"/>
          <w:szCs w:val="24"/>
        </w:rPr>
        <w:t>una población</w:t>
      </w:r>
      <w:r w:rsidR="00A40F80" w:rsidRPr="006A0747">
        <w:rPr>
          <w:rFonts w:ascii="Times New Roman" w:eastAsia="Calibri" w:hAnsi="Times New Roman" w:cs="Times New Roman"/>
          <w:color w:val="767171"/>
          <w:spacing w:val="20"/>
          <w:sz w:val="24"/>
          <w:szCs w:val="24"/>
        </w:rPr>
        <w:t xml:space="preserve"> diversa</w:t>
      </w:r>
      <w:r w:rsidR="002356A3" w:rsidRPr="006A0747">
        <w:rPr>
          <w:rFonts w:ascii="Times New Roman" w:eastAsia="Calibri" w:hAnsi="Times New Roman" w:cs="Times New Roman"/>
          <w:color w:val="767171"/>
          <w:spacing w:val="20"/>
          <w:sz w:val="24"/>
          <w:szCs w:val="24"/>
        </w:rPr>
        <w:t xml:space="preserve"> de</w:t>
      </w:r>
      <w:r w:rsidR="00EF0143" w:rsidRPr="006A0747">
        <w:rPr>
          <w:rFonts w:ascii="Times New Roman" w:eastAsia="Calibri" w:hAnsi="Times New Roman" w:cs="Times New Roman"/>
          <w:color w:val="767171"/>
          <w:spacing w:val="20"/>
          <w:sz w:val="24"/>
          <w:szCs w:val="24"/>
        </w:rPr>
        <w:t xml:space="preserve"> 1,028 personas</w:t>
      </w:r>
      <w:r w:rsidR="009626F8" w:rsidRPr="006A0747">
        <w:rPr>
          <w:rFonts w:ascii="Times New Roman" w:eastAsia="Calibri" w:hAnsi="Times New Roman" w:cs="Times New Roman"/>
          <w:color w:val="767171"/>
          <w:spacing w:val="20"/>
          <w:sz w:val="24"/>
          <w:szCs w:val="24"/>
        </w:rPr>
        <w:t>,</w:t>
      </w:r>
      <w:r w:rsidR="00EF0143" w:rsidRPr="006A0747">
        <w:rPr>
          <w:rFonts w:ascii="Times New Roman" w:eastAsia="Calibri" w:hAnsi="Times New Roman" w:cs="Times New Roman"/>
          <w:color w:val="767171"/>
          <w:spacing w:val="20"/>
          <w:sz w:val="24"/>
          <w:szCs w:val="24"/>
        </w:rPr>
        <w:t xml:space="preserve"> </w:t>
      </w:r>
      <w:r w:rsidR="002356A3" w:rsidRPr="006A0747">
        <w:rPr>
          <w:rFonts w:ascii="Times New Roman" w:eastAsia="Calibri" w:hAnsi="Times New Roman" w:cs="Times New Roman"/>
          <w:color w:val="767171"/>
          <w:spacing w:val="20"/>
          <w:sz w:val="24"/>
          <w:szCs w:val="24"/>
        </w:rPr>
        <w:t xml:space="preserve">compuesta por </w:t>
      </w:r>
      <w:r w:rsidRPr="006A0747">
        <w:rPr>
          <w:rFonts w:ascii="Times New Roman" w:eastAsia="Calibri" w:hAnsi="Times New Roman" w:cs="Times New Roman"/>
          <w:color w:val="767171"/>
          <w:spacing w:val="20"/>
          <w:sz w:val="24"/>
          <w:szCs w:val="24"/>
        </w:rPr>
        <w:t>niños</w:t>
      </w:r>
      <w:r w:rsidR="00CC5D97" w:rsidRPr="006A0747">
        <w:rPr>
          <w:rFonts w:ascii="Times New Roman" w:eastAsia="Calibri" w:hAnsi="Times New Roman" w:cs="Times New Roman"/>
          <w:color w:val="767171"/>
          <w:spacing w:val="20"/>
          <w:sz w:val="24"/>
          <w:szCs w:val="24"/>
        </w:rPr>
        <w:t>,</w:t>
      </w:r>
      <w:r w:rsidR="002356A3" w:rsidRPr="006A0747">
        <w:rPr>
          <w:rFonts w:ascii="Times New Roman" w:eastAsia="Calibri" w:hAnsi="Times New Roman" w:cs="Times New Roman"/>
          <w:color w:val="767171"/>
          <w:spacing w:val="20"/>
          <w:sz w:val="24"/>
          <w:szCs w:val="24"/>
        </w:rPr>
        <w:t xml:space="preserve"> niñas</w:t>
      </w:r>
      <w:r w:rsidRPr="006A0747">
        <w:rPr>
          <w:rFonts w:ascii="Times New Roman" w:eastAsia="Calibri" w:hAnsi="Times New Roman" w:cs="Times New Roman"/>
          <w:color w:val="767171"/>
          <w:spacing w:val="20"/>
          <w:sz w:val="24"/>
          <w:szCs w:val="24"/>
        </w:rPr>
        <w:t xml:space="preserve">, jóvenes, </w:t>
      </w:r>
      <w:r w:rsidR="002356A3" w:rsidRPr="006A0747">
        <w:rPr>
          <w:rFonts w:ascii="Times New Roman" w:eastAsia="Calibri" w:hAnsi="Times New Roman" w:cs="Times New Roman"/>
          <w:color w:val="767171"/>
          <w:spacing w:val="20"/>
          <w:sz w:val="24"/>
          <w:szCs w:val="24"/>
        </w:rPr>
        <w:t>hombres</w:t>
      </w:r>
      <w:r w:rsidR="005A20CA" w:rsidRPr="006A0747">
        <w:rPr>
          <w:rFonts w:ascii="Times New Roman" w:eastAsia="Calibri" w:hAnsi="Times New Roman" w:cs="Times New Roman"/>
          <w:color w:val="767171"/>
          <w:spacing w:val="20"/>
          <w:sz w:val="24"/>
          <w:szCs w:val="24"/>
        </w:rPr>
        <w:t>,</w:t>
      </w:r>
      <w:r w:rsidR="002356A3" w:rsidRPr="006A0747">
        <w:rPr>
          <w:rFonts w:ascii="Times New Roman" w:eastAsia="Calibri" w:hAnsi="Times New Roman" w:cs="Times New Roman"/>
          <w:color w:val="767171"/>
          <w:spacing w:val="20"/>
          <w:sz w:val="24"/>
          <w:szCs w:val="24"/>
        </w:rPr>
        <w:t xml:space="preserve"> </w:t>
      </w:r>
      <w:r w:rsidRPr="006A0747">
        <w:rPr>
          <w:rFonts w:ascii="Times New Roman" w:eastAsia="Calibri" w:hAnsi="Times New Roman" w:cs="Times New Roman"/>
          <w:color w:val="767171"/>
          <w:spacing w:val="20"/>
          <w:sz w:val="24"/>
          <w:szCs w:val="24"/>
        </w:rPr>
        <w:t>mujeres</w:t>
      </w:r>
      <w:r w:rsidR="00596AEB" w:rsidRPr="006A0747">
        <w:rPr>
          <w:rFonts w:ascii="Times New Roman" w:eastAsia="Calibri" w:hAnsi="Times New Roman" w:cs="Times New Roman"/>
          <w:color w:val="767171"/>
          <w:spacing w:val="20"/>
          <w:sz w:val="24"/>
          <w:szCs w:val="24"/>
        </w:rPr>
        <w:t xml:space="preserve"> y </w:t>
      </w:r>
      <w:r w:rsidR="006E7A7B" w:rsidRPr="006A0747">
        <w:rPr>
          <w:rFonts w:ascii="Times New Roman" w:eastAsia="Calibri" w:hAnsi="Times New Roman" w:cs="Times New Roman"/>
          <w:color w:val="767171"/>
          <w:spacing w:val="20"/>
          <w:sz w:val="24"/>
          <w:szCs w:val="24"/>
        </w:rPr>
        <w:t>adultos mayores.</w:t>
      </w:r>
    </w:p>
    <w:p w14:paraId="70797718" w14:textId="1F110C4E" w:rsidR="004735A1" w:rsidRPr="006A0747" w:rsidRDefault="00256955" w:rsidP="000921A9">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Concomitantemente</w:t>
      </w:r>
      <w:r w:rsidR="000921A9" w:rsidRPr="006A0747">
        <w:rPr>
          <w:rFonts w:ascii="Times New Roman" w:eastAsia="Calibri" w:hAnsi="Times New Roman" w:cs="Times New Roman"/>
          <w:color w:val="767171"/>
          <w:spacing w:val="20"/>
          <w:sz w:val="24"/>
          <w:szCs w:val="24"/>
        </w:rPr>
        <w:t xml:space="preserve">, se han difundido seis (6) reportes de “La Súper Te Escucha”, el cual aporta a las entidades supervisadas información relevante para la mejora de sus servicios. Este reporte incluye analíticas sobre las menciones positivas y negativas que realizan los usuarios </w:t>
      </w:r>
      <w:r w:rsidRPr="006A0747">
        <w:rPr>
          <w:rFonts w:ascii="Times New Roman" w:eastAsia="Calibri" w:hAnsi="Times New Roman" w:cs="Times New Roman"/>
          <w:color w:val="767171"/>
          <w:spacing w:val="20"/>
          <w:sz w:val="24"/>
          <w:szCs w:val="24"/>
        </w:rPr>
        <w:t xml:space="preserve">del sistema </w:t>
      </w:r>
      <w:r w:rsidR="000921A9" w:rsidRPr="006A0747">
        <w:rPr>
          <w:rFonts w:ascii="Times New Roman" w:eastAsia="Calibri" w:hAnsi="Times New Roman" w:cs="Times New Roman"/>
          <w:color w:val="767171"/>
          <w:spacing w:val="20"/>
          <w:sz w:val="24"/>
          <w:szCs w:val="24"/>
        </w:rPr>
        <w:t>financiero</w:t>
      </w:r>
      <w:r w:rsidRPr="006A0747">
        <w:rPr>
          <w:rFonts w:ascii="Times New Roman" w:eastAsia="Calibri" w:hAnsi="Times New Roman" w:cs="Times New Roman"/>
          <w:color w:val="767171"/>
          <w:spacing w:val="20"/>
          <w:sz w:val="24"/>
          <w:szCs w:val="24"/>
        </w:rPr>
        <w:t xml:space="preserve"> </w:t>
      </w:r>
      <w:r w:rsidR="000921A9" w:rsidRPr="006A0747">
        <w:rPr>
          <w:rFonts w:ascii="Times New Roman" w:eastAsia="Calibri" w:hAnsi="Times New Roman" w:cs="Times New Roman"/>
          <w:color w:val="767171"/>
          <w:spacing w:val="20"/>
          <w:sz w:val="24"/>
          <w:szCs w:val="24"/>
        </w:rPr>
        <w:t>en la red “X” (</w:t>
      </w:r>
      <w:r w:rsidR="009F67C4" w:rsidRPr="006A0747">
        <w:rPr>
          <w:rFonts w:ascii="Times New Roman" w:eastAsia="Calibri" w:hAnsi="Times New Roman" w:cs="Times New Roman"/>
          <w:color w:val="767171"/>
          <w:spacing w:val="20"/>
          <w:sz w:val="24"/>
          <w:szCs w:val="24"/>
        </w:rPr>
        <w:t>a</w:t>
      </w:r>
      <w:r w:rsidRPr="006A0747">
        <w:rPr>
          <w:rFonts w:ascii="Times New Roman" w:eastAsia="Calibri" w:hAnsi="Times New Roman" w:cs="Times New Roman"/>
          <w:color w:val="767171"/>
          <w:spacing w:val="20"/>
          <w:sz w:val="24"/>
          <w:szCs w:val="24"/>
        </w:rPr>
        <w:t xml:space="preserve">ntiguo </w:t>
      </w:r>
      <w:r w:rsidR="000921A9" w:rsidRPr="006A0747">
        <w:rPr>
          <w:rFonts w:ascii="Times New Roman" w:eastAsia="Calibri" w:hAnsi="Times New Roman" w:cs="Times New Roman"/>
          <w:color w:val="767171"/>
          <w:spacing w:val="20"/>
          <w:sz w:val="24"/>
          <w:szCs w:val="24"/>
        </w:rPr>
        <w:t>Twitter)</w:t>
      </w:r>
      <w:r w:rsidR="004735A1" w:rsidRPr="006A0747">
        <w:rPr>
          <w:rFonts w:ascii="Times New Roman" w:eastAsia="Calibri" w:hAnsi="Times New Roman" w:cs="Times New Roman"/>
          <w:color w:val="767171"/>
          <w:spacing w:val="20"/>
          <w:sz w:val="24"/>
          <w:szCs w:val="24"/>
        </w:rPr>
        <w:t>; así como estadísticas de las reclamaciones recibidas en la Oficina de ProUsuario</w:t>
      </w:r>
      <w:r w:rsidR="000921A9" w:rsidRPr="006A0747">
        <w:rPr>
          <w:rFonts w:ascii="Times New Roman" w:eastAsia="Calibri" w:hAnsi="Times New Roman" w:cs="Times New Roman"/>
          <w:color w:val="767171"/>
          <w:spacing w:val="20"/>
          <w:sz w:val="24"/>
          <w:szCs w:val="24"/>
        </w:rPr>
        <w:t xml:space="preserve"> sobre las cuatro (4) entidades supervisadas más grandes del sistema</w:t>
      </w:r>
      <w:r w:rsidR="004735A1" w:rsidRPr="006A0747">
        <w:rPr>
          <w:rFonts w:ascii="Times New Roman" w:eastAsia="Calibri" w:hAnsi="Times New Roman" w:cs="Times New Roman"/>
          <w:color w:val="767171"/>
          <w:spacing w:val="20"/>
          <w:sz w:val="24"/>
          <w:szCs w:val="24"/>
        </w:rPr>
        <w:t>.</w:t>
      </w:r>
    </w:p>
    <w:p w14:paraId="6CC9DDBE" w14:textId="32E0E722" w:rsidR="000921A9" w:rsidRPr="006A0747" w:rsidRDefault="00786883" w:rsidP="000921A9">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lastRenderedPageBreak/>
        <w:t>Reclamaciones y</w:t>
      </w:r>
      <w:r w:rsidR="00BF5B6A" w:rsidRPr="006A0747">
        <w:rPr>
          <w:rFonts w:ascii="Times New Roman" w:eastAsia="Calibri" w:hAnsi="Times New Roman" w:cs="Times New Roman"/>
          <w:b/>
          <w:color w:val="767171"/>
          <w:spacing w:val="20"/>
          <w:sz w:val="24"/>
          <w:szCs w:val="24"/>
        </w:rPr>
        <w:t xml:space="preserve"> recursos</w:t>
      </w:r>
      <w:r w:rsidR="000921A9" w:rsidRPr="006A0747">
        <w:rPr>
          <w:rFonts w:ascii="Times New Roman" w:eastAsia="Calibri" w:hAnsi="Times New Roman" w:cs="Times New Roman"/>
          <w:b/>
          <w:color w:val="767171"/>
          <w:spacing w:val="20"/>
          <w:sz w:val="24"/>
          <w:szCs w:val="24"/>
        </w:rPr>
        <w:t xml:space="preserve"> de </w:t>
      </w:r>
      <w:r w:rsidR="00BF5B6A" w:rsidRPr="006A0747">
        <w:rPr>
          <w:rFonts w:ascii="Times New Roman" w:eastAsia="Calibri" w:hAnsi="Times New Roman" w:cs="Times New Roman"/>
          <w:b/>
          <w:color w:val="767171"/>
          <w:spacing w:val="20"/>
          <w:sz w:val="24"/>
          <w:szCs w:val="24"/>
        </w:rPr>
        <w:t>reconsideraciones</w:t>
      </w:r>
      <w:r w:rsidR="000921A9" w:rsidRPr="006A0747">
        <w:rPr>
          <w:rFonts w:ascii="Times New Roman" w:eastAsia="Calibri" w:hAnsi="Times New Roman" w:cs="Times New Roman"/>
          <w:b/>
          <w:color w:val="767171"/>
          <w:spacing w:val="20"/>
          <w:sz w:val="24"/>
          <w:szCs w:val="24"/>
        </w:rPr>
        <w:t xml:space="preserve"> de los usuarios  </w:t>
      </w:r>
    </w:p>
    <w:p w14:paraId="174CC42D" w14:textId="2010192A" w:rsidR="000921A9" w:rsidRPr="006A0747" w:rsidRDefault="00560123" w:rsidP="000921A9">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L</w:t>
      </w:r>
      <w:r w:rsidR="000921A9" w:rsidRPr="006A0747">
        <w:rPr>
          <w:rFonts w:ascii="Times New Roman" w:eastAsia="Calibri" w:hAnsi="Times New Roman" w:cs="Times New Roman"/>
          <w:color w:val="767171"/>
          <w:spacing w:val="20"/>
          <w:sz w:val="24"/>
          <w:szCs w:val="24"/>
        </w:rPr>
        <w:t xml:space="preserve">a </w:t>
      </w:r>
      <w:r w:rsidR="002D7599" w:rsidRPr="006A0747">
        <w:rPr>
          <w:rFonts w:ascii="Times New Roman" w:eastAsia="Calibri" w:hAnsi="Times New Roman" w:cs="Times New Roman"/>
          <w:color w:val="767171"/>
          <w:spacing w:val="20"/>
          <w:sz w:val="24"/>
          <w:szCs w:val="24"/>
        </w:rPr>
        <w:t>SB</w:t>
      </w:r>
      <w:r w:rsidR="000921A9" w:rsidRPr="006A0747">
        <w:rPr>
          <w:rFonts w:ascii="Times New Roman" w:eastAsia="Calibri" w:hAnsi="Times New Roman" w:cs="Times New Roman"/>
          <w:color w:val="767171"/>
          <w:spacing w:val="20"/>
          <w:sz w:val="24"/>
          <w:szCs w:val="24"/>
        </w:rPr>
        <w:t xml:space="preserve">, a través de ProUsuario, gestionó un total de </w:t>
      </w:r>
      <w:r w:rsidR="00A1231E" w:rsidRPr="006A0747">
        <w:rPr>
          <w:rFonts w:ascii="Times New Roman" w:eastAsia="Calibri" w:hAnsi="Times New Roman" w:cs="Times New Roman"/>
          <w:color w:val="767171"/>
          <w:spacing w:val="20"/>
          <w:sz w:val="24"/>
          <w:szCs w:val="24"/>
        </w:rPr>
        <w:t>4,878</w:t>
      </w:r>
      <w:r w:rsidR="000921A9" w:rsidRPr="006A0747">
        <w:rPr>
          <w:rFonts w:ascii="Times New Roman" w:eastAsia="Calibri" w:hAnsi="Times New Roman" w:cs="Times New Roman"/>
          <w:color w:val="767171"/>
          <w:spacing w:val="20"/>
          <w:sz w:val="24"/>
          <w:szCs w:val="24"/>
        </w:rPr>
        <w:t xml:space="preserve"> casos</w:t>
      </w:r>
      <w:r w:rsidR="00A1231E" w:rsidRPr="006A0747">
        <w:rPr>
          <w:rFonts w:ascii="Times New Roman" w:eastAsia="Calibri" w:hAnsi="Times New Roman" w:cs="Times New Roman"/>
          <w:color w:val="767171"/>
          <w:spacing w:val="20"/>
          <w:sz w:val="24"/>
          <w:szCs w:val="24"/>
        </w:rPr>
        <w:t xml:space="preserve"> de </w:t>
      </w:r>
      <w:r w:rsidR="00471568" w:rsidRPr="006A0747">
        <w:rPr>
          <w:rFonts w:ascii="Times New Roman" w:eastAsia="Calibri" w:hAnsi="Times New Roman" w:cs="Times New Roman"/>
          <w:color w:val="767171"/>
          <w:spacing w:val="20"/>
          <w:sz w:val="24"/>
          <w:szCs w:val="24"/>
        </w:rPr>
        <w:t>r</w:t>
      </w:r>
      <w:r w:rsidR="000921A9" w:rsidRPr="006A0747">
        <w:rPr>
          <w:rFonts w:ascii="Times New Roman" w:eastAsia="Calibri" w:hAnsi="Times New Roman" w:cs="Times New Roman"/>
          <w:color w:val="767171"/>
          <w:spacing w:val="20"/>
          <w:sz w:val="24"/>
          <w:szCs w:val="24"/>
        </w:rPr>
        <w:t xml:space="preserve">eclamaciones y </w:t>
      </w:r>
      <w:r w:rsidR="00A1231E" w:rsidRPr="006A0747">
        <w:rPr>
          <w:rFonts w:ascii="Times New Roman" w:eastAsia="Calibri" w:hAnsi="Times New Roman" w:cs="Times New Roman"/>
          <w:color w:val="767171"/>
          <w:spacing w:val="20"/>
          <w:sz w:val="24"/>
          <w:szCs w:val="24"/>
        </w:rPr>
        <w:t xml:space="preserve">694 </w:t>
      </w:r>
      <w:r w:rsidR="00471568" w:rsidRPr="006A0747">
        <w:rPr>
          <w:rFonts w:ascii="Times New Roman" w:eastAsia="Calibri" w:hAnsi="Times New Roman" w:cs="Times New Roman"/>
          <w:color w:val="767171"/>
          <w:spacing w:val="20"/>
          <w:sz w:val="24"/>
          <w:szCs w:val="24"/>
        </w:rPr>
        <w:t>r</w:t>
      </w:r>
      <w:r w:rsidR="000921A9" w:rsidRPr="006A0747">
        <w:rPr>
          <w:rFonts w:ascii="Times New Roman" w:eastAsia="Calibri" w:hAnsi="Times New Roman" w:cs="Times New Roman"/>
          <w:color w:val="767171"/>
          <w:spacing w:val="20"/>
          <w:sz w:val="24"/>
          <w:szCs w:val="24"/>
        </w:rPr>
        <w:t xml:space="preserve">econsideraciones, </w:t>
      </w:r>
      <w:r w:rsidR="00866CCF" w:rsidRPr="006A0747">
        <w:rPr>
          <w:rFonts w:ascii="Times New Roman" w:eastAsia="Calibri" w:hAnsi="Times New Roman" w:cs="Times New Roman"/>
          <w:color w:val="767171"/>
          <w:spacing w:val="20"/>
          <w:sz w:val="24"/>
          <w:szCs w:val="24"/>
        </w:rPr>
        <w:t>11</w:t>
      </w:r>
      <w:r w:rsidR="000921A9" w:rsidRPr="006A0747">
        <w:rPr>
          <w:rFonts w:ascii="Times New Roman" w:eastAsia="Calibri" w:hAnsi="Times New Roman" w:cs="Times New Roman"/>
          <w:color w:val="767171"/>
          <w:spacing w:val="20"/>
          <w:sz w:val="24"/>
          <w:szCs w:val="24"/>
        </w:rPr>
        <w:t xml:space="preserve">% más que la cantidad recibida </w:t>
      </w:r>
      <w:r w:rsidR="002368E3" w:rsidRPr="006A0747">
        <w:rPr>
          <w:rFonts w:ascii="Times New Roman" w:eastAsia="Calibri" w:hAnsi="Times New Roman" w:cs="Times New Roman"/>
          <w:color w:val="767171"/>
          <w:spacing w:val="20"/>
          <w:sz w:val="24"/>
          <w:szCs w:val="24"/>
        </w:rPr>
        <w:t xml:space="preserve">en </w:t>
      </w:r>
      <w:r w:rsidR="00AA389A" w:rsidRPr="006A0747">
        <w:rPr>
          <w:rFonts w:ascii="Times New Roman" w:eastAsia="Calibri" w:hAnsi="Times New Roman" w:cs="Times New Roman"/>
          <w:color w:val="767171"/>
          <w:spacing w:val="20"/>
          <w:sz w:val="24"/>
          <w:szCs w:val="24"/>
        </w:rPr>
        <w:t>comparación al año anterior</w:t>
      </w:r>
      <w:r w:rsidR="00FC35EE" w:rsidRPr="006A0747">
        <w:rPr>
          <w:rFonts w:ascii="Times New Roman" w:eastAsia="Calibri" w:hAnsi="Times New Roman" w:cs="Times New Roman"/>
          <w:color w:val="767171"/>
          <w:spacing w:val="20"/>
          <w:sz w:val="24"/>
          <w:szCs w:val="24"/>
        </w:rPr>
        <w:t>,</w:t>
      </w:r>
      <w:r w:rsidR="00AA389A" w:rsidRPr="006A0747">
        <w:rPr>
          <w:rFonts w:ascii="Times New Roman" w:eastAsia="Calibri" w:hAnsi="Times New Roman" w:cs="Times New Roman"/>
          <w:color w:val="767171"/>
          <w:spacing w:val="20"/>
          <w:sz w:val="24"/>
          <w:szCs w:val="24"/>
        </w:rPr>
        <w:t xml:space="preserve"> que </w:t>
      </w:r>
      <w:r w:rsidR="0057499D" w:rsidRPr="006A0747">
        <w:rPr>
          <w:rFonts w:ascii="Times New Roman" w:eastAsia="Calibri" w:hAnsi="Times New Roman" w:cs="Times New Roman"/>
          <w:color w:val="767171"/>
          <w:spacing w:val="20"/>
          <w:sz w:val="24"/>
          <w:szCs w:val="24"/>
        </w:rPr>
        <w:t>fue de</w:t>
      </w:r>
      <w:r w:rsidR="00AA389A" w:rsidRPr="006A0747">
        <w:rPr>
          <w:rFonts w:ascii="Times New Roman" w:eastAsia="Calibri" w:hAnsi="Times New Roman" w:cs="Times New Roman"/>
          <w:color w:val="767171"/>
          <w:spacing w:val="20"/>
          <w:sz w:val="24"/>
          <w:szCs w:val="24"/>
        </w:rPr>
        <w:t xml:space="preserve"> un total de </w:t>
      </w:r>
      <w:r w:rsidR="00CB61A0" w:rsidRPr="006A0747">
        <w:rPr>
          <w:rFonts w:ascii="Times New Roman" w:eastAsia="Calibri" w:hAnsi="Times New Roman" w:cs="Times New Roman"/>
          <w:color w:val="767171"/>
          <w:spacing w:val="20"/>
          <w:sz w:val="24"/>
          <w:szCs w:val="24"/>
        </w:rPr>
        <w:t>4,4</w:t>
      </w:r>
      <w:r w:rsidR="004A5D39" w:rsidRPr="006A0747">
        <w:rPr>
          <w:rFonts w:ascii="Times New Roman" w:eastAsia="Calibri" w:hAnsi="Times New Roman" w:cs="Times New Roman"/>
          <w:color w:val="767171"/>
          <w:spacing w:val="20"/>
          <w:sz w:val="24"/>
          <w:szCs w:val="24"/>
        </w:rPr>
        <w:t>71</w:t>
      </w:r>
      <w:r w:rsidR="00B218D6" w:rsidRPr="006A0747">
        <w:rPr>
          <w:rFonts w:ascii="Times New Roman" w:eastAsia="Calibri" w:hAnsi="Times New Roman" w:cs="Times New Roman"/>
          <w:color w:val="767171"/>
          <w:spacing w:val="20"/>
          <w:sz w:val="24"/>
          <w:szCs w:val="24"/>
        </w:rPr>
        <w:t xml:space="preserve"> reclamaciones y </w:t>
      </w:r>
      <w:r w:rsidR="00F3277B" w:rsidRPr="006A0747">
        <w:rPr>
          <w:rFonts w:ascii="Times New Roman" w:eastAsia="Calibri" w:hAnsi="Times New Roman" w:cs="Times New Roman"/>
          <w:color w:val="767171"/>
          <w:spacing w:val="20"/>
          <w:sz w:val="24"/>
          <w:szCs w:val="24"/>
        </w:rPr>
        <w:t>568</w:t>
      </w:r>
      <w:r w:rsidR="00D41D48" w:rsidRPr="006A0747">
        <w:rPr>
          <w:rFonts w:ascii="Times New Roman" w:eastAsia="Calibri" w:hAnsi="Times New Roman" w:cs="Times New Roman"/>
          <w:color w:val="767171"/>
          <w:spacing w:val="20"/>
          <w:sz w:val="24"/>
          <w:szCs w:val="24"/>
        </w:rPr>
        <w:t xml:space="preserve"> reconsideraciones</w:t>
      </w:r>
      <w:r w:rsidR="004735A1" w:rsidRPr="006A0747">
        <w:rPr>
          <w:rFonts w:ascii="Times New Roman" w:eastAsia="Calibri" w:hAnsi="Times New Roman" w:cs="Times New Roman"/>
          <w:color w:val="767171"/>
          <w:spacing w:val="20"/>
          <w:sz w:val="24"/>
          <w:szCs w:val="24"/>
        </w:rPr>
        <w:t>. Est</w:t>
      </w:r>
      <w:r w:rsidR="00F652D7" w:rsidRPr="006A0747">
        <w:rPr>
          <w:rFonts w:ascii="Times New Roman" w:eastAsia="Calibri" w:hAnsi="Times New Roman" w:cs="Times New Roman"/>
          <w:color w:val="767171"/>
          <w:spacing w:val="20"/>
          <w:sz w:val="24"/>
          <w:szCs w:val="24"/>
        </w:rPr>
        <w:t>os casos fueron atendidos</w:t>
      </w:r>
      <w:r w:rsidR="00854B37" w:rsidRPr="006A0747">
        <w:rPr>
          <w:rFonts w:ascii="Times New Roman" w:eastAsia="Calibri" w:hAnsi="Times New Roman" w:cs="Times New Roman"/>
          <w:color w:val="767171"/>
          <w:spacing w:val="20"/>
          <w:sz w:val="24"/>
          <w:szCs w:val="24"/>
        </w:rPr>
        <w:t xml:space="preserve"> </w:t>
      </w:r>
      <w:r w:rsidR="002927D5" w:rsidRPr="006A0747">
        <w:rPr>
          <w:rFonts w:ascii="Times New Roman" w:eastAsia="Calibri" w:hAnsi="Times New Roman" w:cs="Times New Roman"/>
          <w:color w:val="767171"/>
          <w:spacing w:val="20"/>
          <w:sz w:val="24"/>
          <w:szCs w:val="24"/>
        </w:rPr>
        <w:t>en</w:t>
      </w:r>
      <w:r w:rsidR="00854B37" w:rsidRPr="006A0747">
        <w:rPr>
          <w:rFonts w:ascii="Times New Roman" w:eastAsia="Calibri" w:hAnsi="Times New Roman" w:cs="Times New Roman"/>
          <w:color w:val="767171"/>
          <w:spacing w:val="20"/>
          <w:sz w:val="24"/>
          <w:szCs w:val="24"/>
        </w:rPr>
        <w:t xml:space="preserve"> un tiempo de </w:t>
      </w:r>
      <w:r w:rsidR="00CA7471" w:rsidRPr="006A0747">
        <w:rPr>
          <w:rFonts w:ascii="Times New Roman" w:eastAsia="Calibri" w:hAnsi="Times New Roman" w:cs="Times New Roman"/>
          <w:color w:val="767171"/>
          <w:spacing w:val="20"/>
          <w:sz w:val="24"/>
          <w:szCs w:val="24"/>
        </w:rPr>
        <w:t>respuesta promedio</w:t>
      </w:r>
      <w:r w:rsidR="000015C7" w:rsidRPr="006A0747">
        <w:rPr>
          <w:rFonts w:ascii="Times New Roman" w:eastAsia="Calibri" w:hAnsi="Times New Roman" w:cs="Times New Roman"/>
          <w:color w:val="767171"/>
          <w:spacing w:val="20"/>
          <w:sz w:val="24"/>
          <w:szCs w:val="24"/>
        </w:rPr>
        <w:t xml:space="preserve"> de 4</w:t>
      </w:r>
      <w:r w:rsidR="00B267C2" w:rsidRPr="006A0747">
        <w:rPr>
          <w:rFonts w:ascii="Times New Roman" w:eastAsia="Calibri" w:hAnsi="Times New Roman" w:cs="Times New Roman"/>
          <w:color w:val="767171"/>
          <w:spacing w:val="20"/>
          <w:sz w:val="24"/>
          <w:szCs w:val="24"/>
        </w:rPr>
        <w:t>4</w:t>
      </w:r>
      <w:r w:rsidR="000015C7" w:rsidRPr="006A0747">
        <w:rPr>
          <w:rFonts w:ascii="Times New Roman" w:eastAsia="Calibri" w:hAnsi="Times New Roman" w:cs="Times New Roman"/>
          <w:color w:val="767171"/>
          <w:spacing w:val="20"/>
          <w:sz w:val="24"/>
          <w:szCs w:val="24"/>
        </w:rPr>
        <w:t xml:space="preserve"> días</w:t>
      </w:r>
      <w:r w:rsidR="00EA3C2F" w:rsidRPr="006A0747">
        <w:rPr>
          <w:rFonts w:ascii="Times New Roman" w:eastAsia="Calibri" w:hAnsi="Times New Roman" w:cs="Times New Roman"/>
          <w:color w:val="767171"/>
          <w:spacing w:val="20"/>
          <w:sz w:val="24"/>
          <w:szCs w:val="24"/>
        </w:rPr>
        <w:t xml:space="preserve"> </w:t>
      </w:r>
      <w:r w:rsidR="00F87F22" w:rsidRPr="006A0747">
        <w:rPr>
          <w:rFonts w:ascii="Times New Roman" w:eastAsia="Calibri" w:hAnsi="Times New Roman" w:cs="Times New Roman"/>
          <w:color w:val="767171"/>
          <w:spacing w:val="20"/>
          <w:sz w:val="24"/>
          <w:szCs w:val="24"/>
        </w:rPr>
        <w:t>laborables</w:t>
      </w:r>
      <w:r w:rsidR="000015C7" w:rsidRPr="006A0747">
        <w:rPr>
          <w:rFonts w:ascii="Times New Roman" w:eastAsia="Calibri" w:hAnsi="Times New Roman" w:cs="Times New Roman"/>
          <w:color w:val="767171"/>
          <w:spacing w:val="20"/>
          <w:sz w:val="24"/>
          <w:szCs w:val="24"/>
        </w:rPr>
        <w:t>.</w:t>
      </w:r>
    </w:p>
    <w:p w14:paraId="0465A954" w14:textId="0CA356BA" w:rsidR="000C437C" w:rsidRPr="006A0747" w:rsidRDefault="001C11F4" w:rsidP="000921A9">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De l</w:t>
      </w:r>
      <w:r w:rsidR="000921A9" w:rsidRPr="006A0747">
        <w:rPr>
          <w:rFonts w:ascii="Times New Roman" w:eastAsia="Calibri" w:hAnsi="Times New Roman" w:cs="Times New Roman"/>
          <w:color w:val="767171"/>
          <w:spacing w:val="20"/>
          <w:sz w:val="24"/>
          <w:szCs w:val="24"/>
        </w:rPr>
        <w:t>as</w:t>
      </w:r>
      <w:r w:rsidR="005A38F4" w:rsidRPr="006A0747">
        <w:rPr>
          <w:rFonts w:ascii="Times New Roman" w:eastAsia="Calibri" w:hAnsi="Times New Roman" w:cs="Times New Roman"/>
          <w:color w:val="767171"/>
          <w:spacing w:val="20"/>
          <w:sz w:val="24"/>
          <w:szCs w:val="24"/>
        </w:rPr>
        <w:t xml:space="preserve"> </w:t>
      </w:r>
      <w:r w:rsidR="00200A7F" w:rsidRPr="006A0747">
        <w:rPr>
          <w:rFonts w:ascii="Times New Roman" w:eastAsia="Calibri" w:hAnsi="Times New Roman" w:cs="Times New Roman"/>
          <w:color w:val="767171"/>
          <w:spacing w:val="20"/>
          <w:sz w:val="24"/>
          <w:szCs w:val="24"/>
        </w:rPr>
        <w:t>4,878</w:t>
      </w:r>
      <w:r w:rsidR="000921A9" w:rsidRPr="006A0747">
        <w:rPr>
          <w:rFonts w:ascii="Times New Roman" w:eastAsia="Calibri" w:hAnsi="Times New Roman" w:cs="Times New Roman"/>
          <w:color w:val="767171"/>
          <w:spacing w:val="20"/>
          <w:sz w:val="24"/>
          <w:szCs w:val="24"/>
        </w:rPr>
        <w:t xml:space="preserve"> reclamaciones respondidas, </w:t>
      </w:r>
      <w:r w:rsidR="00E22947" w:rsidRPr="006A0747">
        <w:rPr>
          <w:rFonts w:ascii="Times New Roman" w:eastAsia="Calibri" w:hAnsi="Times New Roman" w:cs="Times New Roman"/>
          <w:color w:val="767171"/>
          <w:spacing w:val="20"/>
          <w:sz w:val="24"/>
          <w:szCs w:val="24"/>
        </w:rPr>
        <w:t>2,711</w:t>
      </w:r>
      <w:r w:rsidR="000921A9" w:rsidRPr="006A0747">
        <w:rPr>
          <w:rFonts w:ascii="Times New Roman" w:eastAsia="Calibri" w:hAnsi="Times New Roman" w:cs="Times New Roman"/>
          <w:color w:val="767171"/>
          <w:spacing w:val="20"/>
          <w:sz w:val="24"/>
          <w:szCs w:val="24"/>
        </w:rPr>
        <w:t xml:space="preserve"> correspondieron a respuestas favorables para el usuario y usuaria, representando un </w:t>
      </w:r>
      <w:r w:rsidR="007D2D2D" w:rsidRPr="006A0747">
        <w:rPr>
          <w:rFonts w:ascii="Times New Roman" w:eastAsia="Calibri" w:hAnsi="Times New Roman" w:cs="Times New Roman"/>
          <w:color w:val="767171"/>
          <w:spacing w:val="20"/>
          <w:sz w:val="24"/>
          <w:szCs w:val="24"/>
        </w:rPr>
        <w:t>55</w:t>
      </w:r>
      <w:r w:rsidR="000921A9" w:rsidRPr="006A0747">
        <w:rPr>
          <w:rFonts w:ascii="Times New Roman" w:eastAsia="Calibri" w:hAnsi="Times New Roman" w:cs="Times New Roman"/>
          <w:color w:val="767171"/>
          <w:spacing w:val="20"/>
          <w:sz w:val="24"/>
          <w:szCs w:val="24"/>
        </w:rPr>
        <w:t>%</w:t>
      </w:r>
      <w:r w:rsidR="00D44CDA" w:rsidRPr="006A0747">
        <w:rPr>
          <w:rFonts w:ascii="Times New Roman" w:eastAsia="Calibri" w:hAnsi="Times New Roman" w:cs="Times New Roman"/>
          <w:color w:val="767171"/>
          <w:spacing w:val="20"/>
          <w:sz w:val="24"/>
          <w:szCs w:val="24"/>
        </w:rPr>
        <w:t xml:space="preserve"> </w:t>
      </w:r>
      <w:r w:rsidR="000921A9" w:rsidRPr="006A0747">
        <w:rPr>
          <w:rFonts w:ascii="Times New Roman" w:eastAsia="Calibri" w:hAnsi="Times New Roman" w:cs="Times New Roman"/>
          <w:color w:val="767171"/>
          <w:spacing w:val="20"/>
          <w:sz w:val="24"/>
          <w:szCs w:val="24"/>
        </w:rPr>
        <w:t xml:space="preserve">del total de las respuestas. </w:t>
      </w:r>
      <w:r w:rsidR="009F67C4" w:rsidRPr="006A0747">
        <w:rPr>
          <w:rFonts w:ascii="Times New Roman" w:eastAsia="Calibri" w:hAnsi="Times New Roman" w:cs="Times New Roman"/>
          <w:color w:val="767171"/>
          <w:spacing w:val="20"/>
          <w:sz w:val="24"/>
          <w:szCs w:val="24"/>
        </w:rPr>
        <w:t>Como resultado de gestiones</w:t>
      </w:r>
      <w:r w:rsidR="00E32EC0" w:rsidRPr="006A0747">
        <w:rPr>
          <w:rFonts w:ascii="Times New Roman" w:eastAsia="Calibri" w:hAnsi="Times New Roman" w:cs="Times New Roman"/>
          <w:color w:val="767171"/>
          <w:spacing w:val="20"/>
          <w:sz w:val="24"/>
          <w:szCs w:val="24"/>
        </w:rPr>
        <w:t xml:space="preserve"> realizadas</w:t>
      </w:r>
      <w:r w:rsidR="009F67C4" w:rsidRPr="006A0747">
        <w:rPr>
          <w:rFonts w:ascii="Times New Roman" w:eastAsia="Calibri" w:hAnsi="Times New Roman" w:cs="Times New Roman"/>
          <w:color w:val="767171"/>
          <w:spacing w:val="20"/>
          <w:sz w:val="24"/>
          <w:szCs w:val="24"/>
        </w:rPr>
        <w:t xml:space="preserve">, </w:t>
      </w:r>
      <w:r w:rsidR="0096520A" w:rsidRPr="006A0747">
        <w:rPr>
          <w:rFonts w:ascii="Times New Roman" w:eastAsia="Calibri" w:hAnsi="Times New Roman" w:cs="Times New Roman"/>
          <w:color w:val="767171"/>
          <w:spacing w:val="20"/>
          <w:sz w:val="24"/>
          <w:szCs w:val="24"/>
        </w:rPr>
        <w:t xml:space="preserve">las EIF </w:t>
      </w:r>
      <w:r w:rsidR="004C1AD5" w:rsidRPr="006A0747">
        <w:rPr>
          <w:rFonts w:ascii="Times New Roman" w:eastAsia="Calibri" w:hAnsi="Times New Roman" w:cs="Times New Roman"/>
          <w:color w:val="767171"/>
          <w:spacing w:val="20"/>
          <w:sz w:val="24"/>
          <w:szCs w:val="24"/>
        </w:rPr>
        <w:t xml:space="preserve">involucradas </w:t>
      </w:r>
      <w:r w:rsidR="009F67C4" w:rsidRPr="006A0747">
        <w:rPr>
          <w:rFonts w:ascii="Times New Roman" w:eastAsia="Calibri" w:hAnsi="Times New Roman" w:cs="Times New Roman"/>
          <w:color w:val="767171"/>
          <w:spacing w:val="20"/>
          <w:sz w:val="24"/>
          <w:szCs w:val="24"/>
        </w:rPr>
        <w:t>fueron instruid</w:t>
      </w:r>
      <w:r w:rsidR="004C1AD5" w:rsidRPr="006A0747">
        <w:rPr>
          <w:rFonts w:ascii="Times New Roman" w:eastAsia="Calibri" w:hAnsi="Times New Roman" w:cs="Times New Roman"/>
          <w:color w:val="767171"/>
          <w:spacing w:val="20"/>
          <w:sz w:val="24"/>
          <w:szCs w:val="24"/>
        </w:rPr>
        <w:t>a</w:t>
      </w:r>
      <w:r w:rsidR="009F67C4" w:rsidRPr="006A0747">
        <w:rPr>
          <w:rFonts w:ascii="Times New Roman" w:eastAsia="Calibri" w:hAnsi="Times New Roman" w:cs="Times New Roman"/>
          <w:color w:val="767171"/>
          <w:spacing w:val="20"/>
          <w:sz w:val="24"/>
          <w:szCs w:val="24"/>
        </w:rPr>
        <w:t xml:space="preserve">s </w:t>
      </w:r>
      <w:r w:rsidR="000921A9" w:rsidRPr="006A0747">
        <w:rPr>
          <w:rFonts w:ascii="Times New Roman" w:eastAsia="Calibri" w:hAnsi="Times New Roman" w:cs="Times New Roman"/>
          <w:color w:val="767171"/>
          <w:spacing w:val="20"/>
          <w:sz w:val="24"/>
          <w:szCs w:val="24"/>
        </w:rPr>
        <w:t xml:space="preserve">a acreditar </w:t>
      </w:r>
      <w:r w:rsidR="009F67C4" w:rsidRPr="006A0747">
        <w:rPr>
          <w:rFonts w:ascii="Times New Roman" w:eastAsia="Calibri" w:hAnsi="Times New Roman" w:cs="Times New Roman"/>
          <w:color w:val="767171"/>
          <w:spacing w:val="20"/>
          <w:sz w:val="24"/>
          <w:szCs w:val="24"/>
        </w:rPr>
        <w:t xml:space="preserve">más de RD$ </w:t>
      </w:r>
      <w:r w:rsidR="00535377" w:rsidRPr="006A0747">
        <w:rPr>
          <w:rFonts w:ascii="Times New Roman" w:eastAsia="Calibri" w:hAnsi="Times New Roman" w:cs="Times New Roman"/>
          <w:color w:val="767171"/>
          <w:spacing w:val="20"/>
          <w:sz w:val="24"/>
          <w:szCs w:val="24"/>
        </w:rPr>
        <w:t>124</w:t>
      </w:r>
      <w:r w:rsidR="006F7F7D" w:rsidRPr="006A0747">
        <w:rPr>
          <w:rFonts w:ascii="Times New Roman" w:eastAsia="Calibri" w:hAnsi="Times New Roman" w:cs="Times New Roman"/>
          <w:color w:val="767171"/>
          <w:spacing w:val="20"/>
          <w:sz w:val="24"/>
          <w:szCs w:val="24"/>
        </w:rPr>
        <w:t>.</w:t>
      </w:r>
      <w:r w:rsidR="00535377" w:rsidRPr="006A0747">
        <w:rPr>
          <w:rFonts w:ascii="Times New Roman" w:eastAsia="Calibri" w:hAnsi="Times New Roman" w:cs="Times New Roman"/>
          <w:color w:val="767171"/>
          <w:spacing w:val="20"/>
          <w:sz w:val="24"/>
          <w:szCs w:val="24"/>
        </w:rPr>
        <w:t>9</w:t>
      </w:r>
      <w:r w:rsidR="006F7F7D" w:rsidRPr="006A0747">
        <w:rPr>
          <w:rFonts w:ascii="Times New Roman" w:eastAsia="Calibri" w:hAnsi="Times New Roman" w:cs="Times New Roman"/>
          <w:color w:val="767171"/>
          <w:spacing w:val="20"/>
          <w:sz w:val="24"/>
          <w:szCs w:val="24"/>
        </w:rPr>
        <w:t>M</w:t>
      </w:r>
      <w:r w:rsidR="004C1AD5" w:rsidRPr="006A0747">
        <w:rPr>
          <w:rFonts w:ascii="Times New Roman" w:eastAsia="Calibri" w:hAnsi="Times New Roman" w:cs="Times New Roman"/>
          <w:color w:val="767171"/>
          <w:spacing w:val="20"/>
          <w:sz w:val="24"/>
          <w:szCs w:val="24"/>
        </w:rPr>
        <w:t xml:space="preserve"> en beneficio de los usuarios reclamantes</w:t>
      </w:r>
      <w:r w:rsidR="000921A9" w:rsidRPr="006A0747">
        <w:rPr>
          <w:rFonts w:ascii="Times New Roman" w:eastAsia="Calibri" w:hAnsi="Times New Roman" w:cs="Times New Roman"/>
          <w:color w:val="767171"/>
          <w:spacing w:val="20"/>
          <w:sz w:val="24"/>
          <w:szCs w:val="24"/>
        </w:rPr>
        <w:t xml:space="preserve">. </w:t>
      </w:r>
      <w:r w:rsidR="000C437C" w:rsidRPr="006A0747">
        <w:rPr>
          <w:rFonts w:ascii="Times New Roman" w:eastAsia="Calibri" w:hAnsi="Times New Roman" w:cs="Times New Roman"/>
          <w:color w:val="767171"/>
          <w:spacing w:val="20"/>
          <w:sz w:val="24"/>
          <w:szCs w:val="24"/>
        </w:rPr>
        <w:t>En lo relacionado al nivel de favorabilidad en decisiones por género, no hubo diferencias significativas entre ambos géneros, recibiendo tanto mujeres como hombres una favorabilidad de sesenta y cuatro por ciento (64%) en las decisiones.</w:t>
      </w:r>
    </w:p>
    <w:p w14:paraId="0AED7F72" w14:textId="24AEAACC" w:rsidR="000921A9" w:rsidRPr="006A0747" w:rsidRDefault="000921A9" w:rsidP="000921A9">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Durante el citado período, se recibieron </w:t>
      </w:r>
      <w:r w:rsidR="003561BA" w:rsidRPr="006A0747">
        <w:rPr>
          <w:rFonts w:ascii="Times New Roman" w:eastAsia="Calibri" w:hAnsi="Times New Roman" w:cs="Times New Roman"/>
          <w:color w:val="767171"/>
          <w:spacing w:val="20"/>
          <w:sz w:val="24"/>
          <w:szCs w:val="24"/>
        </w:rPr>
        <w:t>1,645</w:t>
      </w:r>
      <w:r w:rsidRPr="006A0747">
        <w:rPr>
          <w:rFonts w:ascii="Times New Roman" w:eastAsia="Calibri" w:hAnsi="Times New Roman" w:cs="Times New Roman"/>
          <w:color w:val="767171"/>
          <w:spacing w:val="20"/>
          <w:sz w:val="24"/>
          <w:szCs w:val="24"/>
        </w:rPr>
        <w:t xml:space="preserve"> consultas de información financiera, entre las que predominan</w:t>
      </w:r>
      <w:r w:rsidR="009F67C4" w:rsidRPr="006A0747">
        <w:rPr>
          <w:rFonts w:ascii="Times New Roman" w:eastAsia="Calibri" w:hAnsi="Times New Roman" w:cs="Times New Roman"/>
          <w:color w:val="767171"/>
          <w:spacing w:val="20"/>
          <w:sz w:val="24"/>
          <w:szCs w:val="24"/>
        </w:rPr>
        <w:t xml:space="preserve"> consultas sobre tenencias y estatus de cr</w:t>
      </w:r>
      <w:r w:rsidR="00C247AD" w:rsidRPr="006A0747">
        <w:rPr>
          <w:rFonts w:ascii="Times New Roman" w:eastAsia="Calibri" w:hAnsi="Times New Roman" w:cs="Times New Roman"/>
          <w:color w:val="767171"/>
          <w:spacing w:val="20"/>
          <w:sz w:val="24"/>
          <w:szCs w:val="24"/>
        </w:rPr>
        <w:t>éditos,</w:t>
      </w:r>
      <w:r w:rsidRPr="006A0747">
        <w:rPr>
          <w:rFonts w:ascii="Times New Roman" w:eastAsia="Calibri" w:hAnsi="Times New Roman" w:cs="Times New Roman"/>
          <w:color w:val="767171"/>
          <w:spacing w:val="20"/>
          <w:sz w:val="24"/>
          <w:szCs w:val="24"/>
        </w:rPr>
        <w:t xml:space="preserve"> productos, estados y balances</w:t>
      </w:r>
      <w:r w:rsidR="00F9518E" w:rsidRPr="006A0747">
        <w:rPr>
          <w:rFonts w:ascii="Times New Roman" w:eastAsia="Calibri" w:hAnsi="Times New Roman" w:cs="Times New Roman"/>
          <w:color w:val="767171"/>
          <w:spacing w:val="20"/>
          <w:sz w:val="24"/>
          <w:szCs w:val="24"/>
        </w:rPr>
        <w:t>;</w:t>
      </w:r>
      <w:r w:rsidRPr="006A0747">
        <w:rPr>
          <w:rFonts w:ascii="Times New Roman" w:eastAsia="Calibri" w:hAnsi="Times New Roman" w:cs="Times New Roman"/>
          <w:color w:val="767171"/>
          <w:spacing w:val="20"/>
          <w:sz w:val="24"/>
          <w:szCs w:val="24"/>
        </w:rPr>
        <w:t xml:space="preserve"> movimientos o históricos de pago</w:t>
      </w:r>
      <w:r w:rsidR="0098354F" w:rsidRPr="006A0747">
        <w:rPr>
          <w:rFonts w:ascii="Times New Roman" w:eastAsia="Calibri" w:hAnsi="Times New Roman" w:cs="Times New Roman"/>
          <w:color w:val="767171"/>
          <w:spacing w:val="20"/>
          <w:sz w:val="24"/>
          <w:szCs w:val="24"/>
        </w:rPr>
        <w:t>;</w:t>
      </w:r>
      <w:r w:rsidRPr="006A0747">
        <w:rPr>
          <w:rFonts w:ascii="Times New Roman" w:eastAsia="Calibri" w:hAnsi="Times New Roman" w:cs="Times New Roman"/>
          <w:color w:val="767171"/>
          <w:spacing w:val="20"/>
          <w:sz w:val="24"/>
          <w:szCs w:val="24"/>
        </w:rPr>
        <w:t xml:space="preserve"> motivos de restricción, entre otras. El nivel de cumplimiento promedio para los casos en este periodo ha sido de un 95%, representando un aumento 7% comparado </w:t>
      </w:r>
      <w:r w:rsidR="00A91692" w:rsidRPr="006A0747">
        <w:rPr>
          <w:rFonts w:ascii="Times New Roman" w:eastAsia="Calibri" w:hAnsi="Times New Roman" w:cs="Times New Roman"/>
          <w:color w:val="767171"/>
          <w:spacing w:val="20"/>
          <w:sz w:val="24"/>
          <w:szCs w:val="24"/>
        </w:rPr>
        <w:t>con el</w:t>
      </w:r>
      <w:r w:rsidRPr="006A0747">
        <w:rPr>
          <w:rFonts w:ascii="Times New Roman" w:eastAsia="Calibri" w:hAnsi="Times New Roman" w:cs="Times New Roman"/>
          <w:color w:val="767171"/>
          <w:spacing w:val="20"/>
          <w:sz w:val="24"/>
          <w:szCs w:val="24"/>
        </w:rPr>
        <w:t xml:space="preserve"> </w:t>
      </w:r>
      <w:r w:rsidR="00D01D3A" w:rsidRPr="006A0747">
        <w:rPr>
          <w:rFonts w:ascii="Times New Roman" w:eastAsia="Calibri" w:hAnsi="Times New Roman" w:cs="Times New Roman"/>
          <w:color w:val="767171"/>
          <w:spacing w:val="20"/>
          <w:sz w:val="24"/>
          <w:szCs w:val="24"/>
        </w:rPr>
        <w:t>año anterior</w:t>
      </w:r>
      <w:r w:rsidRPr="006A0747">
        <w:rPr>
          <w:rFonts w:ascii="Times New Roman" w:eastAsia="Calibri" w:hAnsi="Times New Roman" w:cs="Times New Roman"/>
          <w:color w:val="767171"/>
          <w:spacing w:val="20"/>
          <w:sz w:val="24"/>
          <w:szCs w:val="24"/>
        </w:rPr>
        <w:t xml:space="preserve">. Mientras que el tiempo promedio de respuesta </w:t>
      </w:r>
      <w:r w:rsidR="00CA5064" w:rsidRPr="006A0747">
        <w:rPr>
          <w:rFonts w:ascii="Times New Roman" w:eastAsia="Calibri" w:hAnsi="Times New Roman" w:cs="Times New Roman"/>
          <w:color w:val="767171"/>
          <w:spacing w:val="20"/>
          <w:sz w:val="24"/>
          <w:szCs w:val="24"/>
        </w:rPr>
        <w:t>fue</w:t>
      </w:r>
      <w:r w:rsidRPr="006A0747">
        <w:rPr>
          <w:rFonts w:ascii="Times New Roman" w:eastAsia="Calibri" w:hAnsi="Times New Roman" w:cs="Times New Roman"/>
          <w:color w:val="767171"/>
          <w:spacing w:val="20"/>
          <w:sz w:val="24"/>
          <w:szCs w:val="24"/>
        </w:rPr>
        <w:t xml:space="preserve"> de </w:t>
      </w:r>
      <w:r w:rsidR="00A87A91" w:rsidRPr="006A0747">
        <w:rPr>
          <w:rFonts w:ascii="Times New Roman" w:eastAsia="Calibri" w:hAnsi="Times New Roman" w:cs="Times New Roman"/>
          <w:color w:val="767171"/>
          <w:spacing w:val="20"/>
          <w:sz w:val="24"/>
          <w:szCs w:val="24"/>
        </w:rPr>
        <w:t>52</w:t>
      </w:r>
      <w:r w:rsidRPr="006A0747">
        <w:rPr>
          <w:rFonts w:ascii="Times New Roman" w:eastAsia="Calibri" w:hAnsi="Times New Roman" w:cs="Times New Roman"/>
          <w:color w:val="767171"/>
          <w:spacing w:val="20"/>
          <w:sz w:val="24"/>
          <w:szCs w:val="24"/>
        </w:rPr>
        <w:t xml:space="preserve"> días</w:t>
      </w:r>
      <w:r w:rsidR="00DA4703" w:rsidRPr="006A0747">
        <w:rPr>
          <w:rFonts w:ascii="Times New Roman" w:eastAsia="Calibri" w:hAnsi="Times New Roman" w:cs="Times New Roman"/>
          <w:color w:val="767171"/>
          <w:spacing w:val="20"/>
          <w:sz w:val="24"/>
          <w:szCs w:val="24"/>
        </w:rPr>
        <w:t xml:space="preserve"> calendario</w:t>
      </w:r>
      <w:r w:rsidRPr="006A0747">
        <w:rPr>
          <w:rFonts w:ascii="Times New Roman" w:eastAsia="Calibri" w:hAnsi="Times New Roman" w:cs="Times New Roman"/>
          <w:color w:val="767171"/>
          <w:spacing w:val="20"/>
          <w:sz w:val="24"/>
          <w:szCs w:val="24"/>
        </w:rPr>
        <w:t xml:space="preserve">, es decir, </w:t>
      </w:r>
      <w:r w:rsidR="0037710F" w:rsidRPr="006A0747">
        <w:rPr>
          <w:rFonts w:ascii="Times New Roman" w:eastAsia="Calibri" w:hAnsi="Times New Roman" w:cs="Times New Roman"/>
          <w:color w:val="767171"/>
          <w:spacing w:val="20"/>
          <w:sz w:val="24"/>
          <w:szCs w:val="24"/>
        </w:rPr>
        <w:t>13</w:t>
      </w:r>
      <w:r w:rsidRPr="006A0747">
        <w:rPr>
          <w:rFonts w:ascii="Times New Roman" w:eastAsia="Calibri" w:hAnsi="Times New Roman" w:cs="Times New Roman"/>
          <w:color w:val="767171"/>
          <w:spacing w:val="20"/>
          <w:sz w:val="24"/>
          <w:szCs w:val="24"/>
        </w:rPr>
        <w:t xml:space="preserve">% por ciento por debajo del tiempo reglamentario de respuesta </w:t>
      </w:r>
      <w:r w:rsidR="00DA4703" w:rsidRPr="006A0747">
        <w:rPr>
          <w:rFonts w:ascii="Times New Roman" w:eastAsia="Calibri" w:hAnsi="Times New Roman" w:cs="Times New Roman"/>
          <w:color w:val="767171"/>
          <w:spacing w:val="20"/>
          <w:sz w:val="24"/>
          <w:szCs w:val="24"/>
        </w:rPr>
        <w:t xml:space="preserve">sesenta </w:t>
      </w:r>
      <w:r w:rsidRPr="006A0747">
        <w:rPr>
          <w:rFonts w:ascii="Times New Roman" w:eastAsia="Calibri" w:hAnsi="Times New Roman" w:cs="Times New Roman"/>
          <w:color w:val="767171"/>
          <w:spacing w:val="20"/>
          <w:sz w:val="24"/>
          <w:szCs w:val="24"/>
        </w:rPr>
        <w:t>(60)</w:t>
      </w:r>
      <w:r w:rsidR="00DA4703" w:rsidRPr="006A0747">
        <w:rPr>
          <w:rFonts w:ascii="Times New Roman" w:eastAsia="Calibri" w:hAnsi="Times New Roman" w:cs="Times New Roman"/>
          <w:color w:val="767171"/>
          <w:spacing w:val="20"/>
          <w:sz w:val="24"/>
          <w:szCs w:val="24"/>
        </w:rPr>
        <w:t xml:space="preserve"> días calendario</w:t>
      </w:r>
      <w:r w:rsidRPr="006A0747">
        <w:rPr>
          <w:rFonts w:ascii="Times New Roman" w:eastAsia="Calibri" w:hAnsi="Times New Roman" w:cs="Times New Roman"/>
          <w:color w:val="767171"/>
          <w:spacing w:val="20"/>
          <w:sz w:val="24"/>
          <w:szCs w:val="24"/>
        </w:rPr>
        <w:t>.</w:t>
      </w:r>
    </w:p>
    <w:p w14:paraId="0D8C7231" w14:textId="77777777" w:rsidR="00566D24" w:rsidRPr="006A0747" w:rsidRDefault="00566D24" w:rsidP="000921A9">
      <w:pPr>
        <w:spacing w:line="360" w:lineRule="auto"/>
        <w:jc w:val="both"/>
        <w:rPr>
          <w:rFonts w:ascii="Times New Roman" w:eastAsia="Calibri" w:hAnsi="Times New Roman" w:cs="Times New Roman"/>
          <w:b/>
          <w:color w:val="767171"/>
          <w:spacing w:val="20"/>
          <w:sz w:val="24"/>
          <w:szCs w:val="24"/>
        </w:rPr>
      </w:pPr>
    </w:p>
    <w:p w14:paraId="1505558A" w14:textId="77777777" w:rsidR="004D2910" w:rsidRPr="006A0747" w:rsidRDefault="004D2910" w:rsidP="000921A9">
      <w:pPr>
        <w:spacing w:line="360" w:lineRule="auto"/>
        <w:jc w:val="both"/>
        <w:rPr>
          <w:rFonts w:ascii="Times New Roman" w:eastAsia="Calibri" w:hAnsi="Times New Roman" w:cs="Times New Roman"/>
          <w:b/>
          <w:color w:val="767171"/>
          <w:spacing w:val="20"/>
          <w:sz w:val="24"/>
          <w:szCs w:val="24"/>
        </w:rPr>
      </w:pPr>
    </w:p>
    <w:p w14:paraId="48FC90ED" w14:textId="77777777" w:rsidR="004D2910" w:rsidRPr="006A0747" w:rsidRDefault="004D2910" w:rsidP="000921A9">
      <w:pPr>
        <w:spacing w:line="360" w:lineRule="auto"/>
        <w:jc w:val="both"/>
        <w:rPr>
          <w:rFonts w:ascii="Times New Roman" w:eastAsia="Calibri" w:hAnsi="Times New Roman" w:cs="Times New Roman"/>
          <w:b/>
          <w:color w:val="767171"/>
          <w:spacing w:val="20"/>
          <w:sz w:val="24"/>
          <w:szCs w:val="24"/>
        </w:rPr>
      </w:pPr>
    </w:p>
    <w:p w14:paraId="5F69D3A2" w14:textId="77777777" w:rsidR="004D2910" w:rsidRPr="006A0747" w:rsidRDefault="004D2910" w:rsidP="000921A9">
      <w:pPr>
        <w:spacing w:line="360" w:lineRule="auto"/>
        <w:jc w:val="both"/>
        <w:rPr>
          <w:rFonts w:ascii="Times New Roman" w:eastAsia="Calibri" w:hAnsi="Times New Roman" w:cs="Times New Roman"/>
          <w:b/>
          <w:color w:val="767171"/>
          <w:spacing w:val="20"/>
          <w:sz w:val="24"/>
          <w:szCs w:val="24"/>
        </w:rPr>
      </w:pPr>
    </w:p>
    <w:p w14:paraId="733E9797" w14:textId="0BEB573A" w:rsidR="004D2910" w:rsidRPr="006A0747" w:rsidRDefault="000921A9" w:rsidP="000921A9">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lastRenderedPageBreak/>
        <w:t>Revisión y Aprobación de Contratos de Adhesión </w:t>
      </w:r>
    </w:p>
    <w:p w14:paraId="5E6E82C5" w14:textId="49786FD4" w:rsidR="000921A9" w:rsidRPr="006A0747" w:rsidRDefault="000921A9" w:rsidP="000921A9">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En términos de revisión de solicitudes de aprobación de contratos de adhesión, al cierre del presente año se recibieron </w:t>
      </w:r>
      <w:r w:rsidR="00EC3E6A" w:rsidRPr="006A0747">
        <w:rPr>
          <w:rFonts w:ascii="Times New Roman" w:eastAsia="Calibri" w:hAnsi="Times New Roman" w:cs="Times New Roman"/>
          <w:color w:val="767171"/>
          <w:spacing w:val="20"/>
          <w:sz w:val="24"/>
          <w:szCs w:val="24"/>
        </w:rPr>
        <w:t>492</w:t>
      </w:r>
      <w:r w:rsidR="00C02AC4" w:rsidRPr="006A0747">
        <w:rPr>
          <w:rFonts w:ascii="Times New Roman" w:eastAsia="Calibri" w:hAnsi="Times New Roman" w:cs="Times New Roman"/>
          <w:color w:val="767171"/>
          <w:spacing w:val="20"/>
          <w:sz w:val="24"/>
          <w:szCs w:val="24"/>
        </w:rPr>
        <w:t xml:space="preserve"> </w:t>
      </w:r>
      <w:r w:rsidRPr="006A0747">
        <w:rPr>
          <w:rFonts w:ascii="Times New Roman" w:eastAsia="Calibri" w:hAnsi="Times New Roman" w:cs="Times New Roman"/>
          <w:color w:val="767171"/>
          <w:spacing w:val="20"/>
          <w:sz w:val="24"/>
          <w:szCs w:val="24"/>
        </w:rPr>
        <w:t xml:space="preserve">solicitudes, representando una reducción de 41% frente al mismo período del año anterior. </w:t>
      </w:r>
      <w:r w:rsidR="00E61E97" w:rsidRPr="006A0747">
        <w:rPr>
          <w:rFonts w:ascii="Times New Roman" w:eastAsia="Calibri" w:hAnsi="Times New Roman" w:cs="Times New Roman"/>
          <w:color w:val="767171"/>
          <w:spacing w:val="20"/>
          <w:sz w:val="24"/>
          <w:szCs w:val="24"/>
        </w:rPr>
        <w:t xml:space="preserve">De estas, </w:t>
      </w:r>
      <w:r w:rsidRPr="006A0747">
        <w:rPr>
          <w:rFonts w:ascii="Times New Roman" w:eastAsia="Calibri" w:hAnsi="Times New Roman" w:cs="Times New Roman"/>
          <w:color w:val="767171"/>
          <w:spacing w:val="20"/>
          <w:sz w:val="24"/>
          <w:szCs w:val="24"/>
        </w:rPr>
        <w:t xml:space="preserve">se respondieron </w:t>
      </w:r>
      <w:r w:rsidR="0073579A" w:rsidRPr="006A0747">
        <w:rPr>
          <w:rFonts w:ascii="Times New Roman" w:eastAsia="Calibri" w:hAnsi="Times New Roman" w:cs="Times New Roman"/>
          <w:color w:val="767171"/>
          <w:spacing w:val="20"/>
          <w:sz w:val="24"/>
          <w:szCs w:val="24"/>
        </w:rPr>
        <w:t>464</w:t>
      </w:r>
      <w:r w:rsidR="00C02AC4" w:rsidRPr="006A0747">
        <w:rPr>
          <w:rFonts w:ascii="Times New Roman" w:eastAsia="Calibri" w:hAnsi="Times New Roman" w:cs="Times New Roman"/>
          <w:color w:val="767171"/>
          <w:spacing w:val="20"/>
          <w:sz w:val="24"/>
          <w:szCs w:val="24"/>
        </w:rPr>
        <w:t xml:space="preserve"> </w:t>
      </w:r>
      <w:r w:rsidRPr="006A0747">
        <w:rPr>
          <w:rFonts w:ascii="Times New Roman" w:eastAsia="Calibri" w:hAnsi="Times New Roman" w:cs="Times New Roman"/>
          <w:color w:val="767171"/>
          <w:spacing w:val="20"/>
          <w:sz w:val="24"/>
          <w:szCs w:val="24"/>
        </w:rPr>
        <w:t xml:space="preserve">solicitudes, en un tiempo promedio de </w:t>
      </w:r>
      <w:r w:rsidR="0015580C" w:rsidRPr="006A0747">
        <w:rPr>
          <w:rFonts w:ascii="Times New Roman" w:eastAsia="Calibri" w:hAnsi="Times New Roman" w:cs="Times New Roman"/>
          <w:color w:val="767171"/>
          <w:spacing w:val="20"/>
          <w:sz w:val="24"/>
          <w:szCs w:val="24"/>
        </w:rPr>
        <w:t>14</w:t>
      </w:r>
      <w:r w:rsidRPr="006A0747">
        <w:rPr>
          <w:rFonts w:ascii="Times New Roman" w:eastAsia="Calibri" w:hAnsi="Times New Roman" w:cs="Times New Roman"/>
          <w:color w:val="767171"/>
          <w:spacing w:val="20"/>
          <w:sz w:val="24"/>
          <w:szCs w:val="24"/>
        </w:rPr>
        <w:t xml:space="preserve"> días calendario, es decir, un </w:t>
      </w:r>
      <w:r w:rsidR="0015580C" w:rsidRPr="006A0747">
        <w:rPr>
          <w:rFonts w:ascii="Times New Roman" w:eastAsia="Calibri" w:hAnsi="Times New Roman" w:cs="Times New Roman"/>
          <w:color w:val="767171"/>
          <w:spacing w:val="20"/>
          <w:sz w:val="24"/>
          <w:szCs w:val="24"/>
        </w:rPr>
        <w:t>53</w:t>
      </w:r>
      <w:r w:rsidRPr="006A0747">
        <w:rPr>
          <w:rFonts w:ascii="Times New Roman" w:eastAsia="Calibri" w:hAnsi="Times New Roman" w:cs="Times New Roman"/>
          <w:color w:val="767171"/>
          <w:spacing w:val="20"/>
          <w:sz w:val="24"/>
          <w:szCs w:val="24"/>
        </w:rPr>
        <w:t>% por debajo del tiempo reglamentario de respuesta (30 días calendario).</w:t>
      </w:r>
    </w:p>
    <w:p w14:paraId="3537F9EC" w14:textId="77777777" w:rsidR="00A023E8" w:rsidRPr="006A0747" w:rsidRDefault="00A023E8" w:rsidP="000921A9">
      <w:pPr>
        <w:spacing w:line="360" w:lineRule="auto"/>
        <w:jc w:val="both"/>
        <w:rPr>
          <w:rFonts w:ascii="Times New Roman" w:eastAsia="Calibri" w:hAnsi="Times New Roman" w:cs="Times New Roman"/>
          <w:color w:val="767171"/>
          <w:spacing w:val="20"/>
          <w:sz w:val="24"/>
          <w:szCs w:val="24"/>
        </w:rPr>
      </w:pPr>
    </w:p>
    <w:p w14:paraId="509B9D60" w14:textId="67EB97AA" w:rsidR="000921A9" w:rsidRPr="006A0747" w:rsidRDefault="000921A9" w:rsidP="000921A9">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t xml:space="preserve">Supervisión de Entidades en Aspectos de Protección de Derechos de los Usuarios </w:t>
      </w:r>
    </w:p>
    <w:p w14:paraId="516DB3BC" w14:textId="30684675" w:rsidR="000921A9" w:rsidRPr="006A0747" w:rsidRDefault="00884DB7" w:rsidP="000921A9">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En el 2024, la SB llevó </w:t>
      </w:r>
      <w:r w:rsidR="00012C37" w:rsidRPr="006A0747">
        <w:rPr>
          <w:rFonts w:ascii="Times New Roman" w:eastAsia="Calibri" w:hAnsi="Times New Roman" w:cs="Times New Roman"/>
          <w:color w:val="767171"/>
          <w:spacing w:val="20"/>
          <w:sz w:val="24"/>
          <w:szCs w:val="24"/>
        </w:rPr>
        <w:t>a cabo</w:t>
      </w:r>
      <w:r w:rsidR="00BF3756" w:rsidRPr="006A0747">
        <w:rPr>
          <w:rFonts w:ascii="Times New Roman" w:eastAsia="Calibri" w:hAnsi="Times New Roman" w:cs="Times New Roman"/>
          <w:color w:val="767171"/>
          <w:spacing w:val="20"/>
          <w:sz w:val="24"/>
          <w:szCs w:val="24"/>
        </w:rPr>
        <w:t xml:space="preserve"> por primera vez</w:t>
      </w:r>
      <w:r w:rsidRPr="006A0747">
        <w:rPr>
          <w:rFonts w:ascii="Times New Roman" w:eastAsia="Calibri" w:hAnsi="Times New Roman" w:cs="Times New Roman"/>
          <w:color w:val="767171"/>
          <w:spacing w:val="20"/>
          <w:sz w:val="24"/>
          <w:szCs w:val="24"/>
        </w:rPr>
        <w:t>,</w:t>
      </w:r>
      <w:r w:rsidR="00012C37" w:rsidRPr="006A0747">
        <w:rPr>
          <w:rFonts w:ascii="Times New Roman" w:eastAsia="Calibri" w:hAnsi="Times New Roman" w:cs="Times New Roman"/>
          <w:color w:val="767171"/>
          <w:spacing w:val="20"/>
          <w:sz w:val="24"/>
          <w:szCs w:val="24"/>
        </w:rPr>
        <w:t xml:space="preserve"> </w:t>
      </w:r>
      <w:r w:rsidR="001F4353" w:rsidRPr="006A0747">
        <w:rPr>
          <w:rFonts w:ascii="Times New Roman" w:eastAsia="Calibri" w:hAnsi="Times New Roman" w:cs="Times New Roman"/>
          <w:color w:val="767171"/>
          <w:spacing w:val="20"/>
          <w:sz w:val="24"/>
          <w:szCs w:val="24"/>
        </w:rPr>
        <w:t>tres</w:t>
      </w:r>
      <w:r w:rsidR="00012C37" w:rsidRPr="006A0747">
        <w:rPr>
          <w:rFonts w:ascii="Times New Roman" w:eastAsia="Calibri" w:hAnsi="Times New Roman" w:cs="Times New Roman"/>
          <w:color w:val="767171"/>
          <w:spacing w:val="20"/>
          <w:sz w:val="24"/>
          <w:szCs w:val="24"/>
        </w:rPr>
        <w:t xml:space="preserve"> </w:t>
      </w:r>
      <w:r w:rsidR="001F4353" w:rsidRPr="006A0747">
        <w:rPr>
          <w:rFonts w:ascii="Times New Roman" w:eastAsia="Calibri" w:hAnsi="Times New Roman" w:cs="Times New Roman"/>
          <w:color w:val="767171"/>
          <w:spacing w:val="20"/>
          <w:sz w:val="24"/>
          <w:szCs w:val="24"/>
        </w:rPr>
        <w:t>(</w:t>
      </w:r>
      <w:r w:rsidR="003F0FB6" w:rsidRPr="006A0747">
        <w:rPr>
          <w:rFonts w:ascii="Times New Roman" w:eastAsia="Calibri" w:hAnsi="Times New Roman" w:cs="Times New Roman"/>
          <w:color w:val="767171"/>
          <w:spacing w:val="20"/>
          <w:sz w:val="24"/>
          <w:szCs w:val="24"/>
        </w:rPr>
        <w:t>3</w:t>
      </w:r>
      <w:r w:rsidR="001F4353" w:rsidRPr="006A0747">
        <w:rPr>
          <w:rFonts w:ascii="Times New Roman" w:eastAsia="Calibri" w:hAnsi="Times New Roman" w:cs="Times New Roman"/>
          <w:color w:val="767171"/>
          <w:spacing w:val="20"/>
          <w:sz w:val="24"/>
          <w:szCs w:val="24"/>
        </w:rPr>
        <w:t>)</w:t>
      </w:r>
      <w:r w:rsidR="00425C55" w:rsidRPr="006A0747">
        <w:rPr>
          <w:rFonts w:ascii="Times New Roman" w:eastAsia="Calibri" w:hAnsi="Times New Roman" w:cs="Times New Roman"/>
          <w:color w:val="767171"/>
          <w:spacing w:val="20"/>
          <w:sz w:val="24"/>
          <w:szCs w:val="24"/>
        </w:rPr>
        <w:t xml:space="preserve"> </w:t>
      </w:r>
      <w:r w:rsidR="0028270F" w:rsidRPr="006A0747">
        <w:rPr>
          <w:rFonts w:ascii="Times New Roman" w:eastAsia="Calibri" w:hAnsi="Times New Roman" w:cs="Times New Roman"/>
          <w:color w:val="767171"/>
          <w:spacing w:val="20"/>
          <w:sz w:val="24"/>
          <w:szCs w:val="24"/>
        </w:rPr>
        <w:t>supervisiones</w:t>
      </w:r>
      <w:r w:rsidR="00012C37" w:rsidRPr="006A0747">
        <w:rPr>
          <w:rFonts w:ascii="Times New Roman" w:eastAsia="Calibri" w:hAnsi="Times New Roman" w:cs="Times New Roman"/>
          <w:color w:val="767171"/>
          <w:spacing w:val="20"/>
          <w:sz w:val="24"/>
          <w:szCs w:val="24"/>
        </w:rPr>
        <w:t xml:space="preserve"> piloto de </w:t>
      </w:r>
      <w:r w:rsidR="007202AE" w:rsidRPr="006A0747">
        <w:rPr>
          <w:rFonts w:ascii="Times New Roman" w:eastAsia="Calibri" w:hAnsi="Times New Roman" w:cs="Times New Roman"/>
          <w:color w:val="767171"/>
          <w:spacing w:val="20"/>
          <w:sz w:val="24"/>
          <w:szCs w:val="24"/>
        </w:rPr>
        <w:t xml:space="preserve">entidades reguladas en materia </w:t>
      </w:r>
      <w:r w:rsidR="00012C37" w:rsidRPr="006A0747">
        <w:rPr>
          <w:rFonts w:ascii="Times New Roman" w:eastAsia="Calibri" w:hAnsi="Times New Roman" w:cs="Times New Roman"/>
          <w:color w:val="767171"/>
          <w:spacing w:val="20"/>
          <w:sz w:val="24"/>
          <w:szCs w:val="24"/>
        </w:rPr>
        <w:t>conducta de mercado</w:t>
      </w:r>
      <w:r w:rsidR="007202AE" w:rsidRPr="006A0747">
        <w:rPr>
          <w:rFonts w:ascii="Times New Roman" w:eastAsia="Calibri" w:hAnsi="Times New Roman" w:cs="Times New Roman"/>
          <w:color w:val="767171"/>
          <w:spacing w:val="20"/>
          <w:sz w:val="24"/>
          <w:szCs w:val="24"/>
        </w:rPr>
        <w:t xml:space="preserve">. </w:t>
      </w:r>
      <w:r w:rsidR="000D5F87" w:rsidRPr="006A0747">
        <w:rPr>
          <w:rFonts w:ascii="Times New Roman" w:eastAsia="Calibri" w:hAnsi="Times New Roman" w:cs="Times New Roman"/>
          <w:color w:val="767171"/>
          <w:spacing w:val="20"/>
          <w:sz w:val="24"/>
          <w:szCs w:val="24"/>
        </w:rPr>
        <w:t>Est</w:t>
      </w:r>
      <w:r w:rsidR="00066687" w:rsidRPr="006A0747">
        <w:rPr>
          <w:rFonts w:ascii="Times New Roman" w:eastAsia="Calibri" w:hAnsi="Times New Roman" w:cs="Times New Roman"/>
          <w:color w:val="767171"/>
          <w:spacing w:val="20"/>
          <w:sz w:val="24"/>
          <w:szCs w:val="24"/>
        </w:rPr>
        <w:t>e</w:t>
      </w:r>
      <w:r w:rsidR="000D5F87" w:rsidRPr="006A0747">
        <w:rPr>
          <w:rFonts w:ascii="Times New Roman" w:eastAsia="Calibri" w:hAnsi="Times New Roman" w:cs="Times New Roman"/>
          <w:color w:val="767171"/>
          <w:spacing w:val="20"/>
          <w:sz w:val="24"/>
          <w:szCs w:val="24"/>
        </w:rPr>
        <w:t xml:space="preserve"> </w:t>
      </w:r>
      <w:r w:rsidR="00690726" w:rsidRPr="006A0747">
        <w:rPr>
          <w:rFonts w:ascii="Times New Roman" w:eastAsia="Calibri" w:hAnsi="Times New Roman" w:cs="Times New Roman"/>
          <w:color w:val="767171"/>
          <w:spacing w:val="20"/>
          <w:sz w:val="24"/>
          <w:szCs w:val="24"/>
        </w:rPr>
        <w:t>tipo</w:t>
      </w:r>
      <w:r w:rsidR="000D5F87" w:rsidRPr="006A0747">
        <w:rPr>
          <w:rFonts w:ascii="Times New Roman" w:eastAsia="Calibri" w:hAnsi="Times New Roman" w:cs="Times New Roman"/>
          <w:color w:val="767171"/>
          <w:spacing w:val="20"/>
          <w:sz w:val="24"/>
          <w:szCs w:val="24"/>
        </w:rPr>
        <w:t xml:space="preserve"> de inspección </w:t>
      </w:r>
      <w:r w:rsidR="004F13F8" w:rsidRPr="006A0747">
        <w:rPr>
          <w:rFonts w:ascii="Times New Roman" w:eastAsia="Calibri" w:hAnsi="Times New Roman" w:cs="Times New Roman"/>
          <w:color w:val="767171"/>
          <w:spacing w:val="20"/>
          <w:sz w:val="24"/>
          <w:szCs w:val="24"/>
        </w:rPr>
        <w:t>tiene como objetivo principal</w:t>
      </w:r>
      <w:r w:rsidR="00D47332" w:rsidRPr="006A0747">
        <w:rPr>
          <w:rFonts w:ascii="Times New Roman" w:eastAsia="Calibri" w:hAnsi="Times New Roman" w:cs="Times New Roman"/>
          <w:color w:val="767171"/>
          <w:spacing w:val="20"/>
          <w:sz w:val="24"/>
          <w:szCs w:val="24"/>
        </w:rPr>
        <w:t xml:space="preserve"> </w:t>
      </w:r>
      <w:r w:rsidR="00046421" w:rsidRPr="006A0747">
        <w:rPr>
          <w:rFonts w:ascii="Times New Roman" w:eastAsia="Calibri" w:hAnsi="Times New Roman" w:cs="Times New Roman"/>
          <w:color w:val="767171"/>
          <w:spacing w:val="20"/>
          <w:sz w:val="24"/>
          <w:szCs w:val="24"/>
        </w:rPr>
        <w:t xml:space="preserve">detectar y </w:t>
      </w:r>
      <w:r w:rsidR="00425C55" w:rsidRPr="006A0747">
        <w:rPr>
          <w:rFonts w:ascii="Times New Roman" w:eastAsia="Calibri" w:hAnsi="Times New Roman" w:cs="Times New Roman"/>
          <w:color w:val="767171"/>
          <w:spacing w:val="20"/>
          <w:sz w:val="24"/>
          <w:szCs w:val="24"/>
        </w:rPr>
        <w:t xml:space="preserve">contribuir a </w:t>
      </w:r>
      <w:r w:rsidR="004B0A1A" w:rsidRPr="006A0747">
        <w:rPr>
          <w:rFonts w:ascii="Times New Roman" w:eastAsia="Calibri" w:hAnsi="Times New Roman" w:cs="Times New Roman"/>
          <w:color w:val="767171"/>
          <w:spacing w:val="20"/>
          <w:sz w:val="24"/>
          <w:szCs w:val="24"/>
        </w:rPr>
        <w:t>mitigar</w:t>
      </w:r>
      <w:r w:rsidR="00A12DDA" w:rsidRPr="006A0747">
        <w:rPr>
          <w:rFonts w:ascii="Times New Roman" w:eastAsia="Calibri" w:hAnsi="Times New Roman" w:cs="Times New Roman"/>
          <w:color w:val="767171"/>
          <w:spacing w:val="20"/>
          <w:sz w:val="24"/>
          <w:szCs w:val="24"/>
        </w:rPr>
        <w:t xml:space="preserve"> prácticas </w:t>
      </w:r>
      <w:r w:rsidR="00DC57DF" w:rsidRPr="006A0747">
        <w:rPr>
          <w:rFonts w:ascii="Times New Roman" w:eastAsia="Calibri" w:hAnsi="Times New Roman" w:cs="Times New Roman"/>
          <w:color w:val="767171"/>
          <w:spacing w:val="20"/>
          <w:sz w:val="24"/>
          <w:szCs w:val="24"/>
        </w:rPr>
        <w:t>injustas o deshonestas</w:t>
      </w:r>
      <w:r w:rsidR="00FF5E4C" w:rsidRPr="006A0747">
        <w:rPr>
          <w:rFonts w:ascii="Times New Roman" w:eastAsia="Calibri" w:hAnsi="Times New Roman" w:cs="Times New Roman"/>
          <w:color w:val="767171"/>
          <w:spacing w:val="20"/>
          <w:sz w:val="24"/>
          <w:szCs w:val="24"/>
        </w:rPr>
        <w:t xml:space="preserve"> </w:t>
      </w:r>
      <w:r w:rsidR="0092485D" w:rsidRPr="006A0747">
        <w:rPr>
          <w:rFonts w:ascii="Times New Roman" w:eastAsia="Calibri" w:hAnsi="Times New Roman" w:cs="Times New Roman"/>
          <w:color w:val="767171"/>
          <w:spacing w:val="20"/>
          <w:sz w:val="24"/>
          <w:szCs w:val="24"/>
        </w:rPr>
        <w:t xml:space="preserve">de las </w:t>
      </w:r>
      <w:r w:rsidR="00726D0F" w:rsidRPr="006A0747">
        <w:rPr>
          <w:rFonts w:ascii="Times New Roman" w:eastAsia="Calibri" w:hAnsi="Times New Roman" w:cs="Times New Roman"/>
          <w:color w:val="767171"/>
          <w:spacing w:val="20"/>
          <w:sz w:val="24"/>
          <w:szCs w:val="24"/>
        </w:rPr>
        <w:t>e</w:t>
      </w:r>
      <w:r w:rsidR="00CB0ACE" w:rsidRPr="006A0747">
        <w:rPr>
          <w:rFonts w:ascii="Times New Roman" w:eastAsia="Calibri" w:hAnsi="Times New Roman" w:cs="Times New Roman"/>
          <w:color w:val="767171"/>
          <w:spacing w:val="20"/>
          <w:sz w:val="24"/>
          <w:szCs w:val="24"/>
        </w:rPr>
        <w:t xml:space="preserve">ntidades </w:t>
      </w:r>
      <w:r w:rsidR="0032610D" w:rsidRPr="006A0747">
        <w:rPr>
          <w:rFonts w:ascii="Times New Roman" w:eastAsia="Calibri" w:hAnsi="Times New Roman" w:cs="Times New Roman"/>
          <w:color w:val="767171"/>
          <w:spacing w:val="20"/>
          <w:sz w:val="24"/>
          <w:szCs w:val="24"/>
        </w:rPr>
        <w:t xml:space="preserve">supervisadas </w:t>
      </w:r>
      <w:r w:rsidR="00DD4541" w:rsidRPr="006A0747">
        <w:rPr>
          <w:rFonts w:ascii="Times New Roman" w:eastAsia="Calibri" w:hAnsi="Times New Roman" w:cs="Times New Roman"/>
          <w:color w:val="767171"/>
          <w:spacing w:val="20"/>
          <w:sz w:val="24"/>
          <w:szCs w:val="24"/>
        </w:rPr>
        <w:t>frente a</w:t>
      </w:r>
      <w:r w:rsidR="0092485D" w:rsidRPr="006A0747">
        <w:rPr>
          <w:rFonts w:ascii="Times New Roman" w:eastAsia="Calibri" w:hAnsi="Times New Roman" w:cs="Times New Roman"/>
          <w:color w:val="767171"/>
          <w:spacing w:val="20"/>
          <w:sz w:val="24"/>
          <w:szCs w:val="24"/>
        </w:rPr>
        <w:t xml:space="preserve"> sus </w:t>
      </w:r>
      <w:proofErr w:type="gramStart"/>
      <w:r w:rsidR="0092485D" w:rsidRPr="006A0747">
        <w:rPr>
          <w:rFonts w:ascii="Times New Roman" w:eastAsia="Calibri" w:hAnsi="Times New Roman" w:cs="Times New Roman"/>
          <w:color w:val="767171"/>
          <w:spacing w:val="20"/>
          <w:sz w:val="24"/>
          <w:szCs w:val="24"/>
        </w:rPr>
        <w:t>usuarios</w:t>
      </w:r>
      <w:r w:rsidR="007306E7" w:rsidRPr="006A0747">
        <w:rPr>
          <w:rFonts w:ascii="Times New Roman" w:eastAsia="Calibri" w:hAnsi="Times New Roman" w:cs="Times New Roman"/>
          <w:color w:val="767171"/>
          <w:spacing w:val="20"/>
          <w:sz w:val="24"/>
          <w:szCs w:val="24"/>
        </w:rPr>
        <w:t xml:space="preserve"> y usuarias</w:t>
      </w:r>
      <w:proofErr w:type="gramEnd"/>
      <w:r w:rsidR="0092485D" w:rsidRPr="006A0747">
        <w:rPr>
          <w:rFonts w:ascii="Times New Roman" w:eastAsia="Calibri" w:hAnsi="Times New Roman" w:cs="Times New Roman"/>
          <w:color w:val="767171"/>
          <w:spacing w:val="20"/>
          <w:sz w:val="24"/>
          <w:szCs w:val="24"/>
        </w:rPr>
        <w:t>.</w:t>
      </w:r>
      <w:r w:rsidR="00F84077" w:rsidRPr="006A0747">
        <w:rPr>
          <w:rFonts w:ascii="Times New Roman" w:eastAsia="Calibri" w:hAnsi="Times New Roman" w:cs="Times New Roman"/>
          <w:color w:val="767171"/>
          <w:spacing w:val="20"/>
          <w:sz w:val="24"/>
          <w:szCs w:val="24"/>
        </w:rPr>
        <w:t xml:space="preserve"> </w:t>
      </w:r>
      <w:r w:rsidR="003859DD" w:rsidRPr="006A0747">
        <w:rPr>
          <w:rFonts w:ascii="Times New Roman" w:eastAsia="Calibri" w:hAnsi="Times New Roman" w:cs="Times New Roman"/>
          <w:color w:val="767171"/>
          <w:spacing w:val="20"/>
          <w:sz w:val="24"/>
          <w:szCs w:val="24"/>
        </w:rPr>
        <w:t xml:space="preserve">El alcance </w:t>
      </w:r>
      <w:r w:rsidR="00AF7DAA" w:rsidRPr="006A0747">
        <w:rPr>
          <w:rFonts w:ascii="Times New Roman" w:eastAsia="Calibri" w:hAnsi="Times New Roman" w:cs="Times New Roman"/>
          <w:color w:val="767171"/>
          <w:spacing w:val="20"/>
          <w:sz w:val="24"/>
          <w:szCs w:val="24"/>
        </w:rPr>
        <w:t>de las</w:t>
      </w:r>
      <w:r w:rsidR="003859DD" w:rsidRPr="006A0747">
        <w:rPr>
          <w:rFonts w:ascii="Times New Roman" w:eastAsia="Calibri" w:hAnsi="Times New Roman" w:cs="Times New Roman"/>
          <w:color w:val="767171"/>
          <w:spacing w:val="20"/>
          <w:sz w:val="24"/>
          <w:szCs w:val="24"/>
        </w:rPr>
        <w:t xml:space="preserve"> inspecciones comprendió la evaluación de cuatro factores identificados como los principales generadores de riesgo con impacto en </w:t>
      </w:r>
      <w:proofErr w:type="gramStart"/>
      <w:r w:rsidR="003859DD" w:rsidRPr="006A0747">
        <w:rPr>
          <w:rFonts w:ascii="Times New Roman" w:eastAsia="Calibri" w:hAnsi="Times New Roman" w:cs="Times New Roman"/>
          <w:color w:val="767171"/>
          <w:spacing w:val="20"/>
          <w:sz w:val="24"/>
          <w:szCs w:val="24"/>
        </w:rPr>
        <w:t>los usuarios y usuarias</w:t>
      </w:r>
      <w:proofErr w:type="gramEnd"/>
      <w:r w:rsidR="003859DD" w:rsidRPr="006A0747">
        <w:rPr>
          <w:rFonts w:ascii="Times New Roman" w:eastAsia="Calibri" w:hAnsi="Times New Roman" w:cs="Times New Roman"/>
          <w:color w:val="767171"/>
          <w:spacing w:val="20"/>
          <w:sz w:val="24"/>
          <w:szCs w:val="24"/>
        </w:rPr>
        <w:t>: a) Diseño de productos, b) Estrategia de venta y promoción de productos y servicios, y estructura de incentivos por venta, c) Comportamiento ético, y d) Proceso de solución de controversias.</w:t>
      </w:r>
      <w:r w:rsidRPr="006A0747">
        <w:rPr>
          <w:rFonts w:ascii="Times New Roman" w:eastAsia="Calibri" w:hAnsi="Times New Roman" w:cs="Times New Roman"/>
          <w:color w:val="767171"/>
          <w:spacing w:val="20"/>
          <w:sz w:val="24"/>
          <w:szCs w:val="24"/>
        </w:rPr>
        <w:t xml:space="preserve"> </w:t>
      </w:r>
      <w:r w:rsidR="000921A9" w:rsidRPr="006A0747">
        <w:rPr>
          <w:rFonts w:ascii="Times New Roman" w:eastAsia="Calibri" w:hAnsi="Times New Roman" w:cs="Times New Roman"/>
          <w:color w:val="767171"/>
          <w:spacing w:val="20"/>
          <w:sz w:val="24"/>
          <w:szCs w:val="24"/>
        </w:rPr>
        <w:t xml:space="preserve">Los hallazgos y recomendaciones </w:t>
      </w:r>
      <w:r w:rsidR="006B5504" w:rsidRPr="006A0747">
        <w:rPr>
          <w:rFonts w:ascii="Times New Roman" w:eastAsia="Calibri" w:hAnsi="Times New Roman" w:cs="Times New Roman"/>
          <w:color w:val="767171"/>
          <w:spacing w:val="20"/>
          <w:sz w:val="24"/>
          <w:szCs w:val="24"/>
        </w:rPr>
        <w:t xml:space="preserve">identificados y </w:t>
      </w:r>
      <w:r w:rsidR="000921A9" w:rsidRPr="006A0747">
        <w:rPr>
          <w:rFonts w:ascii="Times New Roman" w:eastAsia="Calibri" w:hAnsi="Times New Roman" w:cs="Times New Roman"/>
          <w:color w:val="767171"/>
          <w:spacing w:val="20"/>
          <w:sz w:val="24"/>
          <w:szCs w:val="24"/>
        </w:rPr>
        <w:t>comunicados</w:t>
      </w:r>
      <w:r w:rsidR="00020EE5" w:rsidRPr="006A0747">
        <w:rPr>
          <w:rFonts w:ascii="Times New Roman" w:eastAsia="Calibri" w:hAnsi="Times New Roman" w:cs="Times New Roman"/>
          <w:color w:val="767171"/>
          <w:spacing w:val="20"/>
          <w:sz w:val="24"/>
          <w:szCs w:val="24"/>
        </w:rPr>
        <w:t xml:space="preserve"> a las entidades</w:t>
      </w:r>
      <w:r w:rsidR="000921A9" w:rsidRPr="006A0747">
        <w:rPr>
          <w:rFonts w:ascii="Times New Roman" w:eastAsia="Calibri" w:hAnsi="Times New Roman" w:cs="Times New Roman"/>
          <w:color w:val="767171"/>
          <w:spacing w:val="20"/>
          <w:sz w:val="24"/>
          <w:szCs w:val="24"/>
        </w:rPr>
        <w:t xml:space="preserve"> apuntaban a fomentar la implementación de mejoras en sus procesos</w:t>
      </w:r>
      <w:r w:rsidR="0031407E" w:rsidRPr="006A0747">
        <w:rPr>
          <w:rFonts w:ascii="Times New Roman" w:eastAsia="Calibri" w:hAnsi="Times New Roman" w:cs="Times New Roman"/>
          <w:color w:val="767171"/>
          <w:spacing w:val="20"/>
          <w:sz w:val="24"/>
          <w:szCs w:val="24"/>
        </w:rPr>
        <w:t>,</w:t>
      </w:r>
      <w:r w:rsidR="000921A9" w:rsidRPr="006A0747">
        <w:rPr>
          <w:rFonts w:ascii="Times New Roman" w:eastAsia="Calibri" w:hAnsi="Times New Roman" w:cs="Times New Roman"/>
          <w:color w:val="767171"/>
          <w:spacing w:val="20"/>
          <w:sz w:val="24"/>
          <w:szCs w:val="24"/>
        </w:rPr>
        <w:t xml:space="preserve"> alineadas con las buenas prácticas internacionales</w:t>
      </w:r>
      <w:r w:rsidR="0031407E" w:rsidRPr="006A0747">
        <w:rPr>
          <w:rFonts w:ascii="Times New Roman" w:eastAsia="Calibri" w:hAnsi="Times New Roman" w:cs="Times New Roman"/>
          <w:color w:val="767171"/>
          <w:spacing w:val="20"/>
          <w:sz w:val="24"/>
          <w:szCs w:val="24"/>
        </w:rPr>
        <w:t>.</w:t>
      </w:r>
    </w:p>
    <w:p w14:paraId="0A67BAE8" w14:textId="5B5CE1B9" w:rsidR="000921A9" w:rsidRPr="006A0747" w:rsidRDefault="006A6D9B" w:rsidP="000921A9">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De igual forma, e</w:t>
      </w:r>
      <w:r w:rsidR="000921A9" w:rsidRPr="006A0747">
        <w:rPr>
          <w:rFonts w:ascii="Times New Roman" w:eastAsia="Calibri" w:hAnsi="Times New Roman" w:cs="Times New Roman"/>
          <w:color w:val="767171"/>
          <w:spacing w:val="20"/>
          <w:sz w:val="24"/>
          <w:szCs w:val="24"/>
        </w:rPr>
        <w:t xml:space="preserve">n este </w:t>
      </w:r>
      <w:r w:rsidR="00420347" w:rsidRPr="006A0747">
        <w:rPr>
          <w:rFonts w:ascii="Times New Roman" w:eastAsia="Calibri" w:hAnsi="Times New Roman" w:cs="Times New Roman"/>
          <w:color w:val="767171"/>
          <w:spacing w:val="20"/>
          <w:sz w:val="24"/>
          <w:szCs w:val="24"/>
        </w:rPr>
        <w:t>año</w:t>
      </w:r>
      <w:r w:rsidR="00475C0B" w:rsidRPr="006A0747">
        <w:rPr>
          <w:rFonts w:ascii="Times New Roman" w:eastAsia="Calibri" w:hAnsi="Times New Roman" w:cs="Times New Roman"/>
          <w:color w:val="767171"/>
          <w:spacing w:val="20"/>
          <w:sz w:val="24"/>
          <w:szCs w:val="24"/>
        </w:rPr>
        <w:t xml:space="preserve"> </w:t>
      </w:r>
      <w:r w:rsidR="000921A9" w:rsidRPr="006A0747">
        <w:rPr>
          <w:rFonts w:ascii="Times New Roman" w:eastAsia="Calibri" w:hAnsi="Times New Roman" w:cs="Times New Roman"/>
          <w:color w:val="767171"/>
          <w:spacing w:val="20"/>
          <w:sz w:val="24"/>
          <w:szCs w:val="24"/>
        </w:rPr>
        <w:t xml:space="preserve">se celebró la 3era. </w:t>
      </w:r>
      <w:r w:rsidR="00384C2F" w:rsidRPr="006A0747">
        <w:rPr>
          <w:rFonts w:ascii="Times New Roman" w:eastAsia="Calibri" w:hAnsi="Times New Roman" w:cs="Times New Roman"/>
          <w:color w:val="767171"/>
          <w:spacing w:val="20"/>
          <w:sz w:val="24"/>
          <w:szCs w:val="24"/>
        </w:rPr>
        <w:t>c</w:t>
      </w:r>
      <w:r w:rsidR="000921A9" w:rsidRPr="006A0747">
        <w:rPr>
          <w:rFonts w:ascii="Times New Roman" w:eastAsia="Calibri" w:hAnsi="Times New Roman" w:cs="Times New Roman"/>
          <w:color w:val="767171"/>
          <w:spacing w:val="20"/>
          <w:sz w:val="24"/>
          <w:szCs w:val="24"/>
        </w:rPr>
        <w:t>onferencia de actualización en materia de protección al usuario y usuaria</w:t>
      </w:r>
      <w:r w:rsidR="00384C2F" w:rsidRPr="006A0747">
        <w:rPr>
          <w:rFonts w:ascii="Times New Roman" w:eastAsia="Calibri" w:hAnsi="Times New Roman" w:cs="Times New Roman"/>
          <w:color w:val="767171"/>
          <w:spacing w:val="20"/>
          <w:sz w:val="24"/>
          <w:szCs w:val="24"/>
        </w:rPr>
        <w:t>,</w:t>
      </w:r>
      <w:r w:rsidR="000921A9" w:rsidRPr="006A0747">
        <w:rPr>
          <w:rFonts w:ascii="Times New Roman" w:eastAsia="Calibri" w:hAnsi="Times New Roman" w:cs="Times New Roman"/>
          <w:color w:val="767171"/>
          <w:spacing w:val="20"/>
          <w:sz w:val="24"/>
          <w:szCs w:val="24"/>
        </w:rPr>
        <w:t xml:space="preserve"> y supervisión de conducta del mercado</w:t>
      </w:r>
      <w:r w:rsidR="004934E0" w:rsidRPr="006A0747">
        <w:rPr>
          <w:rFonts w:ascii="Times New Roman" w:eastAsia="Calibri" w:hAnsi="Times New Roman" w:cs="Times New Roman"/>
          <w:color w:val="767171"/>
          <w:spacing w:val="20"/>
          <w:sz w:val="24"/>
          <w:szCs w:val="24"/>
        </w:rPr>
        <w:t xml:space="preserve">. </w:t>
      </w:r>
      <w:r w:rsidR="00EF7C76" w:rsidRPr="006A0747">
        <w:rPr>
          <w:rFonts w:ascii="Times New Roman" w:eastAsia="Calibri" w:hAnsi="Times New Roman" w:cs="Times New Roman"/>
          <w:color w:val="767171"/>
          <w:spacing w:val="20"/>
          <w:sz w:val="24"/>
          <w:szCs w:val="24"/>
        </w:rPr>
        <w:t>Esto,</w:t>
      </w:r>
      <w:r w:rsidR="000921A9" w:rsidRPr="006A0747">
        <w:rPr>
          <w:rFonts w:ascii="Times New Roman" w:eastAsia="Calibri" w:hAnsi="Times New Roman" w:cs="Times New Roman"/>
          <w:color w:val="767171"/>
          <w:spacing w:val="20"/>
          <w:sz w:val="24"/>
          <w:szCs w:val="24"/>
        </w:rPr>
        <w:t xml:space="preserve"> como forma de robustecer el acercamiento entre la </w:t>
      </w:r>
      <w:r w:rsidR="00CE63C0" w:rsidRPr="006A0747">
        <w:rPr>
          <w:rFonts w:ascii="Times New Roman" w:eastAsia="Calibri" w:hAnsi="Times New Roman" w:cs="Times New Roman"/>
          <w:color w:val="767171"/>
          <w:spacing w:val="20"/>
          <w:sz w:val="24"/>
          <w:szCs w:val="24"/>
        </w:rPr>
        <w:t>SB</w:t>
      </w:r>
      <w:r w:rsidR="000921A9" w:rsidRPr="006A0747">
        <w:rPr>
          <w:rFonts w:ascii="Times New Roman" w:eastAsia="Calibri" w:hAnsi="Times New Roman" w:cs="Times New Roman"/>
          <w:color w:val="767171"/>
          <w:spacing w:val="20"/>
          <w:sz w:val="24"/>
          <w:szCs w:val="24"/>
        </w:rPr>
        <w:t xml:space="preserve"> y las entidades </w:t>
      </w:r>
      <w:r w:rsidR="00384C2F" w:rsidRPr="006A0747">
        <w:rPr>
          <w:rFonts w:ascii="Times New Roman" w:eastAsia="Calibri" w:hAnsi="Times New Roman" w:cs="Times New Roman"/>
          <w:color w:val="767171"/>
          <w:spacing w:val="20"/>
          <w:sz w:val="24"/>
          <w:szCs w:val="24"/>
        </w:rPr>
        <w:t>s</w:t>
      </w:r>
      <w:r w:rsidR="000921A9" w:rsidRPr="006A0747">
        <w:rPr>
          <w:rFonts w:ascii="Times New Roman" w:eastAsia="Calibri" w:hAnsi="Times New Roman" w:cs="Times New Roman"/>
          <w:color w:val="767171"/>
          <w:spacing w:val="20"/>
          <w:sz w:val="24"/>
          <w:szCs w:val="24"/>
        </w:rPr>
        <w:t xml:space="preserve">upervisadas. </w:t>
      </w:r>
      <w:r w:rsidR="002272EA" w:rsidRPr="006A0747">
        <w:rPr>
          <w:rFonts w:ascii="Times New Roman" w:eastAsia="Calibri" w:hAnsi="Times New Roman" w:cs="Times New Roman"/>
          <w:color w:val="767171"/>
          <w:spacing w:val="20"/>
          <w:sz w:val="24"/>
          <w:szCs w:val="24"/>
        </w:rPr>
        <w:t xml:space="preserve">La </w:t>
      </w:r>
      <w:r w:rsidR="000921A9" w:rsidRPr="006A0747">
        <w:rPr>
          <w:rFonts w:ascii="Times New Roman" w:eastAsia="Calibri" w:hAnsi="Times New Roman" w:cs="Times New Roman"/>
          <w:color w:val="767171"/>
          <w:spacing w:val="20"/>
          <w:sz w:val="24"/>
          <w:szCs w:val="24"/>
        </w:rPr>
        <w:t xml:space="preserve">entrega contó con experimentados expositores internacionales y la asistencia </w:t>
      </w:r>
      <w:r w:rsidR="000921A9" w:rsidRPr="006A0747">
        <w:rPr>
          <w:rFonts w:ascii="Times New Roman" w:eastAsia="Calibri" w:hAnsi="Times New Roman" w:cs="Times New Roman"/>
          <w:color w:val="767171"/>
          <w:spacing w:val="20"/>
          <w:sz w:val="24"/>
          <w:szCs w:val="24"/>
        </w:rPr>
        <w:lastRenderedPageBreak/>
        <w:t>de 320 participantes de las áreas de protección, legal y cumplimiento de las entidades supervisadas.</w:t>
      </w:r>
    </w:p>
    <w:p w14:paraId="487A0842" w14:textId="4D988DC3" w:rsidR="000921A9" w:rsidRPr="006A0747" w:rsidRDefault="00AD7F1E" w:rsidP="000921A9">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Asimismo</w:t>
      </w:r>
      <w:r w:rsidR="00823C21" w:rsidRPr="006A0747">
        <w:rPr>
          <w:rFonts w:ascii="Times New Roman" w:eastAsia="Calibri" w:hAnsi="Times New Roman" w:cs="Times New Roman"/>
          <w:color w:val="767171"/>
          <w:spacing w:val="20"/>
          <w:sz w:val="24"/>
          <w:szCs w:val="24"/>
        </w:rPr>
        <w:t>,</w:t>
      </w:r>
      <w:r w:rsidR="000921A9" w:rsidRPr="006A0747">
        <w:rPr>
          <w:rFonts w:ascii="Times New Roman" w:eastAsia="Calibri" w:hAnsi="Times New Roman" w:cs="Times New Roman"/>
          <w:color w:val="767171"/>
          <w:spacing w:val="20"/>
          <w:sz w:val="24"/>
          <w:szCs w:val="24"/>
        </w:rPr>
        <w:t xml:space="preserve"> </w:t>
      </w:r>
      <w:r w:rsidR="00823C21" w:rsidRPr="006A0747">
        <w:rPr>
          <w:rFonts w:ascii="Times New Roman" w:eastAsia="Calibri" w:hAnsi="Times New Roman" w:cs="Times New Roman"/>
          <w:color w:val="767171"/>
          <w:spacing w:val="20"/>
          <w:sz w:val="24"/>
          <w:szCs w:val="24"/>
        </w:rPr>
        <w:t>se llevaron a cabo</w:t>
      </w:r>
      <w:r w:rsidR="000921A9" w:rsidRPr="006A0747">
        <w:rPr>
          <w:rFonts w:ascii="Times New Roman" w:eastAsia="Calibri" w:hAnsi="Times New Roman" w:cs="Times New Roman"/>
          <w:color w:val="767171"/>
          <w:spacing w:val="20"/>
          <w:sz w:val="24"/>
          <w:szCs w:val="24"/>
        </w:rPr>
        <w:t xml:space="preserve"> actividades de monitoreo extra situ, como parte de los nuevos mecanismos definidos para incrementar el cumplimiento de las entidades con requerimientos normativos puntuales en materia de protección. En es</w:t>
      </w:r>
      <w:r w:rsidR="00384C2F" w:rsidRPr="006A0747">
        <w:rPr>
          <w:rFonts w:ascii="Times New Roman" w:eastAsia="Calibri" w:hAnsi="Times New Roman" w:cs="Times New Roman"/>
          <w:color w:val="767171"/>
          <w:spacing w:val="20"/>
          <w:sz w:val="24"/>
          <w:szCs w:val="24"/>
        </w:rPr>
        <w:t>t</w:t>
      </w:r>
      <w:r w:rsidR="000921A9" w:rsidRPr="006A0747">
        <w:rPr>
          <w:rFonts w:ascii="Times New Roman" w:eastAsia="Calibri" w:hAnsi="Times New Roman" w:cs="Times New Roman"/>
          <w:color w:val="767171"/>
          <w:spacing w:val="20"/>
          <w:sz w:val="24"/>
          <w:szCs w:val="24"/>
        </w:rPr>
        <w:t xml:space="preserve">e sentido, se </w:t>
      </w:r>
      <w:r w:rsidR="00645D09" w:rsidRPr="006A0747">
        <w:rPr>
          <w:rFonts w:ascii="Times New Roman" w:eastAsia="Calibri" w:hAnsi="Times New Roman" w:cs="Times New Roman"/>
          <w:color w:val="767171"/>
          <w:spacing w:val="20"/>
          <w:sz w:val="24"/>
          <w:szCs w:val="24"/>
        </w:rPr>
        <w:t>realizaron</w:t>
      </w:r>
      <w:r w:rsidR="000921A9" w:rsidRPr="006A0747">
        <w:rPr>
          <w:rFonts w:ascii="Times New Roman" w:eastAsia="Calibri" w:hAnsi="Times New Roman" w:cs="Times New Roman"/>
          <w:color w:val="767171"/>
          <w:spacing w:val="20"/>
          <w:sz w:val="24"/>
          <w:szCs w:val="24"/>
        </w:rPr>
        <w:t xml:space="preserve"> investigaciones focalizadas</w:t>
      </w:r>
      <w:r w:rsidR="00A4382D" w:rsidRPr="006A0747">
        <w:rPr>
          <w:rFonts w:ascii="Times New Roman" w:eastAsia="Calibri" w:hAnsi="Times New Roman" w:cs="Times New Roman"/>
          <w:color w:val="767171"/>
          <w:spacing w:val="20"/>
          <w:sz w:val="24"/>
          <w:szCs w:val="24"/>
        </w:rPr>
        <w:t xml:space="preserve"> y </w:t>
      </w:r>
      <w:r w:rsidR="00BD5377" w:rsidRPr="006A0747">
        <w:rPr>
          <w:rFonts w:ascii="Times New Roman" w:eastAsia="Calibri" w:hAnsi="Times New Roman" w:cs="Times New Roman"/>
          <w:color w:val="767171"/>
          <w:spacing w:val="20"/>
          <w:sz w:val="24"/>
          <w:szCs w:val="24"/>
        </w:rPr>
        <w:t>se</w:t>
      </w:r>
      <w:r w:rsidR="00A4382D" w:rsidRPr="006A0747">
        <w:rPr>
          <w:rFonts w:ascii="Times New Roman" w:eastAsia="Calibri" w:hAnsi="Times New Roman" w:cs="Times New Roman"/>
          <w:color w:val="767171"/>
          <w:spacing w:val="20"/>
          <w:sz w:val="24"/>
          <w:szCs w:val="24"/>
        </w:rPr>
        <w:t xml:space="preserve"> </w:t>
      </w:r>
      <w:r w:rsidR="00645D09" w:rsidRPr="006A0747">
        <w:rPr>
          <w:rFonts w:ascii="Times New Roman" w:eastAsia="Calibri" w:hAnsi="Times New Roman" w:cs="Times New Roman"/>
          <w:color w:val="767171"/>
          <w:spacing w:val="20"/>
          <w:sz w:val="24"/>
          <w:szCs w:val="24"/>
        </w:rPr>
        <w:t>implementaron</w:t>
      </w:r>
      <w:r w:rsidR="000921A9" w:rsidRPr="006A0747">
        <w:rPr>
          <w:rFonts w:ascii="Times New Roman" w:eastAsia="Calibri" w:hAnsi="Times New Roman" w:cs="Times New Roman"/>
          <w:color w:val="767171"/>
          <w:spacing w:val="20"/>
          <w:sz w:val="24"/>
          <w:szCs w:val="24"/>
        </w:rPr>
        <w:t xml:space="preserve"> acciones mitigantes </w:t>
      </w:r>
      <w:r w:rsidR="00645D09" w:rsidRPr="006A0747">
        <w:rPr>
          <w:rFonts w:ascii="Times New Roman" w:eastAsia="Calibri" w:hAnsi="Times New Roman" w:cs="Times New Roman"/>
          <w:color w:val="767171"/>
          <w:spacing w:val="20"/>
          <w:sz w:val="24"/>
          <w:szCs w:val="24"/>
        </w:rPr>
        <w:t>ante</w:t>
      </w:r>
      <w:r w:rsidR="000921A9" w:rsidRPr="006A0747">
        <w:rPr>
          <w:rFonts w:ascii="Times New Roman" w:eastAsia="Calibri" w:hAnsi="Times New Roman" w:cs="Times New Roman"/>
          <w:color w:val="767171"/>
          <w:spacing w:val="20"/>
          <w:sz w:val="24"/>
          <w:szCs w:val="24"/>
        </w:rPr>
        <w:t xml:space="preserve"> las afectaciones a </w:t>
      </w:r>
      <w:proofErr w:type="gramStart"/>
      <w:r w:rsidR="000921A9" w:rsidRPr="006A0747">
        <w:rPr>
          <w:rFonts w:ascii="Times New Roman" w:eastAsia="Calibri" w:hAnsi="Times New Roman" w:cs="Times New Roman"/>
          <w:color w:val="767171"/>
          <w:spacing w:val="20"/>
          <w:sz w:val="24"/>
          <w:szCs w:val="24"/>
        </w:rPr>
        <w:t>los usuarios y las usuarias</w:t>
      </w:r>
      <w:proofErr w:type="gramEnd"/>
      <w:r w:rsidR="000921A9" w:rsidRPr="006A0747">
        <w:rPr>
          <w:rFonts w:ascii="Times New Roman" w:eastAsia="Calibri" w:hAnsi="Times New Roman" w:cs="Times New Roman"/>
          <w:color w:val="767171"/>
          <w:spacing w:val="20"/>
          <w:sz w:val="24"/>
          <w:szCs w:val="24"/>
        </w:rPr>
        <w:t xml:space="preserve">. A continuación, </w:t>
      </w:r>
      <w:r w:rsidR="00462591" w:rsidRPr="006A0747">
        <w:rPr>
          <w:rFonts w:ascii="Times New Roman" w:eastAsia="Calibri" w:hAnsi="Times New Roman" w:cs="Times New Roman"/>
          <w:color w:val="767171"/>
          <w:spacing w:val="20"/>
          <w:sz w:val="24"/>
          <w:szCs w:val="24"/>
        </w:rPr>
        <w:t xml:space="preserve">se citan </w:t>
      </w:r>
      <w:r w:rsidR="000921A9" w:rsidRPr="006A0747">
        <w:rPr>
          <w:rFonts w:ascii="Times New Roman" w:eastAsia="Calibri" w:hAnsi="Times New Roman" w:cs="Times New Roman"/>
          <w:color w:val="767171"/>
          <w:spacing w:val="20"/>
          <w:sz w:val="24"/>
          <w:szCs w:val="24"/>
        </w:rPr>
        <w:t>algunos ejemplos:</w:t>
      </w:r>
    </w:p>
    <w:p w14:paraId="54B8248B" w14:textId="77777777" w:rsidR="00A023E8" w:rsidRPr="006A0747" w:rsidRDefault="00A023E8" w:rsidP="000921A9">
      <w:pPr>
        <w:spacing w:line="360" w:lineRule="auto"/>
        <w:jc w:val="both"/>
        <w:rPr>
          <w:rFonts w:ascii="Times New Roman" w:eastAsia="Calibri" w:hAnsi="Times New Roman" w:cs="Times New Roman"/>
          <w:color w:val="767171"/>
          <w:spacing w:val="20"/>
          <w:sz w:val="24"/>
          <w:szCs w:val="24"/>
        </w:rPr>
      </w:pPr>
    </w:p>
    <w:p w14:paraId="51A0126B" w14:textId="6FB064DA" w:rsidR="00356234" w:rsidRPr="006A0747" w:rsidRDefault="000921A9" w:rsidP="000921A9">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b/>
          <w:color w:val="767171"/>
          <w:spacing w:val="20"/>
          <w:sz w:val="24"/>
          <w:szCs w:val="24"/>
        </w:rPr>
        <w:t>Comportamiento de entidades en el proceso de mercadeo de productos y servicios.</w:t>
      </w:r>
      <w:r w:rsidRPr="006A0747">
        <w:rPr>
          <w:rFonts w:ascii="Times New Roman" w:eastAsia="Calibri" w:hAnsi="Times New Roman" w:cs="Times New Roman"/>
          <w:color w:val="767171"/>
          <w:spacing w:val="20"/>
          <w:sz w:val="24"/>
          <w:szCs w:val="24"/>
        </w:rPr>
        <w:t xml:space="preserve"> </w:t>
      </w:r>
      <w:r w:rsidR="00356234" w:rsidRPr="006A0747">
        <w:rPr>
          <w:rFonts w:ascii="Times New Roman" w:eastAsia="Calibri" w:hAnsi="Times New Roman" w:cs="Times New Roman"/>
          <w:color w:val="767171"/>
          <w:spacing w:val="20"/>
          <w:sz w:val="24"/>
          <w:szCs w:val="24"/>
        </w:rPr>
        <w:t xml:space="preserve">Como parte del seguimiento a la implementación de las Circulares emitidas por la Superintendencia de bancos en 2022, que ordenaban a las entidades supervisadas excluir de sus listas para fines mercadológicos a los usuarios/usuarias que así lo solicitaren, se realizó un proceso de monitoreo de cumplimiento. En el primer ejercicio se registró un cumplimiento inicial de tan solo 39% respecto de las solicitudes recibidas (280,785), </w:t>
      </w:r>
      <w:r w:rsidR="00307E28" w:rsidRPr="006A0747">
        <w:rPr>
          <w:rFonts w:ascii="Times New Roman" w:eastAsia="Calibri" w:hAnsi="Times New Roman" w:cs="Times New Roman"/>
          <w:color w:val="767171"/>
          <w:spacing w:val="20"/>
          <w:sz w:val="24"/>
          <w:szCs w:val="24"/>
        </w:rPr>
        <w:t xml:space="preserve">las cuales fueron </w:t>
      </w:r>
      <w:r w:rsidR="00356234" w:rsidRPr="006A0747">
        <w:rPr>
          <w:rFonts w:ascii="Times New Roman" w:eastAsia="Calibri" w:hAnsi="Times New Roman" w:cs="Times New Roman"/>
          <w:color w:val="767171"/>
          <w:spacing w:val="20"/>
          <w:sz w:val="24"/>
          <w:szCs w:val="24"/>
        </w:rPr>
        <w:t>atendidas por las entidades en un tiempo promedio de 32 días</w:t>
      </w:r>
      <w:r w:rsidR="00462591" w:rsidRPr="006A0747">
        <w:rPr>
          <w:rFonts w:ascii="Times New Roman" w:eastAsia="Calibri" w:hAnsi="Times New Roman" w:cs="Times New Roman"/>
          <w:color w:val="767171"/>
          <w:spacing w:val="20"/>
          <w:sz w:val="24"/>
          <w:szCs w:val="24"/>
        </w:rPr>
        <w:t xml:space="preserve"> laborales</w:t>
      </w:r>
      <w:r w:rsidR="00356234" w:rsidRPr="006A0747">
        <w:rPr>
          <w:rFonts w:ascii="Times New Roman" w:eastAsia="Calibri" w:hAnsi="Times New Roman" w:cs="Times New Roman"/>
          <w:color w:val="767171"/>
          <w:spacing w:val="20"/>
          <w:sz w:val="24"/>
          <w:szCs w:val="24"/>
        </w:rPr>
        <w:t xml:space="preserve">, </w:t>
      </w:r>
      <w:r w:rsidR="00606145" w:rsidRPr="006A0747">
        <w:rPr>
          <w:rFonts w:ascii="Times New Roman" w:eastAsia="Calibri" w:hAnsi="Times New Roman" w:cs="Times New Roman"/>
          <w:color w:val="767171"/>
          <w:spacing w:val="20"/>
          <w:sz w:val="24"/>
          <w:szCs w:val="24"/>
        </w:rPr>
        <w:t>excediendo</w:t>
      </w:r>
      <w:r w:rsidR="00356234" w:rsidRPr="006A0747">
        <w:rPr>
          <w:rFonts w:ascii="Times New Roman" w:eastAsia="Calibri" w:hAnsi="Times New Roman" w:cs="Times New Roman"/>
          <w:color w:val="767171"/>
          <w:spacing w:val="20"/>
          <w:sz w:val="24"/>
          <w:szCs w:val="24"/>
        </w:rPr>
        <w:t xml:space="preserve"> los 10 días otorgados por las Circulares. Como resultado de las medidas implementadas (monitoreo continuo, cartas de advertencia y acercamientos con las entidades), al cierre del año el porcentaje de cumplimiento ascendió a un 99%, reduciéndose el tiempo de respuesta a tres (03) días laborables.</w:t>
      </w:r>
    </w:p>
    <w:p w14:paraId="4D4EA101" w14:textId="77777777" w:rsidR="00A023E8" w:rsidRPr="006A0747" w:rsidRDefault="00A023E8" w:rsidP="000921A9">
      <w:pPr>
        <w:spacing w:line="360" w:lineRule="auto"/>
        <w:jc w:val="both"/>
        <w:rPr>
          <w:rFonts w:ascii="Times New Roman" w:eastAsia="Calibri" w:hAnsi="Times New Roman" w:cs="Times New Roman"/>
          <w:color w:val="767171"/>
          <w:spacing w:val="20"/>
          <w:sz w:val="24"/>
          <w:szCs w:val="24"/>
        </w:rPr>
      </w:pPr>
    </w:p>
    <w:p w14:paraId="4B182A61" w14:textId="6459FC97" w:rsidR="000921A9" w:rsidRPr="006A0747" w:rsidRDefault="000921A9" w:rsidP="000921A9">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b/>
          <w:color w:val="767171"/>
          <w:spacing w:val="20"/>
          <w:sz w:val="24"/>
          <w:szCs w:val="24"/>
        </w:rPr>
        <w:t>Comportamiento de entidades frente a requerimientos de protección.</w:t>
      </w:r>
      <w:r w:rsidRPr="006A0747">
        <w:rPr>
          <w:rFonts w:ascii="Times New Roman" w:eastAsia="Calibri" w:hAnsi="Times New Roman" w:cs="Times New Roman"/>
          <w:color w:val="767171"/>
          <w:spacing w:val="20"/>
          <w:sz w:val="24"/>
          <w:szCs w:val="24"/>
        </w:rPr>
        <w:t xml:space="preserve"> </w:t>
      </w:r>
      <w:r w:rsidR="00D916F0" w:rsidRPr="006A0747">
        <w:rPr>
          <w:rFonts w:ascii="Times New Roman" w:eastAsia="Calibri" w:hAnsi="Times New Roman" w:cs="Times New Roman"/>
          <w:color w:val="767171"/>
          <w:spacing w:val="20"/>
          <w:sz w:val="24"/>
          <w:szCs w:val="24"/>
        </w:rPr>
        <w:t xml:space="preserve">Se identificaron nueve (9) entidades </w:t>
      </w:r>
      <w:r w:rsidR="00027260" w:rsidRPr="006A0747">
        <w:rPr>
          <w:rFonts w:ascii="Times New Roman" w:eastAsia="Calibri" w:hAnsi="Times New Roman" w:cs="Times New Roman"/>
          <w:color w:val="767171"/>
          <w:spacing w:val="20"/>
          <w:sz w:val="24"/>
          <w:szCs w:val="24"/>
        </w:rPr>
        <w:t xml:space="preserve">en las que </w:t>
      </w:r>
      <w:r w:rsidR="00A033CF" w:rsidRPr="006A0747">
        <w:rPr>
          <w:rFonts w:ascii="Times New Roman" w:eastAsia="Calibri" w:hAnsi="Times New Roman" w:cs="Times New Roman"/>
          <w:color w:val="767171"/>
          <w:spacing w:val="20"/>
          <w:sz w:val="24"/>
          <w:szCs w:val="24"/>
        </w:rPr>
        <w:t>observaron</w:t>
      </w:r>
      <w:r w:rsidR="00494EBA" w:rsidRPr="006A0747">
        <w:rPr>
          <w:rFonts w:ascii="Times New Roman" w:eastAsia="Calibri" w:hAnsi="Times New Roman" w:cs="Times New Roman"/>
          <w:color w:val="767171"/>
          <w:spacing w:val="20"/>
          <w:sz w:val="24"/>
          <w:szCs w:val="24"/>
        </w:rPr>
        <w:t xml:space="preserve"> </w:t>
      </w:r>
      <w:r w:rsidRPr="006A0747">
        <w:rPr>
          <w:rFonts w:ascii="Times New Roman" w:eastAsia="Calibri" w:hAnsi="Times New Roman" w:cs="Times New Roman"/>
          <w:color w:val="767171"/>
          <w:spacing w:val="20"/>
          <w:sz w:val="24"/>
          <w:szCs w:val="24"/>
        </w:rPr>
        <w:t>discrepancia</w:t>
      </w:r>
      <w:r w:rsidR="00384C2F" w:rsidRPr="006A0747">
        <w:rPr>
          <w:rFonts w:ascii="Times New Roman" w:eastAsia="Calibri" w:hAnsi="Times New Roman" w:cs="Times New Roman"/>
          <w:color w:val="767171"/>
          <w:spacing w:val="20"/>
          <w:sz w:val="24"/>
          <w:szCs w:val="24"/>
        </w:rPr>
        <w:t>s</w:t>
      </w:r>
      <w:r w:rsidRPr="006A0747">
        <w:rPr>
          <w:rFonts w:ascii="Times New Roman" w:eastAsia="Calibri" w:hAnsi="Times New Roman" w:cs="Times New Roman"/>
          <w:color w:val="767171"/>
          <w:spacing w:val="20"/>
          <w:sz w:val="24"/>
          <w:szCs w:val="24"/>
        </w:rPr>
        <w:t xml:space="preserve"> entre el monto establecido para abrir una </w:t>
      </w:r>
      <w:r w:rsidRPr="006A0747">
        <w:rPr>
          <w:rFonts w:ascii="Times New Roman" w:eastAsia="Calibri" w:hAnsi="Times New Roman" w:cs="Times New Roman"/>
          <w:color w:val="767171"/>
          <w:spacing w:val="20"/>
          <w:sz w:val="24"/>
          <w:szCs w:val="24"/>
        </w:rPr>
        <w:lastRenderedPageBreak/>
        <w:t>cuenta pasiva y</w:t>
      </w:r>
      <w:r w:rsidR="00384C2F" w:rsidRPr="006A0747">
        <w:rPr>
          <w:rFonts w:ascii="Times New Roman" w:eastAsia="Calibri" w:hAnsi="Times New Roman" w:cs="Times New Roman"/>
          <w:color w:val="767171"/>
          <w:spacing w:val="20"/>
          <w:sz w:val="24"/>
          <w:szCs w:val="24"/>
        </w:rPr>
        <w:t>/</w:t>
      </w:r>
      <w:r w:rsidRPr="006A0747">
        <w:rPr>
          <w:rFonts w:ascii="Times New Roman" w:eastAsia="Calibri" w:hAnsi="Times New Roman" w:cs="Times New Roman"/>
          <w:color w:val="767171"/>
          <w:spacing w:val="20"/>
          <w:sz w:val="24"/>
          <w:szCs w:val="24"/>
        </w:rPr>
        <w:t xml:space="preserve">o el balance mínimo que debían registrar para que no aplicare penalidad. Como medida mitigante, </w:t>
      </w:r>
      <w:r w:rsidR="00FB5E55" w:rsidRPr="006A0747">
        <w:rPr>
          <w:rFonts w:ascii="Times New Roman" w:eastAsia="Calibri" w:hAnsi="Times New Roman" w:cs="Times New Roman"/>
          <w:color w:val="767171"/>
          <w:spacing w:val="20"/>
          <w:sz w:val="24"/>
          <w:szCs w:val="24"/>
        </w:rPr>
        <w:t xml:space="preserve">se llevaron a cabo </w:t>
      </w:r>
      <w:r w:rsidR="00B301FA" w:rsidRPr="006A0747">
        <w:rPr>
          <w:rFonts w:ascii="Times New Roman" w:eastAsia="Calibri" w:hAnsi="Times New Roman" w:cs="Times New Roman"/>
          <w:color w:val="767171"/>
          <w:spacing w:val="20"/>
          <w:sz w:val="24"/>
          <w:szCs w:val="24"/>
        </w:rPr>
        <w:t xml:space="preserve">procesos administrativos sancionadores y </w:t>
      </w:r>
      <w:r w:rsidR="00B81EC3" w:rsidRPr="006A0747">
        <w:rPr>
          <w:rFonts w:ascii="Times New Roman" w:eastAsia="Calibri" w:hAnsi="Times New Roman" w:cs="Times New Roman"/>
          <w:color w:val="767171"/>
          <w:spacing w:val="20"/>
          <w:sz w:val="24"/>
          <w:szCs w:val="24"/>
        </w:rPr>
        <w:t xml:space="preserve">se </w:t>
      </w:r>
      <w:r w:rsidR="005F2809" w:rsidRPr="006A0747">
        <w:rPr>
          <w:rFonts w:ascii="Times New Roman" w:eastAsia="Calibri" w:hAnsi="Times New Roman" w:cs="Times New Roman"/>
          <w:color w:val="767171"/>
          <w:spacing w:val="20"/>
          <w:sz w:val="24"/>
          <w:szCs w:val="24"/>
        </w:rPr>
        <w:t xml:space="preserve">requirió </w:t>
      </w:r>
      <w:r w:rsidRPr="006A0747">
        <w:rPr>
          <w:rFonts w:ascii="Times New Roman" w:eastAsia="Calibri" w:hAnsi="Times New Roman" w:cs="Times New Roman"/>
          <w:color w:val="767171"/>
          <w:spacing w:val="20"/>
          <w:sz w:val="24"/>
          <w:szCs w:val="24"/>
        </w:rPr>
        <w:t>a las entidades</w:t>
      </w:r>
      <w:r w:rsidR="000B278B" w:rsidRPr="006A0747">
        <w:rPr>
          <w:rFonts w:ascii="Times New Roman" w:eastAsia="Calibri" w:hAnsi="Times New Roman" w:cs="Times New Roman"/>
          <w:color w:val="767171"/>
          <w:spacing w:val="20"/>
          <w:sz w:val="24"/>
          <w:szCs w:val="24"/>
        </w:rPr>
        <w:t xml:space="preserve"> adherirse al</w:t>
      </w:r>
      <w:r w:rsidRPr="006A0747">
        <w:rPr>
          <w:rFonts w:ascii="Times New Roman" w:eastAsia="Calibri" w:hAnsi="Times New Roman" w:cs="Times New Roman"/>
          <w:color w:val="767171"/>
          <w:spacing w:val="20"/>
          <w:sz w:val="24"/>
          <w:szCs w:val="24"/>
        </w:rPr>
        <w:t xml:space="preserve"> cumpli</w:t>
      </w:r>
      <w:r w:rsidR="000B278B" w:rsidRPr="006A0747">
        <w:rPr>
          <w:rFonts w:ascii="Times New Roman" w:eastAsia="Calibri" w:hAnsi="Times New Roman" w:cs="Times New Roman"/>
          <w:color w:val="767171"/>
          <w:spacing w:val="20"/>
          <w:sz w:val="24"/>
          <w:szCs w:val="24"/>
        </w:rPr>
        <w:t>miento</w:t>
      </w:r>
      <w:r w:rsidRPr="006A0747">
        <w:rPr>
          <w:rFonts w:ascii="Times New Roman" w:eastAsia="Calibri" w:hAnsi="Times New Roman" w:cs="Times New Roman"/>
          <w:color w:val="767171"/>
          <w:spacing w:val="20"/>
          <w:sz w:val="24"/>
          <w:szCs w:val="24"/>
        </w:rPr>
        <w:t xml:space="preserve"> </w:t>
      </w:r>
      <w:r w:rsidR="000B278B" w:rsidRPr="006A0747">
        <w:rPr>
          <w:rFonts w:ascii="Times New Roman" w:eastAsia="Calibri" w:hAnsi="Times New Roman" w:cs="Times New Roman"/>
          <w:color w:val="767171"/>
          <w:spacing w:val="20"/>
          <w:sz w:val="24"/>
          <w:szCs w:val="24"/>
        </w:rPr>
        <w:t>d</w:t>
      </w:r>
      <w:r w:rsidRPr="006A0747">
        <w:rPr>
          <w:rFonts w:ascii="Times New Roman" w:eastAsia="Calibri" w:hAnsi="Times New Roman" w:cs="Times New Roman"/>
          <w:color w:val="767171"/>
          <w:spacing w:val="20"/>
          <w:sz w:val="24"/>
          <w:szCs w:val="24"/>
        </w:rPr>
        <w:t>el Instructivo de Captaciones</w:t>
      </w:r>
      <w:r w:rsidR="00161A74" w:rsidRPr="006A0747">
        <w:rPr>
          <w:rFonts w:ascii="Times New Roman" w:eastAsia="Calibri" w:hAnsi="Times New Roman" w:cs="Times New Roman"/>
          <w:color w:val="767171"/>
          <w:spacing w:val="20"/>
          <w:sz w:val="24"/>
          <w:szCs w:val="24"/>
        </w:rPr>
        <w:t>,</w:t>
      </w:r>
      <w:r w:rsidR="00B3142D" w:rsidRPr="006A0747">
        <w:rPr>
          <w:rFonts w:ascii="Times New Roman" w:eastAsia="Calibri" w:hAnsi="Times New Roman" w:cs="Times New Roman"/>
          <w:color w:val="767171"/>
          <w:spacing w:val="20"/>
          <w:sz w:val="24"/>
          <w:szCs w:val="24"/>
        </w:rPr>
        <w:t xml:space="preserve"> </w:t>
      </w:r>
      <w:r w:rsidRPr="006A0747">
        <w:rPr>
          <w:rFonts w:ascii="Times New Roman" w:eastAsia="Calibri" w:hAnsi="Times New Roman" w:cs="Times New Roman"/>
          <w:color w:val="767171"/>
          <w:spacing w:val="20"/>
          <w:sz w:val="24"/>
          <w:szCs w:val="24"/>
        </w:rPr>
        <w:t>modifica</w:t>
      </w:r>
      <w:r w:rsidR="00B3142D" w:rsidRPr="006A0747">
        <w:rPr>
          <w:rFonts w:ascii="Times New Roman" w:eastAsia="Calibri" w:hAnsi="Times New Roman" w:cs="Times New Roman"/>
          <w:color w:val="767171"/>
          <w:spacing w:val="20"/>
          <w:sz w:val="24"/>
          <w:szCs w:val="24"/>
        </w:rPr>
        <w:t>ndo</w:t>
      </w:r>
      <w:r w:rsidRPr="006A0747">
        <w:rPr>
          <w:rFonts w:ascii="Times New Roman" w:eastAsia="Calibri" w:hAnsi="Times New Roman" w:cs="Times New Roman"/>
          <w:color w:val="767171"/>
          <w:spacing w:val="20"/>
          <w:sz w:val="24"/>
          <w:szCs w:val="24"/>
        </w:rPr>
        <w:t xml:space="preserve"> el monto de apertura para garantizar el equilibrio con el balance mínimo</w:t>
      </w:r>
      <w:r w:rsidR="00121007" w:rsidRPr="006A0747">
        <w:rPr>
          <w:rFonts w:ascii="Times New Roman" w:eastAsia="Calibri" w:hAnsi="Times New Roman" w:cs="Times New Roman"/>
          <w:color w:val="767171"/>
          <w:spacing w:val="20"/>
          <w:sz w:val="24"/>
          <w:szCs w:val="24"/>
        </w:rPr>
        <w:t>.</w:t>
      </w:r>
    </w:p>
    <w:bookmarkEnd w:id="37"/>
    <w:p w14:paraId="5EE47EC6" w14:textId="5CD2DA3B" w:rsidR="00696BEE" w:rsidRPr="006A0747" w:rsidRDefault="00696BEE" w:rsidP="00696BEE">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En la actualidad</w:t>
      </w:r>
      <w:r w:rsidR="00F60D7D" w:rsidRPr="006A0747">
        <w:rPr>
          <w:rFonts w:ascii="Times New Roman" w:eastAsia="Calibri" w:hAnsi="Times New Roman" w:cs="Times New Roman"/>
          <w:color w:val="767171"/>
          <w:spacing w:val="20"/>
          <w:sz w:val="24"/>
          <w:szCs w:val="24"/>
        </w:rPr>
        <w:t>,</w:t>
      </w:r>
      <w:r w:rsidRPr="006A0747">
        <w:rPr>
          <w:rFonts w:ascii="Times New Roman" w:eastAsia="Calibri" w:hAnsi="Times New Roman" w:cs="Times New Roman"/>
          <w:color w:val="767171"/>
          <w:spacing w:val="20"/>
          <w:sz w:val="24"/>
          <w:szCs w:val="24"/>
        </w:rPr>
        <w:t xml:space="preserve"> el 100% de las entidades</w:t>
      </w:r>
      <w:r w:rsidR="00121007" w:rsidRPr="006A0747">
        <w:rPr>
          <w:rFonts w:ascii="Times New Roman" w:eastAsia="Calibri" w:hAnsi="Times New Roman" w:cs="Times New Roman"/>
          <w:color w:val="767171"/>
          <w:spacing w:val="20"/>
          <w:sz w:val="24"/>
          <w:szCs w:val="24"/>
        </w:rPr>
        <w:t xml:space="preserve"> identificadas</w:t>
      </w:r>
      <w:r w:rsidRPr="006A0747">
        <w:rPr>
          <w:rFonts w:ascii="Times New Roman" w:eastAsia="Calibri" w:hAnsi="Times New Roman" w:cs="Times New Roman"/>
          <w:color w:val="767171"/>
          <w:spacing w:val="20"/>
          <w:sz w:val="24"/>
          <w:szCs w:val="24"/>
        </w:rPr>
        <w:t xml:space="preserve"> </w:t>
      </w:r>
      <w:r w:rsidR="000F60C8" w:rsidRPr="006A0747">
        <w:rPr>
          <w:rFonts w:ascii="Times New Roman" w:eastAsia="Calibri" w:hAnsi="Times New Roman" w:cs="Times New Roman"/>
          <w:color w:val="767171"/>
          <w:spacing w:val="20"/>
          <w:sz w:val="24"/>
          <w:szCs w:val="24"/>
        </w:rPr>
        <w:t>corrigieron</w:t>
      </w:r>
      <w:r w:rsidRPr="006A0747">
        <w:rPr>
          <w:rFonts w:ascii="Times New Roman" w:eastAsia="Calibri" w:hAnsi="Times New Roman" w:cs="Times New Roman"/>
          <w:color w:val="767171"/>
          <w:spacing w:val="20"/>
          <w:sz w:val="24"/>
          <w:szCs w:val="24"/>
        </w:rPr>
        <w:t xml:space="preserve"> las </w:t>
      </w:r>
      <w:r w:rsidR="000F60C8" w:rsidRPr="006A0747">
        <w:rPr>
          <w:rFonts w:ascii="Times New Roman" w:eastAsia="Calibri" w:hAnsi="Times New Roman" w:cs="Times New Roman"/>
          <w:color w:val="767171"/>
          <w:spacing w:val="20"/>
          <w:sz w:val="24"/>
          <w:szCs w:val="24"/>
        </w:rPr>
        <w:t xml:space="preserve">discrepancias y </w:t>
      </w:r>
      <w:r w:rsidR="0075230A" w:rsidRPr="006A0747">
        <w:rPr>
          <w:rFonts w:ascii="Times New Roman" w:eastAsia="Calibri" w:hAnsi="Times New Roman" w:cs="Times New Roman"/>
          <w:color w:val="767171"/>
          <w:spacing w:val="20"/>
          <w:sz w:val="24"/>
          <w:szCs w:val="24"/>
        </w:rPr>
        <w:t>modificaron</w:t>
      </w:r>
      <w:r w:rsidRPr="006A0747">
        <w:rPr>
          <w:rFonts w:ascii="Times New Roman" w:eastAsia="Calibri" w:hAnsi="Times New Roman" w:cs="Times New Roman"/>
          <w:color w:val="767171"/>
          <w:spacing w:val="20"/>
          <w:sz w:val="24"/>
          <w:szCs w:val="24"/>
        </w:rPr>
        <w:t xml:space="preserve"> sus tarifarios</w:t>
      </w:r>
      <w:r w:rsidR="00532D69" w:rsidRPr="006A0747">
        <w:rPr>
          <w:rFonts w:ascii="Times New Roman" w:eastAsia="Calibri" w:hAnsi="Times New Roman" w:cs="Times New Roman"/>
          <w:color w:val="767171"/>
          <w:spacing w:val="20"/>
          <w:sz w:val="24"/>
          <w:szCs w:val="24"/>
        </w:rPr>
        <w:t xml:space="preserve"> para reflejar el cambio</w:t>
      </w:r>
      <w:r w:rsidRPr="006A0747">
        <w:rPr>
          <w:rFonts w:ascii="Times New Roman" w:eastAsia="Calibri" w:hAnsi="Times New Roman" w:cs="Times New Roman"/>
          <w:color w:val="767171"/>
          <w:spacing w:val="20"/>
          <w:sz w:val="24"/>
          <w:szCs w:val="24"/>
        </w:rPr>
        <w:t xml:space="preserve">, garantizando a </w:t>
      </w:r>
      <w:proofErr w:type="gramStart"/>
      <w:r w:rsidRPr="006A0747">
        <w:rPr>
          <w:rFonts w:ascii="Times New Roman" w:eastAsia="Calibri" w:hAnsi="Times New Roman" w:cs="Times New Roman"/>
          <w:color w:val="767171"/>
          <w:spacing w:val="20"/>
          <w:sz w:val="24"/>
          <w:szCs w:val="24"/>
        </w:rPr>
        <w:t>los usuarios y usuarias</w:t>
      </w:r>
      <w:proofErr w:type="gramEnd"/>
      <w:r w:rsidRPr="006A0747">
        <w:rPr>
          <w:rFonts w:ascii="Times New Roman" w:eastAsia="Calibri" w:hAnsi="Times New Roman" w:cs="Times New Roman"/>
          <w:color w:val="767171"/>
          <w:spacing w:val="20"/>
          <w:sz w:val="24"/>
          <w:szCs w:val="24"/>
        </w:rPr>
        <w:t xml:space="preserve"> mayor claridad de la información </w:t>
      </w:r>
      <w:r w:rsidR="000F60C8" w:rsidRPr="006A0747">
        <w:rPr>
          <w:rFonts w:ascii="Times New Roman" w:eastAsia="Calibri" w:hAnsi="Times New Roman" w:cs="Times New Roman"/>
          <w:color w:val="767171"/>
          <w:spacing w:val="20"/>
          <w:sz w:val="24"/>
          <w:szCs w:val="24"/>
        </w:rPr>
        <w:t>suministrada</w:t>
      </w:r>
      <w:r w:rsidRPr="006A0747">
        <w:rPr>
          <w:rFonts w:ascii="Times New Roman" w:eastAsia="Calibri" w:hAnsi="Times New Roman" w:cs="Times New Roman"/>
          <w:color w:val="767171"/>
          <w:spacing w:val="20"/>
          <w:sz w:val="24"/>
          <w:szCs w:val="24"/>
        </w:rPr>
        <w:t>.</w:t>
      </w:r>
    </w:p>
    <w:p w14:paraId="5EFCAC3C" w14:textId="77777777" w:rsidR="00EB0A95" w:rsidRPr="006A0747" w:rsidRDefault="00EB0A95" w:rsidP="00696BEE">
      <w:pPr>
        <w:spacing w:line="360" w:lineRule="auto"/>
        <w:jc w:val="both"/>
        <w:rPr>
          <w:rFonts w:ascii="Times New Roman" w:eastAsia="Calibri" w:hAnsi="Times New Roman" w:cs="Times New Roman"/>
          <w:color w:val="767171"/>
          <w:spacing w:val="20"/>
          <w:sz w:val="24"/>
          <w:szCs w:val="24"/>
        </w:rPr>
      </w:pPr>
    </w:p>
    <w:p w14:paraId="0EF99867" w14:textId="5E9DC7D1" w:rsidR="00DD3E51" w:rsidRPr="006A0747" w:rsidRDefault="00DC4236" w:rsidP="000813B9">
      <w:pPr>
        <w:pStyle w:val="Ttulo2"/>
        <w:numPr>
          <w:ilvl w:val="1"/>
          <w:numId w:val="17"/>
        </w:numPr>
        <w:rPr>
          <w:rFonts w:ascii="Times New Roman" w:eastAsia="Calibri" w:hAnsi="Times New Roman" w:cs="Times New Roman"/>
          <w:b/>
          <w:color w:val="767171"/>
          <w:spacing w:val="20"/>
          <w:sz w:val="24"/>
          <w:szCs w:val="24"/>
        </w:rPr>
      </w:pPr>
      <w:bookmarkStart w:id="40" w:name="_Toc185275000"/>
      <w:r w:rsidRPr="006A0747">
        <w:rPr>
          <w:rFonts w:ascii="Times New Roman" w:eastAsia="Calibri" w:hAnsi="Times New Roman" w:cs="Times New Roman"/>
          <w:b/>
          <w:color w:val="767171"/>
          <w:spacing w:val="20"/>
          <w:sz w:val="24"/>
          <w:szCs w:val="24"/>
        </w:rPr>
        <w:t xml:space="preserve">Atención a los </w:t>
      </w:r>
      <w:r w:rsidR="00C50010" w:rsidRPr="006A0747">
        <w:rPr>
          <w:rFonts w:ascii="Times New Roman" w:eastAsia="Calibri" w:hAnsi="Times New Roman" w:cs="Times New Roman"/>
          <w:b/>
          <w:color w:val="767171"/>
          <w:spacing w:val="20"/>
          <w:sz w:val="24"/>
          <w:szCs w:val="24"/>
        </w:rPr>
        <w:t>A</w:t>
      </w:r>
      <w:r w:rsidRPr="006A0747">
        <w:rPr>
          <w:rFonts w:ascii="Times New Roman" w:eastAsia="Calibri" w:hAnsi="Times New Roman" w:cs="Times New Roman"/>
          <w:b/>
          <w:color w:val="767171"/>
          <w:spacing w:val="20"/>
          <w:sz w:val="24"/>
          <w:szCs w:val="24"/>
        </w:rPr>
        <w:t>horristas</w:t>
      </w:r>
      <w:r w:rsidR="00C50010" w:rsidRPr="006A0747">
        <w:rPr>
          <w:rFonts w:ascii="Times New Roman" w:eastAsia="Calibri" w:hAnsi="Times New Roman" w:cs="Times New Roman"/>
          <w:b/>
          <w:color w:val="767171"/>
          <w:spacing w:val="20"/>
          <w:sz w:val="24"/>
          <w:szCs w:val="24"/>
        </w:rPr>
        <w:t xml:space="preserve"> de Instituciones</w:t>
      </w:r>
      <w:r w:rsidR="00DD3E51" w:rsidRPr="006A0747">
        <w:rPr>
          <w:rFonts w:ascii="Times New Roman" w:eastAsia="Calibri" w:hAnsi="Times New Roman" w:cs="Times New Roman"/>
          <w:b/>
          <w:color w:val="767171"/>
          <w:spacing w:val="20"/>
          <w:sz w:val="24"/>
          <w:szCs w:val="24"/>
        </w:rPr>
        <w:t xml:space="preserve"> </w:t>
      </w:r>
      <w:r w:rsidR="005820A8" w:rsidRPr="006A0747">
        <w:rPr>
          <w:rFonts w:ascii="Times New Roman" w:eastAsia="Calibri" w:hAnsi="Times New Roman" w:cs="Times New Roman"/>
          <w:b/>
          <w:color w:val="767171"/>
          <w:spacing w:val="20"/>
          <w:sz w:val="24"/>
          <w:szCs w:val="24"/>
        </w:rPr>
        <w:t>Financieras</w:t>
      </w:r>
      <w:r w:rsidR="00DD3E51" w:rsidRPr="006A0747">
        <w:rPr>
          <w:rFonts w:ascii="Times New Roman" w:eastAsia="Calibri" w:hAnsi="Times New Roman" w:cs="Times New Roman"/>
          <w:b/>
          <w:color w:val="767171"/>
          <w:spacing w:val="20"/>
          <w:sz w:val="24"/>
          <w:szCs w:val="24"/>
        </w:rPr>
        <w:t xml:space="preserve"> Intervenidas y en Liquidación</w:t>
      </w:r>
      <w:bookmarkEnd w:id="40"/>
    </w:p>
    <w:p w14:paraId="7EE7A8CA" w14:textId="77777777" w:rsidR="00E23A02" w:rsidRPr="006A0747" w:rsidRDefault="00E23A02" w:rsidP="00E23A02">
      <w:pPr>
        <w:rPr>
          <w:rFonts w:ascii="Times New Roman" w:hAnsi="Times New Roman" w:cs="Times New Roman"/>
          <w:color w:val="767171"/>
        </w:rPr>
      </w:pPr>
    </w:p>
    <w:p w14:paraId="35BD2422" w14:textId="5143ECB4" w:rsidR="005E40E8" w:rsidRPr="006A0747" w:rsidRDefault="005E40E8" w:rsidP="005E40E8">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t>Programa de Instituciones Financieras Intervenidas y en Liquidación</w:t>
      </w:r>
    </w:p>
    <w:p w14:paraId="26251D7A" w14:textId="38CA0F17" w:rsidR="00537E17" w:rsidRPr="006A0747" w:rsidRDefault="00537E17" w:rsidP="00537E17">
      <w:pPr>
        <w:spacing w:line="360" w:lineRule="auto"/>
        <w:jc w:val="both"/>
        <w:rPr>
          <w:rFonts w:ascii="Times New Roman" w:hAnsi="Times New Roman" w:cs="Times New Roman"/>
          <w:color w:val="767171"/>
          <w:spacing w:val="20"/>
          <w:sz w:val="24"/>
          <w:szCs w:val="24"/>
        </w:rPr>
      </w:pPr>
      <w:r w:rsidRPr="006A0747">
        <w:rPr>
          <w:rFonts w:ascii="Times New Roman" w:hAnsi="Times New Roman" w:cs="Times New Roman"/>
          <w:color w:val="767171"/>
          <w:spacing w:val="20"/>
          <w:sz w:val="24"/>
          <w:szCs w:val="24"/>
        </w:rPr>
        <w:t xml:space="preserve">La Superintendencia de Bancos, a través de su Programa de Entidades Financieras Intervenidas y en Liquidación (IFIL), tiene la función de verificar los activos de las entidades que cesaron sus operaciones, a fin </w:t>
      </w:r>
      <w:r w:rsidR="002D1BA0" w:rsidRPr="006A0747">
        <w:rPr>
          <w:rFonts w:ascii="Times New Roman" w:eastAsia="Calibri" w:hAnsi="Times New Roman" w:cs="Times New Roman"/>
          <w:color w:val="767171"/>
          <w:spacing w:val="20"/>
          <w:sz w:val="24"/>
          <w:szCs w:val="24"/>
        </w:rPr>
        <w:t xml:space="preserve">generar </w:t>
      </w:r>
      <w:r w:rsidRPr="006A0747">
        <w:rPr>
          <w:rFonts w:ascii="Times New Roman" w:hAnsi="Times New Roman" w:cs="Times New Roman"/>
          <w:color w:val="767171"/>
          <w:spacing w:val="20"/>
          <w:sz w:val="24"/>
          <w:szCs w:val="24"/>
        </w:rPr>
        <w:t xml:space="preserve">liquidez para resarcir a los ahorristas </w:t>
      </w:r>
      <w:r w:rsidR="002D1BA0" w:rsidRPr="006A0747">
        <w:rPr>
          <w:rFonts w:ascii="Times New Roman" w:hAnsi="Times New Roman" w:cs="Times New Roman"/>
          <w:color w:val="767171"/>
          <w:spacing w:val="20"/>
          <w:sz w:val="24"/>
          <w:szCs w:val="24"/>
        </w:rPr>
        <w:t>pendientes de pago</w:t>
      </w:r>
      <w:r w:rsidRPr="006A0747">
        <w:rPr>
          <w:rFonts w:ascii="Times New Roman" w:hAnsi="Times New Roman" w:cs="Times New Roman"/>
          <w:color w:val="767171"/>
          <w:spacing w:val="20"/>
          <w:sz w:val="24"/>
          <w:szCs w:val="24"/>
        </w:rPr>
        <w:t xml:space="preserve"> de estas instituciones. </w:t>
      </w:r>
    </w:p>
    <w:p w14:paraId="0C92EB1F" w14:textId="35AA5880" w:rsidR="00537E17" w:rsidRPr="006A0747" w:rsidRDefault="00537E17" w:rsidP="00537E17">
      <w:pPr>
        <w:spacing w:line="360" w:lineRule="auto"/>
        <w:jc w:val="both"/>
        <w:rPr>
          <w:rFonts w:ascii="Times New Roman" w:hAnsi="Times New Roman" w:cs="Times New Roman"/>
          <w:color w:val="767171"/>
          <w:spacing w:val="20"/>
          <w:sz w:val="24"/>
          <w:szCs w:val="24"/>
        </w:rPr>
      </w:pPr>
      <w:r w:rsidRPr="006A0747">
        <w:rPr>
          <w:rFonts w:ascii="Times New Roman" w:hAnsi="Times New Roman" w:cs="Times New Roman"/>
          <w:color w:val="767171"/>
          <w:spacing w:val="20"/>
          <w:sz w:val="24"/>
          <w:szCs w:val="24"/>
        </w:rPr>
        <w:t xml:space="preserve">En el </w:t>
      </w:r>
      <w:r w:rsidR="002D1BA0" w:rsidRPr="006A0747">
        <w:rPr>
          <w:rFonts w:ascii="Times New Roman" w:hAnsi="Times New Roman" w:cs="Times New Roman"/>
          <w:color w:val="767171"/>
          <w:spacing w:val="20"/>
          <w:sz w:val="24"/>
          <w:szCs w:val="24"/>
        </w:rPr>
        <w:t>año</w:t>
      </w:r>
      <w:r w:rsidRPr="006A0747">
        <w:rPr>
          <w:rFonts w:ascii="Times New Roman" w:hAnsi="Times New Roman" w:cs="Times New Roman"/>
          <w:color w:val="767171"/>
          <w:spacing w:val="20"/>
          <w:sz w:val="24"/>
          <w:szCs w:val="24"/>
        </w:rPr>
        <w:t xml:space="preserve"> 202</w:t>
      </w:r>
      <w:r w:rsidR="002D1BA0" w:rsidRPr="006A0747">
        <w:rPr>
          <w:rFonts w:ascii="Times New Roman" w:hAnsi="Times New Roman" w:cs="Times New Roman"/>
          <w:color w:val="767171"/>
          <w:spacing w:val="20"/>
          <w:sz w:val="24"/>
          <w:szCs w:val="24"/>
        </w:rPr>
        <w:t>4</w:t>
      </w:r>
      <w:r w:rsidRPr="006A0747">
        <w:rPr>
          <w:rFonts w:ascii="Times New Roman" w:hAnsi="Times New Roman" w:cs="Times New Roman"/>
          <w:color w:val="767171"/>
          <w:spacing w:val="20"/>
          <w:sz w:val="24"/>
          <w:szCs w:val="24"/>
        </w:rPr>
        <w:t xml:space="preserve">, a través de la campaña “Dinero busca dueño”, la Superintendencia de Bancos ha realizados pagos a favor a </w:t>
      </w:r>
      <w:r w:rsidR="002D1BA0" w:rsidRPr="006A0747">
        <w:rPr>
          <w:rFonts w:ascii="Times New Roman" w:eastAsia="Calibri" w:hAnsi="Times New Roman" w:cs="Times New Roman"/>
          <w:color w:val="767171"/>
          <w:spacing w:val="20"/>
          <w:sz w:val="24"/>
          <w:szCs w:val="24"/>
        </w:rPr>
        <w:t>624</w:t>
      </w:r>
      <w:r w:rsidRPr="006A0747">
        <w:rPr>
          <w:rFonts w:ascii="Times New Roman" w:hAnsi="Times New Roman" w:cs="Times New Roman"/>
          <w:color w:val="767171"/>
          <w:spacing w:val="20"/>
          <w:sz w:val="24"/>
          <w:szCs w:val="24"/>
        </w:rPr>
        <w:t xml:space="preserve"> ahorristas por un </w:t>
      </w:r>
      <w:r w:rsidR="002D1BA0" w:rsidRPr="006A0747">
        <w:rPr>
          <w:rFonts w:ascii="Times New Roman" w:eastAsia="Calibri" w:hAnsi="Times New Roman" w:cs="Times New Roman"/>
          <w:color w:val="767171"/>
          <w:spacing w:val="20"/>
          <w:sz w:val="24"/>
          <w:szCs w:val="24"/>
        </w:rPr>
        <w:t>total de RD$ 57</w:t>
      </w:r>
      <w:r w:rsidRPr="006A0747">
        <w:rPr>
          <w:rFonts w:ascii="Times New Roman" w:hAnsi="Times New Roman" w:cs="Times New Roman"/>
          <w:color w:val="767171"/>
          <w:spacing w:val="20"/>
          <w:sz w:val="24"/>
          <w:szCs w:val="24"/>
        </w:rPr>
        <w:t xml:space="preserve"> millones </w:t>
      </w:r>
      <w:r w:rsidR="002D1BA0" w:rsidRPr="006A0747">
        <w:rPr>
          <w:rFonts w:ascii="Times New Roman" w:eastAsia="Calibri" w:hAnsi="Times New Roman" w:cs="Times New Roman"/>
          <w:color w:val="767171"/>
          <w:spacing w:val="20"/>
          <w:sz w:val="24"/>
          <w:szCs w:val="24"/>
        </w:rPr>
        <w:t>de</w:t>
      </w:r>
      <w:r w:rsidRPr="006A0747">
        <w:rPr>
          <w:rFonts w:ascii="Times New Roman" w:hAnsi="Times New Roman" w:cs="Times New Roman"/>
          <w:color w:val="767171"/>
          <w:spacing w:val="20"/>
          <w:sz w:val="24"/>
          <w:szCs w:val="24"/>
        </w:rPr>
        <w:t xml:space="preserve"> pesos </w:t>
      </w:r>
      <w:r w:rsidR="002D1BA0" w:rsidRPr="006A0747">
        <w:rPr>
          <w:rFonts w:ascii="Times New Roman" w:eastAsia="Calibri" w:hAnsi="Times New Roman" w:cs="Times New Roman"/>
          <w:color w:val="767171"/>
          <w:spacing w:val="20"/>
          <w:sz w:val="24"/>
          <w:szCs w:val="24"/>
        </w:rPr>
        <w:t xml:space="preserve">dominicanos. De esta cantidad, se realizaron pagos prorrateados a 183 ahorristas del Banco Peravia, por un total de RD$ 18.1 millones, y se compensó al 100% a más de 441 ahorristas </w:t>
      </w:r>
      <w:r w:rsidRPr="006A0747">
        <w:rPr>
          <w:rFonts w:ascii="Times New Roman" w:hAnsi="Times New Roman" w:cs="Times New Roman"/>
          <w:color w:val="767171"/>
          <w:spacing w:val="20"/>
          <w:sz w:val="24"/>
          <w:szCs w:val="24"/>
        </w:rPr>
        <w:t xml:space="preserve">con </w:t>
      </w:r>
      <w:r w:rsidR="002D1BA0" w:rsidRPr="006A0747">
        <w:rPr>
          <w:rFonts w:ascii="Times New Roman" w:eastAsia="Calibri" w:hAnsi="Times New Roman" w:cs="Times New Roman"/>
          <w:color w:val="767171"/>
          <w:spacing w:val="20"/>
          <w:sz w:val="24"/>
          <w:szCs w:val="24"/>
        </w:rPr>
        <w:t>un monto total de RD$ 38.9 millones</w:t>
      </w:r>
      <w:r w:rsidR="00686C55" w:rsidRPr="006A0747">
        <w:rPr>
          <w:rFonts w:ascii="Times New Roman" w:eastAsia="Calibri" w:hAnsi="Times New Roman" w:cs="Times New Roman"/>
          <w:color w:val="767171"/>
          <w:spacing w:val="20"/>
          <w:sz w:val="24"/>
          <w:szCs w:val="24"/>
        </w:rPr>
        <w:t>.</w:t>
      </w:r>
    </w:p>
    <w:p w14:paraId="7C1CA5C3" w14:textId="49E4CC7B" w:rsidR="00497FEC" w:rsidRPr="006A0747" w:rsidRDefault="00497FEC" w:rsidP="00497FEC">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lastRenderedPageBreak/>
        <w:t xml:space="preserve">En paralelo, se </w:t>
      </w:r>
      <w:r w:rsidR="003A7517" w:rsidRPr="006A0747">
        <w:rPr>
          <w:rFonts w:ascii="Times New Roman" w:eastAsia="Calibri" w:hAnsi="Times New Roman" w:cs="Times New Roman"/>
          <w:color w:val="767171"/>
          <w:spacing w:val="20"/>
          <w:sz w:val="24"/>
          <w:szCs w:val="24"/>
        </w:rPr>
        <w:t>llevaron a cabo</w:t>
      </w:r>
      <w:r w:rsidRPr="006A0747">
        <w:rPr>
          <w:rFonts w:ascii="Times New Roman" w:eastAsia="Calibri" w:hAnsi="Times New Roman" w:cs="Times New Roman"/>
          <w:color w:val="767171"/>
          <w:spacing w:val="20"/>
          <w:sz w:val="24"/>
          <w:szCs w:val="24"/>
        </w:rPr>
        <w:t xml:space="preserve"> procedimientos </w:t>
      </w:r>
      <w:r w:rsidR="009F4D54" w:rsidRPr="006A0747">
        <w:rPr>
          <w:rFonts w:ascii="Times New Roman" w:eastAsia="Calibri" w:hAnsi="Times New Roman" w:cs="Times New Roman"/>
          <w:color w:val="767171"/>
          <w:spacing w:val="20"/>
          <w:sz w:val="24"/>
          <w:szCs w:val="24"/>
        </w:rPr>
        <w:t>c</w:t>
      </w:r>
      <w:r w:rsidRPr="006A0747">
        <w:rPr>
          <w:rFonts w:ascii="Times New Roman" w:eastAsia="Calibri" w:hAnsi="Times New Roman" w:cs="Times New Roman"/>
          <w:color w:val="767171"/>
          <w:spacing w:val="20"/>
          <w:sz w:val="24"/>
          <w:szCs w:val="24"/>
        </w:rPr>
        <w:t>on el objetivo de asegurar condiciones óptimas para la venta de activos a través de subastas competitivas conforme a la normativa aplicable</w:t>
      </w:r>
      <w:r w:rsidR="003C1813" w:rsidRPr="006A0747">
        <w:rPr>
          <w:rFonts w:ascii="Times New Roman" w:eastAsia="Calibri" w:hAnsi="Times New Roman" w:cs="Times New Roman"/>
          <w:color w:val="767171"/>
          <w:spacing w:val="20"/>
          <w:sz w:val="24"/>
          <w:szCs w:val="24"/>
        </w:rPr>
        <w:t xml:space="preserve">. </w:t>
      </w:r>
      <w:r w:rsidR="00847A84" w:rsidRPr="006A0747">
        <w:rPr>
          <w:rFonts w:ascii="Times New Roman" w:eastAsia="Calibri" w:hAnsi="Times New Roman" w:cs="Times New Roman"/>
          <w:color w:val="767171"/>
          <w:spacing w:val="20"/>
          <w:sz w:val="24"/>
          <w:szCs w:val="24"/>
        </w:rPr>
        <w:t>A raíz de estos procesos,</w:t>
      </w:r>
      <w:r w:rsidRPr="006A0747">
        <w:rPr>
          <w:rFonts w:ascii="Times New Roman" w:eastAsia="Calibri" w:hAnsi="Times New Roman" w:cs="Times New Roman"/>
          <w:color w:val="767171"/>
          <w:spacing w:val="20"/>
          <w:sz w:val="24"/>
          <w:szCs w:val="24"/>
        </w:rPr>
        <w:t xml:space="preserve"> </w:t>
      </w:r>
      <w:r w:rsidR="00AE2834" w:rsidRPr="006A0747">
        <w:rPr>
          <w:rFonts w:ascii="Times New Roman" w:eastAsia="Calibri" w:hAnsi="Times New Roman" w:cs="Times New Roman"/>
          <w:color w:val="767171"/>
          <w:spacing w:val="20"/>
          <w:sz w:val="24"/>
          <w:szCs w:val="24"/>
        </w:rPr>
        <w:t xml:space="preserve">se han </w:t>
      </w:r>
      <w:r w:rsidRPr="006A0747">
        <w:rPr>
          <w:rFonts w:ascii="Times New Roman" w:eastAsia="Calibri" w:hAnsi="Times New Roman" w:cs="Times New Roman"/>
          <w:color w:val="767171"/>
          <w:spacing w:val="20"/>
          <w:sz w:val="24"/>
          <w:szCs w:val="24"/>
        </w:rPr>
        <w:t>gener</w:t>
      </w:r>
      <w:r w:rsidR="00AE2834" w:rsidRPr="006A0747">
        <w:rPr>
          <w:rFonts w:ascii="Times New Roman" w:eastAsia="Calibri" w:hAnsi="Times New Roman" w:cs="Times New Roman"/>
          <w:color w:val="767171"/>
          <w:spacing w:val="20"/>
          <w:sz w:val="24"/>
          <w:szCs w:val="24"/>
        </w:rPr>
        <w:t>ado</w:t>
      </w:r>
      <w:r w:rsidRPr="006A0747">
        <w:rPr>
          <w:rFonts w:ascii="Times New Roman" w:eastAsia="Calibri" w:hAnsi="Times New Roman" w:cs="Times New Roman"/>
          <w:color w:val="767171"/>
          <w:spacing w:val="20"/>
          <w:sz w:val="24"/>
          <w:szCs w:val="24"/>
        </w:rPr>
        <w:t xml:space="preserve"> </w:t>
      </w:r>
      <w:r w:rsidR="00B448AA" w:rsidRPr="006A0747">
        <w:rPr>
          <w:rFonts w:ascii="Times New Roman" w:eastAsia="Calibri" w:hAnsi="Times New Roman" w:cs="Times New Roman"/>
          <w:color w:val="767171"/>
          <w:spacing w:val="20"/>
          <w:sz w:val="24"/>
          <w:szCs w:val="24"/>
        </w:rPr>
        <w:t>fondos</w:t>
      </w:r>
      <w:r w:rsidRPr="006A0747">
        <w:rPr>
          <w:rFonts w:ascii="Times New Roman" w:eastAsia="Calibri" w:hAnsi="Times New Roman" w:cs="Times New Roman"/>
          <w:color w:val="767171"/>
          <w:spacing w:val="20"/>
          <w:sz w:val="24"/>
          <w:szCs w:val="24"/>
        </w:rPr>
        <w:t xml:space="preserve"> por un </w:t>
      </w:r>
      <w:r w:rsidR="00E92250" w:rsidRPr="006A0747">
        <w:rPr>
          <w:rFonts w:ascii="Times New Roman" w:eastAsia="Calibri" w:hAnsi="Times New Roman" w:cs="Times New Roman"/>
          <w:color w:val="767171"/>
          <w:spacing w:val="20"/>
          <w:sz w:val="24"/>
          <w:szCs w:val="24"/>
        </w:rPr>
        <w:t xml:space="preserve">valor </w:t>
      </w:r>
      <w:r w:rsidRPr="006A0747">
        <w:rPr>
          <w:rFonts w:ascii="Times New Roman" w:eastAsia="Calibri" w:hAnsi="Times New Roman" w:cs="Times New Roman"/>
          <w:color w:val="767171"/>
          <w:spacing w:val="20"/>
          <w:sz w:val="24"/>
          <w:szCs w:val="24"/>
        </w:rPr>
        <w:t xml:space="preserve">total de </w:t>
      </w:r>
      <w:r w:rsidR="00EE0965" w:rsidRPr="006A0747">
        <w:rPr>
          <w:rFonts w:ascii="Times New Roman" w:eastAsia="Calibri" w:hAnsi="Times New Roman" w:cs="Times New Roman"/>
          <w:color w:val="767171"/>
          <w:spacing w:val="20"/>
          <w:sz w:val="24"/>
          <w:szCs w:val="24"/>
        </w:rPr>
        <w:t>RD$</w:t>
      </w:r>
      <w:r w:rsidRPr="006A0747">
        <w:rPr>
          <w:rFonts w:ascii="Times New Roman" w:eastAsia="Calibri" w:hAnsi="Times New Roman" w:cs="Times New Roman"/>
          <w:color w:val="767171"/>
          <w:spacing w:val="20"/>
          <w:sz w:val="24"/>
          <w:szCs w:val="24"/>
        </w:rPr>
        <w:t xml:space="preserve"> 25.2 millones</w:t>
      </w:r>
      <w:r w:rsidR="003A7517" w:rsidRPr="006A0747">
        <w:rPr>
          <w:rFonts w:ascii="Times New Roman" w:eastAsia="Calibri" w:hAnsi="Times New Roman" w:cs="Times New Roman"/>
          <w:color w:val="767171"/>
          <w:spacing w:val="20"/>
          <w:sz w:val="24"/>
          <w:szCs w:val="24"/>
        </w:rPr>
        <w:t>,</w:t>
      </w:r>
      <w:r w:rsidRPr="006A0747">
        <w:rPr>
          <w:rFonts w:ascii="Times New Roman" w:eastAsia="Calibri" w:hAnsi="Times New Roman" w:cs="Times New Roman"/>
          <w:color w:val="767171"/>
          <w:spacing w:val="20"/>
          <w:sz w:val="24"/>
          <w:szCs w:val="24"/>
        </w:rPr>
        <w:t xml:space="preserve"> para </w:t>
      </w:r>
      <w:r w:rsidR="00870EB3" w:rsidRPr="006A0747">
        <w:rPr>
          <w:rFonts w:ascii="Times New Roman" w:eastAsia="Calibri" w:hAnsi="Times New Roman" w:cs="Times New Roman"/>
          <w:color w:val="767171"/>
          <w:spacing w:val="20"/>
          <w:sz w:val="24"/>
          <w:szCs w:val="24"/>
        </w:rPr>
        <w:t>ser empleados en</w:t>
      </w:r>
      <w:r w:rsidRPr="006A0747">
        <w:rPr>
          <w:rFonts w:ascii="Times New Roman" w:eastAsia="Calibri" w:hAnsi="Times New Roman" w:cs="Times New Roman"/>
          <w:color w:val="767171"/>
          <w:spacing w:val="20"/>
          <w:sz w:val="24"/>
          <w:szCs w:val="24"/>
        </w:rPr>
        <w:t xml:space="preserve"> la próxima etapa de la campaña.</w:t>
      </w:r>
    </w:p>
    <w:p w14:paraId="6B9B53AE" w14:textId="77777777" w:rsidR="00ED3204" w:rsidRPr="006A0747" w:rsidRDefault="00ED3204" w:rsidP="00222863">
      <w:pPr>
        <w:spacing w:line="360" w:lineRule="auto"/>
        <w:jc w:val="both"/>
        <w:rPr>
          <w:rFonts w:ascii="Times New Roman" w:eastAsia="Calibri" w:hAnsi="Times New Roman" w:cs="Times New Roman"/>
          <w:color w:val="2E74B5" w:themeColor="accent5" w:themeShade="BF"/>
          <w:spacing w:val="20"/>
          <w:sz w:val="24"/>
          <w:szCs w:val="24"/>
        </w:rPr>
      </w:pPr>
    </w:p>
    <w:p w14:paraId="406D7B55" w14:textId="30B53DE4" w:rsidR="00222863" w:rsidRPr="006A0747" w:rsidRDefault="00222863" w:rsidP="000813B9">
      <w:pPr>
        <w:pStyle w:val="Ttulo2"/>
        <w:numPr>
          <w:ilvl w:val="1"/>
          <w:numId w:val="17"/>
        </w:numPr>
        <w:rPr>
          <w:rFonts w:ascii="Times New Roman" w:eastAsia="Calibri" w:hAnsi="Times New Roman" w:cs="Times New Roman"/>
          <w:b/>
          <w:color w:val="767171"/>
          <w:spacing w:val="20"/>
          <w:sz w:val="24"/>
          <w:szCs w:val="24"/>
        </w:rPr>
      </w:pPr>
      <w:bookmarkStart w:id="41" w:name="_Toc185275001"/>
      <w:r w:rsidRPr="006A0747">
        <w:rPr>
          <w:rFonts w:ascii="Times New Roman" w:eastAsia="Calibri" w:hAnsi="Times New Roman" w:cs="Times New Roman"/>
          <w:b/>
          <w:color w:val="767171"/>
          <w:spacing w:val="20"/>
          <w:sz w:val="24"/>
          <w:szCs w:val="24"/>
        </w:rPr>
        <w:t xml:space="preserve">Promoción de </w:t>
      </w:r>
      <w:r w:rsidR="00EA7604" w:rsidRPr="006A0747">
        <w:rPr>
          <w:rFonts w:ascii="Times New Roman" w:eastAsia="Calibri" w:hAnsi="Times New Roman" w:cs="Times New Roman"/>
          <w:b/>
          <w:color w:val="767171"/>
          <w:spacing w:val="20"/>
          <w:sz w:val="24"/>
          <w:szCs w:val="24"/>
        </w:rPr>
        <w:t xml:space="preserve">la </w:t>
      </w:r>
      <w:r w:rsidRPr="006A0747">
        <w:rPr>
          <w:rFonts w:ascii="Times New Roman" w:eastAsia="Calibri" w:hAnsi="Times New Roman" w:cs="Times New Roman"/>
          <w:b/>
          <w:color w:val="767171"/>
          <w:spacing w:val="20"/>
          <w:sz w:val="24"/>
          <w:szCs w:val="24"/>
        </w:rPr>
        <w:t xml:space="preserve">Innovación </w:t>
      </w:r>
      <w:r w:rsidR="00EA7604" w:rsidRPr="006A0747">
        <w:rPr>
          <w:rFonts w:ascii="Times New Roman" w:eastAsia="Calibri" w:hAnsi="Times New Roman" w:cs="Times New Roman"/>
          <w:b/>
          <w:color w:val="767171"/>
          <w:spacing w:val="20"/>
          <w:sz w:val="24"/>
          <w:szCs w:val="24"/>
        </w:rPr>
        <w:t>e Inclusión Financiera</w:t>
      </w:r>
      <w:bookmarkEnd w:id="41"/>
    </w:p>
    <w:p w14:paraId="4321462B" w14:textId="77777777" w:rsidR="00222863" w:rsidRPr="006A0747" w:rsidRDefault="00222863" w:rsidP="00222863">
      <w:pPr>
        <w:spacing w:line="360" w:lineRule="auto"/>
        <w:jc w:val="both"/>
        <w:rPr>
          <w:rFonts w:ascii="Times New Roman" w:eastAsia="Calibri" w:hAnsi="Times New Roman" w:cs="Times New Roman"/>
          <w:color w:val="767171"/>
          <w:spacing w:val="20"/>
          <w:sz w:val="24"/>
          <w:szCs w:val="24"/>
        </w:rPr>
      </w:pPr>
    </w:p>
    <w:p w14:paraId="6E8DB4BD" w14:textId="2F7CC6FA" w:rsidR="00222863" w:rsidRPr="006A0747" w:rsidRDefault="00F93207" w:rsidP="00222863">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En materia de </w:t>
      </w:r>
      <w:r w:rsidR="006B7493" w:rsidRPr="006A0747">
        <w:rPr>
          <w:rFonts w:ascii="Times New Roman" w:eastAsia="Calibri" w:hAnsi="Times New Roman" w:cs="Times New Roman"/>
          <w:color w:val="767171"/>
          <w:spacing w:val="20"/>
          <w:sz w:val="24"/>
          <w:szCs w:val="24"/>
        </w:rPr>
        <w:t>inclusión financiera, se llev</w:t>
      </w:r>
      <w:r w:rsidR="00197EB2" w:rsidRPr="006A0747">
        <w:rPr>
          <w:rFonts w:ascii="Times New Roman" w:eastAsia="Calibri" w:hAnsi="Times New Roman" w:cs="Times New Roman"/>
          <w:color w:val="767171"/>
          <w:spacing w:val="20"/>
          <w:sz w:val="24"/>
          <w:szCs w:val="24"/>
        </w:rPr>
        <w:t>ó</w:t>
      </w:r>
      <w:r w:rsidR="006B7493" w:rsidRPr="006A0747">
        <w:rPr>
          <w:rFonts w:ascii="Times New Roman" w:eastAsia="Calibri" w:hAnsi="Times New Roman" w:cs="Times New Roman"/>
          <w:color w:val="767171"/>
          <w:spacing w:val="20"/>
          <w:sz w:val="24"/>
          <w:szCs w:val="24"/>
        </w:rPr>
        <w:t xml:space="preserve"> a cabo </w:t>
      </w:r>
      <w:r w:rsidR="00197EB2" w:rsidRPr="006A0747">
        <w:rPr>
          <w:rFonts w:ascii="Times New Roman" w:eastAsia="Calibri" w:hAnsi="Times New Roman" w:cs="Times New Roman"/>
          <w:color w:val="767171"/>
          <w:spacing w:val="20"/>
          <w:sz w:val="24"/>
          <w:szCs w:val="24"/>
        </w:rPr>
        <w:t xml:space="preserve">un </w:t>
      </w:r>
      <w:r w:rsidR="006B7493" w:rsidRPr="006A0747">
        <w:rPr>
          <w:rFonts w:ascii="Times New Roman" w:eastAsia="Calibri" w:hAnsi="Times New Roman" w:cs="Times New Roman"/>
          <w:color w:val="767171"/>
          <w:spacing w:val="20"/>
          <w:sz w:val="24"/>
          <w:szCs w:val="24"/>
        </w:rPr>
        <w:t>estudio para</w:t>
      </w:r>
      <w:r w:rsidR="00222863" w:rsidRPr="006A0747">
        <w:rPr>
          <w:rFonts w:ascii="Times New Roman" w:eastAsia="Calibri" w:hAnsi="Times New Roman" w:cs="Times New Roman"/>
          <w:color w:val="767171"/>
          <w:spacing w:val="20"/>
          <w:sz w:val="24"/>
          <w:szCs w:val="24"/>
        </w:rPr>
        <w:t xml:space="preserve"> identificar zonas financieramente desatendidas y proporcionar un panorama sobre el incremento de puntos de acceso bancarios en los últimos años</w:t>
      </w:r>
      <w:r w:rsidR="00197EB2" w:rsidRPr="006A0747">
        <w:rPr>
          <w:rFonts w:ascii="Times New Roman" w:eastAsia="Calibri" w:hAnsi="Times New Roman" w:cs="Times New Roman"/>
          <w:color w:val="767171"/>
          <w:spacing w:val="20"/>
          <w:sz w:val="24"/>
          <w:szCs w:val="24"/>
        </w:rPr>
        <w:t>. A partir de este estudio</w:t>
      </w:r>
      <w:r w:rsidR="00222863" w:rsidRPr="006A0747">
        <w:rPr>
          <w:rFonts w:ascii="Times New Roman" w:eastAsia="Calibri" w:hAnsi="Times New Roman" w:cs="Times New Roman"/>
          <w:color w:val="767171"/>
          <w:spacing w:val="20"/>
          <w:sz w:val="24"/>
          <w:szCs w:val="24"/>
        </w:rPr>
        <w:t>,</w:t>
      </w:r>
      <w:r w:rsidR="00FB42B5" w:rsidRPr="006A0747">
        <w:rPr>
          <w:rFonts w:ascii="Times New Roman" w:eastAsia="Calibri" w:hAnsi="Times New Roman" w:cs="Times New Roman"/>
          <w:color w:val="767171"/>
          <w:spacing w:val="20"/>
          <w:sz w:val="24"/>
          <w:szCs w:val="24"/>
        </w:rPr>
        <w:t xml:space="preserve"> en el mes de mayo</w:t>
      </w:r>
      <w:r w:rsidR="00222863" w:rsidRPr="006A0747">
        <w:rPr>
          <w:rFonts w:ascii="Times New Roman" w:eastAsia="Calibri" w:hAnsi="Times New Roman" w:cs="Times New Roman"/>
          <w:color w:val="767171"/>
          <w:spacing w:val="20"/>
          <w:sz w:val="24"/>
          <w:szCs w:val="24"/>
        </w:rPr>
        <w:t xml:space="preserve"> la </w:t>
      </w:r>
      <w:r w:rsidR="00204542" w:rsidRPr="006A0747">
        <w:rPr>
          <w:rFonts w:ascii="Times New Roman" w:eastAsia="Calibri" w:hAnsi="Times New Roman" w:cs="Times New Roman"/>
          <w:color w:val="767171"/>
          <w:spacing w:val="20"/>
          <w:sz w:val="24"/>
          <w:szCs w:val="24"/>
        </w:rPr>
        <w:t>SB</w:t>
      </w:r>
      <w:r w:rsidR="00222863" w:rsidRPr="006A0747">
        <w:rPr>
          <w:rFonts w:ascii="Times New Roman" w:eastAsia="Calibri" w:hAnsi="Times New Roman" w:cs="Times New Roman"/>
          <w:color w:val="767171"/>
          <w:spacing w:val="20"/>
          <w:sz w:val="24"/>
          <w:szCs w:val="24"/>
        </w:rPr>
        <w:t xml:space="preserve"> publicó un informe sobre los Desiertos Bancarios en el territorio dominicano. Con este análisis, la </w:t>
      </w:r>
      <w:r w:rsidR="0013439B" w:rsidRPr="006A0747">
        <w:rPr>
          <w:rFonts w:ascii="Times New Roman" w:eastAsia="Calibri" w:hAnsi="Times New Roman" w:cs="Times New Roman"/>
          <w:color w:val="767171"/>
          <w:spacing w:val="20"/>
          <w:sz w:val="24"/>
          <w:szCs w:val="24"/>
        </w:rPr>
        <w:t xml:space="preserve">institución </w:t>
      </w:r>
      <w:r w:rsidR="00222863" w:rsidRPr="006A0747">
        <w:rPr>
          <w:rFonts w:ascii="Times New Roman" w:eastAsia="Calibri" w:hAnsi="Times New Roman" w:cs="Times New Roman"/>
          <w:color w:val="767171"/>
          <w:spacing w:val="20"/>
          <w:sz w:val="24"/>
          <w:szCs w:val="24"/>
        </w:rPr>
        <w:t>apoya el objetivo estratégico 2.4 de la Estrategia Nacional de Inclusión Financiera, que reconoce la importancia de determinar la disponibilidad y el acceso a servicios financieros en todo el país.</w:t>
      </w:r>
    </w:p>
    <w:p w14:paraId="4EBD397C" w14:textId="3724A3A1" w:rsidR="00222863" w:rsidRPr="006A0747" w:rsidRDefault="00986C03" w:rsidP="00222863">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Cabe </w:t>
      </w:r>
      <w:r w:rsidR="00AE0E50" w:rsidRPr="006A0747">
        <w:rPr>
          <w:rFonts w:ascii="Times New Roman" w:eastAsia="Calibri" w:hAnsi="Times New Roman" w:cs="Times New Roman"/>
          <w:color w:val="767171"/>
          <w:spacing w:val="20"/>
          <w:sz w:val="24"/>
          <w:szCs w:val="24"/>
        </w:rPr>
        <w:t>resaltar</w:t>
      </w:r>
      <w:r w:rsidRPr="006A0747">
        <w:rPr>
          <w:rFonts w:ascii="Times New Roman" w:eastAsia="Calibri" w:hAnsi="Times New Roman" w:cs="Times New Roman"/>
          <w:color w:val="767171"/>
          <w:spacing w:val="20"/>
          <w:sz w:val="24"/>
          <w:szCs w:val="24"/>
        </w:rPr>
        <w:t xml:space="preserve"> </w:t>
      </w:r>
      <w:r w:rsidR="007A5611" w:rsidRPr="006A0747">
        <w:rPr>
          <w:rFonts w:ascii="Times New Roman" w:eastAsia="Calibri" w:hAnsi="Times New Roman" w:cs="Times New Roman"/>
          <w:color w:val="767171"/>
          <w:spacing w:val="20"/>
          <w:sz w:val="24"/>
          <w:szCs w:val="24"/>
        </w:rPr>
        <w:t>que</w:t>
      </w:r>
      <w:r w:rsidR="00D721BB" w:rsidRPr="006A0747">
        <w:rPr>
          <w:rFonts w:ascii="Times New Roman" w:eastAsia="Calibri" w:hAnsi="Times New Roman" w:cs="Times New Roman"/>
          <w:color w:val="767171"/>
          <w:spacing w:val="20"/>
          <w:sz w:val="24"/>
          <w:szCs w:val="24"/>
        </w:rPr>
        <w:t>,</w:t>
      </w:r>
      <w:r w:rsidR="007A5611" w:rsidRPr="006A0747">
        <w:rPr>
          <w:rFonts w:ascii="Times New Roman" w:eastAsia="Calibri" w:hAnsi="Times New Roman" w:cs="Times New Roman"/>
          <w:color w:val="767171"/>
          <w:spacing w:val="20"/>
          <w:sz w:val="24"/>
          <w:szCs w:val="24"/>
        </w:rPr>
        <w:t xml:space="preserve"> </w:t>
      </w:r>
      <w:r w:rsidR="000E5E9A" w:rsidRPr="006A0747">
        <w:rPr>
          <w:rFonts w:ascii="Times New Roman" w:eastAsia="Calibri" w:hAnsi="Times New Roman" w:cs="Times New Roman"/>
          <w:color w:val="767171"/>
          <w:spacing w:val="20"/>
          <w:sz w:val="24"/>
          <w:szCs w:val="24"/>
        </w:rPr>
        <w:t>en la segunda mitad del 2024</w:t>
      </w:r>
      <w:r w:rsidR="00D965BE" w:rsidRPr="006A0747">
        <w:rPr>
          <w:rFonts w:ascii="Times New Roman" w:eastAsia="Calibri" w:hAnsi="Times New Roman" w:cs="Times New Roman"/>
          <w:color w:val="767171"/>
          <w:spacing w:val="20"/>
          <w:sz w:val="24"/>
          <w:szCs w:val="24"/>
        </w:rPr>
        <w:t>,</w:t>
      </w:r>
      <w:r w:rsidR="00864FBA" w:rsidRPr="006A0747">
        <w:rPr>
          <w:rFonts w:ascii="Times New Roman" w:eastAsia="Calibri" w:hAnsi="Times New Roman" w:cs="Times New Roman"/>
          <w:color w:val="767171"/>
          <w:spacing w:val="20"/>
          <w:sz w:val="24"/>
          <w:szCs w:val="24"/>
        </w:rPr>
        <w:t xml:space="preserve"> </w:t>
      </w:r>
      <w:r w:rsidR="0056439A" w:rsidRPr="006A0747">
        <w:rPr>
          <w:rFonts w:ascii="Times New Roman" w:eastAsia="Calibri" w:hAnsi="Times New Roman" w:cs="Times New Roman"/>
          <w:color w:val="767171"/>
          <w:spacing w:val="20"/>
          <w:sz w:val="24"/>
          <w:szCs w:val="24"/>
        </w:rPr>
        <w:t xml:space="preserve">la expansión de los Puntos de Acceso Bancario </w:t>
      </w:r>
      <w:r w:rsidR="00BB763B" w:rsidRPr="006A0747">
        <w:rPr>
          <w:rFonts w:ascii="Times New Roman" w:eastAsia="Calibri" w:hAnsi="Times New Roman" w:cs="Times New Roman"/>
          <w:color w:val="767171"/>
          <w:spacing w:val="20"/>
          <w:sz w:val="24"/>
          <w:szCs w:val="24"/>
        </w:rPr>
        <w:t xml:space="preserve">(PAB) </w:t>
      </w:r>
      <w:r w:rsidR="0056439A" w:rsidRPr="006A0747">
        <w:rPr>
          <w:rFonts w:ascii="Times New Roman" w:eastAsia="Calibri" w:hAnsi="Times New Roman" w:cs="Times New Roman"/>
          <w:color w:val="767171"/>
          <w:spacing w:val="20"/>
          <w:sz w:val="24"/>
          <w:szCs w:val="24"/>
        </w:rPr>
        <w:t>d</w:t>
      </w:r>
      <w:r w:rsidR="00E978B1" w:rsidRPr="006A0747">
        <w:rPr>
          <w:rFonts w:ascii="Times New Roman" w:eastAsia="Calibri" w:hAnsi="Times New Roman" w:cs="Times New Roman"/>
          <w:color w:val="767171"/>
          <w:spacing w:val="20"/>
          <w:sz w:val="24"/>
          <w:szCs w:val="24"/>
        </w:rPr>
        <w:t xml:space="preserve">el sistema financiero </w:t>
      </w:r>
      <w:r w:rsidR="00CE0D16" w:rsidRPr="006A0747">
        <w:rPr>
          <w:rFonts w:ascii="Times New Roman" w:eastAsia="Calibri" w:hAnsi="Times New Roman" w:cs="Times New Roman"/>
          <w:color w:val="767171"/>
          <w:spacing w:val="20"/>
          <w:sz w:val="24"/>
          <w:szCs w:val="24"/>
        </w:rPr>
        <w:t>trajo consigo</w:t>
      </w:r>
      <w:r w:rsidR="00BB763B" w:rsidRPr="006A0747">
        <w:rPr>
          <w:rFonts w:ascii="Times New Roman" w:eastAsia="Calibri" w:hAnsi="Times New Roman" w:cs="Times New Roman"/>
          <w:color w:val="767171"/>
          <w:spacing w:val="20"/>
          <w:sz w:val="24"/>
          <w:szCs w:val="24"/>
        </w:rPr>
        <w:t xml:space="preserve"> la </w:t>
      </w:r>
      <w:r w:rsidR="00E978B1" w:rsidRPr="006A0747">
        <w:rPr>
          <w:rFonts w:ascii="Times New Roman" w:eastAsia="Calibri" w:hAnsi="Times New Roman" w:cs="Times New Roman"/>
          <w:color w:val="767171"/>
          <w:spacing w:val="20"/>
          <w:sz w:val="24"/>
          <w:szCs w:val="24"/>
        </w:rPr>
        <w:t>erradic</w:t>
      </w:r>
      <w:r w:rsidR="00BB763B" w:rsidRPr="006A0747">
        <w:rPr>
          <w:rFonts w:ascii="Times New Roman" w:eastAsia="Calibri" w:hAnsi="Times New Roman" w:cs="Times New Roman"/>
          <w:color w:val="767171"/>
          <w:spacing w:val="20"/>
          <w:sz w:val="24"/>
          <w:szCs w:val="24"/>
        </w:rPr>
        <w:t>ación</w:t>
      </w:r>
      <w:r w:rsidR="00E978B1" w:rsidRPr="006A0747">
        <w:rPr>
          <w:rFonts w:ascii="Times New Roman" w:eastAsia="Calibri" w:hAnsi="Times New Roman" w:cs="Times New Roman"/>
          <w:color w:val="767171"/>
          <w:spacing w:val="20"/>
          <w:sz w:val="24"/>
          <w:szCs w:val="24"/>
        </w:rPr>
        <w:t xml:space="preserve"> </w:t>
      </w:r>
      <w:r w:rsidR="002162E8" w:rsidRPr="006A0747">
        <w:rPr>
          <w:rFonts w:ascii="Times New Roman" w:eastAsia="Calibri" w:hAnsi="Times New Roman" w:cs="Times New Roman"/>
          <w:color w:val="767171"/>
          <w:spacing w:val="20"/>
          <w:sz w:val="24"/>
          <w:szCs w:val="24"/>
        </w:rPr>
        <w:t>d</w:t>
      </w:r>
      <w:r w:rsidR="00E978B1" w:rsidRPr="006A0747">
        <w:rPr>
          <w:rFonts w:ascii="Times New Roman" w:eastAsia="Calibri" w:hAnsi="Times New Roman" w:cs="Times New Roman"/>
          <w:color w:val="767171"/>
          <w:spacing w:val="20"/>
          <w:sz w:val="24"/>
          <w:szCs w:val="24"/>
        </w:rPr>
        <w:t>el</w:t>
      </w:r>
      <w:r w:rsidR="00D900FD" w:rsidRPr="006A0747">
        <w:rPr>
          <w:rFonts w:ascii="Times New Roman" w:eastAsia="Calibri" w:hAnsi="Times New Roman" w:cs="Times New Roman"/>
          <w:color w:val="767171"/>
          <w:spacing w:val="20"/>
          <w:sz w:val="24"/>
          <w:szCs w:val="24"/>
        </w:rPr>
        <w:t xml:space="preserve"> último desierto bancario</w:t>
      </w:r>
      <w:r w:rsidR="00CE6680" w:rsidRPr="006A0747">
        <w:rPr>
          <w:rFonts w:ascii="Times New Roman" w:eastAsia="Calibri" w:hAnsi="Times New Roman" w:cs="Times New Roman"/>
          <w:color w:val="767171"/>
          <w:spacing w:val="20"/>
          <w:sz w:val="24"/>
          <w:szCs w:val="24"/>
        </w:rPr>
        <w:t>, a nivel municipal,</w:t>
      </w:r>
      <w:r w:rsidR="00D900FD" w:rsidRPr="006A0747">
        <w:rPr>
          <w:rFonts w:ascii="Times New Roman" w:eastAsia="Calibri" w:hAnsi="Times New Roman" w:cs="Times New Roman"/>
          <w:color w:val="767171"/>
          <w:spacing w:val="20"/>
          <w:sz w:val="24"/>
          <w:szCs w:val="24"/>
        </w:rPr>
        <w:t xml:space="preserve"> </w:t>
      </w:r>
      <w:r w:rsidR="006E0264" w:rsidRPr="006A0747">
        <w:rPr>
          <w:rFonts w:ascii="Times New Roman" w:eastAsia="Calibri" w:hAnsi="Times New Roman" w:cs="Times New Roman"/>
          <w:color w:val="767171"/>
          <w:spacing w:val="20"/>
          <w:sz w:val="24"/>
          <w:szCs w:val="24"/>
        </w:rPr>
        <w:t>de</w:t>
      </w:r>
      <w:r w:rsidR="00D900FD" w:rsidRPr="006A0747">
        <w:rPr>
          <w:rFonts w:ascii="Times New Roman" w:eastAsia="Calibri" w:hAnsi="Times New Roman" w:cs="Times New Roman"/>
          <w:color w:val="767171"/>
          <w:spacing w:val="20"/>
          <w:sz w:val="24"/>
          <w:szCs w:val="24"/>
        </w:rPr>
        <w:t xml:space="preserve"> la </w:t>
      </w:r>
      <w:r w:rsidR="00222863" w:rsidRPr="006A0747">
        <w:rPr>
          <w:rFonts w:ascii="Times New Roman" w:eastAsia="Calibri" w:hAnsi="Times New Roman" w:cs="Times New Roman"/>
          <w:color w:val="767171"/>
          <w:spacing w:val="20"/>
          <w:sz w:val="24"/>
          <w:szCs w:val="24"/>
        </w:rPr>
        <w:t>República Dominicana</w:t>
      </w:r>
      <w:r w:rsidR="009510E1" w:rsidRPr="006A0747">
        <w:rPr>
          <w:rFonts w:ascii="Times New Roman" w:eastAsia="Calibri" w:hAnsi="Times New Roman" w:cs="Times New Roman"/>
          <w:color w:val="767171"/>
          <w:spacing w:val="20"/>
          <w:sz w:val="24"/>
          <w:szCs w:val="24"/>
        </w:rPr>
        <w:t>; el cual estaba</w:t>
      </w:r>
      <w:r w:rsidR="00222863" w:rsidRPr="006A0747">
        <w:rPr>
          <w:rFonts w:ascii="Times New Roman" w:eastAsia="Calibri" w:hAnsi="Times New Roman" w:cs="Times New Roman"/>
          <w:color w:val="767171"/>
          <w:spacing w:val="20"/>
          <w:sz w:val="24"/>
          <w:szCs w:val="24"/>
        </w:rPr>
        <w:t xml:space="preserve"> </w:t>
      </w:r>
      <w:r w:rsidR="006E0264" w:rsidRPr="006A0747">
        <w:rPr>
          <w:rFonts w:ascii="Times New Roman" w:eastAsia="Calibri" w:hAnsi="Times New Roman" w:cs="Times New Roman"/>
          <w:color w:val="767171"/>
          <w:spacing w:val="20"/>
          <w:sz w:val="24"/>
          <w:szCs w:val="24"/>
        </w:rPr>
        <w:t>ubicado en</w:t>
      </w:r>
      <w:r w:rsidR="00222863" w:rsidRPr="006A0747">
        <w:rPr>
          <w:rFonts w:ascii="Times New Roman" w:eastAsia="Calibri" w:hAnsi="Times New Roman" w:cs="Times New Roman"/>
          <w:color w:val="767171"/>
          <w:spacing w:val="20"/>
          <w:sz w:val="24"/>
          <w:szCs w:val="24"/>
        </w:rPr>
        <w:t xml:space="preserve"> el municipio de Los Cacaos, provincia de San Cristóbal. Con este logro, se alcanza una cobertura bancaria completa a nivel nacional.</w:t>
      </w:r>
    </w:p>
    <w:p w14:paraId="78BCCF43" w14:textId="77777777" w:rsidR="00986C03" w:rsidRPr="006A0747" w:rsidRDefault="00986C03" w:rsidP="00222863">
      <w:pPr>
        <w:spacing w:line="360" w:lineRule="auto"/>
        <w:jc w:val="both"/>
        <w:rPr>
          <w:rFonts w:ascii="Times New Roman" w:eastAsia="Calibri" w:hAnsi="Times New Roman" w:cs="Times New Roman"/>
          <w:b/>
          <w:color w:val="767171"/>
          <w:spacing w:val="20"/>
          <w:sz w:val="24"/>
          <w:szCs w:val="24"/>
        </w:rPr>
      </w:pPr>
    </w:p>
    <w:p w14:paraId="3A8F6F43" w14:textId="77777777" w:rsidR="00A023E8" w:rsidRPr="006A0747" w:rsidRDefault="00A023E8" w:rsidP="00222863">
      <w:pPr>
        <w:spacing w:line="360" w:lineRule="auto"/>
        <w:jc w:val="both"/>
        <w:rPr>
          <w:rFonts w:ascii="Times New Roman" w:eastAsia="Calibri" w:hAnsi="Times New Roman" w:cs="Times New Roman"/>
          <w:b/>
          <w:color w:val="767171"/>
          <w:spacing w:val="20"/>
          <w:sz w:val="24"/>
          <w:szCs w:val="24"/>
        </w:rPr>
      </w:pPr>
    </w:p>
    <w:p w14:paraId="090FCE69" w14:textId="77777777" w:rsidR="00A023E8" w:rsidRDefault="00A023E8" w:rsidP="00222863">
      <w:pPr>
        <w:spacing w:line="360" w:lineRule="auto"/>
        <w:jc w:val="both"/>
        <w:rPr>
          <w:rFonts w:ascii="Times New Roman" w:eastAsia="Calibri" w:hAnsi="Times New Roman" w:cs="Times New Roman"/>
          <w:b/>
          <w:color w:val="767171"/>
          <w:spacing w:val="20"/>
          <w:sz w:val="24"/>
          <w:szCs w:val="24"/>
        </w:rPr>
      </w:pPr>
    </w:p>
    <w:p w14:paraId="0A75F134" w14:textId="77777777" w:rsidR="00E25E20" w:rsidRPr="006A0747" w:rsidRDefault="00E25E20" w:rsidP="00222863">
      <w:pPr>
        <w:spacing w:line="360" w:lineRule="auto"/>
        <w:jc w:val="both"/>
        <w:rPr>
          <w:rFonts w:ascii="Times New Roman" w:eastAsia="Calibri" w:hAnsi="Times New Roman" w:cs="Times New Roman"/>
          <w:b/>
          <w:color w:val="767171"/>
          <w:spacing w:val="20"/>
          <w:sz w:val="24"/>
          <w:szCs w:val="24"/>
        </w:rPr>
      </w:pPr>
    </w:p>
    <w:p w14:paraId="4C532E00" w14:textId="7A1452E3" w:rsidR="00222863" w:rsidRPr="006A0747" w:rsidRDefault="00222863" w:rsidP="00222863">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lastRenderedPageBreak/>
        <w:t>Ranking de Digitalización</w:t>
      </w:r>
    </w:p>
    <w:p w14:paraId="2E189BAE" w14:textId="2C5E8772" w:rsidR="00222863" w:rsidRPr="006A0747" w:rsidRDefault="0093264C" w:rsidP="00222863">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Como parte de su estrategia de promoción de la innovación dentro del Sistema Financiero, la SB publicó la </w:t>
      </w:r>
      <w:r w:rsidR="007E54B0" w:rsidRPr="006A0747">
        <w:rPr>
          <w:rFonts w:ascii="Times New Roman" w:eastAsia="Calibri" w:hAnsi="Times New Roman" w:cs="Times New Roman"/>
          <w:color w:val="767171"/>
          <w:spacing w:val="20"/>
          <w:sz w:val="24"/>
          <w:szCs w:val="24"/>
        </w:rPr>
        <w:t xml:space="preserve">cuarta edición del </w:t>
      </w:r>
      <w:r w:rsidR="008E2B27" w:rsidRPr="006A0747">
        <w:rPr>
          <w:rFonts w:ascii="Times New Roman" w:eastAsia="Calibri" w:hAnsi="Times New Roman" w:cs="Times New Roman"/>
          <w:color w:val="767171"/>
          <w:spacing w:val="20"/>
          <w:sz w:val="24"/>
          <w:szCs w:val="24"/>
        </w:rPr>
        <w:t>Ranking de Digitalización. Esta se realizó a partir de</w:t>
      </w:r>
      <w:r w:rsidR="00222863" w:rsidRPr="006A0747">
        <w:rPr>
          <w:rFonts w:ascii="Times New Roman" w:eastAsia="Calibri" w:hAnsi="Times New Roman" w:cs="Times New Roman"/>
          <w:color w:val="767171"/>
          <w:spacing w:val="20"/>
          <w:sz w:val="24"/>
          <w:szCs w:val="24"/>
        </w:rPr>
        <w:t xml:space="preserve"> encuestas a entidades y usuarios financieros, así como evaluaciones heurísticas de experiencia de usuario. Este ranking se enfoca en identificar todos los canales digitales ofrecidos por las EIF y sus funcionalidades</w:t>
      </w:r>
      <w:r w:rsidR="00D70201" w:rsidRPr="006A0747">
        <w:rPr>
          <w:rFonts w:ascii="Times New Roman" w:eastAsia="Calibri" w:hAnsi="Times New Roman" w:cs="Times New Roman"/>
          <w:color w:val="767171"/>
          <w:spacing w:val="20"/>
          <w:sz w:val="24"/>
          <w:szCs w:val="24"/>
        </w:rPr>
        <w:t>;</w:t>
      </w:r>
      <w:r w:rsidR="00222863" w:rsidRPr="006A0747">
        <w:rPr>
          <w:rFonts w:ascii="Times New Roman" w:eastAsia="Calibri" w:hAnsi="Times New Roman" w:cs="Times New Roman"/>
          <w:color w:val="767171"/>
          <w:spacing w:val="20"/>
          <w:sz w:val="24"/>
          <w:szCs w:val="24"/>
        </w:rPr>
        <w:t xml:space="preserve"> la forma en que las entidades implementan tecnologías exponenciales en sus procesos</w:t>
      </w:r>
      <w:r w:rsidR="00D70201" w:rsidRPr="006A0747">
        <w:rPr>
          <w:rFonts w:ascii="Times New Roman" w:eastAsia="Calibri" w:hAnsi="Times New Roman" w:cs="Times New Roman"/>
          <w:color w:val="767171"/>
          <w:spacing w:val="20"/>
          <w:sz w:val="24"/>
          <w:szCs w:val="24"/>
        </w:rPr>
        <w:t>;</w:t>
      </w:r>
      <w:r w:rsidR="00222863" w:rsidRPr="006A0747">
        <w:rPr>
          <w:rFonts w:ascii="Times New Roman" w:eastAsia="Calibri" w:hAnsi="Times New Roman" w:cs="Times New Roman"/>
          <w:color w:val="767171"/>
          <w:spacing w:val="20"/>
          <w:sz w:val="24"/>
          <w:szCs w:val="24"/>
        </w:rPr>
        <w:t xml:space="preserve"> y cómo integran herramientas digitales para mejorar la experiencia del usuario.</w:t>
      </w:r>
    </w:p>
    <w:p w14:paraId="799A209B" w14:textId="77777777" w:rsidR="00571ED5" w:rsidRPr="006A0747" w:rsidRDefault="00571ED5" w:rsidP="00A401D2">
      <w:pPr>
        <w:spacing w:line="360" w:lineRule="auto"/>
        <w:jc w:val="both"/>
        <w:rPr>
          <w:rFonts w:ascii="Times New Roman" w:eastAsia="Calibri" w:hAnsi="Times New Roman" w:cs="Times New Roman"/>
          <w:color w:val="767171"/>
          <w:spacing w:val="20"/>
          <w:sz w:val="24"/>
          <w:szCs w:val="24"/>
        </w:rPr>
      </w:pPr>
    </w:p>
    <w:p w14:paraId="06FDA7CF" w14:textId="4A49707D" w:rsidR="00C83A90" w:rsidRPr="006A0747" w:rsidRDefault="00226A6A" w:rsidP="000813B9">
      <w:pPr>
        <w:pStyle w:val="Ttulo2"/>
        <w:numPr>
          <w:ilvl w:val="1"/>
          <w:numId w:val="17"/>
        </w:numPr>
        <w:rPr>
          <w:rFonts w:ascii="Times New Roman" w:eastAsia="Calibri" w:hAnsi="Times New Roman" w:cs="Times New Roman"/>
          <w:b/>
          <w:color w:val="767171"/>
          <w:spacing w:val="20"/>
          <w:sz w:val="24"/>
          <w:szCs w:val="24"/>
        </w:rPr>
      </w:pPr>
      <w:bookmarkStart w:id="42" w:name="_Toc185275002"/>
      <w:r w:rsidRPr="006A0747">
        <w:rPr>
          <w:rFonts w:ascii="Times New Roman" w:eastAsia="Calibri" w:hAnsi="Times New Roman" w:cs="Times New Roman"/>
          <w:b/>
          <w:color w:val="767171"/>
          <w:spacing w:val="20"/>
          <w:sz w:val="24"/>
          <w:szCs w:val="24"/>
        </w:rPr>
        <w:t>Estudios Económicos</w:t>
      </w:r>
      <w:bookmarkEnd w:id="42"/>
    </w:p>
    <w:p w14:paraId="032C01B0" w14:textId="77777777" w:rsidR="00EA7604" w:rsidRPr="006A0747" w:rsidRDefault="00EA7604" w:rsidP="001F70D0">
      <w:pPr>
        <w:spacing w:line="360" w:lineRule="auto"/>
        <w:jc w:val="both"/>
        <w:rPr>
          <w:rFonts w:ascii="Times New Roman" w:eastAsia="Calibri" w:hAnsi="Times New Roman" w:cs="Times New Roman"/>
          <w:color w:val="767171"/>
          <w:spacing w:val="20"/>
          <w:sz w:val="24"/>
          <w:szCs w:val="24"/>
        </w:rPr>
      </w:pPr>
    </w:p>
    <w:p w14:paraId="23894E95" w14:textId="262D77EA" w:rsidR="001F70D0" w:rsidRPr="006A0747" w:rsidRDefault="001F70D0" w:rsidP="001F70D0">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La Superintendencia de Bancos, dentro de sus funciones, desarrolla y publica estudios económicos a fin de mantener actualizadas a las autoridades, a los agentes económicos y al público sobre el desempeño del sector bancario. Durante el año 2024, los resultados alcanzados por la Superintendencia de Bancos en materia de estudios económicos se centraron en las siguientes actividades: </w:t>
      </w:r>
    </w:p>
    <w:p w14:paraId="65986492" w14:textId="2E982A36" w:rsidR="001F70D0" w:rsidRPr="006A0747" w:rsidRDefault="001F70D0" w:rsidP="00F67ADB">
      <w:pPr>
        <w:pStyle w:val="Prrafodelista"/>
        <w:numPr>
          <w:ilvl w:val="0"/>
          <w:numId w:val="22"/>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b/>
          <w:color w:val="767171"/>
          <w:spacing w:val="20"/>
          <w:sz w:val="24"/>
          <w:szCs w:val="24"/>
        </w:rPr>
        <w:t>Publicación de 19 piezas</w:t>
      </w:r>
      <w:r w:rsidR="00AD77F2" w:rsidRPr="006A0747">
        <w:rPr>
          <w:rFonts w:ascii="Times New Roman" w:eastAsia="Calibri" w:hAnsi="Times New Roman" w:cs="Times New Roman"/>
          <w:b/>
          <w:bCs/>
          <w:color w:val="767171"/>
          <w:spacing w:val="20"/>
          <w:sz w:val="24"/>
          <w:szCs w:val="24"/>
        </w:rPr>
        <w:t>.</w:t>
      </w:r>
      <w:r w:rsidRPr="006A0747">
        <w:rPr>
          <w:rFonts w:ascii="Times New Roman" w:eastAsia="Calibri" w:hAnsi="Times New Roman" w:cs="Times New Roman"/>
          <w:color w:val="767171"/>
          <w:spacing w:val="20"/>
          <w:sz w:val="24"/>
          <w:szCs w:val="24"/>
        </w:rPr>
        <w:t xml:space="preserve"> </w:t>
      </w:r>
      <w:r w:rsidR="00AD77F2" w:rsidRPr="006A0747">
        <w:rPr>
          <w:rFonts w:ascii="Times New Roman" w:eastAsia="Calibri" w:hAnsi="Times New Roman" w:cs="Times New Roman"/>
          <w:color w:val="767171"/>
          <w:spacing w:val="20"/>
          <w:sz w:val="24"/>
          <w:szCs w:val="24"/>
        </w:rPr>
        <w:t>D</w:t>
      </w:r>
      <w:r w:rsidRPr="006A0747">
        <w:rPr>
          <w:rFonts w:ascii="Times New Roman" w:eastAsia="Calibri" w:hAnsi="Times New Roman" w:cs="Times New Roman"/>
          <w:color w:val="767171"/>
          <w:spacing w:val="20"/>
          <w:sz w:val="24"/>
          <w:szCs w:val="24"/>
        </w:rPr>
        <w:t xml:space="preserve">entro de </w:t>
      </w:r>
      <w:r w:rsidR="00AD77F2" w:rsidRPr="006A0747">
        <w:rPr>
          <w:rFonts w:ascii="Times New Roman" w:eastAsia="Calibri" w:hAnsi="Times New Roman" w:cs="Times New Roman"/>
          <w:color w:val="767171"/>
          <w:spacing w:val="20"/>
          <w:sz w:val="24"/>
          <w:szCs w:val="24"/>
        </w:rPr>
        <w:t>estas</w:t>
      </w:r>
      <w:r w:rsidRPr="006A0747">
        <w:rPr>
          <w:rFonts w:ascii="Times New Roman" w:eastAsia="Calibri" w:hAnsi="Times New Roman" w:cs="Times New Roman"/>
          <w:color w:val="767171"/>
          <w:spacing w:val="20"/>
          <w:sz w:val="24"/>
          <w:szCs w:val="24"/>
        </w:rPr>
        <w:t xml:space="preserve"> se destacan: 18 informes periódicos, y 1 estudio académico. </w:t>
      </w:r>
      <w:r w:rsidR="00533615" w:rsidRPr="006A0747">
        <w:rPr>
          <w:rFonts w:ascii="Times New Roman" w:eastAsia="Calibri" w:hAnsi="Times New Roman" w:cs="Times New Roman"/>
          <w:color w:val="767171"/>
          <w:spacing w:val="20"/>
          <w:sz w:val="24"/>
          <w:szCs w:val="24"/>
        </w:rPr>
        <w:t>Estas se detallan a</w:t>
      </w:r>
      <w:r w:rsidRPr="006A0747">
        <w:rPr>
          <w:rFonts w:ascii="Times New Roman" w:eastAsia="Calibri" w:hAnsi="Times New Roman" w:cs="Times New Roman"/>
          <w:color w:val="767171"/>
          <w:spacing w:val="20"/>
          <w:sz w:val="24"/>
          <w:szCs w:val="24"/>
        </w:rPr>
        <w:t xml:space="preserve"> continuación:</w:t>
      </w:r>
    </w:p>
    <w:p w14:paraId="225728F5" w14:textId="4E28A1C5" w:rsidR="001F70D0" w:rsidRPr="006A0747" w:rsidRDefault="00612976">
      <w:pPr>
        <w:numPr>
          <w:ilvl w:val="0"/>
          <w:numId w:val="2"/>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b/>
          <w:color w:val="767171"/>
          <w:spacing w:val="20"/>
          <w:sz w:val="24"/>
          <w:szCs w:val="24"/>
        </w:rPr>
        <w:t xml:space="preserve">Dos (2) </w:t>
      </w:r>
      <w:r w:rsidR="001F70D0" w:rsidRPr="006A0747">
        <w:rPr>
          <w:rFonts w:ascii="Times New Roman" w:eastAsia="Calibri" w:hAnsi="Times New Roman" w:cs="Times New Roman"/>
          <w:b/>
          <w:color w:val="767171"/>
          <w:spacing w:val="20"/>
          <w:sz w:val="24"/>
          <w:szCs w:val="24"/>
        </w:rPr>
        <w:t>Informes trimestrales de desempeño del Sistema Financiero</w:t>
      </w:r>
      <w:r w:rsidRPr="006A0747">
        <w:rPr>
          <w:rFonts w:ascii="Times New Roman" w:eastAsia="Calibri" w:hAnsi="Times New Roman" w:cs="Times New Roman"/>
          <w:b/>
          <w:color w:val="767171"/>
          <w:spacing w:val="20"/>
          <w:sz w:val="24"/>
          <w:szCs w:val="24"/>
        </w:rPr>
        <w:t>.</w:t>
      </w:r>
    </w:p>
    <w:p w14:paraId="7499ED32" w14:textId="77777777" w:rsidR="00612976" w:rsidRPr="006A0747" w:rsidRDefault="00612976">
      <w:pPr>
        <w:numPr>
          <w:ilvl w:val="0"/>
          <w:numId w:val="2"/>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b/>
          <w:color w:val="767171"/>
          <w:spacing w:val="20"/>
          <w:sz w:val="24"/>
          <w:szCs w:val="24"/>
        </w:rPr>
        <w:t xml:space="preserve">Cuatro (4) </w:t>
      </w:r>
      <w:r w:rsidR="001F70D0" w:rsidRPr="006A0747">
        <w:rPr>
          <w:rFonts w:ascii="Times New Roman" w:eastAsia="Calibri" w:hAnsi="Times New Roman" w:cs="Times New Roman"/>
          <w:b/>
          <w:color w:val="767171"/>
          <w:spacing w:val="20"/>
          <w:sz w:val="24"/>
          <w:szCs w:val="24"/>
        </w:rPr>
        <w:t xml:space="preserve">Informes Particulares: </w:t>
      </w:r>
    </w:p>
    <w:p w14:paraId="43D2B2CA" w14:textId="77777777" w:rsidR="00612976" w:rsidRPr="006A0747" w:rsidRDefault="001F70D0">
      <w:pPr>
        <w:numPr>
          <w:ilvl w:val="1"/>
          <w:numId w:val="2"/>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Informe Anual sobre Banca y el Turismo;</w:t>
      </w:r>
    </w:p>
    <w:p w14:paraId="1A7B1637" w14:textId="33FC7B56" w:rsidR="00612976" w:rsidRPr="006A0747" w:rsidRDefault="001F70D0">
      <w:pPr>
        <w:numPr>
          <w:ilvl w:val="1"/>
          <w:numId w:val="2"/>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Informe sobre el crédito en el Sistema Financiero; </w:t>
      </w:r>
    </w:p>
    <w:p w14:paraId="7AAA72F7" w14:textId="78095E7F" w:rsidR="00612976" w:rsidRPr="006A0747" w:rsidRDefault="001F70D0">
      <w:pPr>
        <w:numPr>
          <w:ilvl w:val="1"/>
          <w:numId w:val="2"/>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lastRenderedPageBreak/>
        <w:t>Informe sobre la Banca y la Industria Nacional;</w:t>
      </w:r>
    </w:p>
    <w:p w14:paraId="04CAF269" w14:textId="78145899" w:rsidR="001F70D0" w:rsidRPr="006A0747" w:rsidRDefault="001F70D0">
      <w:pPr>
        <w:numPr>
          <w:ilvl w:val="1"/>
          <w:numId w:val="2"/>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Informe sobre el Crédito a las MIPYMES</w:t>
      </w:r>
      <w:r w:rsidR="00612976" w:rsidRPr="006A0747">
        <w:rPr>
          <w:rFonts w:ascii="Times New Roman" w:eastAsia="Calibri" w:hAnsi="Times New Roman" w:cs="Times New Roman"/>
          <w:color w:val="767171"/>
          <w:spacing w:val="20"/>
          <w:sz w:val="24"/>
          <w:szCs w:val="24"/>
        </w:rPr>
        <w:t>.</w:t>
      </w:r>
    </w:p>
    <w:p w14:paraId="78C24A7B" w14:textId="25F60C1F" w:rsidR="001F70D0" w:rsidRPr="006A0747" w:rsidRDefault="00612976">
      <w:pPr>
        <w:numPr>
          <w:ilvl w:val="0"/>
          <w:numId w:val="2"/>
        </w:num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t xml:space="preserve">Doce (12) </w:t>
      </w:r>
      <w:r w:rsidR="001F70D0" w:rsidRPr="006A0747">
        <w:rPr>
          <w:rFonts w:ascii="Times New Roman" w:eastAsia="Calibri" w:hAnsi="Times New Roman" w:cs="Times New Roman"/>
          <w:b/>
          <w:color w:val="767171"/>
          <w:spacing w:val="20"/>
          <w:sz w:val="24"/>
          <w:szCs w:val="24"/>
        </w:rPr>
        <w:t>Boletines Económicos y Financieros Internos</w:t>
      </w:r>
    </w:p>
    <w:p w14:paraId="50B0548F" w14:textId="3CD36326" w:rsidR="001F70D0" w:rsidRPr="006A0747" w:rsidRDefault="00612976">
      <w:pPr>
        <w:numPr>
          <w:ilvl w:val="0"/>
          <w:numId w:val="2"/>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b/>
          <w:color w:val="767171"/>
          <w:spacing w:val="20"/>
          <w:sz w:val="24"/>
          <w:szCs w:val="24"/>
        </w:rPr>
        <w:t xml:space="preserve">Un (1) </w:t>
      </w:r>
      <w:r w:rsidR="001F70D0" w:rsidRPr="006A0747">
        <w:rPr>
          <w:rFonts w:ascii="Times New Roman" w:eastAsia="Calibri" w:hAnsi="Times New Roman" w:cs="Times New Roman"/>
          <w:b/>
          <w:color w:val="767171"/>
          <w:spacing w:val="20"/>
          <w:sz w:val="24"/>
          <w:szCs w:val="24"/>
        </w:rPr>
        <w:t>Estudio Académico</w:t>
      </w:r>
      <w:r w:rsidRPr="006A0747">
        <w:rPr>
          <w:rFonts w:ascii="Times New Roman" w:eastAsia="Calibri" w:hAnsi="Times New Roman" w:cs="Times New Roman"/>
          <w:b/>
          <w:color w:val="767171"/>
          <w:spacing w:val="20"/>
          <w:sz w:val="24"/>
          <w:szCs w:val="24"/>
        </w:rPr>
        <w:t xml:space="preserve"> bajo el </w:t>
      </w:r>
      <w:r w:rsidR="00487D5D" w:rsidRPr="006A0747">
        <w:rPr>
          <w:rFonts w:ascii="Times New Roman" w:eastAsia="Calibri" w:hAnsi="Times New Roman" w:cs="Times New Roman"/>
          <w:b/>
          <w:color w:val="767171"/>
          <w:spacing w:val="20"/>
          <w:sz w:val="24"/>
          <w:szCs w:val="24"/>
        </w:rPr>
        <w:t>título</w:t>
      </w:r>
      <w:r w:rsidR="001F70D0" w:rsidRPr="006A0747">
        <w:rPr>
          <w:rFonts w:ascii="Times New Roman" w:eastAsia="Calibri" w:hAnsi="Times New Roman" w:cs="Times New Roman"/>
          <w:b/>
          <w:color w:val="767171"/>
          <w:spacing w:val="20"/>
          <w:sz w:val="24"/>
          <w:szCs w:val="24"/>
        </w:rPr>
        <w:t xml:space="preserve"> </w:t>
      </w:r>
      <w:r w:rsidRPr="006A0747">
        <w:rPr>
          <w:rFonts w:ascii="Times New Roman" w:eastAsia="Calibri" w:hAnsi="Times New Roman" w:cs="Times New Roman"/>
          <w:b/>
          <w:color w:val="767171"/>
          <w:spacing w:val="20"/>
          <w:sz w:val="24"/>
          <w:szCs w:val="24"/>
        </w:rPr>
        <w:t>“</w:t>
      </w:r>
      <w:r w:rsidR="001F70D0" w:rsidRPr="006A0747">
        <w:rPr>
          <w:rFonts w:ascii="Times New Roman" w:eastAsia="Calibri" w:hAnsi="Times New Roman" w:cs="Times New Roman"/>
          <w:color w:val="767171"/>
          <w:spacing w:val="20"/>
          <w:sz w:val="24"/>
          <w:szCs w:val="24"/>
        </w:rPr>
        <w:t xml:space="preserve">Predicción de Default en RD: un enfoque de Machine </w:t>
      </w:r>
      <w:proofErr w:type="spellStart"/>
      <w:r w:rsidR="001F70D0" w:rsidRPr="006A0747">
        <w:rPr>
          <w:rFonts w:ascii="Times New Roman" w:eastAsia="Calibri" w:hAnsi="Times New Roman" w:cs="Times New Roman"/>
          <w:color w:val="767171"/>
          <w:spacing w:val="20"/>
          <w:sz w:val="24"/>
          <w:szCs w:val="24"/>
        </w:rPr>
        <w:t>Learning</w:t>
      </w:r>
      <w:proofErr w:type="spellEnd"/>
      <w:r w:rsidR="001F70D0" w:rsidRPr="006A0747">
        <w:rPr>
          <w:rFonts w:ascii="Times New Roman" w:eastAsia="Calibri" w:hAnsi="Times New Roman" w:cs="Times New Roman"/>
          <w:color w:val="767171"/>
          <w:spacing w:val="20"/>
          <w:sz w:val="24"/>
          <w:szCs w:val="24"/>
        </w:rPr>
        <w:t xml:space="preserve"> para la evaluación del riesgo crediticio</w:t>
      </w:r>
      <w:r w:rsidRPr="006A0747">
        <w:rPr>
          <w:rFonts w:ascii="Times New Roman" w:eastAsia="Calibri" w:hAnsi="Times New Roman" w:cs="Times New Roman"/>
          <w:color w:val="767171"/>
          <w:spacing w:val="20"/>
          <w:sz w:val="24"/>
          <w:szCs w:val="24"/>
        </w:rPr>
        <w:t>”</w:t>
      </w:r>
      <w:r w:rsidR="001F70D0" w:rsidRPr="006A0747">
        <w:rPr>
          <w:rFonts w:ascii="Times New Roman" w:eastAsia="Calibri" w:hAnsi="Times New Roman" w:cs="Times New Roman"/>
          <w:color w:val="767171"/>
          <w:spacing w:val="20"/>
          <w:sz w:val="24"/>
          <w:szCs w:val="24"/>
        </w:rPr>
        <w:t>.</w:t>
      </w:r>
    </w:p>
    <w:p w14:paraId="0B7AE61B" w14:textId="438032B1" w:rsidR="001F70D0" w:rsidRPr="006A0747" w:rsidRDefault="00F67ADB" w:rsidP="00F67ADB">
      <w:pPr>
        <w:pStyle w:val="Prrafodelista"/>
        <w:numPr>
          <w:ilvl w:val="0"/>
          <w:numId w:val="22"/>
        </w:numPr>
        <w:spacing w:line="360" w:lineRule="auto"/>
        <w:ind w:left="1077"/>
        <w:contextualSpacing w:val="0"/>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b/>
          <w:color w:val="767171"/>
          <w:spacing w:val="20"/>
          <w:sz w:val="24"/>
          <w:szCs w:val="24"/>
        </w:rPr>
        <w:t>A</w:t>
      </w:r>
      <w:r w:rsidR="005F0E1C" w:rsidRPr="006A0747">
        <w:rPr>
          <w:rFonts w:ascii="Times New Roman" w:eastAsia="Calibri" w:hAnsi="Times New Roman" w:cs="Times New Roman"/>
          <w:b/>
          <w:color w:val="767171"/>
          <w:spacing w:val="20"/>
          <w:sz w:val="24"/>
          <w:szCs w:val="24"/>
        </w:rPr>
        <w:t>ctualización d</w:t>
      </w:r>
      <w:r w:rsidR="001F70D0" w:rsidRPr="006A0747">
        <w:rPr>
          <w:rFonts w:ascii="Times New Roman" w:eastAsia="Calibri" w:hAnsi="Times New Roman" w:cs="Times New Roman"/>
          <w:b/>
          <w:color w:val="767171"/>
          <w:spacing w:val="20"/>
          <w:sz w:val="24"/>
          <w:szCs w:val="24"/>
        </w:rPr>
        <w:t>el portal interno DASH.</w:t>
      </w:r>
      <w:r w:rsidR="001F70D0" w:rsidRPr="006A0747">
        <w:rPr>
          <w:rFonts w:ascii="Times New Roman" w:eastAsia="Calibri" w:hAnsi="Times New Roman" w:cs="Times New Roman"/>
          <w:color w:val="767171"/>
          <w:spacing w:val="20"/>
          <w:sz w:val="24"/>
          <w:szCs w:val="24"/>
        </w:rPr>
        <w:t xml:space="preserve"> Esta </w:t>
      </w:r>
      <w:r w:rsidRPr="006A0747">
        <w:rPr>
          <w:rFonts w:ascii="Times New Roman" w:eastAsia="Calibri" w:hAnsi="Times New Roman" w:cs="Times New Roman"/>
          <w:color w:val="767171"/>
          <w:spacing w:val="20"/>
          <w:sz w:val="24"/>
          <w:szCs w:val="24"/>
        </w:rPr>
        <w:t>mejora</w:t>
      </w:r>
      <w:r w:rsidR="001F70D0" w:rsidRPr="006A0747">
        <w:rPr>
          <w:rFonts w:ascii="Times New Roman" w:eastAsia="Calibri" w:hAnsi="Times New Roman" w:cs="Times New Roman"/>
          <w:color w:val="767171"/>
          <w:spacing w:val="20"/>
          <w:sz w:val="24"/>
          <w:szCs w:val="24"/>
        </w:rPr>
        <w:t xml:space="preserve"> incluye nuevas vistas y mejores funcionalidades para el apoyo de las labores de supervisión, como la caracterización y cuantificación de nuevos riesgos y la inclusión de nuevos indicadores para evaluar la salud de las EIF.</w:t>
      </w:r>
    </w:p>
    <w:p w14:paraId="04DA5994" w14:textId="441D1C4C" w:rsidR="001F70D0" w:rsidRPr="006A0747" w:rsidRDefault="005F0E1C" w:rsidP="00F67ADB">
      <w:pPr>
        <w:pStyle w:val="Prrafodelista"/>
        <w:numPr>
          <w:ilvl w:val="0"/>
          <w:numId w:val="22"/>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b/>
          <w:color w:val="767171"/>
          <w:spacing w:val="20"/>
          <w:sz w:val="24"/>
          <w:szCs w:val="24"/>
        </w:rPr>
        <w:t>Pr</w:t>
      </w:r>
      <w:r w:rsidR="001F70D0" w:rsidRPr="006A0747">
        <w:rPr>
          <w:rFonts w:ascii="Times New Roman" w:eastAsia="Calibri" w:hAnsi="Times New Roman" w:cs="Times New Roman"/>
          <w:b/>
          <w:color w:val="767171"/>
          <w:spacing w:val="20"/>
          <w:sz w:val="24"/>
          <w:szCs w:val="24"/>
        </w:rPr>
        <w:t>ueba de estrés a las EIF supervisadas.</w:t>
      </w:r>
      <w:r w:rsidR="001F70D0" w:rsidRPr="006A0747">
        <w:rPr>
          <w:rFonts w:ascii="Times New Roman" w:eastAsia="Calibri" w:hAnsi="Times New Roman" w:cs="Times New Roman"/>
          <w:color w:val="767171"/>
          <w:spacing w:val="20"/>
          <w:sz w:val="24"/>
          <w:szCs w:val="24"/>
        </w:rPr>
        <w:t xml:space="preserve"> Esta iniciativa ofrece visibilidad sobre la posición actual de las EIF y el potencial impacto que experimentarían de materializarse algún escenario adverso, apoyando labores preventivas de supervisión y aumentando el nivel de transparencia.</w:t>
      </w:r>
    </w:p>
    <w:p w14:paraId="1DB13AB1" w14:textId="3A25B086" w:rsidR="00827940" w:rsidRPr="006A0747" w:rsidRDefault="001F70D0" w:rsidP="00D81937">
      <w:pPr>
        <w:pStyle w:val="Prrafodelista"/>
        <w:numPr>
          <w:ilvl w:val="0"/>
          <w:numId w:val="22"/>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b/>
          <w:color w:val="767171"/>
          <w:spacing w:val="20"/>
          <w:sz w:val="24"/>
          <w:szCs w:val="24"/>
        </w:rPr>
        <w:t>Publicación de una nota analítica sobre un índice de condiciones financieras.</w:t>
      </w:r>
      <w:r w:rsidR="005F0E1C" w:rsidRPr="006A0747">
        <w:rPr>
          <w:rFonts w:ascii="Times New Roman" w:eastAsia="Calibri" w:hAnsi="Times New Roman" w:cs="Times New Roman"/>
          <w:b/>
          <w:color w:val="767171"/>
          <w:spacing w:val="20"/>
          <w:sz w:val="24"/>
          <w:szCs w:val="24"/>
        </w:rPr>
        <w:t xml:space="preserve"> </w:t>
      </w:r>
      <w:r w:rsidRPr="006A0747">
        <w:rPr>
          <w:rFonts w:ascii="Times New Roman" w:eastAsia="Calibri" w:hAnsi="Times New Roman" w:cs="Times New Roman"/>
          <w:color w:val="767171"/>
          <w:spacing w:val="20"/>
          <w:sz w:val="24"/>
          <w:szCs w:val="24"/>
        </w:rPr>
        <w:t>Este indicador permite el monitoreo de las condiciones financieras dominicanas con incidencia prospectiva en la actividad económica.</w:t>
      </w:r>
    </w:p>
    <w:bookmarkEnd w:id="4"/>
    <w:p w14:paraId="624A8D4A" w14:textId="77777777" w:rsidR="0025589A" w:rsidRPr="006A0747" w:rsidRDefault="0025589A" w:rsidP="00A41996">
      <w:pPr>
        <w:spacing w:line="360" w:lineRule="auto"/>
        <w:jc w:val="both"/>
        <w:rPr>
          <w:rFonts w:ascii="Times New Roman" w:eastAsia="Calibri" w:hAnsi="Times New Roman" w:cs="Times New Roman"/>
          <w:color w:val="2E74B5" w:themeColor="accent5" w:themeShade="BF"/>
          <w:spacing w:val="20"/>
          <w:sz w:val="24"/>
          <w:szCs w:val="24"/>
        </w:rPr>
      </w:pPr>
    </w:p>
    <w:p w14:paraId="26172920" w14:textId="77777777" w:rsidR="002051E4" w:rsidRPr="006A0747" w:rsidRDefault="002051E4" w:rsidP="00A41996">
      <w:pPr>
        <w:spacing w:line="360" w:lineRule="auto"/>
        <w:jc w:val="both"/>
        <w:rPr>
          <w:rFonts w:ascii="Times New Roman" w:eastAsia="Calibri" w:hAnsi="Times New Roman" w:cs="Times New Roman"/>
          <w:color w:val="2E74B5" w:themeColor="accent5" w:themeShade="BF"/>
          <w:spacing w:val="20"/>
          <w:sz w:val="24"/>
          <w:szCs w:val="24"/>
        </w:rPr>
      </w:pPr>
    </w:p>
    <w:p w14:paraId="2235A58F" w14:textId="77777777" w:rsidR="002051E4" w:rsidRPr="006A0747" w:rsidRDefault="002051E4" w:rsidP="00A41996">
      <w:pPr>
        <w:spacing w:line="360" w:lineRule="auto"/>
        <w:jc w:val="both"/>
        <w:rPr>
          <w:rFonts w:ascii="Times New Roman" w:eastAsia="Calibri" w:hAnsi="Times New Roman" w:cs="Times New Roman"/>
          <w:color w:val="2E74B5" w:themeColor="accent5" w:themeShade="BF"/>
          <w:spacing w:val="20"/>
          <w:sz w:val="24"/>
          <w:szCs w:val="24"/>
        </w:rPr>
      </w:pPr>
    </w:p>
    <w:p w14:paraId="289F9F52" w14:textId="77777777" w:rsidR="002051E4" w:rsidRPr="006A0747" w:rsidRDefault="002051E4" w:rsidP="00A41996">
      <w:pPr>
        <w:spacing w:line="360" w:lineRule="auto"/>
        <w:jc w:val="both"/>
        <w:rPr>
          <w:rFonts w:ascii="Times New Roman" w:eastAsia="Calibri" w:hAnsi="Times New Roman" w:cs="Times New Roman"/>
          <w:color w:val="2E74B5" w:themeColor="accent5" w:themeShade="BF"/>
          <w:spacing w:val="20"/>
          <w:sz w:val="24"/>
          <w:szCs w:val="24"/>
        </w:rPr>
      </w:pPr>
    </w:p>
    <w:p w14:paraId="2805AEAD" w14:textId="77777777" w:rsidR="002051E4" w:rsidRPr="006A0747" w:rsidRDefault="002051E4" w:rsidP="00A41996">
      <w:pPr>
        <w:spacing w:line="360" w:lineRule="auto"/>
        <w:jc w:val="both"/>
        <w:rPr>
          <w:rFonts w:ascii="Times New Roman" w:eastAsia="Calibri" w:hAnsi="Times New Roman" w:cs="Times New Roman"/>
          <w:color w:val="2E74B5" w:themeColor="accent5" w:themeShade="BF"/>
          <w:spacing w:val="20"/>
          <w:sz w:val="24"/>
          <w:szCs w:val="24"/>
        </w:rPr>
      </w:pPr>
    </w:p>
    <w:p w14:paraId="21FF3CFD" w14:textId="4A0E2ED3" w:rsidR="00A41996" w:rsidRPr="006A0747" w:rsidRDefault="00A41996" w:rsidP="000813B9">
      <w:pPr>
        <w:pStyle w:val="Ttulo1"/>
        <w:numPr>
          <w:ilvl w:val="0"/>
          <w:numId w:val="17"/>
        </w:numPr>
        <w:ind w:left="709"/>
        <w:jc w:val="center"/>
        <w:rPr>
          <w:rFonts w:cs="Times New Roman"/>
          <w:b/>
          <w:color w:val="767171"/>
        </w:rPr>
      </w:pPr>
      <w:bookmarkStart w:id="43" w:name="_Toc117160674"/>
      <w:bookmarkStart w:id="44" w:name="_Toc134102403"/>
      <w:bookmarkStart w:id="45" w:name="_Toc134102957"/>
      <w:bookmarkStart w:id="46" w:name="_Toc185275003"/>
      <w:r w:rsidRPr="006A0747">
        <w:rPr>
          <w:rFonts w:cs="Times New Roman"/>
          <w:b/>
          <w:color w:val="767171"/>
        </w:rPr>
        <w:lastRenderedPageBreak/>
        <w:t>RESULTADOS ÁREAS TRANSVERSALES Y DE APOYO</w:t>
      </w:r>
      <w:bookmarkEnd w:id="43"/>
      <w:bookmarkEnd w:id="44"/>
      <w:bookmarkEnd w:id="45"/>
      <w:bookmarkEnd w:id="46"/>
    </w:p>
    <w:p w14:paraId="57D36C3B" w14:textId="77777777" w:rsidR="00A41996" w:rsidRPr="006A0747" w:rsidRDefault="00A41996" w:rsidP="00A41996">
      <w:pPr>
        <w:jc w:val="both"/>
        <w:rPr>
          <w:rFonts w:ascii="Times New Roman" w:eastAsia="Calibri" w:hAnsi="Times New Roman" w:cs="Times New Roman"/>
          <w:color w:val="2E74B5" w:themeColor="accent5" w:themeShade="BF"/>
          <w:sz w:val="18"/>
        </w:rPr>
      </w:pPr>
      <w:r w:rsidRPr="006A0747">
        <w:rPr>
          <w:rFonts w:ascii="Times New Roman" w:hAnsi="Times New Roman" w:cs="Times New Roman"/>
          <w:noProof/>
          <w:color w:val="2E74B5" w:themeColor="accent5" w:themeShade="BF"/>
          <w:lang w:eastAsia="es-DO"/>
        </w:rPr>
        <mc:AlternateContent>
          <mc:Choice Requires="wps">
            <w:drawing>
              <wp:anchor distT="4294967295" distB="4294967295" distL="114300" distR="114300" simplePos="0" relativeHeight="251658252" behindDoc="0" locked="0" layoutInCell="1" allowOverlap="1" wp14:anchorId="2BB1D7A4" wp14:editId="372521DF">
                <wp:simplePos x="0" y="0"/>
                <wp:positionH relativeFrom="margin">
                  <wp:align>center</wp:align>
                </wp:positionH>
                <wp:positionV relativeFrom="paragraph">
                  <wp:posOffset>106680</wp:posOffset>
                </wp:positionV>
                <wp:extent cx="463550" cy="0"/>
                <wp:effectExtent l="0" t="19050" r="317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4E0F6BD" id="Straight Connector 15" o:spid="_x0000_s1026" style="position:absolute;z-index:25165825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8.4pt" to="36.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" strokecolor="#ee2a24" strokeweight="2.25pt">
                <v:stroke joinstyle="miter"/>
                <w10:wrap anchorx="margin"/>
              </v:line>
            </w:pict>
          </mc:Fallback>
        </mc:AlternateContent>
      </w:r>
    </w:p>
    <w:p w14:paraId="43CAE481" w14:textId="03E6539E" w:rsidR="00703A55" w:rsidRPr="006A0747" w:rsidRDefault="00ED1958" w:rsidP="00703A55">
      <w:pPr>
        <w:spacing w:after="0"/>
        <w:jc w:val="center"/>
        <w:rPr>
          <w:rFonts w:ascii="Times New Roman" w:hAnsi="Times New Roman" w:cs="Times New Roman"/>
          <w:color w:val="767171"/>
          <w:spacing w:val="20"/>
          <w:sz w:val="24"/>
          <w:szCs w:val="24"/>
        </w:rPr>
      </w:pPr>
      <w:r w:rsidRPr="006A0747">
        <w:rPr>
          <w:rFonts w:ascii="Times New Roman" w:hAnsi="Times New Roman" w:cs="Times New Roman"/>
          <w:color w:val="767171"/>
          <w:spacing w:val="20"/>
          <w:sz w:val="24"/>
          <w:szCs w:val="24"/>
        </w:rPr>
        <w:t>Memoria Institucional 2024</w:t>
      </w:r>
    </w:p>
    <w:p w14:paraId="21B09A92" w14:textId="77777777" w:rsidR="00ED1958" w:rsidRPr="006A0747" w:rsidRDefault="00ED1958" w:rsidP="00703A55">
      <w:pPr>
        <w:spacing w:after="0"/>
        <w:jc w:val="center"/>
        <w:rPr>
          <w:rFonts w:ascii="Times New Roman" w:hAnsi="Times New Roman" w:cs="Times New Roman"/>
          <w:color w:val="767171"/>
          <w:spacing w:val="20"/>
          <w:sz w:val="24"/>
          <w:szCs w:val="24"/>
        </w:rPr>
      </w:pPr>
    </w:p>
    <w:p w14:paraId="5650A889" w14:textId="29A422D1" w:rsidR="00703A55" w:rsidRPr="006A0747" w:rsidRDefault="006E54C5" w:rsidP="000813B9">
      <w:pPr>
        <w:pStyle w:val="Ttulo2"/>
        <w:numPr>
          <w:ilvl w:val="1"/>
          <w:numId w:val="17"/>
        </w:numPr>
        <w:rPr>
          <w:rFonts w:ascii="Times New Roman" w:eastAsia="Calibri" w:hAnsi="Times New Roman" w:cs="Times New Roman"/>
          <w:b/>
          <w:color w:val="767171"/>
          <w:spacing w:val="20"/>
          <w:sz w:val="24"/>
          <w:szCs w:val="24"/>
        </w:rPr>
      </w:pPr>
      <w:bookmarkStart w:id="47" w:name="_Toc185275004"/>
      <w:r w:rsidRPr="006A0747">
        <w:rPr>
          <w:rFonts w:ascii="Times New Roman" w:eastAsia="Calibri" w:hAnsi="Times New Roman" w:cs="Times New Roman"/>
          <w:b/>
          <w:color w:val="767171"/>
          <w:spacing w:val="20"/>
          <w:sz w:val="24"/>
          <w:szCs w:val="24"/>
        </w:rPr>
        <w:t>Desempeño administrativo – financiero</w:t>
      </w:r>
      <w:bookmarkEnd w:id="47"/>
    </w:p>
    <w:p w14:paraId="58F34CC6" w14:textId="77777777" w:rsidR="00FB7B61" w:rsidRPr="006A0747" w:rsidRDefault="00FB7B61" w:rsidP="00FB7B61">
      <w:pPr>
        <w:spacing w:line="360" w:lineRule="auto"/>
        <w:jc w:val="both"/>
        <w:rPr>
          <w:rFonts w:ascii="Times New Roman" w:eastAsia="Calibri" w:hAnsi="Times New Roman" w:cs="Times New Roman"/>
          <w:color w:val="767171"/>
          <w:spacing w:val="20"/>
          <w:sz w:val="24"/>
          <w:szCs w:val="24"/>
        </w:rPr>
      </w:pPr>
    </w:p>
    <w:p w14:paraId="715F0005" w14:textId="77777777" w:rsidR="00657DD9" w:rsidRPr="006A0747" w:rsidRDefault="00657DD9" w:rsidP="00D43E84">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t>Presupuesto de ingresos</w:t>
      </w:r>
    </w:p>
    <w:p w14:paraId="6490A8DD" w14:textId="77EC0DDC" w:rsidR="00657DD9" w:rsidRPr="006A0747" w:rsidRDefault="00657DD9" w:rsidP="00D43E84">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Los ingresos de la Superintendencia de Bancos de la República Dominicana están amparados en la Quinta Resolución de fecha 26 de octubre de 2023, en la cual se recibió la aprobación de la Junta Monetaria de las partidas de ingresos, para el año 2024, por concepto de cuotas para cubrir los servicios de supervisión de las EIF que integran el sistema financiero de la República Dominicana, así como los </w:t>
      </w:r>
      <w:r w:rsidR="004A1C5C" w:rsidRPr="006A0747">
        <w:rPr>
          <w:rFonts w:ascii="Times New Roman" w:eastAsia="Calibri" w:hAnsi="Times New Roman" w:cs="Times New Roman"/>
          <w:color w:val="767171"/>
          <w:spacing w:val="20"/>
          <w:sz w:val="24"/>
          <w:szCs w:val="24"/>
        </w:rPr>
        <w:t>a</w:t>
      </w:r>
      <w:r w:rsidRPr="006A0747">
        <w:rPr>
          <w:rFonts w:ascii="Times New Roman" w:eastAsia="Calibri" w:hAnsi="Times New Roman" w:cs="Times New Roman"/>
          <w:color w:val="767171"/>
          <w:spacing w:val="20"/>
          <w:sz w:val="24"/>
          <w:szCs w:val="24"/>
        </w:rPr>
        <w:t xml:space="preserve">gentes de </w:t>
      </w:r>
      <w:r w:rsidR="004A1C5C" w:rsidRPr="006A0747">
        <w:rPr>
          <w:rFonts w:ascii="Times New Roman" w:eastAsia="Calibri" w:hAnsi="Times New Roman" w:cs="Times New Roman"/>
          <w:color w:val="767171"/>
          <w:spacing w:val="20"/>
          <w:sz w:val="24"/>
          <w:szCs w:val="24"/>
        </w:rPr>
        <w:t>c</w:t>
      </w:r>
      <w:r w:rsidRPr="006A0747">
        <w:rPr>
          <w:rFonts w:ascii="Times New Roman" w:eastAsia="Calibri" w:hAnsi="Times New Roman" w:cs="Times New Roman"/>
          <w:color w:val="767171"/>
          <w:spacing w:val="20"/>
          <w:sz w:val="24"/>
          <w:szCs w:val="24"/>
        </w:rPr>
        <w:t>ambios, por un monto de seis mil quinientos diecisiete millones, seiscientos diez mil setecientos ochenta y dos pesos con 00/100 (RD$6,517,610,782</w:t>
      </w:r>
      <w:r w:rsidR="00EF16D4" w:rsidRPr="006A0747">
        <w:rPr>
          <w:rFonts w:ascii="Times New Roman" w:eastAsia="Calibri" w:hAnsi="Times New Roman" w:cs="Times New Roman"/>
          <w:color w:val="767171"/>
          <w:spacing w:val="20"/>
          <w:sz w:val="24"/>
          <w:szCs w:val="24"/>
        </w:rPr>
        <w:t>)</w:t>
      </w:r>
      <w:r w:rsidR="00D741A6" w:rsidRPr="006A0747">
        <w:rPr>
          <w:rFonts w:ascii="Times New Roman" w:eastAsia="Calibri" w:hAnsi="Times New Roman" w:cs="Times New Roman"/>
          <w:color w:val="767171"/>
          <w:spacing w:val="20"/>
          <w:sz w:val="24"/>
          <w:szCs w:val="24"/>
        </w:rPr>
        <w:t xml:space="preserve">. </w:t>
      </w:r>
      <w:r w:rsidRPr="006A0747">
        <w:rPr>
          <w:rFonts w:ascii="Times New Roman" w:eastAsia="Calibri" w:hAnsi="Times New Roman" w:cs="Times New Roman"/>
          <w:color w:val="767171"/>
          <w:spacing w:val="20"/>
          <w:sz w:val="24"/>
          <w:szCs w:val="24"/>
        </w:rPr>
        <w:t xml:space="preserve">En adición, se presupuestaron otros ingresos, en su mayoría por rentabilidad de instrumentos financieros, por un monto de seiscientos setenta y dos millones, trescientos cuarenta y seis mil y novecientos veintiséis pesos 00/100 (RD$672,346,926). </w:t>
      </w:r>
    </w:p>
    <w:p w14:paraId="581481FB" w14:textId="0DE7B461" w:rsidR="00E67DE4" w:rsidRPr="006A0747" w:rsidRDefault="00E67DE4" w:rsidP="006F0F33">
      <w:pPr>
        <w:spacing w:after="0"/>
        <w:jc w:val="center"/>
        <w:rPr>
          <w:rFonts w:ascii="Times New Roman" w:hAnsi="Times New Roman" w:cs="Times New Roman"/>
          <w:b/>
          <w:color w:val="767171"/>
          <w:spacing w:val="20"/>
          <w:sz w:val="24"/>
          <w:szCs w:val="24"/>
        </w:rPr>
      </w:pPr>
      <w:bookmarkStart w:id="48" w:name="_Hlk121909043"/>
      <w:r w:rsidRPr="006A0747">
        <w:rPr>
          <w:rFonts w:ascii="Times New Roman" w:hAnsi="Times New Roman" w:cs="Times New Roman"/>
          <w:b/>
          <w:color w:val="767171"/>
          <w:spacing w:val="20"/>
          <w:sz w:val="24"/>
          <w:szCs w:val="24"/>
        </w:rPr>
        <w:t xml:space="preserve">Tabla </w:t>
      </w:r>
      <w:r w:rsidR="008F243D" w:rsidRPr="006A0747">
        <w:rPr>
          <w:rFonts w:ascii="Times New Roman" w:hAnsi="Times New Roman" w:cs="Times New Roman"/>
          <w:b/>
          <w:color w:val="767171"/>
          <w:spacing w:val="20"/>
          <w:sz w:val="24"/>
          <w:szCs w:val="24"/>
        </w:rPr>
        <w:t>5</w:t>
      </w:r>
      <w:r w:rsidRPr="006A0747">
        <w:rPr>
          <w:rFonts w:ascii="Times New Roman" w:hAnsi="Times New Roman" w:cs="Times New Roman"/>
          <w:b/>
          <w:color w:val="767171"/>
          <w:spacing w:val="20"/>
          <w:sz w:val="24"/>
          <w:szCs w:val="24"/>
        </w:rPr>
        <w:t xml:space="preserve">. Ingresos presupuestados y percibidos por la Superintendencia de Bancos según fuente de ingresos. </w:t>
      </w:r>
      <w:r w:rsidR="008D66B3" w:rsidRPr="006A0747">
        <w:rPr>
          <w:rFonts w:ascii="Times New Roman" w:hAnsi="Times New Roman" w:cs="Times New Roman"/>
          <w:b/>
          <w:color w:val="767171"/>
          <w:spacing w:val="20"/>
          <w:sz w:val="24"/>
          <w:szCs w:val="24"/>
        </w:rPr>
        <w:t>e</w:t>
      </w:r>
      <w:r w:rsidRPr="006A0747">
        <w:rPr>
          <w:rFonts w:ascii="Times New Roman" w:hAnsi="Times New Roman" w:cs="Times New Roman"/>
          <w:b/>
          <w:color w:val="767171"/>
          <w:spacing w:val="20"/>
          <w:sz w:val="24"/>
          <w:szCs w:val="24"/>
        </w:rPr>
        <w:t>nero-</w:t>
      </w:r>
      <w:r w:rsidR="006B714D">
        <w:rPr>
          <w:rFonts w:ascii="Times New Roman" w:hAnsi="Times New Roman" w:cs="Times New Roman"/>
          <w:b/>
          <w:color w:val="767171"/>
          <w:spacing w:val="20"/>
          <w:sz w:val="24"/>
          <w:szCs w:val="24"/>
        </w:rPr>
        <w:t>diciembre</w:t>
      </w:r>
      <w:r w:rsidRPr="006A0747">
        <w:rPr>
          <w:rFonts w:ascii="Times New Roman" w:hAnsi="Times New Roman" w:cs="Times New Roman"/>
          <w:b/>
          <w:color w:val="767171"/>
          <w:spacing w:val="20"/>
          <w:sz w:val="24"/>
          <w:szCs w:val="24"/>
        </w:rPr>
        <w:t xml:space="preserve"> 2024</w:t>
      </w:r>
    </w:p>
    <w:p w14:paraId="53AC06FC" w14:textId="77777777" w:rsidR="005357F0" w:rsidRPr="006A0747" w:rsidRDefault="005357F0" w:rsidP="006F0F33">
      <w:pPr>
        <w:spacing w:after="0"/>
        <w:jc w:val="center"/>
        <w:rPr>
          <w:rFonts w:ascii="Times New Roman" w:hAnsi="Times New Roman" w:cs="Times New Roman"/>
          <w:b/>
          <w:color w:val="767171"/>
          <w:spacing w:val="20"/>
          <w:sz w:val="24"/>
          <w:szCs w:val="24"/>
        </w:rPr>
      </w:pPr>
    </w:p>
    <w:tbl>
      <w:tblPr>
        <w:tblW w:w="5491"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CellMar>
          <w:left w:w="0" w:type="dxa"/>
          <w:right w:w="0" w:type="dxa"/>
        </w:tblCellMar>
        <w:tblLook w:val="04A0" w:firstRow="1" w:lastRow="0" w:firstColumn="1" w:lastColumn="0" w:noHBand="0" w:noVBand="1"/>
      </w:tblPr>
      <w:tblGrid>
        <w:gridCol w:w="4176"/>
        <w:gridCol w:w="2487"/>
        <w:gridCol w:w="2013"/>
      </w:tblGrid>
      <w:tr w:rsidR="00EA7388" w:rsidRPr="006A0747" w14:paraId="44C9637A" w14:textId="77777777" w:rsidTr="00E15C54">
        <w:trPr>
          <w:trHeight w:val="75"/>
          <w:jc w:val="center"/>
        </w:trPr>
        <w:tc>
          <w:tcPr>
            <w:tcW w:w="2407" w:type="pct"/>
            <w:tcBorders>
              <w:top w:val="single" w:sz="8" w:space="0" w:color="000000"/>
              <w:left w:val="single" w:sz="8" w:space="0" w:color="000000"/>
              <w:bottom w:val="single" w:sz="8" w:space="0" w:color="000000"/>
              <w:right w:val="single" w:sz="8" w:space="0" w:color="000000"/>
            </w:tcBorders>
            <w:shd w:val="clear" w:color="auto" w:fill="011C50"/>
            <w:tcMar>
              <w:top w:w="80" w:type="dxa"/>
              <w:left w:w="80" w:type="dxa"/>
              <w:bottom w:w="80" w:type="dxa"/>
              <w:right w:w="80" w:type="dxa"/>
            </w:tcMar>
            <w:vAlign w:val="center"/>
          </w:tcPr>
          <w:p w14:paraId="75ABA999" w14:textId="77777777" w:rsidR="00EA7388" w:rsidRPr="006A0747" w:rsidRDefault="00EA7388" w:rsidP="00EA7388">
            <w:pPr>
              <w:spacing w:after="0"/>
              <w:jc w:val="center"/>
              <w:rPr>
                <w:rFonts w:ascii="Times New Roman" w:hAnsi="Times New Roman" w:cs="Times New Roman"/>
                <w:b/>
                <w:bCs/>
                <w:color w:val="FFFFFF" w:themeColor="background1"/>
                <w:spacing w:val="20"/>
                <w:sz w:val="24"/>
                <w:szCs w:val="24"/>
              </w:rPr>
            </w:pPr>
            <w:r w:rsidRPr="006A0747">
              <w:rPr>
                <w:rFonts w:ascii="Times New Roman" w:hAnsi="Times New Roman" w:cs="Times New Roman"/>
                <w:b/>
                <w:bCs/>
                <w:color w:val="FFFFFF" w:themeColor="background1"/>
                <w:spacing w:val="20"/>
                <w:sz w:val="24"/>
                <w:szCs w:val="24"/>
              </w:rPr>
              <w:t>Fuente</w:t>
            </w:r>
          </w:p>
        </w:tc>
        <w:tc>
          <w:tcPr>
            <w:tcW w:w="1433" w:type="pct"/>
            <w:tcBorders>
              <w:top w:val="single" w:sz="8" w:space="0" w:color="000000"/>
              <w:left w:val="single" w:sz="8" w:space="0" w:color="000000"/>
              <w:bottom w:val="single" w:sz="8" w:space="0" w:color="000000"/>
              <w:right w:val="single" w:sz="8" w:space="0" w:color="000000"/>
            </w:tcBorders>
            <w:shd w:val="clear" w:color="auto" w:fill="011C50"/>
            <w:tcMar>
              <w:top w:w="80" w:type="dxa"/>
              <w:left w:w="80" w:type="dxa"/>
              <w:bottom w:w="80" w:type="dxa"/>
              <w:right w:w="80" w:type="dxa"/>
            </w:tcMar>
            <w:vAlign w:val="center"/>
          </w:tcPr>
          <w:p w14:paraId="55965003" w14:textId="77777777" w:rsidR="00EA7388" w:rsidRPr="006A0747" w:rsidRDefault="00EA7388" w:rsidP="00EA7388">
            <w:pPr>
              <w:spacing w:after="0"/>
              <w:jc w:val="center"/>
              <w:rPr>
                <w:rFonts w:ascii="Times New Roman" w:hAnsi="Times New Roman" w:cs="Times New Roman"/>
                <w:b/>
                <w:bCs/>
                <w:color w:val="FFFFFF" w:themeColor="background1"/>
                <w:spacing w:val="20"/>
                <w:sz w:val="24"/>
                <w:szCs w:val="24"/>
              </w:rPr>
            </w:pPr>
            <w:r w:rsidRPr="006A0747">
              <w:rPr>
                <w:rFonts w:ascii="Times New Roman" w:hAnsi="Times New Roman" w:cs="Times New Roman"/>
                <w:b/>
                <w:bCs/>
                <w:color w:val="FFFFFF" w:themeColor="background1"/>
                <w:spacing w:val="20"/>
                <w:sz w:val="24"/>
                <w:szCs w:val="24"/>
              </w:rPr>
              <w:t>Monto/presupuesto</w:t>
            </w:r>
          </w:p>
        </w:tc>
        <w:tc>
          <w:tcPr>
            <w:tcW w:w="1160" w:type="pct"/>
            <w:tcBorders>
              <w:top w:val="single" w:sz="8" w:space="0" w:color="000000"/>
              <w:left w:val="single" w:sz="8" w:space="0" w:color="000000"/>
              <w:bottom w:val="single" w:sz="8" w:space="0" w:color="000000"/>
              <w:right w:val="single" w:sz="8" w:space="0" w:color="000000"/>
            </w:tcBorders>
            <w:shd w:val="clear" w:color="auto" w:fill="011C50"/>
            <w:tcMar>
              <w:top w:w="80" w:type="dxa"/>
              <w:left w:w="80" w:type="dxa"/>
              <w:bottom w:w="80" w:type="dxa"/>
              <w:right w:w="80" w:type="dxa"/>
            </w:tcMar>
            <w:vAlign w:val="center"/>
          </w:tcPr>
          <w:p w14:paraId="02885FA1" w14:textId="77777777" w:rsidR="00EA7388" w:rsidRPr="006A0747" w:rsidRDefault="00EA7388" w:rsidP="00EA7388">
            <w:pPr>
              <w:spacing w:after="0"/>
              <w:jc w:val="center"/>
              <w:rPr>
                <w:rFonts w:ascii="Times New Roman" w:hAnsi="Times New Roman" w:cs="Times New Roman"/>
                <w:b/>
                <w:bCs/>
                <w:color w:val="FFFFFF" w:themeColor="background1"/>
                <w:spacing w:val="20"/>
                <w:sz w:val="24"/>
                <w:szCs w:val="24"/>
              </w:rPr>
            </w:pPr>
            <w:r w:rsidRPr="006A0747">
              <w:rPr>
                <w:rFonts w:ascii="Times New Roman" w:hAnsi="Times New Roman" w:cs="Times New Roman"/>
                <w:b/>
                <w:bCs/>
                <w:color w:val="FFFFFF" w:themeColor="background1"/>
                <w:spacing w:val="20"/>
                <w:sz w:val="24"/>
                <w:szCs w:val="24"/>
              </w:rPr>
              <w:t>Monto percibido</w:t>
            </w:r>
          </w:p>
        </w:tc>
      </w:tr>
      <w:tr w:rsidR="00EA7388" w:rsidRPr="006A0747" w14:paraId="5E720A46" w14:textId="77777777" w:rsidTr="00E15C54">
        <w:trPr>
          <w:trHeight w:val="283"/>
          <w:jc w:val="center"/>
        </w:trPr>
        <w:tc>
          <w:tcPr>
            <w:tcW w:w="2407"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CFA1DCE" w14:textId="77777777" w:rsidR="00EA7388" w:rsidRPr="006A0747" w:rsidRDefault="00EA7388" w:rsidP="00EA7388">
            <w:pPr>
              <w:spacing w:after="0"/>
              <w:jc w:val="center"/>
              <w:rPr>
                <w:rFonts w:ascii="Times New Roman" w:hAnsi="Times New Roman" w:cs="Times New Roman"/>
                <w:b/>
                <w:bCs/>
                <w:color w:val="767171"/>
                <w:spacing w:val="20"/>
                <w:sz w:val="24"/>
                <w:szCs w:val="24"/>
              </w:rPr>
            </w:pPr>
            <w:r w:rsidRPr="006A0747">
              <w:rPr>
                <w:rFonts w:ascii="Times New Roman" w:hAnsi="Times New Roman" w:cs="Times New Roman"/>
                <w:b/>
                <w:bCs/>
                <w:color w:val="767171"/>
                <w:spacing w:val="20"/>
                <w:sz w:val="24"/>
                <w:szCs w:val="24"/>
              </w:rPr>
              <w:t>Bancos de Servicios Múltiples</w:t>
            </w:r>
          </w:p>
        </w:tc>
        <w:tc>
          <w:tcPr>
            <w:tcW w:w="1433"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2565A8E" w14:textId="77777777" w:rsidR="00EA7388" w:rsidRPr="006A0747" w:rsidRDefault="00EA7388" w:rsidP="00EA7388">
            <w:pPr>
              <w:spacing w:after="0"/>
              <w:jc w:val="center"/>
              <w:rPr>
                <w:rFonts w:ascii="Times New Roman" w:hAnsi="Times New Roman" w:cs="Times New Roman"/>
                <w:b/>
                <w:bCs/>
                <w:color w:val="767171"/>
                <w:spacing w:val="20"/>
                <w:sz w:val="24"/>
                <w:szCs w:val="24"/>
              </w:rPr>
            </w:pPr>
            <w:r w:rsidRPr="006A0747">
              <w:rPr>
                <w:rFonts w:ascii="Times New Roman" w:hAnsi="Times New Roman" w:cs="Times New Roman"/>
                <w:b/>
                <w:bCs/>
                <w:color w:val="767171"/>
                <w:spacing w:val="20"/>
                <w:sz w:val="24"/>
                <w:szCs w:val="24"/>
              </w:rPr>
              <w:t>5,779,068,953</w:t>
            </w:r>
          </w:p>
        </w:tc>
        <w:tc>
          <w:tcPr>
            <w:tcW w:w="1160"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5DCB0A8" w14:textId="77777777" w:rsidR="00EA7388" w:rsidRPr="006A0747" w:rsidRDefault="00EA7388" w:rsidP="00EA7388">
            <w:pPr>
              <w:spacing w:after="0"/>
              <w:jc w:val="center"/>
              <w:rPr>
                <w:rFonts w:ascii="Times New Roman" w:hAnsi="Times New Roman" w:cs="Times New Roman"/>
                <w:b/>
                <w:bCs/>
                <w:color w:val="767171"/>
                <w:spacing w:val="20"/>
                <w:sz w:val="24"/>
                <w:szCs w:val="24"/>
              </w:rPr>
            </w:pPr>
            <w:r w:rsidRPr="006A0747">
              <w:rPr>
                <w:rFonts w:ascii="Times New Roman" w:hAnsi="Times New Roman" w:cs="Times New Roman"/>
                <w:b/>
                <w:bCs/>
                <w:color w:val="767171"/>
                <w:spacing w:val="20"/>
                <w:sz w:val="24"/>
                <w:szCs w:val="24"/>
              </w:rPr>
              <w:t>5,779,068,953</w:t>
            </w:r>
          </w:p>
        </w:tc>
      </w:tr>
      <w:tr w:rsidR="00EA7388" w:rsidRPr="006A0747" w14:paraId="7DCC7853" w14:textId="77777777" w:rsidTr="00E15C54">
        <w:trPr>
          <w:trHeight w:val="283"/>
          <w:jc w:val="center"/>
        </w:trPr>
        <w:tc>
          <w:tcPr>
            <w:tcW w:w="2407"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8011930" w14:textId="77777777" w:rsidR="00EA7388" w:rsidRPr="006A0747" w:rsidRDefault="00EA7388" w:rsidP="00EA7388">
            <w:pPr>
              <w:spacing w:after="0"/>
              <w:jc w:val="center"/>
              <w:rPr>
                <w:rFonts w:ascii="Times New Roman" w:hAnsi="Times New Roman" w:cs="Times New Roman"/>
                <w:b/>
                <w:color w:val="767171"/>
                <w:spacing w:val="20"/>
                <w:sz w:val="24"/>
                <w:szCs w:val="24"/>
              </w:rPr>
            </w:pPr>
            <w:r w:rsidRPr="006A0747">
              <w:rPr>
                <w:rFonts w:ascii="Times New Roman" w:hAnsi="Times New Roman" w:cs="Times New Roman"/>
                <w:b/>
                <w:color w:val="767171"/>
                <w:spacing w:val="20"/>
                <w:sz w:val="24"/>
                <w:szCs w:val="24"/>
              </w:rPr>
              <w:t>Asociaciones de Ahorros y Préstamos</w:t>
            </w:r>
          </w:p>
        </w:tc>
        <w:tc>
          <w:tcPr>
            <w:tcW w:w="1433"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D3026A5" w14:textId="77777777" w:rsidR="00EA7388" w:rsidRPr="006A0747" w:rsidRDefault="00EA7388" w:rsidP="00EA7388">
            <w:pPr>
              <w:spacing w:after="0"/>
              <w:jc w:val="center"/>
              <w:rPr>
                <w:rFonts w:ascii="Times New Roman" w:hAnsi="Times New Roman" w:cs="Times New Roman"/>
                <w:b/>
                <w:bCs/>
                <w:color w:val="767171"/>
                <w:spacing w:val="20"/>
                <w:sz w:val="24"/>
                <w:szCs w:val="24"/>
              </w:rPr>
            </w:pPr>
            <w:r w:rsidRPr="006A0747">
              <w:rPr>
                <w:rFonts w:ascii="Times New Roman" w:hAnsi="Times New Roman" w:cs="Times New Roman"/>
                <w:b/>
                <w:bCs/>
                <w:color w:val="767171"/>
                <w:spacing w:val="20"/>
                <w:sz w:val="24"/>
                <w:szCs w:val="24"/>
              </w:rPr>
              <w:t>602,100,254</w:t>
            </w:r>
          </w:p>
        </w:tc>
        <w:tc>
          <w:tcPr>
            <w:tcW w:w="1160"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B476A78" w14:textId="77777777" w:rsidR="00EA7388" w:rsidRPr="006A0747" w:rsidRDefault="00EA7388" w:rsidP="00EA7388">
            <w:pPr>
              <w:spacing w:after="0"/>
              <w:jc w:val="center"/>
              <w:rPr>
                <w:rFonts w:ascii="Times New Roman" w:hAnsi="Times New Roman" w:cs="Times New Roman"/>
                <w:b/>
                <w:bCs/>
                <w:color w:val="767171"/>
                <w:spacing w:val="20"/>
                <w:sz w:val="24"/>
                <w:szCs w:val="24"/>
              </w:rPr>
            </w:pPr>
            <w:r w:rsidRPr="006A0747">
              <w:rPr>
                <w:rFonts w:ascii="Times New Roman" w:hAnsi="Times New Roman" w:cs="Times New Roman"/>
                <w:b/>
                <w:bCs/>
                <w:color w:val="767171"/>
                <w:spacing w:val="20"/>
                <w:sz w:val="24"/>
                <w:szCs w:val="24"/>
              </w:rPr>
              <w:t>602,100,254</w:t>
            </w:r>
          </w:p>
        </w:tc>
      </w:tr>
      <w:tr w:rsidR="00EA7388" w:rsidRPr="006A0747" w14:paraId="6B65B6C0" w14:textId="77777777" w:rsidTr="00E15C54">
        <w:trPr>
          <w:trHeight w:val="283"/>
          <w:jc w:val="center"/>
        </w:trPr>
        <w:tc>
          <w:tcPr>
            <w:tcW w:w="2407"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830F660" w14:textId="77777777" w:rsidR="00EA7388" w:rsidRPr="006A0747" w:rsidRDefault="00EA7388" w:rsidP="00EA7388">
            <w:pPr>
              <w:spacing w:after="0"/>
              <w:jc w:val="center"/>
              <w:rPr>
                <w:rFonts w:ascii="Times New Roman" w:hAnsi="Times New Roman" w:cs="Times New Roman"/>
                <w:b/>
                <w:color w:val="767171"/>
                <w:spacing w:val="20"/>
                <w:sz w:val="24"/>
                <w:szCs w:val="24"/>
              </w:rPr>
            </w:pPr>
            <w:r w:rsidRPr="006A0747">
              <w:rPr>
                <w:rFonts w:ascii="Times New Roman" w:hAnsi="Times New Roman" w:cs="Times New Roman"/>
                <w:b/>
                <w:color w:val="767171"/>
                <w:spacing w:val="20"/>
                <w:sz w:val="24"/>
                <w:szCs w:val="24"/>
              </w:rPr>
              <w:t>Bancos de Ahorros y Créditos</w:t>
            </w:r>
          </w:p>
        </w:tc>
        <w:tc>
          <w:tcPr>
            <w:tcW w:w="1433"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9687BD7" w14:textId="77777777" w:rsidR="00EA7388" w:rsidRPr="006A0747" w:rsidRDefault="00EA7388" w:rsidP="00EA7388">
            <w:pPr>
              <w:spacing w:after="0"/>
              <w:jc w:val="center"/>
              <w:rPr>
                <w:rFonts w:ascii="Times New Roman" w:hAnsi="Times New Roman" w:cs="Times New Roman"/>
                <w:b/>
                <w:bCs/>
                <w:color w:val="767171"/>
                <w:spacing w:val="20"/>
                <w:sz w:val="24"/>
                <w:szCs w:val="24"/>
              </w:rPr>
            </w:pPr>
            <w:r w:rsidRPr="006A0747">
              <w:rPr>
                <w:rFonts w:ascii="Times New Roman" w:hAnsi="Times New Roman" w:cs="Times New Roman"/>
                <w:b/>
                <w:bCs/>
                <w:color w:val="767171"/>
                <w:spacing w:val="20"/>
                <w:sz w:val="24"/>
                <w:szCs w:val="24"/>
              </w:rPr>
              <w:t>123,930,439</w:t>
            </w:r>
          </w:p>
        </w:tc>
        <w:tc>
          <w:tcPr>
            <w:tcW w:w="1160"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863E56F" w14:textId="77777777" w:rsidR="00EA7388" w:rsidRPr="006A0747" w:rsidRDefault="00EA7388" w:rsidP="00EA7388">
            <w:pPr>
              <w:spacing w:after="0"/>
              <w:jc w:val="center"/>
              <w:rPr>
                <w:rFonts w:ascii="Times New Roman" w:hAnsi="Times New Roman" w:cs="Times New Roman"/>
                <w:b/>
                <w:bCs/>
                <w:color w:val="767171"/>
                <w:spacing w:val="20"/>
                <w:sz w:val="24"/>
                <w:szCs w:val="24"/>
              </w:rPr>
            </w:pPr>
            <w:r w:rsidRPr="006A0747">
              <w:rPr>
                <w:rFonts w:ascii="Times New Roman" w:hAnsi="Times New Roman" w:cs="Times New Roman"/>
                <w:b/>
                <w:bCs/>
                <w:color w:val="767171"/>
                <w:spacing w:val="20"/>
                <w:sz w:val="24"/>
                <w:szCs w:val="24"/>
              </w:rPr>
              <w:t>123,930,439</w:t>
            </w:r>
          </w:p>
        </w:tc>
      </w:tr>
      <w:tr w:rsidR="00EA7388" w:rsidRPr="006A0747" w14:paraId="0E3B1701" w14:textId="77777777" w:rsidTr="00E15C54">
        <w:trPr>
          <w:trHeight w:val="283"/>
          <w:jc w:val="center"/>
        </w:trPr>
        <w:tc>
          <w:tcPr>
            <w:tcW w:w="2407"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820E560" w14:textId="77777777" w:rsidR="00EA7388" w:rsidRPr="006A0747" w:rsidRDefault="00EA7388" w:rsidP="00EA7388">
            <w:pPr>
              <w:spacing w:after="0"/>
              <w:jc w:val="center"/>
              <w:rPr>
                <w:rFonts w:ascii="Times New Roman" w:hAnsi="Times New Roman" w:cs="Times New Roman"/>
                <w:b/>
                <w:bCs/>
                <w:color w:val="767171"/>
                <w:spacing w:val="20"/>
                <w:sz w:val="24"/>
                <w:szCs w:val="24"/>
              </w:rPr>
            </w:pPr>
            <w:r w:rsidRPr="006A0747">
              <w:rPr>
                <w:rFonts w:ascii="Times New Roman" w:hAnsi="Times New Roman" w:cs="Times New Roman"/>
                <w:b/>
                <w:bCs/>
                <w:color w:val="767171"/>
                <w:spacing w:val="20"/>
                <w:sz w:val="24"/>
                <w:szCs w:val="24"/>
              </w:rPr>
              <w:lastRenderedPageBreak/>
              <w:t>Corporaciones de Créditos</w:t>
            </w:r>
          </w:p>
        </w:tc>
        <w:tc>
          <w:tcPr>
            <w:tcW w:w="1433"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10C7701" w14:textId="77777777" w:rsidR="00EA7388" w:rsidRPr="006A0747" w:rsidRDefault="00EA7388" w:rsidP="00EA7388">
            <w:pPr>
              <w:spacing w:after="0"/>
              <w:jc w:val="center"/>
              <w:rPr>
                <w:rFonts w:ascii="Times New Roman" w:hAnsi="Times New Roman" w:cs="Times New Roman"/>
                <w:b/>
                <w:bCs/>
                <w:color w:val="767171"/>
                <w:spacing w:val="20"/>
                <w:sz w:val="24"/>
                <w:szCs w:val="24"/>
              </w:rPr>
            </w:pPr>
            <w:r w:rsidRPr="006A0747">
              <w:rPr>
                <w:rFonts w:ascii="Times New Roman" w:hAnsi="Times New Roman" w:cs="Times New Roman"/>
                <w:b/>
                <w:bCs/>
                <w:color w:val="767171"/>
                <w:spacing w:val="20"/>
                <w:sz w:val="24"/>
                <w:szCs w:val="24"/>
              </w:rPr>
              <w:t>6,101,919</w:t>
            </w:r>
          </w:p>
        </w:tc>
        <w:tc>
          <w:tcPr>
            <w:tcW w:w="1160"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63E471E" w14:textId="77777777" w:rsidR="00EA7388" w:rsidRPr="006A0747" w:rsidRDefault="00EA7388" w:rsidP="00EA7388">
            <w:pPr>
              <w:spacing w:after="0"/>
              <w:jc w:val="center"/>
              <w:rPr>
                <w:rFonts w:ascii="Times New Roman" w:hAnsi="Times New Roman" w:cs="Times New Roman"/>
                <w:b/>
                <w:bCs/>
                <w:color w:val="767171"/>
                <w:spacing w:val="20"/>
                <w:sz w:val="24"/>
                <w:szCs w:val="24"/>
              </w:rPr>
            </w:pPr>
            <w:r w:rsidRPr="006A0747">
              <w:rPr>
                <w:rFonts w:ascii="Times New Roman" w:hAnsi="Times New Roman" w:cs="Times New Roman"/>
                <w:b/>
                <w:bCs/>
                <w:color w:val="767171"/>
                <w:spacing w:val="20"/>
                <w:sz w:val="24"/>
                <w:szCs w:val="24"/>
              </w:rPr>
              <w:t>6,101,919</w:t>
            </w:r>
          </w:p>
        </w:tc>
      </w:tr>
      <w:tr w:rsidR="00EA7388" w:rsidRPr="006A0747" w14:paraId="6CB46CDB" w14:textId="77777777" w:rsidTr="00E15C54">
        <w:trPr>
          <w:trHeight w:val="283"/>
          <w:jc w:val="center"/>
        </w:trPr>
        <w:tc>
          <w:tcPr>
            <w:tcW w:w="2407"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BE868F5" w14:textId="77777777" w:rsidR="00EA7388" w:rsidRPr="006A0747" w:rsidRDefault="00EA7388" w:rsidP="00EA7388">
            <w:pPr>
              <w:spacing w:after="0"/>
              <w:jc w:val="center"/>
              <w:rPr>
                <w:rFonts w:ascii="Times New Roman" w:hAnsi="Times New Roman" w:cs="Times New Roman"/>
                <w:b/>
                <w:color w:val="767171"/>
                <w:spacing w:val="20"/>
                <w:sz w:val="24"/>
                <w:szCs w:val="24"/>
              </w:rPr>
            </w:pPr>
            <w:r w:rsidRPr="006A0747">
              <w:rPr>
                <w:rFonts w:ascii="Times New Roman" w:hAnsi="Times New Roman" w:cs="Times New Roman"/>
                <w:b/>
                <w:color w:val="767171"/>
                <w:spacing w:val="20"/>
                <w:sz w:val="24"/>
                <w:szCs w:val="24"/>
              </w:rPr>
              <w:t>Agentes de Cambio y Remesadoras</w:t>
            </w:r>
          </w:p>
        </w:tc>
        <w:tc>
          <w:tcPr>
            <w:tcW w:w="1433"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E0F5B52" w14:textId="77777777" w:rsidR="00EA7388" w:rsidRPr="006A0747" w:rsidRDefault="00EA7388" w:rsidP="00EA7388">
            <w:pPr>
              <w:spacing w:after="0"/>
              <w:jc w:val="center"/>
              <w:rPr>
                <w:rFonts w:ascii="Times New Roman" w:hAnsi="Times New Roman" w:cs="Times New Roman"/>
                <w:b/>
                <w:bCs/>
                <w:color w:val="767171"/>
                <w:spacing w:val="20"/>
                <w:sz w:val="24"/>
                <w:szCs w:val="24"/>
              </w:rPr>
            </w:pPr>
            <w:r w:rsidRPr="006A0747">
              <w:rPr>
                <w:rFonts w:ascii="Times New Roman" w:hAnsi="Times New Roman" w:cs="Times New Roman"/>
                <w:b/>
                <w:bCs/>
                <w:color w:val="767171"/>
                <w:spacing w:val="20"/>
                <w:sz w:val="24"/>
                <w:szCs w:val="24"/>
              </w:rPr>
              <w:t>6,409,217</w:t>
            </w:r>
          </w:p>
        </w:tc>
        <w:tc>
          <w:tcPr>
            <w:tcW w:w="1160"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E2F03DF" w14:textId="77777777" w:rsidR="00EA7388" w:rsidRPr="006A0747" w:rsidRDefault="00EA7388" w:rsidP="00EA7388">
            <w:pPr>
              <w:spacing w:after="0"/>
              <w:jc w:val="center"/>
              <w:rPr>
                <w:rFonts w:ascii="Times New Roman" w:hAnsi="Times New Roman" w:cs="Times New Roman"/>
                <w:b/>
                <w:bCs/>
                <w:color w:val="767171"/>
                <w:spacing w:val="20"/>
                <w:sz w:val="24"/>
                <w:szCs w:val="24"/>
              </w:rPr>
            </w:pPr>
            <w:r w:rsidRPr="006A0747">
              <w:rPr>
                <w:rFonts w:ascii="Times New Roman" w:hAnsi="Times New Roman" w:cs="Times New Roman"/>
                <w:b/>
                <w:bCs/>
                <w:color w:val="767171"/>
                <w:spacing w:val="20"/>
                <w:sz w:val="24"/>
                <w:szCs w:val="24"/>
              </w:rPr>
              <w:t>6,409,217</w:t>
            </w:r>
          </w:p>
        </w:tc>
      </w:tr>
      <w:tr w:rsidR="00EA7388" w:rsidRPr="006A0747" w14:paraId="1E4604BC" w14:textId="77777777" w:rsidTr="00E15C54">
        <w:trPr>
          <w:trHeight w:val="283"/>
          <w:jc w:val="center"/>
        </w:trPr>
        <w:tc>
          <w:tcPr>
            <w:tcW w:w="2407"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0C10EA9" w14:textId="77777777" w:rsidR="00EA7388" w:rsidRPr="006A0747" w:rsidRDefault="00EA7388" w:rsidP="00EA7388">
            <w:pPr>
              <w:spacing w:after="0"/>
              <w:jc w:val="center"/>
              <w:rPr>
                <w:rFonts w:ascii="Times New Roman" w:hAnsi="Times New Roman" w:cs="Times New Roman"/>
                <w:b/>
                <w:bCs/>
                <w:color w:val="767171"/>
                <w:spacing w:val="20"/>
                <w:sz w:val="24"/>
                <w:szCs w:val="24"/>
              </w:rPr>
            </w:pPr>
            <w:r w:rsidRPr="006A0747">
              <w:rPr>
                <w:rFonts w:ascii="Times New Roman" w:hAnsi="Times New Roman" w:cs="Times New Roman"/>
                <w:b/>
                <w:bCs/>
                <w:color w:val="767171"/>
                <w:spacing w:val="20"/>
                <w:sz w:val="24"/>
                <w:szCs w:val="24"/>
              </w:rPr>
              <w:t>Otros ingresos</w:t>
            </w:r>
          </w:p>
        </w:tc>
        <w:tc>
          <w:tcPr>
            <w:tcW w:w="1433"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95C4208" w14:textId="77777777" w:rsidR="00EA7388" w:rsidRPr="006A0747" w:rsidRDefault="00EA7388" w:rsidP="00EA7388">
            <w:pPr>
              <w:spacing w:after="0"/>
              <w:jc w:val="center"/>
              <w:rPr>
                <w:rFonts w:ascii="Times New Roman" w:hAnsi="Times New Roman" w:cs="Times New Roman"/>
                <w:b/>
                <w:bCs/>
                <w:color w:val="767171"/>
                <w:spacing w:val="20"/>
                <w:sz w:val="24"/>
                <w:szCs w:val="24"/>
              </w:rPr>
            </w:pPr>
            <w:r w:rsidRPr="006A0747">
              <w:rPr>
                <w:rFonts w:ascii="Times New Roman" w:hAnsi="Times New Roman" w:cs="Times New Roman"/>
                <w:b/>
                <w:bCs/>
                <w:color w:val="767171"/>
                <w:spacing w:val="20"/>
                <w:sz w:val="24"/>
                <w:szCs w:val="24"/>
              </w:rPr>
              <w:t>672,346,926</w:t>
            </w:r>
          </w:p>
        </w:tc>
        <w:tc>
          <w:tcPr>
            <w:tcW w:w="1160"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35E288A" w14:textId="66B42DFF" w:rsidR="00EA7388" w:rsidRPr="006A0747" w:rsidRDefault="006F2E62" w:rsidP="00EA7388">
            <w:pPr>
              <w:spacing w:after="0"/>
              <w:jc w:val="center"/>
              <w:rPr>
                <w:rFonts w:ascii="Times New Roman" w:hAnsi="Times New Roman" w:cs="Times New Roman"/>
                <w:b/>
                <w:bCs/>
                <w:color w:val="767171"/>
                <w:spacing w:val="20"/>
                <w:sz w:val="24"/>
                <w:szCs w:val="24"/>
              </w:rPr>
            </w:pPr>
            <w:r>
              <w:rPr>
                <w:rFonts w:ascii="Times New Roman" w:hAnsi="Times New Roman" w:cs="Times New Roman"/>
                <w:b/>
                <w:bCs/>
                <w:color w:val="767171"/>
                <w:spacing w:val="20"/>
                <w:sz w:val="24"/>
                <w:szCs w:val="24"/>
              </w:rPr>
              <w:t>932</w:t>
            </w:r>
            <w:r w:rsidR="00EA7388" w:rsidRPr="006A0747">
              <w:rPr>
                <w:rFonts w:ascii="Times New Roman" w:hAnsi="Times New Roman" w:cs="Times New Roman"/>
                <w:b/>
                <w:bCs/>
                <w:color w:val="767171"/>
                <w:spacing w:val="20"/>
                <w:sz w:val="24"/>
                <w:szCs w:val="24"/>
              </w:rPr>
              <w:t>,</w:t>
            </w:r>
            <w:r>
              <w:rPr>
                <w:rFonts w:ascii="Times New Roman" w:hAnsi="Times New Roman" w:cs="Times New Roman"/>
                <w:b/>
                <w:bCs/>
                <w:color w:val="767171"/>
                <w:spacing w:val="20"/>
                <w:sz w:val="24"/>
                <w:szCs w:val="24"/>
              </w:rPr>
              <w:t>606</w:t>
            </w:r>
            <w:r w:rsidR="00EA7388" w:rsidRPr="006A0747">
              <w:rPr>
                <w:rFonts w:ascii="Times New Roman" w:hAnsi="Times New Roman" w:cs="Times New Roman"/>
                <w:b/>
                <w:bCs/>
                <w:color w:val="767171"/>
                <w:spacing w:val="20"/>
                <w:sz w:val="24"/>
                <w:szCs w:val="24"/>
              </w:rPr>
              <w:t>,</w:t>
            </w:r>
            <w:r>
              <w:rPr>
                <w:rFonts w:ascii="Times New Roman" w:hAnsi="Times New Roman" w:cs="Times New Roman"/>
                <w:b/>
                <w:bCs/>
                <w:color w:val="767171"/>
                <w:spacing w:val="20"/>
                <w:sz w:val="24"/>
                <w:szCs w:val="24"/>
              </w:rPr>
              <w:t>592</w:t>
            </w:r>
          </w:p>
        </w:tc>
      </w:tr>
      <w:tr w:rsidR="00EA7388" w:rsidRPr="006A0747" w14:paraId="79593693" w14:textId="77777777" w:rsidTr="00E15C54">
        <w:trPr>
          <w:trHeight w:val="20"/>
          <w:jc w:val="center"/>
        </w:trPr>
        <w:tc>
          <w:tcPr>
            <w:tcW w:w="2407" w:type="pct"/>
            <w:tcBorders>
              <w:top w:val="single" w:sz="8" w:space="0" w:color="000000"/>
              <w:left w:val="single" w:sz="8" w:space="0" w:color="000000"/>
              <w:bottom w:val="single" w:sz="8" w:space="0" w:color="000000"/>
              <w:right w:val="single" w:sz="8" w:space="0" w:color="000000"/>
            </w:tcBorders>
            <w:shd w:val="clear" w:color="auto" w:fill="011C50"/>
            <w:tcMar>
              <w:top w:w="80" w:type="dxa"/>
              <w:left w:w="80" w:type="dxa"/>
              <w:bottom w:w="80" w:type="dxa"/>
              <w:right w:w="80" w:type="dxa"/>
            </w:tcMar>
            <w:vAlign w:val="center"/>
          </w:tcPr>
          <w:p w14:paraId="7F306886" w14:textId="77777777" w:rsidR="00EA7388" w:rsidRPr="006A0747" w:rsidRDefault="00EA7388" w:rsidP="00EA7388">
            <w:pPr>
              <w:spacing w:after="0"/>
              <w:jc w:val="center"/>
              <w:rPr>
                <w:rFonts w:ascii="Times New Roman" w:hAnsi="Times New Roman" w:cs="Times New Roman"/>
                <w:b/>
                <w:bCs/>
                <w:color w:val="FFFFFF" w:themeColor="background1"/>
                <w:spacing w:val="20"/>
                <w:sz w:val="24"/>
                <w:szCs w:val="24"/>
              </w:rPr>
            </w:pPr>
            <w:r w:rsidRPr="006A0747">
              <w:rPr>
                <w:rFonts w:ascii="Times New Roman" w:hAnsi="Times New Roman" w:cs="Times New Roman"/>
                <w:b/>
                <w:bCs/>
                <w:color w:val="FFFFFF" w:themeColor="background1"/>
                <w:spacing w:val="20"/>
                <w:sz w:val="24"/>
                <w:szCs w:val="24"/>
              </w:rPr>
              <w:t>Total</w:t>
            </w:r>
          </w:p>
        </w:tc>
        <w:tc>
          <w:tcPr>
            <w:tcW w:w="1433" w:type="pct"/>
            <w:tcBorders>
              <w:top w:val="single" w:sz="8" w:space="0" w:color="000000"/>
              <w:left w:val="single" w:sz="8" w:space="0" w:color="000000"/>
              <w:bottom w:val="single" w:sz="8" w:space="0" w:color="000000"/>
              <w:right w:val="single" w:sz="8" w:space="0" w:color="000000"/>
            </w:tcBorders>
            <w:shd w:val="clear" w:color="auto" w:fill="011C50"/>
            <w:tcMar>
              <w:top w:w="80" w:type="dxa"/>
              <w:left w:w="80" w:type="dxa"/>
              <w:bottom w:w="80" w:type="dxa"/>
              <w:right w:w="80" w:type="dxa"/>
            </w:tcMar>
            <w:vAlign w:val="center"/>
          </w:tcPr>
          <w:p w14:paraId="7F26E0C6" w14:textId="77777777" w:rsidR="00EA7388" w:rsidRPr="006A0747" w:rsidRDefault="00EA7388" w:rsidP="00EA7388">
            <w:pPr>
              <w:spacing w:after="0"/>
              <w:jc w:val="center"/>
              <w:rPr>
                <w:rFonts w:ascii="Times New Roman" w:hAnsi="Times New Roman" w:cs="Times New Roman"/>
                <w:b/>
                <w:bCs/>
                <w:color w:val="FFFFFF" w:themeColor="background1"/>
                <w:spacing w:val="20"/>
                <w:sz w:val="24"/>
                <w:szCs w:val="24"/>
              </w:rPr>
            </w:pPr>
            <w:r w:rsidRPr="006A0747">
              <w:rPr>
                <w:rFonts w:ascii="Times New Roman" w:hAnsi="Times New Roman" w:cs="Times New Roman"/>
                <w:b/>
                <w:bCs/>
                <w:color w:val="FFFFFF" w:themeColor="background1"/>
                <w:spacing w:val="20"/>
                <w:sz w:val="24"/>
                <w:szCs w:val="24"/>
              </w:rPr>
              <w:t>7,189,957,708</w:t>
            </w:r>
          </w:p>
        </w:tc>
        <w:tc>
          <w:tcPr>
            <w:tcW w:w="1160" w:type="pct"/>
            <w:tcBorders>
              <w:top w:val="single" w:sz="8" w:space="0" w:color="000000"/>
              <w:left w:val="single" w:sz="8" w:space="0" w:color="000000"/>
              <w:bottom w:val="single" w:sz="8" w:space="0" w:color="000000"/>
              <w:right w:val="single" w:sz="8" w:space="0" w:color="000000"/>
            </w:tcBorders>
            <w:shd w:val="clear" w:color="auto" w:fill="011C50"/>
            <w:tcMar>
              <w:top w:w="80" w:type="dxa"/>
              <w:left w:w="80" w:type="dxa"/>
              <w:bottom w:w="80" w:type="dxa"/>
              <w:right w:w="80" w:type="dxa"/>
            </w:tcMar>
            <w:vAlign w:val="center"/>
          </w:tcPr>
          <w:p w14:paraId="118A1520" w14:textId="514E0379" w:rsidR="00EA7388" w:rsidRPr="006A0747" w:rsidRDefault="00EA7388" w:rsidP="00EA7388">
            <w:pPr>
              <w:spacing w:after="0"/>
              <w:jc w:val="center"/>
              <w:rPr>
                <w:rFonts w:ascii="Times New Roman" w:hAnsi="Times New Roman" w:cs="Times New Roman"/>
                <w:b/>
                <w:bCs/>
                <w:color w:val="FFFFFF" w:themeColor="background1"/>
                <w:spacing w:val="20"/>
                <w:sz w:val="24"/>
                <w:szCs w:val="24"/>
              </w:rPr>
            </w:pPr>
            <w:r w:rsidRPr="006A0747">
              <w:rPr>
                <w:rFonts w:ascii="Times New Roman" w:hAnsi="Times New Roman" w:cs="Times New Roman"/>
                <w:b/>
                <w:bCs/>
                <w:color w:val="FFFFFF" w:themeColor="background1"/>
                <w:spacing w:val="20"/>
                <w:sz w:val="24"/>
                <w:szCs w:val="24"/>
              </w:rPr>
              <w:t>7,</w:t>
            </w:r>
            <w:r w:rsidR="00C918B1">
              <w:rPr>
                <w:rFonts w:ascii="Times New Roman" w:hAnsi="Times New Roman" w:cs="Times New Roman"/>
                <w:b/>
                <w:bCs/>
                <w:color w:val="FFFFFF" w:themeColor="background1"/>
                <w:spacing w:val="20"/>
                <w:sz w:val="24"/>
                <w:szCs w:val="24"/>
              </w:rPr>
              <w:t>450</w:t>
            </w:r>
            <w:r w:rsidRPr="006A0747">
              <w:rPr>
                <w:rFonts w:ascii="Times New Roman" w:hAnsi="Times New Roman" w:cs="Times New Roman"/>
                <w:b/>
                <w:bCs/>
                <w:color w:val="FFFFFF" w:themeColor="background1"/>
                <w:spacing w:val="20"/>
                <w:sz w:val="24"/>
                <w:szCs w:val="24"/>
              </w:rPr>
              <w:t>,</w:t>
            </w:r>
            <w:r w:rsidR="00C918B1">
              <w:rPr>
                <w:rFonts w:ascii="Times New Roman" w:hAnsi="Times New Roman" w:cs="Times New Roman"/>
                <w:b/>
                <w:bCs/>
                <w:color w:val="FFFFFF" w:themeColor="background1"/>
                <w:spacing w:val="20"/>
                <w:sz w:val="24"/>
                <w:szCs w:val="24"/>
              </w:rPr>
              <w:t>217</w:t>
            </w:r>
            <w:r w:rsidRPr="006A0747">
              <w:rPr>
                <w:rFonts w:ascii="Times New Roman" w:hAnsi="Times New Roman" w:cs="Times New Roman"/>
                <w:b/>
                <w:bCs/>
                <w:color w:val="FFFFFF" w:themeColor="background1"/>
                <w:spacing w:val="20"/>
                <w:sz w:val="24"/>
                <w:szCs w:val="24"/>
              </w:rPr>
              <w:t>,</w:t>
            </w:r>
            <w:r w:rsidR="00C918B1">
              <w:rPr>
                <w:rFonts w:ascii="Times New Roman" w:hAnsi="Times New Roman" w:cs="Times New Roman"/>
                <w:b/>
                <w:bCs/>
                <w:color w:val="FFFFFF" w:themeColor="background1"/>
                <w:spacing w:val="20"/>
                <w:sz w:val="24"/>
                <w:szCs w:val="24"/>
              </w:rPr>
              <w:t>376</w:t>
            </w:r>
          </w:p>
        </w:tc>
      </w:tr>
    </w:tbl>
    <w:p w14:paraId="5D679D01" w14:textId="01534F2B" w:rsidR="00E67DE4" w:rsidRPr="006A0747" w:rsidRDefault="00E67DE4" w:rsidP="00E67DE4">
      <w:pPr>
        <w:spacing w:after="0"/>
        <w:jc w:val="center"/>
        <w:rPr>
          <w:rFonts w:ascii="Times New Roman" w:hAnsi="Times New Roman" w:cs="Times New Roman"/>
          <w:i/>
          <w:color w:val="767171"/>
          <w:spacing w:val="20"/>
          <w:sz w:val="18"/>
          <w:szCs w:val="18"/>
        </w:rPr>
      </w:pPr>
      <w:r w:rsidRPr="006A0747">
        <w:rPr>
          <w:rFonts w:ascii="Times New Roman" w:hAnsi="Times New Roman" w:cs="Times New Roman"/>
          <w:b/>
          <w:i/>
          <w:color w:val="767171"/>
          <w:spacing w:val="20"/>
          <w:sz w:val="18"/>
          <w:szCs w:val="18"/>
        </w:rPr>
        <w:t>Fuente</w:t>
      </w:r>
      <w:r w:rsidRPr="006A0747">
        <w:rPr>
          <w:rFonts w:ascii="Times New Roman" w:hAnsi="Times New Roman" w:cs="Times New Roman"/>
          <w:i/>
          <w:color w:val="767171"/>
          <w:spacing w:val="20"/>
          <w:sz w:val="18"/>
          <w:szCs w:val="18"/>
        </w:rPr>
        <w:t>: Departamento Administrativo, Financiero y de Planificación. Superintendencia de Bancos de la República Dominicana.</w:t>
      </w:r>
      <w:bookmarkEnd w:id="48"/>
    </w:p>
    <w:p w14:paraId="161EDD49" w14:textId="77777777" w:rsidR="00ED3204" w:rsidRPr="006A0747" w:rsidRDefault="00ED3204" w:rsidP="00E67DE4">
      <w:pPr>
        <w:spacing w:after="0"/>
        <w:jc w:val="center"/>
        <w:rPr>
          <w:rFonts w:ascii="Times New Roman" w:hAnsi="Times New Roman" w:cs="Times New Roman"/>
          <w:b/>
          <w:color w:val="2E74B5" w:themeColor="accent5" w:themeShade="BF"/>
          <w:spacing w:val="20"/>
          <w:sz w:val="24"/>
          <w:szCs w:val="24"/>
        </w:rPr>
      </w:pPr>
    </w:p>
    <w:p w14:paraId="3BF15714" w14:textId="77777777" w:rsidR="00B80D25" w:rsidRPr="006A0747" w:rsidRDefault="00B80D25" w:rsidP="00E67DE4">
      <w:pPr>
        <w:spacing w:after="0"/>
        <w:jc w:val="center"/>
        <w:rPr>
          <w:rFonts w:ascii="Times New Roman" w:hAnsi="Times New Roman" w:cs="Times New Roman"/>
          <w:b/>
          <w:color w:val="2E74B5" w:themeColor="accent5" w:themeShade="BF"/>
          <w:spacing w:val="20"/>
          <w:sz w:val="24"/>
          <w:szCs w:val="24"/>
        </w:rPr>
      </w:pPr>
    </w:p>
    <w:p w14:paraId="1CAB199A" w14:textId="77777777" w:rsidR="00657DD9" w:rsidRPr="006A0747" w:rsidRDefault="00657DD9" w:rsidP="009F30D3">
      <w:pPr>
        <w:pStyle w:val="CuerpoSB"/>
        <w:pBdr>
          <w:top w:val="none" w:sz="0" w:space="0" w:color="auto"/>
          <w:left w:val="none" w:sz="0" w:space="0" w:color="auto"/>
          <w:bottom w:val="none" w:sz="0" w:space="0" w:color="auto"/>
          <w:right w:val="none" w:sz="0" w:space="0" w:color="auto"/>
        </w:pBdr>
        <w:spacing w:line="360" w:lineRule="auto"/>
        <w:ind w:left="0"/>
        <w:contextualSpacing w:val="0"/>
        <w:jc w:val="left"/>
        <w:rPr>
          <w:rFonts w:ascii="Times New Roman" w:eastAsia="Calibri" w:hAnsi="Times New Roman" w:cs="Times New Roman"/>
          <w:b/>
          <w:color w:val="767171"/>
          <w:spacing w:val="20"/>
          <w:sz w:val="24"/>
          <w:szCs w:val="24"/>
          <w:bdr w:val="none" w:sz="0" w:space="0" w:color="auto"/>
          <w:lang w:eastAsia="en-US"/>
        </w:rPr>
      </w:pPr>
      <w:r w:rsidRPr="006A0747">
        <w:rPr>
          <w:rFonts w:ascii="Times New Roman" w:eastAsia="Calibri" w:hAnsi="Times New Roman" w:cs="Times New Roman"/>
          <w:b/>
          <w:color w:val="767171"/>
          <w:spacing w:val="20"/>
          <w:sz w:val="24"/>
          <w:szCs w:val="24"/>
          <w:bdr w:val="none" w:sz="0" w:space="0" w:color="auto"/>
          <w:lang w:eastAsia="en-US"/>
        </w:rPr>
        <w:t>Presupuesto de gastos</w:t>
      </w:r>
    </w:p>
    <w:p w14:paraId="2A6B742A" w14:textId="03A593E0" w:rsidR="00A023E8" w:rsidRPr="006A0747" w:rsidRDefault="0089031C" w:rsidP="00657DD9">
      <w:pPr>
        <w:pStyle w:val="CuerpoSB"/>
        <w:pBdr>
          <w:top w:val="none" w:sz="0" w:space="0" w:color="auto"/>
          <w:left w:val="none" w:sz="0" w:space="0" w:color="auto"/>
          <w:bottom w:val="none" w:sz="0" w:space="0" w:color="auto"/>
          <w:right w:val="none" w:sz="0" w:space="0" w:color="auto"/>
        </w:pBdr>
        <w:spacing w:line="360" w:lineRule="auto"/>
        <w:ind w:left="0"/>
        <w:contextualSpacing w:val="0"/>
        <w:rPr>
          <w:rFonts w:ascii="Times New Roman" w:eastAsia="Calibri" w:hAnsi="Times New Roman" w:cs="Times New Roman"/>
          <w:color w:val="767171"/>
          <w:spacing w:val="20"/>
          <w:sz w:val="24"/>
          <w:szCs w:val="24"/>
          <w:bdr w:val="none" w:sz="0" w:space="0" w:color="auto"/>
          <w:lang w:eastAsia="en-US"/>
        </w:rPr>
      </w:pPr>
      <w:r w:rsidRPr="006A0747">
        <w:rPr>
          <w:rFonts w:ascii="Times New Roman" w:eastAsia="Calibri" w:hAnsi="Times New Roman" w:cs="Times New Roman"/>
          <w:color w:val="767171"/>
          <w:spacing w:val="20"/>
          <w:sz w:val="24"/>
          <w:szCs w:val="24"/>
          <w:bdr w:val="none" w:sz="0" w:space="0" w:color="auto"/>
          <w:lang w:eastAsia="en-US"/>
        </w:rPr>
        <w:t xml:space="preserve">Desde el punto de vista del gasto, para el año 2024 el presupuesto aprobado de la Superintendencia de Bancos de la República Dominicana está amparado en la Sexta Resolución de fecha 21 de diciembre de 2023, el cual asciende a cuatro mil doscientos sesenta y un millones, ciento cuarenta y seis mil ochocientos noventa y siete pesos con 00/100 (RD$4,261,146,897). A esto se le suman transferencias extraordinarias al Gobierno Central por dos mil millones de pesos (RD$2,000,000,000), aprobadas mediante la Ley 26-24, que modifica la ley 80-23 del Presupuesto General de la Nación, y la adenda de modificación para el Presupuesto Reformulado conocida por la Junta Monetaria a través de la Quinta Resolución de fecha 10 de octubre del 2024. </w:t>
      </w:r>
      <w:r w:rsidR="00E15C54" w:rsidRPr="006A0747">
        <w:rPr>
          <w:rFonts w:ascii="Times New Roman" w:eastAsia="Calibri" w:hAnsi="Times New Roman" w:cs="Times New Roman"/>
          <w:color w:val="767171"/>
          <w:spacing w:val="20"/>
          <w:sz w:val="24"/>
          <w:szCs w:val="24"/>
          <w:bdr w:val="none" w:sz="0" w:space="0" w:color="auto"/>
          <w:lang w:eastAsia="en-US"/>
        </w:rPr>
        <w:t>Esto</w:t>
      </w:r>
      <w:r w:rsidRPr="006A0747">
        <w:rPr>
          <w:rFonts w:ascii="Times New Roman" w:eastAsia="Calibri" w:hAnsi="Times New Roman" w:cs="Times New Roman"/>
          <w:color w:val="767171"/>
          <w:spacing w:val="20"/>
          <w:sz w:val="24"/>
          <w:szCs w:val="24"/>
          <w:bdr w:val="none" w:sz="0" w:space="0" w:color="auto"/>
          <w:lang w:eastAsia="en-US"/>
        </w:rPr>
        <w:t xml:space="preserve"> da como resultado un presupuesto total general de gastos y</w:t>
      </w:r>
      <w:r w:rsidR="0083647B" w:rsidRPr="006A0747">
        <w:rPr>
          <w:rFonts w:ascii="Times New Roman" w:eastAsia="Calibri" w:hAnsi="Times New Roman" w:cs="Times New Roman"/>
          <w:color w:val="767171"/>
          <w:spacing w:val="20"/>
          <w:sz w:val="24"/>
          <w:szCs w:val="24"/>
          <w:bdr w:val="none" w:sz="0" w:space="0" w:color="auto"/>
          <w:lang w:eastAsia="en-US"/>
        </w:rPr>
        <w:t xml:space="preserve"> de</w:t>
      </w:r>
      <w:r w:rsidRPr="006A0747">
        <w:rPr>
          <w:rFonts w:ascii="Times New Roman" w:eastAsia="Calibri" w:hAnsi="Times New Roman" w:cs="Times New Roman"/>
          <w:color w:val="767171"/>
          <w:spacing w:val="20"/>
          <w:sz w:val="24"/>
          <w:szCs w:val="24"/>
          <w:bdr w:val="none" w:sz="0" w:space="0" w:color="auto"/>
          <w:lang w:eastAsia="en-US"/>
        </w:rPr>
        <w:t xml:space="preserve"> transferencias al Ministerio de Hacienda de seis mil doscientos sesenta y un millones, ciento cuarenta y seis mil ochocientos noventa y siete pesos (RD$ 6,261,146,897). En el Anexo 2 se presenta el resumen por grupo de gastos y el porcentaje que representa del total presupuestado.</w:t>
      </w:r>
    </w:p>
    <w:p w14:paraId="74C4D570" w14:textId="77777777" w:rsidR="00A023E8" w:rsidRPr="006A0747" w:rsidRDefault="00A023E8" w:rsidP="00657DD9">
      <w:pPr>
        <w:pStyle w:val="CuerpoSB"/>
        <w:pBdr>
          <w:top w:val="none" w:sz="0" w:space="0" w:color="auto"/>
          <w:left w:val="none" w:sz="0" w:space="0" w:color="auto"/>
          <w:bottom w:val="none" w:sz="0" w:space="0" w:color="auto"/>
          <w:right w:val="none" w:sz="0" w:space="0" w:color="auto"/>
        </w:pBdr>
        <w:spacing w:line="360" w:lineRule="auto"/>
        <w:ind w:left="0"/>
        <w:contextualSpacing w:val="0"/>
        <w:rPr>
          <w:rFonts w:ascii="Times New Roman" w:eastAsia="Calibri" w:hAnsi="Times New Roman" w:cs="Times New Roman"/>
          <w:color w:val="767171"/>
          <w:spacing w:val="20"/>
          <w:sz w:val="24"/>
          <w:szCs w:val="24"/>
          <w:bdr w:val="none" w:sz="0" w:space="0" w:color="auto"/>
          <w:lang w:eastAsia="en-US"/>
        </w:rPr>
      </w:pPr>
    </w:p>
    <w:p w14:paraId="54CE8676" w14:textId="77777777" w:rsidR="002051E4" w:rsidRPr="006A0747" w:rsidRDefault="002051E4" w:rsidP="00657DD9">
      <w:pPr>
        <w:pStyle w:val="CuerpoSB"/>
        <w:pBdr>
          <w:top w:val="none" w:sz="0" w:space="0" w:color="auto"/>
          <w:left w:val="none" w:sz="0" w:space="0" w:color="auto"/>
          <w:bottom w:val="none" w:sz="0" w:space="0" w:color="auto"/>
          <w:right w:val="none" w:sz="0" w:space="0" w:color="auto"/>
        </w:pBdr>
        <w:spacing w:line="360" w:lineRule="auto"/>
        <w:ind w:left="0"/>
        <w:contextualSpacing w:val="0"/>
        <w:rPr>
          <w:rFonts w:ascii="Times New Roman" w:eastAsia="Calibri" w:hAnsi="Times New Roman" w:cs="Times New Roman"/>
          <w:color w:val="767171"/>
          <w:spacing w:val="20"/>
          <w:sz w:val="24"/>
          <w:szCs w:val="24"/>
          <w:bdr w:val="none" w:sz="0" w:space="0" w:color="auto"/>
          <w:lang w:eastAsia="en-US"/>
        </w:rPr>
      </w:pPr>
    </w:p>
    <w:p w14:paraId="52073592" w14:textId="44958667" w:rsidR="00E67DE4" w:rsidRPr="006A0747" w:rsidRDefault="00E67DE4" w:rsidP="00E67DE4">
      <w:pPr>
        <w:spacing w:after="0"/>
        <w:jc w:val="center"/>
        <w:rPr>
          <w:rFonts w:ascii="Times New Roman" w:hAnsi="Times New Roman" w:cs="Times New Roman"/>
          <w:b/>
          <w:color w:val="767171"/>
          <w:spacing w:val="20"/>
          <w:sz w:val="24"/>
          <w:szCs w:val="24"/>
        </w:rPr>
      </w:pPr>
      <w:r w:rsidRPr="006A0747">
        <w:rPr>
          <w:rFonts w:ascii="Times New Roman" w:hAnsi="Times New Roman" w:cs="Times New Roman"/>
          <w:b/>
          <w:color w:val="767171"/>
          <w:spacing w:val="20"/>
          <w:sz w:val="24"/>
          <w:szCs w:val="24"/>
        </w:rPr>
        <w:lastRenderedPageBreak/>
        <w:t xml:space="preserve">Tabla </w:t>
      </w:r>
      <w:r w:rsidR="008F243D" w:rsidRPr="006A0747">
        <w:rPr>
          <w:rFonts w:ascii="Times New Roman" w:hAnsi="Times New Roman" w:cs="Times New Roman"/>
          <w:b/>
          <w:color w:val="767171"/>
          <w:spacing w:val="20"/>
          <w:sz w:val="24"/>
          <w:szCs w:val="24"/>
        </w:rPr>
        <w:t>6</w:t>
      </w:r>
      <w:r w:rsidRPr="006A0747">
        <w:rPr>
          <w:rFonts w:ascii="Times New Roman" w:hAnsi="Times New Roman" w:cs="Times New Roman"/>
          <w:b/>
          <w:color w:val="767171"/>
          <w:spacing w:val="20"/>
          <w:sz w:val="24"/>
          <w:szCs w:val="24"/>
        </w:rPr>
        <w:t>. Presupuesto de gastos de la Superintendencia de Bancos según Grupo de Cuentas. Año 2024</w:t>
      </w:r>
    </w:p>
    <w:p w14:paraId="02A35F16" w14:textId="77777777" w:rsidR="000F429A" w:rsidRPr="006A0747" w:rsidRDefault="000F429A" w:rsidP="00E67DE4">
      <w:pPr>
        <w:spacing w:after="0"/>
        <w:jc w:val="center"/>
        <w:rPr>
          <w:rFonts w:ascii="Times New Roman" w:hAnsi="Times New Roman" w:cs="Times New Roman"/>
          <w:b/>
          <w:bCs/>
          <w:color w:val="2E74B5" w:themeColor="accent5" w:themeShade="BF"/>
          <w:spacing w:val="20"/>
          <w:sz w:val="24"/>
          <w:szCs w:val="24"/>
        </w:rPr>
      </w:pPr>
    </w:p>
    <w:tbl>
      <w:tblPr>
        <w:tblW w:w="887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CellMar>
          <w:left w:w="0" w:type="dxa"/>
          <w:right w:w="0" w:type="dxa"/>
        </w:tblCellMar>
        <w:tblLook w:val="04A0" w:firstRow="1" w:lastRow="0" w:firstColumn="1" w:lastColumn="0" w:noHBand="0" w:noVBand="1"/>
      </w:tblPr>
      <w:tblGrid>
        <w:gridCol w:w="4485"/>
        <w:gridCol w:w="2373"/>
        <w:gridCol w:w="1985"/>
        <w:gridCol w:w="36"/>
      </w:tblGrid>
      <w:tr w:rsidR="000F429A" w:rsidRPr="006A0747" w14:paraId="41E87295" w14:textId="77777777" w:rsidTr="000F429A">
        <w:trPr>
          <w:gridAfter w:val="1"/>
          <w:wAfter w:w="36" w:type="dxa"/>
          <w:trHeight w:val="318"/>
          <w:jc w:val="center"/>
        </w:trPr>
        <w:tc>
          <w:tcPr>
            <w:tcW w:w="4485" w:type="dxa"/>
            <w:tcBorders>
              <w:top w:val="single" w:sz="8" w:space="0" w:color="000000"/>
              <w:left w:val="single" w:sz="8" w:space="0" w:color="000000"/>
              <w:bottom w:val="single" w:sz="8" w:space="0" w:color="000000"/>
              <w:right w:val="single" w:sz="8" w:space="0" w:color="000000"/>
            </w:tcBorders>
            <w:shd w:val="clear" w:color="auto" w:fill="011C50"/>
            <w:tcMar>
              <w:top w:w="80" w:type="dxa"/>
              <w:left w:w="170" w:type="dxa"/>
              <w:bottom w:w="80" w:type="dxa"/>
              <w:right w:w="80" w:type="dxa"/>
            </w:tcMar>
            <w:vAlign w:val="center"/>
          </w:tcPr>
          <w:p w14:paraId="0F419329" w14:textId="77777777" w:rsidR="000F429A" w:rsidRPr="006A0747" w:rsidRDefault="000F429A" w:rsidP="000F429A">
            <w:pPr>
              <w:pBdr>
                <w:top w:val="nil"/>
                <w:left w:val="nil"/>
                <w:bottom w:val="nil"/>
                <w:right w:val="nil"/>
                <w:between w:val="nil"/>
                <w:bar w:val="nil"/>
              </w:pBdr>
              <w:suppressAutoHyphens/>
              <w:spacing w:after="0" w:line="240" w:lineRule="auto"/>
              <w:contextualSpacing/>
              <w:jc w:val="center"/>
              <w:rPr>
                <w:rFonts w:ascii="Times New Roman" w:eastAsia="Arial Unicode MS" w:hAnsi="Times New Roman" w:cs="Times New Roman"/>
                <w:b/>
                <w:color w:val="FFFFFF" w:themeColor="background1"/>
                <w:spacing w:val="20"/>
                <w:sz w:val="24"/>
                <w:szCs w:val="24"/>
                <w:u w:color="000000"/>
                <w:bdr w:val="nil"/>
              </w:rPr>
            </w:pPr>
            <w:r w:rsidRPr="006A0747">
              <w:rPr>
                <w:rFonts w:ascii="Times New Roman" w:eastAsia="Arial Unicode MS" w:hAnsi="Times New Roman" w:cs="Times New Roman"/>
                <w:b/>
                <w:color w:val="FFFFFF" w:themeColor="background1"/>
                <w:spacing w:val="20"/>
                <w:sz w:val="24"/>
                <w:szCs w:val="24"/>
                <w:u w:color="000000"/>
                <w:bdr w:val="nil"/>
              </w:rPr>
              <w:t>Grupo de Cuentas</w:t>
            </w:r>
          </w:p>
        </w:tc>
        <w:tc>
          <w:tcPr>
            <w:tcW w:w="2373" w:type="dxa"/>
            <w:tcBorders>
              <w:top w:val="single" w:sz="8" w:space="0" w:color="000000"/>
              <w:left w:val="single" w:sz="8" w:space="0" w:color="000000"/>
              <w:right w:val="single" w:sz="8" w:space="0" w:color="000000"/>
            </w:tcBorders>
            <w:shd w:val="clear" w:color="auto" w:fill="011C50"/>
            <w:tcMar>
              <w:top w:w="80" w:type="dxa"/>
              <w:left w:w="80" w:type="dxa"/>
              <w:bottom w:w="80" w:type="dxa"/>
              <w:right w:w="80" w:type="dxa"/>
            </w:tcMar>
            <w:vAlign w:val="center"/>
          </w:tcPr>
          <w:p w14:paraId="61B74DAE" w14:textId="77777777" w:rsidR="000F429A" w:rsidRPr="006A0747" w:rsidRDefault="000F429A" w:rsidP="000F429A">
            <w:pPr>
              <w:pBdr>
                <w:top w:val="nil"/>
                <w:left w:val="nil"/>
                <w:bottom w:val="nil"/>
                <w:right w:val="nil"/>
                <w:between w:val="nil"/>
                <w:bar w:val="nil"/>
              </w:pBdr>
              <w:suppressAutoHyphens/>
              <w:spacing w:after="0" w:line="240" w:lineRule="auto"/>
              <w:contextualSpacing/>
              <w:jc w:val="center"/>
              <w:rPr>
                <w:rFonts w:ascii="Times New Roman" w:eastAsia="Arial Unicode MS" w:hAnsi="Times New Roman" w:cs="Times New Roman"/>
                <w:b/>
                <w:color w:val="FFFFFF" w:themeColor="background1"/>
                <w:spacing w:val="20"/>
                <w:sz w:val="24"/>
                <w:szCs w:val="24"/>
                <w:u w:color="000000"/>
                <w:bdr w:val="nil"/>
              </w:rPr>
            </w:pPr>
            <w:r w:rsidRPr="006A0747">
              <w:rPr>
                <w:rFonts w:ascii="Times New Roman" w:eastAsia="Arial Unicode MS" w:hAnsi="Times New Roman" w:cs="Times New Roman"/>
                <w:b/>
                <w:color w:val="FFFFFF" w:themeColor="background1"/>
                <w:spacing w:val="20"/>
                <w:sz w:val="24"/>
                <w:szCs w:val="24"/>
                <w:u w:color="000000"/>
                <w:bdr w:val="nil"/>
              </w:rPr>
              <w:t>Monto Presupuesto</w:t>
            </w:r>
          </w:p>
        </w:tc>
        <w:tc>
          <w:tcPr>
            <w:tcW w:w="1985" w:type="dxa"/>
            <w:tcBorders>
              <w:top w:val="single" w:sz="8" w:space="0" w:color="000000"/>
              <w:left w:val="single" w:sz="8" w:space="0" w:color="000000"/>
              <w:bottom w:val="single" w:sz="8" w:space="0" w:color="000000"/>
              <w:right w:val="single" w:sz="8" w:space="0" w:color="000000"/>
            </w:tcBorders>
            <w:shd w:val="clear" w:color="auto" w:fill="011C50"/>
            <w:tcMar>
              <w:top w:w="80" w:type="dxa"/>
              <w:left w:w="80" w:type="dxa"/>
              <w:bottom w:w="80" w:type="dxa"/>
              <w:right w:w="80" w:type="dxa"/>
            </w:tcMar>
            <w:vAlign w:val="center"/>
          </w:tcPr>
          <w:p w14:paraId="502BF87B" w14:textId="77777777" w:rsidR="000F429A" w:rsidRPr="006A0747" w:rsidRDefault="000F429A" w:rsidP="000F429A">
            <w:pPr>
              <w:pBdr>
                <w:top w:val="nil"/>
                <w:left w:val="nil"/>
                <w:bottom w:val="nil"/>
                <w:right w:val="nil"/>
                <w:between w:val="nil"/>
                <w:bar w:val="nil"/>
              </w:pBdr>
              <w:suppressAutoHyphens/>
              <w:spacing w:after="0" w:line="240" w:lineRule="auto"/>
              <w:contextualSpacing/>
              <w:jc w:val="center"/>
              <w:rPr>
                <w:rFonts w:ascii="Times New Roman" w:eastAsia="Arial Unicode MS" w:hAnsi="Times New Roman" w:cs="Times New Roman"/>
                <w:b/>
                <w:color w:val="FFFFFF" w:themeColor="background1"/>
                <w:spacing w:val="20"/>
                <w:sz w:val="24"/>
                <w:szCs w:val="24"/>
                <w:u w:color="000000"/>
                <w:bdr w:val="nil"/>
              </w:rPr>
            </w:pPr>
            <w:r w:rsidRPr="006A0747">
              <w:rPr>
                <w:rFonts w:ascii="Times New Roman" w:eastAsia="Arial Unicode MS" w:hAnsi="Times New Roman" w:cs="Times New Roman"/>
                <w:b/>
                <w:color w:val="FFFFFF" w:themeColor="background1"/>
                <w:spacing w:val="20"/>
                <w:sz w:val="24"/>
                <w:szCs w:val="24"/>
                <w:u w:color="000000"/>
                <w:bdr w:val="nil"/>
              </w:rPr>
              <w:t>Porcentaje del total</w:t>
            </w:r>
          </w:p>
        </w:tc>
      </w:tr>
      <w:tr w:rsidR="000F429A" w:rsidRPr="006A0747" w14:paraId="0F0BC607" w14:textId="77777777">
        <w:trPr>
          <w:trHeight w:val="283"/>
          <w:jc w:val="center"/>
        </w:trPr>
        <w:tc>
          <w:tcPr>
            <w:tcW w:w="4485" w:type="dxa"/>
            <w:tcBorders>
              <w:top w:val="single" w:sz="8" w:space="0" w:color="000000"/>
              <w:left w:val="single" w:sz="8" w:space="0" w:color="000000"/>
              <w:bottom w:val="single" w:sz="8" w:space="0" w:color="000000"/>
              <w:right w:val="single" w:sz="8" w:space="0" w:color="000000"/>
            </w:tcBorders>
            <w:shd w:val="clear" w:color="auto" w:fill="auto"/>
            <w:tcMar>
              <w:top w:w="80" w:type="dxa"/>
              <w:left w:w="170" w:type="dxa"/>
              <w:bottom w:w="80" w:type="dxa"/>
              <w:right w:w="80" w:type="dxa"/>
            </w:tcMar>
            <w:vAlign w:val="center"/>
          </w:tcPr>
          <w:p w14:paraId="0D808730" w14:textId="77777777" w:rsidR="000F429A" w:rsidRPr="006A0747" w:rsidRDefault="000F429A" w:rsidP="000F429A">
            <w:pPr>
              <w:pBdr>
                <w:top w:val="nil"/>
                <w:left w:val="nil"/>
                <w:bottom w:val="nil"/>
                <w:right w:val="nil"/>
                <w:between w:val="nil"/>
                <w:bar w:val="nil"/>
              </w:pBdr>
              <w:suppressAutoHyphens/>
              <w:spacing w:after="0" w:line="240" w:lineRule="auto"/>
              <w:contextualSpacing/>
              <w:rPr>
                <w:rFonts w:ascii="Times New Roman" w:eastAsia="Arial Unicode MS" w:hAnsi="Times New Roman" w:cs="Times New Roman"/>
                <w:color w:val="767171"/>
                <w:spacing w:val="20"/>
                <w:sz w:val="24"/>
                <w:szCs w:val="24"/>
                <w:u w:color="000000"/>
                <w:bdr w:val="nil"/>
              </w:rPr>
            </w:pPr>
            <w:r w:rsidRPr="006A0747">
              <w:rPr>
                <w:rFonts w:ascii="Times New Roman" w:eastAsia="Arial Unicode MS" w:hAnsi="Times New Roman" w:cs="Times New Roman"/>
                <w:color w:val="767171"/>
                <w:spacing w:val="20"/>
                <w:sz w:val="24"/>
                <w:szCs w:val="24"/>
                <w:u w:color="000000"/>
                <w:bdr w:val="nil"/>
              </w:rPr>
              <w:t>Servicios Personales</w:t>
            </w:r>
          </w:p>
        </w:tc>
        <w:tc>
          <w:tcPr>
            <w:tcW w:w="237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6CEF3BD" w14:textId="77777777" w:rsidR="000F429A" w:rsidRPr="006A0747" w:rsidRDefault="000F429A" w:rsidP="000F429A">
            <w:pPr>
              <w:pBdr>
                <w:top w:val="nil"/>
                <w:left w:val="nil"/>
                <w:bottom w:val="nil"/>
                <w:right w:val="nil"/>
                <w:between w:val="nil"/>
                <w:bar w:val="nil"/>
              </w:pBdr>
              <w:suppressAutoHyphens/>
              <w:spacing w:after="0" w:line="240" w:lineRule="auto"/>
              <w:contextualSpacing/>
              <w:jc w:val="center"/>
              <w:rPr>
                <w:rFonts w:ascii="Times New Roman" w:eastAsia="Arial Unicode MS" w:hAnsi="Times New Roman" w:cs="Times New Roman"/>
                <w:color w:val="767171"/>
                <w:spacing w:val="20"/>
                <w:sz w:val="24"/>
                <w:szCs w:val="24"/>
                <w:u w:color="000000"/>
                <w:bdr w:val="nil"/>
              </w:rPr>
            </w:pPr>
            <w:r w:rsidRPr="006A0747">
              <w:rPr>
                <w:rFonts w:ascii="Times New Roman" w:eastAsia="Arial Unicode MS" w:hAnsi="Times New Roman" w:cs="Times New Roman"/>
                <w:color w:val="767171"/>
                <w:spacing w:val="20"/>
                <w:sz w:val="24"/>
                <w:szCs w:val="24"/>
                <w:u w:color="000000"/>
                <w:bdr w:val="nil"/>
              </w:rPr>
              <w:t>2,555,726,297</w:t>
            </w:r>
          </w:p>
        </w:tc>
        <w:tc>
          <w:tcPr>
            <w:tcW w:w="2021"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C694F16" w14:textId="77777777" w:rsidR="000F429A" w:rsidRPr="006A0747" w:rsidRDefault="000F429A" w:rsidP="000F429A">
            <w:pPr>
              <w:pBdr>
                <w:top w:val="nil"/>
                <w:left w:val="nil"/>
                <w:bottom w:val="nil"/>
                <w:right w:val="nil"/>
                <w:between w:val="nil"/>
                <w:bar w:val="nil"/>
              </w:pBdr>
              <w:suppressAutoHyphens/>
              <w:spacing w:after="0" w:line="240" w:lineRule="auto"/>
              <w:contextualSpacing/>
              <w:jc w:val="center"/>
              <w:rPr>
                <w:rFonts w:ascii="Times New Roman" w:eastAsia="Arial Unicode MS" w:hAnsi="Times New Roman" w:cs="Times New Roman"/>
                <w:color w:val="767171"/>
                <w:spacing w:val="20"/>
                <w:sz w:val="24"/>
                <w:szCs w:val="24"/>
                <w:u w:color="000000"/>
                <w:bdr w:val="nil"/>
              </w:rPr>
            </w:pPr>
            <w:r w:rsidRPr="006A0747">
              <w:rPr>
                <w:rFonts w:ascii="Times New Roman" w:eastAsia="Arial Unicode MS" w:hAnsi="Times New Roman" w:cs="Times New Roman"/>
                <w:color w:val="767171"/>
                <w:spacing w:val="20"/>
                <w:sz w:val="24"/>
                <w:szCs w:val="24"/>
                <w:u w:color="000000"/>
                <w:bdr w:val="nil"/>
              </w:rPr>
              <w:t>41 %</w:t>
            </w:r>
          </w:p>
        </w:tc>
      </w:tr>
      <w:tr w:rsidR="000F429A" w:rsidRPr="006A0747" w14:paraId="2AAADDFA" w14:textId="77777777">
        <w:trPr>
          <w:trHeight w:val="283"/>
          <w:jc w:val="center"/>
        </w:trPr>
        <w:tc>
          <w:tcPr>
            <w:tcW w:w="4485" w:type="dxa"/>
            <w:tcBorders>
              <w:top w:val="single" w:sz="8" w:space="0" w:color="000000"/>
              <w:left w:val="single" w:sz="8" w:space="0" w:color="000000"/>
              <w:bottom w:val="single" w:sz="8" w:space="0" w:color="000000"/>
              <w:right w:val="single" w:sz="8" w:space="0" w:color="000000"/>
            </w:tcBorders>
            <w:shd w:val="clear" w:color="auto" w:fill="auto"/>
            <w:tcMar>
              <w:top w:w="80" w:type="dxa"/>
              <w:left w:w="170" w:type="dxa"/>
              <w:bottom w:w="80" w:type="dxa"/>
              <w:right w:w="80" w:type="dxa"/>
            </w:tcMar>
            <w:vAlign w:val="center"/>
          </w:tcPr>
          <w:p w14:paraId="51B8B583" w14:textId="77777777" w:rsidR="000F429A" w:rsidRPr="006A0747" w:rsidRDefault="000F429A" w:rsidP="000F429A">
            <w:pPr>
              <w:pBdr>
                <w:top w:val="nil"/>
                <w:left w:val="nil"/>
                <w:bottom w:val="nil"/>
                <w:right w:val="nil"/>
                <w:between w:val="nil"/>
                <w:bar w:val="nil"/>
              </w:pBdr>
              <w:suppressAutoHyphens/>
              <w:spacing w:after="0" w:line="240" w:lineRule="auto"/>
              <w:contextualSpacing/>
              <w:rPr>
                <w:rFonts w:ascii="Times New Roman" w:eastAsia="Arial Unicode MS" w:hAnsi="Times New Roman" w:cs="Times New Roman"/>
                <w:color w:val="767171"/>
                <w:spacing w:val="20"/>
                <w:sz w:val="24"/>
                <w:szCs w:val="24"/>
                <w:u w:color="000000"/>
                <w:bdr w:val="nil"/>
              </w:rPr>
            </w:pPr>
            <w:r w:rsidRPr="006A0747">
              <w:rPr>
                <w:rFonts w:ascii="Times New Roman" w:eastAsia="Arial Unicode MS" w:hAnsi="Times New Roman" w:cs="Times New Roman"/>
                <w:color w:val="767171"/>
                <w:spacing w:val="20"/>
                <w:sz w:val="24"/>
                <w:szCs w:val="24"/>
                <w:u w:color="000000"/>
                <w:bdr w:val="nil"/>
              </w:rPr>
              <w:t>Servicios No Personales</w:t>
            </w:r>
          </w:p>
        </w:tc>
        <w:tc>
          <w:tcPr>
            <w:tcW w:w="237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6183A8E" w14:textId="77777777" w:rsidR="000F429A" w:rsidRPr="006A0747" w:rsidRDefault="000F429A" w:rsidP="000F429A">
            <w:pPr>
              <w:pBdr>
                <w:top w:val="nil"/>
                <w:left w:val="nil"/>
                <w:bottom w:val="nil"/>
                <w:right w:val="nil"/>
                <w:between w:val="nil"/>
                <w:bar w:val="nil"/>
              </w:pBdr>
              <w:suppressAutoHyphens/>
              <w:spacing w:after="0" w:line="240" w:lineRule="auto"/>
              <w:contextualSpacing/>
              <w:jc w:val="center"/>
              <w:rPr>
                <w:rFonts w:ascii="Times New Roman" w:eastAsia="Arial Unicode MS" w:hAnsi="Times New Roman" w:cs="Times New Roman"/>
                <w:color w:val="767171"/>
                <w:spacing w:val="20"/>
                <w:sz w:val="24"/>
                <w:szCs w:val="24"/>
                <w:u w:color="000000"/>
                <w:bdr w:val="nil"/>
              </w:rPr>
            </w:pPr>
            <w:r w:rsidRPr="006A0747">
              <w:rPr>
                <w:rFonts w:ascii="Times New Roman" w:eastAsia="Arial Unicode MS" w:hAnsi="Times New Roman" w:cs="Times New Roman"/>
                <w:color w:val="767171"/>
                <w:spacing w:val="20"/>
                <w:sz w:val="24"/>
                <w:szCs w:val="24"/>
                <w:u w:color="000000"/>
                <w:bdr w:val="nil"/>
              </w:rPr>
              <w:t>736,334,060</w:t>
            </w:r>
          </w:p>
        </w:tc>
        <w:tc>
          <w:tcPr>
            <w:tcW w:w="2021"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A8B3CDD" w14:textId="77777777" w:rsidR="000F429A" w:rsidRPr="006A0747" w:rsidRDefault="000F429A" w:rsidP="000F429A">
            <w:pPr>
              <w:pBdr>
                <w:top w:val="nil"/>
                <w:left w:val="nil"/>
                <w:bottom w:val="nil"/>
                <w:right w:val="nil"/>
                <w:between w:val="nil"/>
                <w:bar w:val="nil"/>
              </w:pBdr>
              <w:suppressAutoHyphens/>
              <w:spacing w:after="0" w:line="240" w:lineRule="auto"/>
              <w:contextualSpacing/>
              <w:jc w:val="center"/>
              <w:rPr>
                <w:rFonts w:ascii="Times New Roman" w:eastAsia="Arial Unicode MS" w:hAnsi="Times New Roman" w:cs="Times New Roman"/>
                <w:color w:val="767171"/>
                <w:spacing w:val="20"/>
                <w:sz w:val="24"/>
                <w:szCs w:val="24"/>
                <w:u w:color="000000"/>
                <w:bdr w:val="nil"/>
              </w:rPr>
            </w:pPr>
            <w:r w:rsidRPr="006A0747">
              <w:rPr>
                <w:rFonts w:ascii="Times New Roman" w:eastAsia="Arial Unicode MS" w:hAnsi="Times New Roman" w:cs="Times New Roman"/>
                <w:color w:val="767171"/>
                <w:spacing w:val="20"/>
                <w:sz w:val="24"/>
                <w:szCs w:val="24"/>
                <w:u w:color="000000"/>
                <w:bdr w:val="nil"/>
              </w:rPr>
              <w:t>12 %</w:t>
            </w:r>
          </w:p>
        </w:tc>
      </w:tr>
      <w:tr w:rsidR="000F429A" w:rsidRPr="006A0747" w14:paraId="2D6F4AF2" w14:textId="77777777">
        <w:trPr>
          <w:trHeight w:val="283"/>
          <w:jc w:val="center"/>
        </w:trPr>
        <w:tc>
          <w:tcPr>
            <w:tcW w:w="4485" w:type="dxa"/>
            <w:tcBorders>
              <w:top w:val="single" w:sz="8" w:space="0" w:color="000000"/>
              <w:left w:val="single" w:sz="8" w:space="0" w:color="000000"/>
              <w:bottom w:val="single" w:sz="8" w:space="0" w:color="000000"/>
              <w:right w:val="single" w:sz="8" w:space="0" w:color="000000"/>
            </w:tcBorders>
            <w:shd w:val="clear" w:color="auto" w:fill="auto"/>
            <w:tcMar>
              <w:top w:w="80" w:type="dxa"/>
              <w:left w:w="170" w:type="dxa"/>
              <w:bottom w:w="80" w:type="dxa"/>
              <w:right w:w="80" w:type="dxa"/>
            </w:tcMar>
            <w:vAlign w:val="center"/>
          </w:tcPr>
          <w:p w14:paraId="781284AD" w14:textId="77777777" w:rsidR="000F429A" w:rsidRPr="006A0747" w:rsidRDefault="000F429A" w:rsidP="000F429A">
            <w:pPr>
              <w:pBdr>
                <w:top w:val="nil"/>
                <w:left w:val="nil"/>
                <w:bottom w:val="nil"/>
                <w:right w:val="nil"/>
                <w:between w:val="nil"/>
                <w:bar w:val="nil"/>
              </w:pBdr>
              <w:suppressAutoHyphens/>
              <w:spacing w:after="0" w:line="240" w:lineRule="auto"/>
              <w:contextualSpacing/>
              <w:rPr>
                <w:rFonts w:ascii="Times New Roman" w:eastAsia="Arial Unicode MS" w:hAnsi="Times New Roman" w:cs="Times New Roman"/>
                <w:color w:val="767171"/>
                <w:spacing w:val="20"/>
                <w:sz w:val="24"/>
                <w:szCs w:val="24"/>
                <w:u w:color="000000"/>
                <w:bdr w:val="nil"/>
              </w:rPr>
            </w:pPr>
            <w:r w:rsidRPr="006A0747">
              <w:rPr>
                <w:rFonts w:ascii="Times New Roman" w:eastAsia="Arial Unicode MS" w:hAnsi="Times New Roman" w:cs="Times New Roman"/>
                <w:color w:val="767171"/>
                <w:spacing w:val="20"/>
                <w:sz w:val="24"/>
                <w:szCs w:val="24"/>
                <w:u w:color="000000"/>
                <w:bdr w:val="nil"/>
              </w:rPr>
              <w:t>Materiales y Suministros</w:t>
            </w:r>
          </w:p>
        </w:tc>
        <w:tc>
          <w:tcPr>
            <w:tcW w:w="237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978DE46" w14:textId="77777777" w:rsidR="000F429A" w:rsidRPr="006A0747" w:rsidRDefault="000F429A" w:rsidP="000F429A">
            <w:pPr>
              <w:pBdr>
                <w:top w:val="nil"/>
                <w:left w:val="nil"/>
                <w:bottom w:val="nil"/>
                <w:right w:val="nil"/>
                <w:between w:val="nil"/>
                <w:bar w:val="nil"/>
              </w:pBdr>
              <w:suppressAutoHyphens/>
              <w:spacing w:after="0" w:line="240" w:lineRule="auto"/>
              <w:contextualSpacing/>
              <w:jc w:val="center"/>
              <w:rPr>
                <w:rFonts w:ascii="Times New Roman" w:eastAsia="Arial Unicode MS" w:hAnsi="Times New Roman" w:cs="Times New Roman"/>
                <w:color w:val="767171"/>
                <w:spacing w:val="20"/>
                <w:sz w:val="24"/>
                <w:szCs w:val="24"/>
                <w:u w:color="000000"/>
                <w:bdr w:val="nil"/>
              </w:rPr>
            </w:pPr>
            <w:r w:rsidRPr="006A0747">
              <w:rPr>
                <w:rFonts w:ascii="Times New Roman" w:eastAsia="Arial Unicode MS" w:hAnsi="Times New Roman" w:cs="Times New Roman"/>
                <w:color w:val="767171"/>
                <w:spacing w:val="20"/>
                <w:sz w:val="24"/>
                <w:szCs w:val="24"/>
                <w:u w:color="000000"/>
                <w:bdr w:val="nil"/>
              </w:rPr>
              <w:t>52,501,495</w:t>
            </w:r>
          </w:p>
        </w:tc>
        <w:tc>
          <w:tcPr>
            <w:tcW w:w="2021"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CF42655" w14:textId="77777777" w:rsidR="000F429A" w:rsidRPr="006A0747" w:rsidRDefault="000F429A" w:rsidP="000F429A">
            <w:pPr>
              <w:pBdr>
                <w:top w:val="nil"/>
                <w:left w:val="nil"/>
                <w:bottom w:val="nil"/>
                <w:right w:val="nil"/>
                <w:between w:val="nil"/>
                <w:bar w:val="nil"/>
              </w:pBdr>
              <w:suppressAutoHyphens/>
              <w:spacing w:after="0" w:line="240" w:lineRule="auto"/>
              <w:contextualSpacing/>
              <w:jc w:val="center"/>
              <w:rPr>
                <w:rFonts w:ascii="Times New Roman" w:eastAsia="Arial Unicode MS" w:hAnsi="Times New Roman" w:cs="Times New Roman"/>
                <w:color w:val="767171"/>
                <w:spacing w:val="20"/>
                <w:sz w:val="24"/>
                <w:szCs w:val="24"/>
                <w:u w:color="000000"/>
                <w:bdr w:val="nil"/>
              </w:rPr>
            </w:pPr>
            <w:r w:rsidRPr="006A0747">
              <w:rPr>
                <w:rFonts w:ascii="Times New Roman" w:eastAsia="Arial Unicode MS" w:hAnsi="Times New Roman" w:cs="Times New Roman"/>
                <w:color w:val="767171"/>
                <w:spacing w:val="20"/>
                <w:sz w:val="24"/>
                <w:szCs w:val="24"/>
                <w:u w:color="000000"/>
                <w:bdr w:val="nil"/>
              </w:rPr>
              <w:t>1 %</w:t>
            </w:r>
          </w:p>
        </w:tc>
      </w:tr>
      <w:tr w:rsidR="000F429A" w:rsidRPr="006A0747" w14:paraId="54AA29FB" w14:textId="77777777">
        <w:trPr>
          <w:trHeight w:val="283"/>
          <w:jc w:val="center"/>
        </w:trPr>
        <w:tc>
          <w:tcPr>
            <w:tcW w:w="4485" w:type="dxa"/>
            <w:tcBorders>
              <w:top w:val="single" w:sz="8" w:space="0" w:color="000000"/>
              <w:left w:val="single" w:sz="8" w:space="0" w:color="000000"/>
              <w:bottom w:val="single" w:sz="8" w:space="0" w:color="000000"/>
              <w:right w:val="single" w:sz="8" w:space="0" w:color="000000"/>
            </w:tcBorders>
            <w:shd w:val="clear" w:color="auto" w:fill="auto"/>
            <w:tcMar>
              <w:top w:w="80" w:type="dxa"/>
              <w:left w:w="170" w:type="dxa"/>
              <w:bottom w:w="80" w:type="dxa"/>
              <w:right w:w="80" w:type="dxa"/>
            </w:tcMar>
            <w:vAlign w:val="center"/>
          </w:tcPr>
          <w:p w14:paraId="219AE502" w14:textId="77777777" w:rsidR="000F429A" w:rsidRPr="006A0747" w:rsidRDefault="000F429A" w:rsidP="000F429A">
            <w:pPr>
              <w:pBdr>
                <w:top w:val="nil"/>
                <w:left w:val="nil"/>
                <w:bottom w:val="nil"/>
                <w:right w:val="nil"/>
                <w:between w:val="nil"/>
                <w:bar w:val="nil"/>
              </w:pBdr>
              <w:suppressAutoHyphens/>
              <w:spacing w:after="0" w:line="240" w:lineRule="auto"/>
              <w:contextualSpacing/>
              <w:rPr>
                <w:rFonts w:ascii="Times New Roman" w:eastAsia="Arial Unicode MS" w:hAnsi="Times New Roman" w:cs="Times New Roman"/>
                <w:color w:val="767171"/>
                <w:spacing w:val="20"/>
                <w:sz w:val="24"/>
                <w:szCs w:val="24"/>
                <w:u w:color="000000"/>
                <w:bdr w:val="nil"/>
              </w:rPr>
            </w:pPr>
            <w:r w:rsidRPr="006A0747">
              <w:rPr>
                <w:rFonts w:ascii="Times New Roman" w:eastAsia="Arial Unicode MS" w:hAnsi="Times New Roman" w:cs="Times New Roman"/>
                <w:color w:val="767171"/>
                <w:spacing w:val="20"/>
                <w:sz w:val="24"/>
                <w:szCs w:val="24"/>
                <w:u w:color="000000"/>
                <w:bdr w:val="nil"/>
              </w:rPr>
              <w:t>Transferencias Corrientes</w:t>
            </w:r>
          </w:p>
        </w:tc>
        <w:tc>
          <w:tcPr>
            <w:tcW w:w="237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E502EF4" w14:textId="77777777" w:rsidR="000F429A" w:rsidRPr="006A0747" w:rsidRDefault="000F429A" w:rsidP="000F429A">
            <w:pPr>
              <w:pBdr>
                <w:top w:val="nil"/>
                <w:left w:val="nil"/>
                <w:bottom w:val="nil"/>
                <w:right w:val="nil"/>
                <w:between w:val="nil"/>
                <w:bar w:val="nil"/>
              </w:pBdr>
              <w:suppressAutoHyphens/>
              <w:spacing w:after="0" w:line="240" w:lineRule="auto"/>
              <w:contextualSpacing/>
              <w:jc w:val="center"/>
              <w:rPr>
                <w:rFonts w:ascii="Times New Roman" w:eastAsia="Arial Unicode MS" w:hAnsi="Times New Roman" w:cs="Times New Roman"/>
                <w:color w:val="767171"/>
                <w:spacing w:val="20"/>
                <w:sz w:val="24"/>
                <w:szCs w:val="24"/>
                <w:u w:color="000000"/>
                <w:bdr w:val="nil"/>
              </w:rPr>
            </w:pPr>
            <w:r w:rsidRPr="006A0747">
              <w:rPr>
                <w:rFonts w:ascii="Times New Roman" w:eastAsia="Arial Unicode MS" w:hAnsi="Times New Roman" w:cs="Times New Roman"/>
                <w:color w:val="767171"/>
                <w:spacing w:val="20"/>
                <w:sz w:val="24"/>
                <w:szCs w:val="24"/>
                <w:u w:color="000000"/>
                <w:bdr w:val="nil"/>
              </w:rPr>
              <w:t>2,437,764,582</w:t>
            </w:r>
          </w:p>
        </w:tc>
        <w:tc>
          <w:tcPr>
            <w:tcW w:w="2021"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5262D70" w14:textId="77777777" w:rsidR="000F429A" w:rsidRPr="006A0747" w:rsidRDefault="000F429A" w:rsidP="000F429A">
            <w:pPr>
              <w:pBdr>
                <w:top w:val="nil"/>
                <w:left w:val="nil"/>
                <w:bottom w:val="nil"/>
                <w:right w:val="nil"/>
                <w:between w:val="nil"/>
                <w:bar w:val="nil"/>
              </w:pBdr>
              <w:suppressAutoHyphens/>
              <w:spacing w:after="0" w:line="240" w:lineRule="auto"/>
              <w:contextualSpacing/>
              <w:jc w:val="center"/>
              <w:rPr>
                <w:rFonts w:ascii="Times New Roman" w:eastAsia="Arial Unicode MS" w:hAnsi="Times New Roman" w:cs="Times New Roman"/>
                <w:color w:val="767171"/>
                <w:spacing w:val="20"/>
                <w:sz w:val="24"/>
                <w:szCs w:val="24"/>
                <w:u w:color="000000"/>
                <w:bdr w:val="nil"/>
              </w:rPr>
            </w:pPr>
            <w:r w:rsidRPr="006A0747">
              <w:rPr>
                <w:rFonts w:ascii="Times New Roman" w:eastAsia="Arial Unicode MS" w:hAnsi="Times New Roman" w:cs="Times New Roman"/>
                <w:color w:val="767171"/>
                <w:spacing w:val="20"/>
                <w:sz w:val="24"/>
                <w:szCs w:val="24"/>
                <w:u w:color="000000"/>
                <w:bdr w:val="nil"/>
              </w:rPr>
              <w:t>39 %</w:t>
            </w:r>
          </w:p>
        </w:tc>
      </w:tr>
      <w:tr w:rsidR="000F429A" w:rsidRPr="006A0747" w14:paraId="1083E1E5" w14:textId="77777777">
        <w:trPr>
          <w:trHeight w:val="283"/>
          <w:jc w:val="center"/>
        </w:trPr>
        <w:tc>
          <w:tcPr>
            <w:tcW w:w="4485" w:type="dxa"/>
            <w:tcBorders>
              <w:top w:val="single" w:sz="8" w:space="0" w:color="000000"/>
              <w:left w:val="single" w:sz="8" w:space="0" w:color="000000"/>
              <w:bottom w:val="single" w:sz="8" w:space="0" w:color="000000"/>
              <w:right w:val="single" w:sz="8" w:space="0" w:color="000000"/>
            </w:tcBorders>
            <w:shd w:val="clear" w:color="auto" w:fill="auto"/>
            <w:tcMar>
              <w:top w:w="80" w:type="dxa"/>
              <w:left w:w="170" w:type="dxa"/>
              <w:bottom w:w="80" w:type="dxa"/>
              <w:right w:w="80" w:type="dxa"/>
            </w:tcMar>
            <w:vAlign w:val="center"/>
          </w:tcPr>
          <w:p w14:paraId="1F196B9C" w14:textId="77777777" w:rsidR="000F429A" w:rsidRPr="006A0747" w:rsidRDefault="000F429A" w:rsidP="000F429A">
            <w:pPr>
              <w:pBdr>
                <w:top w:val="nil"/>
                <w:left w:val="nil"/>
                <w:bottom w:val="nil"/>
                <w:right w:val="nil"/>
                <w:between w:val="nil"/>
                <w:bar w:val="nil"/>
              </w:pBdr>
              <w:suppressAutoHyphens/>
              <w:spacing w:after="0" w:line="240" w:lineRule="auto"/>
              <w:contextualSpacing/>
              <w:rPr>
                <w:rFonts w:ascii="Times New Roman" w:eastAsia="Arial Unicode MS" w:hAnsi="Times New Roman" w:cs="Times New Roman"/>
                <w:color w:val="767171"/>
                <w:spacing w:val="20"/>
                <w:sz w:val="24"/>
                <w:szCs w:val="24"/>
                <w:u w:color="000000"/>
                <w:bdr w:val="nil"/>
              </w:rPr>
            </w:pPr>
            <w:r w:rsidRPr="006A0747">
              <w:rPr>
                <w:rFonts w:ascii="Times New Roman" w:eastAsia="Arial Unicode MS" w:hAnsi="Times New Roman" w:cs="Times New Roman"/>
                <w:color w:val="767171"/>
                <w:spacing w:val="20"/>
                <w:sz w:val="24"/>
                <w:szCs w:val="24"/>
                <w:u w:color="000000"/>
                <w:bdr w:val="nil"/>
              </w:rPr>
              <w:t>Bienes Muebles, Inmuebles e Intangibles</w:t>
            </w:r>
          </w:p>
        </w:tc>
        <w:tc>
          <w:tcPr>
            <w:tcW w:w="237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D4208F4" w14:textId="77777777" w:rsidR="000F429A" w:rsidRPr="006A0747" w:rsidRDefault="000F429A" w:rsidP="000F429A">
            <w:pPr>
              <w:pBdr>
                <w:top w:val="nil"/>
                <w:left w:val="nil"/>
                <w:bottom w:val="nil"/>
                <w:right w:val="nil"/>
                <w:between w:val="nil"/>
                <w:bar w:val="nil"/>
              </w:pBdr>
              <w:suppressAutoHyphens/>
              <w:spacing w:after="0" w:line="240" w:lineRule="auto"/>
              <w:contextualSpacing/>
              <w:jc w:val="center"/>
              <w:rPr>
                <w:rFonts w:ascii="Times New Roman" w:eastAsia="Arial Unicode MS" w:hAnsi="Times New Roman" w:cs="Times New Roman"/>
                <w:color w:val="767171"/>
                <w:spacing w:val="20"/>
                <w:sz w:val="24"/>
                <w:szCs w:val="24"/>
                <w:u w:color="000000"/>
                <w:bdr w:val="nil"/>
              </w:rPr>
            </w:pPr>
            <w:r w:rsidRPr="006A0747">
              <w:rPr>
                <w:rFonts w:ascii="Times New Roman" w:eastAsia="Arial Unicode MS" w:hAnsi="Times New Roman" w:cs="Times New Roman"/>
                <w:color w:val="767171"/>
                <w:spacing w:val="20"/>
                <w:sz w:val="24"/>
                <w:szCs w:val="24"/>
                <w:u w:color="000000"/>
                <w:bdr w:val="nil"/>
              </w:rPr>
              <w:t>337,071,257</w:t>
            </w:r>
          </w:p>
        </w:tc>
        <w:tc>
          <w:tcPr>
            <w:tcW w:w="2021"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95E44D7" w14:textId="77777777" w:rsidR="000F429A" w:rsidRPr="006A0747" w:rsidRDefault="000F429A" w:rsidP="000F429A">
            <w:pPr>
              <w:pBdr>
                <w:top w:val="nil"/>
                <w:left w:val="nil"/>
                <w:bottom w:val="nil"/>
                <w:right w:val="nil"/>
                <w:between w:val="nil"/>
                <w:bar w:val="nil"/>
              </w:pBdr>
              <w:suppressAutoHyphens/>
              <w:spacing w:after="0" w:line="240" w:lineRule="auto"/>
              <w:contextualSpacing/>
              <w:jc w:val="center"/>
              <w:rPr>
                <w:rFonts w:ascii="Times New Roman" w:eastAsia="Arial Unicode MS" w:hAnsi="Times New Roman" w:cs="Times New Roman"/>
                <w:color w:val="767171"/>
                <w:spacing w:val="20"/>
                <w:sz w:val="24"/>
                <w:szCs w:val="24"/>
                <w:u w:color="000000"/>
                <w:bdr w:val="nil"/>
              </w:rPr>
            </w:pPr>
            <w:r w:rsidRPr="006A0747">
              <w:rPr>
                <w:rFonts w:ascii="Times New Roman" w:eastAsia="Arial Unicode MS" w:hAnsi="Times New Roman" w:cs="Times New Roman"/>
                <w:color w:val="767171"/>
                <w:spacing w:val="20"/>
                <w:sz w:val="24"/>
                <w:szCs w:val="24"/>
                <w:u w:color="000000"/>
                <w:bdr w:val="nil"/>
              </w:rPr>
              <w:t>5 %</w:t>
            </w:r>
          </w:p>
        </w:tc>
      </w:tr>
      <w:tr w:rsidR="000F429A" w:rsidRPr="006A0747" w14:paraId="302713E8" w14:textId="77777777">
        <w:trPr>
          <w:trHeight w:val="283"/>
          <w:jc w:val="center"/>
        </w:trPr>
        <w:tc>
          <w:tcPr>
            <w:tcW w:w="4485" w:type="dxa"/>
            <w:tcBorders>
              <w:top w:val="single" w:sz="8" w:space="0" w:color="000000"/>
              <w:left w:val="single" w:sz="8" w:space="0" w:color="000000"/>
              <w:bottom w:val="single" w:sz="8" w:space="0" w:color="000000"/>
              <w:right w:val="single" w:sz="8" w:space="0" w:color="000000"/>
            </w:tcBorders>
            <w:shd w:val="clear" w:color="auto" w:fill="auto"/>
            <w:tcMar>
              <w:top w:w="80" w:type="dxa"/>
              <w:left w:w="170" w:type="dxa"/>
              <w:bottom w:w="80" w:type="dxa"/>
              <w:right w:w="80" w:type="dxa"/>
            </w:tcMar>
            <w:vAlign w:val="center"/>
          </w:tcPr>
          <w:p w14:paraId="2E7DD659" w14:textId="77777777" w:rsidR="000F429A" w:rsidRPr="006A0747" w:rsidRDefault="000F429A" w:rsidP="000F429A">
            <w:pPr>
              <w:pBdr>
                <w:top w:val="nil"/>
                <w:left w:val="nil"/>
                <w:bottom w:val="nil"/>
                <w:right w:val="nil"/>
                <w:between w:val="nil"/>
                <w:bar w:val="nil"/>
              </w:pBdr>
              <w:suppressAutoHyphens/>
              <w:spacing w:after="0" w:line="240" w:lineRule="auto"/>
              <w:contextualSpacing/>
              <w:rPr>
                <w:rFonts w:ascii="Times New Roman" w:eastAsia="Arial Unicode MS" w:hAnsi="Times New Roman" w:cs="Times New Roman"/>
                <w:color w:val="767171"/>
                <w:spacing w:val="20"/>
                <w:sz w:val="24"/>
                <w:szCs w:val="24"/>
                <w:u w:color="000000"/>
                <w:bdr w:val="nil"/>
              </w:rPr>
            </w:pPr>
            <w:r w:rsidRPr="006A0747">
              <w:rPr>
                <w:rFonts w:ascii="Times New Roman" w:eastAsia="Arial Unicode MS" w:hAnsi="Times New Roman" w:cs="Times New Roman"/>
                <w:color w:val="767171"/>
                <w:spacing w:val="20"/>
                <w:sz w:val="24"/>
                <w:szCs w:val="24"/>
                <w:u w:color="000000"/>
                <w:bdr w:val="nil"/>
              </w:rPr>
              <w:t>Obras</w:t>
            </w:r>
          </w:p>
        </w:tc>
        <w:tc>
          <w:tcPr>
            <w:tcW w:w="237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C94EB1A" w14:textId="77777777" w:rsidR="000F429A" w:rsidRPr="006A0747" w:rsidRDefault="000F429A" w:rsidP="000F429A">
            <w:pPr>
              <w:pBdr>
                <w:top w:val="nil"/>
                <w:left w:val="nil"/>
                <w:bottom w:val="nil"/>
                <w:right w:val="nil"/>
                <w:between w:val="nil"/>
                <w:bar w:val="nil"/>
              </w:pBdr>
              <w:suppressAutoHyphens/>
              <w:spacing w:after="0" w:line="240" w:lineRule="auto"/>
              <w:contextualSpacing/>
              <w:jc w:val="center"/>
              <w:rPr>
                <w:rFonts w:ascii="Times New Roman" w:eastAsia="Arial Unicode MS" w:hAnsi="Times New Roman" w:cs="Times New Roman"/>
                <w:color w:val="767171"/>
                <w:spacing w:val="20"/>
                <w:sz w:val="24"/>
                <w:szCs w:val="24"/>
                <w:u w:color="000000"/>
                <w:bdr w:val="nil"/>
              </w:rPr>
            </w:pPr>
            <w:r w:rsidRPr="006A0747">
              <w:rPr>
                <w:rFonts w:ascii="Times New Roman" w:eastAsia="Arial Unicode MS" w:hAnsi="Times New Roman" w:cs="Times New Roman"/>
                <w:color w:val="767171"/>
                <w:spacing w:val="20"/>
                <w:sz w:val="24"/>
                <w:szCs w:val="24"/>
                <w:u w:color="000000"/>
                <w:bdr w:val="nil"/>
              </w:rPr>
              <w:t>141,749,206</w:t>
            </w:r>
          </w:p>
        </w:tc>
        <w:tc>
          <w:tcPr>
            <w:tcW w:w="2021"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80C04F5" w14:textId="77777777" w:rsidR="000F429A" w:rsidRPr="006A0747" w:rsidRDefault="000F429A" w:rsidP="000F429A">
            <w:pPr>
              <w:pBdr>
                <w:top w:val="nil"/>
                <w:left w:val="nil"/>
                <w:bottom w:val="nil"/>
                <w:right w:val="nil"/>
                <w:between w:val="nil"/>
                <w:bar w:val="nil"/>
              </w:pBdr>
              <w:suppressAutoHyphens/>
              <w:spacing w:after="0" w:line="240" w:lineRule="auto"/>
              <w:contextualSpacing/>
              <w:jc w:val="center"/>
              <w:rPr>
                <w:rFonts w:ascii="Times New Roman" w:eastAsia="Arial Unicode MS" w:hAnsi="Times New Roman" w:cs="Times New Roman"/>
                <w:color w:val="767171"/>
                <w:spacing w:val="20"/>
                <w:sz w:val="24"/>
                <w:szCs w:val="24"/>
                <w:u w:color="000000"/>
                <w:bdr w:val="nil"/>
              </w:rPr>
            </w:pPr>
            <w:r w:rsidRPr="006A0747">
              <w:rPr>
                <w:rFonts w:ascii="Times New Roman" w:eastAsia="Arial Unicode MS" w:hAnsi="Times New Roman" w:cs="Times New Roman"/>
                <w:color w:val="767171"/>
                <w:spacing w:val="20"/>
                <w:sz w:val="24"/>
                <w:szCs w:val="24"/>
                <w:u w:color="000000"/>
                <w:bdr w:val="nil"/>
              </w:rPr>
              <w:t>2 %</w:t>
            </w:r>
          </w:p>
        </w:tc>
      </w:tr>
      <w:tr w:rsidR="000F429A" w:rsidRPr="006A0747" w14:paraId="1E6B4436" w14:textId="77777777" w:rsidTr="00EA0B6D">
        <w:trPr>
          <w:trHeight w:val="283"/>
          <w:jc w:val="center"/>
        </w:trPr>
        <w:tc>
          <w:tcPr>
            <w:tcW w:w="4485" w:type="dxa"/>
            <w:tcBorders>
              <w:top w:val="single" w:sz="8" w:space="0" w:color="000000"/>
              <w:left w:val="single" w:sz="8" w:space="0" w:color="000000"/>
              <w:bottom w:val="single" w:sz="8" w:space="0" w:color="000000"/>
              <w:right w:val="single" w:sz="8" w:space="0" w:color="000000"/>
            </w:tcBorders>
            <w:shd w:val="clear" w:color="auto" w:fill="011C50"/>
            <w:tcMar>
              <w:top w:w="80" w:type="dxa"/>
              <w:left w:w="170" w:type="dxa"/>
              <w:bottom w:w="80" w:type="dxa"/>
              <w:right w:w="80" w:type="dxa"/>
            </w:tcMar>
            <w:vAlign w:val="center"/>
          </w:tcPr>
          <w:p w14:paraId="66336A25" w14:textId="77777777" w:rsidR="000F429A" w:rsidRPr="006A0747" w:rsidRDefault="000F429A" w:rsidP="000F429A">
            <w:pPr>
              <w:pBdr>
                <w:top w:val="nil"/>
                <w:left w:val="nil"/>
                <w:bottom w:val="nil"/>
                <w:right w:val="nil"/>
                <w:between w:val="nil"/>
                <w:bar w:val="nil"/>
              </w:pBdr>
              <w:suppressAutoHyphens/>
              <w:spacing w:after="0" w:line="240" w:lineRule="auto"/>
              <w:contextualSpacing/>
              <w:rPr>
                <w:rFonts w:ascii="Times New Roman" w:eastAsia="Arial Unicode MS" w:hAnsi="Times New Roman" w:cs="Times New Roman"/>
                <w:b/>
                <w:color w:val="FFFFFF"/>
                <w:spacing w:val="20"/>
                <w:sz w:val="24"/>
                <w:szCs w:val="24"/>
                <w:u w:color="000000"/>
                <w:bdr w:val="nil"/>
              </w:rPr>
            </w:pPr>
            <w:proofErr w:type="gramStart"/>
            <w:r w:rsidRPr="006A0747">
              <w:rPr>
                <w:rFonts w:ascii="Times New Roman" w:eastAsia="Arial Unicode MS" w:hAnsi="Times New Roman" w:cs="Times New Roman"/>
                <w:b/>
                <w:color w:val="FFFFFF"/>
                <w:spacing w:val="20"/>
                <w:sz w:val="24"/>
                <w:szCs w:val="24"/>
                <w:u w:color="000000"/>
                <w:bdr w:val="nil"/>
              </w:rPr>
              <w:t>Total</w:t>
            </w:r>
            <w:proofErr w:type="gramEnd"/>
            <w:r w:rsidRPr="006A0747">
              <w:rPr>
                <w:rFonts w:ascii="Times New Roman" w:eastAsia="Arial Unicode MS" w:hAnsi="Times New Roman" w:cs="Times New Roman"/>
                <w:b/>
                <w:color w:val="FFFFFF"/>
                <w:spacing w:val="20"/>
                <w:sz w:val="24"/>
                <w:szCs w:val="24"/>
                <w:u w:color="000000"/>
                <w:bdr w:val="nil"/>
              </w:rPr>
              <w:t xml:space="preserve"> de Gastos</w:t>
            </w:r>
          </w:p>
        </w:tc>
        <w:tc>
          <w:tcPr>
            <w:tcW w:w="2373" w:type="dxa"/>
            <w:tcBorders>
              <w:top w:val="single" w:sz="8" w:space="0" w:color="000000"/>
              <w:left w:val="single" w:sz="8" w:space="0" w:color="000000"/>
              <w:bottom w:val="single" w:sz="8" w:space="0" w:color="000000"/>
              <w:right w:val="single" w:sz="8" w:space="0" w:color="000000"/>
            </w:tcBorders>
            <w:shd w:val="clear" w:color="auto" w:fill="011C50"/>
            <w:tcMar>
              <w:top w:w="80" w:type="dxa"/>
              <w:left w:w="80" w:type="dxa"/>
              <w:bottom w:w="80" w:type="dxa"/>
              <w:right w:w="80" w:type="dxa"/>
            </w:tcMar>
            <w:vAlign w:val="center"/>
          </w:tcPr>
          <w:p w14:paraId="5D7BF67D" w14:textId="77777777" w:rsidR="000F429A" w:rsidRPr="006A0747" w:rsidRDefault="000F429A" w:rsidP="000F429A">
            <w:pPr>
              <w:pBdr>
                <w:top w:val="nil"/>
                <w:left w:val="nil"/>
                <w:bottom w:val="nil"/>
                <w:right w:val="nil"/>
                <w:between w:val="nil"/>
                <w:bar w:val="nil"/>
              </w:pBdr>
              <w:suppressAutoHyphens/>
              <w:spacing w:after="0" w:line="240" w:lineRule="auto"/>
              <w:contextualSpacing/>
              <w:jc w:val="center"/>
              <w:rPr>
                <w:rFonts w:ascii="Times New Roman" w:eastAsia="Arial Unicode MS" w:hAnsi="Times New Roman" w:cs="Times New Roman"/>
                <w:b/>
                <w:color w:val="FFFFFF"/>
                <w:spacing w:val="20"/>
                <w:sz w:val="24"/>
                <w:szCs w:val="24"/>
                <w:u w:color="000000"/>
                <w:bdr w:val="nil"/>
              </w:rPr>
            </w:pPr>
            <w:r w:rsidRPr="006A0747">
              <w:rPr>
                <w:rFonts w:ascii="Times New Roman" w:eastAsia="Arial Unicode MS" w:hAnsi="Times New Roman" w:cs="Times New Roman"/>
                <w:b/>
                <w:color w:val="FFFFFF"/>
                <w:spacing w:val="20"/>
                <w:sz w:val="24"/>
                <w:szCs w:val="24"/>
                <w:u w:color="000000"/>
                <w:bdr w:val="nil"/>
              </w:rPr>
              <w:t>6,261,146,897</w:t>
            </w:r>
          </w:p>
        </w:tc>
        <w:tc>
          <w:tcPr>
            <w:tcW w:w="2021" w:type="dxa"/>
            <w:gridSpan w:val="2"/>
            <w:tcBorders>
              <w:top w:val="single" w:sz="8" w:space="0" w:color="000000"/>
              <w:left w:val="single" w:sz="8" w:space="0" w:color="000000"/>
              <w:bottom w:val="single" w:sz="8" w:space="0" w:color="000000"/>
              <w:right w:val="single" w:sz="8" w:space="0" w:color="000000"/>
            </w:tcBorders>
            <w:shd w:val="clear" w:color="auto" w:fill="011C50"/>
            <w:tcMar>
              <w:top w:w="80" w:type="dxa"/>
              <w:left w:w="80" w:type="dxa"/>
              <w:bottom w:w="80" w:type="dxa"/>
              <w:right w:w="80" w:type="dxa"/>
            </w:tcMar>
            <w:vAlign w:val="center"/>
          </w:tcPr>
          <w:p w14:paraId="77AC0C92" w14:textId="77777777" w:rsidR="000F429A" w:rsidRPr="006A0747" w:rsidRDefault="000F429A" w:rsidP="000F429A">
            <w:pPr>
              <w:pBdr>
                <w:top w:val="nil"/>
                <w:left w:val="nil"/>
                <w:bottom w:val="nil"/>
                <w:right w:val="nil"/>
                <w:between w:val="nil"/>
                <w:bar w:val="nil"/>
              </w:pBdr>
              <w:suppressAutoHyphens/>
              <w:spacing w:after="0" w:line="240" w:lineRule="auto"/>
              <w:contextualSpacing/>
              <w:jc w:val="center"/>
              <w:rPr>
                <w:rFonts w:ascii="Times New Roman" w:eastAsia="Arial Unicode MS" w:hAnsi="Times New Roman" w:cs="Times New Roman"/>
                <w:b/>
                <w:color w:val="FFFFFF"/>
                <w:spacing w:val="20"/>
                <w:sz w:val="24"/>
                <w:szCs w:val="24"/>
                <w:u w:color="000000"/>
                <w:bdr w:val="nil"/>
              </w:rPr>
            </w:pPr>
            <w:r w:rsidRPr="006A0747">
              <w:rPr>
                <w:rFonts w:ascii="Times New Roman" w:eastAsia="Arial Unicode MS" w:hAnsi="Times New Roman" w:cs="Times New Roman"/>
                <w:b/>
                <w:color w:val="FFFFFF"/>
                <w:spacing w:val="20"/>
                <w:sz w:val="24"/>
                <w:szCs w:val="24"/>
                <w:u w:color="000000"/>
                <w:bdr w:val="nil"/>
              </w:rPr>
              <w:t>100 %</w:t>
            </w:r>
          </w:p>
        </w:tc>
      </w:tr>
    </w:tbl>
    <w:p w14:paraId="46655285" w14:textId="77777777" w:rsidR="00E67DE4" w:rsidRPr="006A0747" w:rsidRDefault="00E67DE4" w:rsidP="00E67DE4">
      <w:pPr>
        <w:spacing w:after="0"/>
        <w:jc w:val="center"/>
        <w:rPr>
          <w:rFonts w:ascii="Times New Roman" w:hAnsi="Times New Roman" w:cs="Times New Roman"/>
          <w:i/>
          <w:color w:val="767171"/>
          <w:spacing w:val="20"/>
          <w:sz w:val="18"/>
          <w:szCs w:val="18"/>
        </w:rPr>
      </w:pPr>
      <w:r w:rsidRPr="006A0747">
        <w:rPr>
          <w:rFonts w:ascii="Times New Roman" w:hAnsi="Times New Roman" w:cs="Times New Roman"/>
          <w:b/>
          <w:i/>
          <w:color w:val="767171"/>
          <w:spacing w:val="20"/>
          <w:sz w:val="18"/>
          <w:szCs w:val="18"/>
        </w:rPr>
        <w:t>Fuente</w:t>
      </w:r>
      <w:r w:rsidRPr="006A0747">
        <w:rPr>
          <w:rFonts w:ascii="Times New Roman" w:hAnsi="Times New Roman" w:cs="Times New Roman"/>
          <w:i/>
          <w:color w:val="767171"/>
          <w:spacing w:val="20"/>
          <w:sz w:val="18"/>
          <w:szCs w:val="18"/>
        </w:rPr>
        <w:t>: Departamento Administrativo, Financiero y de Planificación. Superintendencia de Bancos de la República Dominicana. 2024</w:t>
      </w:r>
    </w:p>
    <w:p w14:paraId="47834F5B" w14:textId="77777777" w:rsidR="00A023E8" w:rsidRPr="006A0747" w:rsidRDefault="00A023E8" w:rsidP="009F30D3">
      <w:pPr>
        <w:pStyle w:val="CuerpoSB"/>
        <w:pBdr>
          <w:top w:val="none" w:sz="0" w:space="0" w:color="auto"/>
          <w:left w:val="none" w:sz="0" w:space="0" w:color="auto"/>
          <w:bottom w:val="none" w:sz="0" w:space="0" w:color="auto"/>
          <w:right w:val="none" w:sz="0" w:space="0" w:color="auto"/>
        </w:pBdr>
        <w:spacing w:line="360" w:lineRule="auto"/>
        <w:ind w:left="0"/>
        <w:contextualSpacing w:val="0"/>
        <w:jc w:val="left"/>
        <w:rPr>
          <w:rFonts w:ascii="Times New Roman" w:eastAsia="Calibri" w:hAnsi="Times New Roman" w:cs="Times New Roman"/>
          <w:b/>
          <w:color w:val="767171"/>
          <w:spacing w:val="20"/>
          <w:sz w:val="24"/>
          <w:szCs w:val="24"/>
          <w:bdr w:val="none" w:sz="0" w:space="0" w:color="auto"/>
          <w:lang w:eastAsia="en-US"/>
        </w:rPr>
      </w:pPr>
    </w:p>
    <w:p w14:paraId="4493E8D3" w14:textId="77777777" w:rsidR="00657DD9" w:rsidRPr="006A0747" w:rsidRDefault="00657DD9" w:rsidP="009F30D3">
      <w:pPr>
        <w:pStyle w:val="CuerpoSB"/>
        <w:pBdr>
          <w:top w:val="none" w:sz="0" w:space="0" w:color="auto"/>
          <w:left w:val="none" w:sz="0" w:space="0" w:color="auto"/>
          <w:bottom w:val="none" w:sz="0" w:space="0" w:color="auto"/>
          <w:right w:val="none" w:sz="0" w:space="0" w:color="auto"/>
        </w:pBdr>
        <w:spacing w:line="360" w:lineRule="auto"/>
        <w:ind w:left="0"/>
        <w:contextualSpacing w:val="0"/>
        <w:jc w:val="left"/>
        <w:rPr>
          <w:rFonts w:ascii="Times New Roman" w:eastAsia="Calibri" w:hAnsi="Times New Roman" w:cs="Times New Roman"/>
          <w:b/>
          <w:color w:val="767171"/>
          <w:spacing w:val="20"/>
          <w:sz w:val="24"/>
          <w:szCs w:val="24"/>
          <w:bdr w:val="none" w:sz="0" w:space="0" w:color="auto"/>
          <w:lang w:eastAsia="en-US"/>
        </w:rPr>
      </w:pPr>
      <w:r w:rsidRPr="006A0747">
        <w:rPr>
          <w:rFonts w:ascii="Times New Roman" w:eastAsia="Calibri" w:hAnsi="Times New Roman" w:cs="Times New Roman"/>
          <w:b/>
          <w:color w:val="767171"/>
          <w:spacing w:val="20"/>
          <w:sz w:val="24"/>
          <w:szCs w:val="24"/>
          <w:bdr w:val="none" w:sz="0" w:space="0" w:color="auto"/>
          <w:lang w:eastAsia="en-US"/>
        </w:rPr>
        <w:t>Ejecución presupuestaria</w:t>
      </w:r>
    </w:p>
    <w:p w14:paraId="71A70D30" w14:textId="60D3116E" w:rsidR="00A023E8" w:rsidRPr="006A0747" w:rsidRDefault="007F3606" w:rsidP="00657DD9">
      <w:pPr>
        <w:pStyle w:val="CuerpoSB"/>
        <w:pBdr>
          <w:top w:val="none" w:sz="0" w:space="0" w:color="auto"/>
          <w:left w:val="none" w:sz="0" w:space="0" w:color="auto"/>
          <w:bottom w:val="none" w:sz="0" w:space="0" w:color="auto"/>
          <w:right w:val="none" w:sz="0" w:space="0" w:color="auto"/>
        </w:pBdr>
        <w:spacing w:line="360" w:lineRule="auto"/>
        <w:ind w:left="0"/>
        <w:rPr>
          <w:rFonts w:ascii="Times New Roman" w:eastAsia="Calibri" w:hAnsi="Times New Roman" w:cs="Times New Roman"/>
          <w:color w:val="767171"/>
          <w:spacing w:val="20"/>
          <w:sz w:val="24"/>
          <w:szCs w:val="24"/>
          <w:bdr w:val="none" w:sz="0" w:space="0" w:color="auto"/>
          <w:lang w:eastAsia="en-US"/>
        </w:rPr>
      </w:pPr>
      <w:r w:rsidRPr="006A0747">
        <w:rPr>
          <w:rFonts w:ascii="Times New Roman" w:eastAsia="Calibri" w:hAnsi="Times New Roman" w:cs="Times New Roman"/>
          <w:color w:val="767171"/>
          <w:spacing w:val="20"/>
          <w:sz w:val="24"/>
          <w:szCs w:val="24"/>
          <w:bdr w:val="none" w:sz="0" w:space="0" w:color="auto"/>
          <w:lang w:eastAsia="en-US"/>
        </w:rPr>
        <w:t xml:space="preserve">Al corte del 31 de </w:t>
      </w:r>
      <w:r w:rsidR="00523099">
        <w:rPr>
          <w:rFonts w:ascii="Times New Roman" w:eastAsia="Calibri" w:hAnsi="Times New Roman" w:cs="Times New Roman"/>
          <w:color w:val="767171"/>
          <w:spacing w:val="20"/>
          <w:sz w:val="24"/>
          <w:szCs w:val="24"/>
          <w:bdr w:val="none" w:sz="0" w:space="0" w:color="auto"/>
          <w:lang w:eastAsia="en-US"/>
        </w:rPr>
        <w:t>diciembre</w:t>
      </w:r>
      <w:r w:rsidRPr="006A0747">
        <w:rPr>
          <w:rFonts w:ascii="Times New Roman" w:eastAsia="Calibri" w:hAnsi="Times New Roman" w:cs="Times New Roman"/>
          <w:color w:val="767171"/>
          <w:spacing w:val="20"/>
          <w:sz w:val="24"/>
          <w:szCs w:val="24"/>
          <w:bdr w:val="none" w:sz="0" w:space="0" w:color="auto"/>
          <w:lang w:eastAsia="en-US"/>
        </w:rPr>
        <w:t xml:space="preserve"> del año 2024, la ejecución</w:t>
      </w:r>
      <w:r w:rsidR="00523099">
        <w:rPr>
          <w:rFonts w:ascii="Times New Roman" w:eastAsia="Calibri" w:hAnsi="Times New Roman" w:cs="Times New Roman"/>
          <w:color w:val="767171"/>
          <w:spacing w:val="20"/>
          <w:sz w:val="24"/>
          <w:szCs w:val="24"/>
          <w:bdr w:val="none" w:sz="0" w:space="0" w:color="auto"/>
          <w:lang w:eastAsia="en-US"/>
        </w:rPr>
        <w:t xml:space="preserve"> preliminar</w:t>
      </w:r>
      <w:r w:rsidRPr="006A0747">
        <w:rPr>
          <w:rFonts w:ascii="Times New Roman" w:eastAsia="Calibri" w:hAnsi="Times New Roman" w:cs="Times New Roman"/>
          <w:color w:val="767171"/>
          <w:spacing w:val="20"/>
          <w:sz w:val="24"/>
          <w:szCs w:val="24"/>
          <w:bdr w:val="none" w:sz="0" w:space="0" w:color="auto"/>
          <w:lang w:eastAsia="en-US"/>
        </w:rPr>
        <w:t xml:space="preserve"> del gasto alcanza un total de </w:t>
      </w:r>
      <w:r w:rsidR="009970B8">
        <w:rPr>
          <w:rFonts w:ascii="Times New Roman" w:eastAsia="Calibri" w:hAnsi="Times New Roman" w:cs="Times New Roman"/>
          <w:color w:val="767171"/>
          <w:spacing w:val="20"/>
          <w:sz w:val="24"/>
          <w:szCs w:val="24"/>
          <w:bdr w:val="none" w:sz="0" w:space="0" w:color="auto"/>
          <w:lang w:eastAsia="en-US"/>
        </w:rPr>
        <w:t>cuatro</w:t>
      </w:r>
      <w:r w:rsidRPr="006A0747">
        <w:rPr>
          <w:rFonts w:ascii="Times New Roman" w:eastAsia="Calibri" w:hAnsi="Times New Roman" w:cs="Times New Roman"/>
          <w:color w:val="767171"/>
          <w:spacing w:val="20"/>
          <w:sz w:val="24"/>
          <w:szCs w:val="24"/>
          <w:bdr w:val="none" w:sz="0" w:space="0" w:color="auto"/>
          <w:lang w:eastAsia="en-US"/>
        </w:rPr>
        <w:t xml:space="preserve"> </w:t>
      </w:r>
      <w:r w:rsidR="0039798D">
        <w:rPr>
          <w:rFonts w:ascii="Times New Roman" w:eastAsia="Calibri" w:hAnsi="Times New Roman" w:cs="Times New Roman"/>
          <w:color w:val="767171"/>
          <w:spacing w:val="20"/>
          <w:sz w:val="24"/>
          <w:szCs w:val="24"/>
          <w:bdr w:val="none" w:sz="0" w:space="0" w:color="auto"/>
          <w:lang w:eastAsia="en-US"/>
        </w:rPr>
        <w:t xml:space="preserve">mil </w:t>
      </w:r>
      <w:r w:rsidR="00F471FF">
        <w:rPr>
          <w:rFonts w:ascii="Times New Roman" w:eastAsia="Calibri" w:hAnsi="Times New Roman" w:cs="Times New Roman"/>
          <w:color w:val="767171"/>
          <w:spacing w:val="20"/>
          <w:sz w:val="24"/>
          <w:szCs w:val="24"/>
          <w:bdr w:val="none" w:sz="0" w:space="0" w:color="auto"/>
          <w:lang w:eastAsia="en-US"/>
        </w:rPr>
        <w:t>siete</w:t>
      </w:r>
      <w:r w:rsidRPr="006A0747">
        <w:rPr>
          <w:rFonts w:ascii="Times New Roman" w:eastAsia="Calibri" w:hAnsi="Times New Roman" w:cs="Times New Roman"/>
          <w:color w:val="767171"/>
          <w:spacing w:val="20"/>
          <w:sz w:val="24"/>
          <w:szCs w:val="24"/>
          <w:bdr w:val="none" w:sz="0" w:space="0" w:color="auto"/>
          <w:lang w:eastAsia="en-US"/>
        </w:rPr>
        <w:t xml:space="preserve"> millones, </w:t>
      </w:r>
      <w:r w:rsidR="0050701C">
        <w:rPr>
          <w:rFonts w:ascii="Times New Roman" w:eastAsia="Calibri" w:hAnsi="Times New Roman" w:cs="Times New Roman"/>
          <w:color w:val="767171"/>
          <w:spacing w:val="20"/>
          <w:sz w:val="24"/>
          <w:szCs w:val="24"/>
          <w:bdr w:val="none" w:sz="0" w:space="0" w:color="auto"/>
          <w:lang w:eastAsia="en-US"/>
        </w:rPr>
        <w:t>sesenta</w:t>
      </w:r>
      <w:r w:rsidRPr="006A0747">
        <w:rPr>
          <w:rFonts w:ascii="Times New Roman" w:eastAsia="Calibri" w:hAnsi="Times New Roman" w:cs="Times New Roman"/>
          <w:color w:val="767171"/>
          <w:spacing w:val="20"/>
          <w:sz w:val="24"/>
          <w:szCs w:val="24"/>
          <w:bdr w:val="none" w:sz="0" w:space="0" w:color="auto"/>
          <w:lang w:eastAsia="en-US"/>
        </w:rPr>
        <w:t xml:space="preserve"> y </w:t>
      </w:r>
      <w:r w:rsidR="0050701C">
        <w:rPr>
          <w:rFonts w:ascii="Times New Roman" w:eastAsia="Calibri" w:hAnsi="Times New Roman" w:cs="Times New Roman"/>
          <w:color w:val="767171"/>
          <w:spacing w:val="20"/>
          <w:sz w:val="24"/>
          <w:szCs w:val="24"/>
          <w:bdr w:val="none" w:sz="0" w:space="0" w:color="auto"/>
          <w:lang w:eastAsia="en-US"/>
        </w:rPr>
        <w:t>cinco</w:t>
      </w:r>
      <w:r w:rsidRPr="006A0747">
        <w:rPr>
          <w:rFonts w:ascii="Times New Roman" w:eastAsia="Calibri" w:hAnsi="Times New Roman" w:cs="Times New Roman"/>
          <w:color w:val="767171"/>
          <w:spacing w:val="20"/>
          <w:sz w:val="24"/>
          <w:szCs w:val="24"/>
          <w:bdr w:val="none" w:sz="0" w:space="0" w:color="auto"/>
          <w:lang w:eastAsia="en-US"/>
        </w:rPr>
        <w:t xml:space="preserve"> mil </w:t>
      </w:r>
      <w:r w:rsidR="00B06678">
        <w:rPr>
          <w:rFonts w:ascii="Times New Roman" w:eastAsia="Calibri" w:hAnsi="Times New Roman" w:cs="Times New Roman"/>
          <w:color w:val="767171"/>
          <w:spacing w:val="20"/>
          <w:sz w:val="24"/>
          <w:szCs w:val="24"/>
          <w:bdr w:val="none" w:sz="0" w:space="0" w:color="auto"/>
          <w:lang w:eastAsia="en-US"/>
        </w:rPr>
        <w:t>ochociento</w:t>
      </w:r>
      <w:r w:rsidR="00D07BFA">
        <w:rPr>
          <w:rFonts w:ascii="Times New Roman" w:eastAsia="Calibri" w:hAnsi="Times New Roman" w:cs="Times New Roman"/>
          <w:color w:val="767171"/>
          <w:spacing w:val="20"/>
          <w:sz w:val="24"/>
          <w:szCs w:val="24"/>
          <w:bdr w:val="none" w:sz="0" w:space="0" w:color="auto"/>
          <w:lang w:eastAsia="en-US"/>
        </w:rPr>
        <w:t>s</w:t>
      </w:r>
      <w:r w:rsidRPr="006A0747">
        <w:rPr>
          <w:rFonts w:ascii="Times New Roman" w:eastAsia="Calibri" w:hAnsi="Times New Roman" w:cs="Times New Roman"/>
          <w:color w:val="767171"/>
          <w:spacing w:val="20"/>
          <w:sz w:val="24"/>
          <w:szCs w:val="24"/>
          <w:bdr w:val="none" w:sz="0" w:space="0" w:color="auto"/>
          <w:lang w:eastAsia="en-US"/>
        </w:rPr>
        <w:t xml:space="preserve"> </w:t>
      </w:r>
      <w:r w:rsidR="00D07BFA">
        <w:rPr>
          <w:rFonts w:ascii="Times New Roman" w:eastAsia="Calibri" w:hAnsi="Times New Roman" w:cs="Times New Roman"/>
          <w:color w:val="767171"/>
          <w:spacing w:val="20"/>
          <w:sz w:val="24"/>
          <w:szCs w:val="24"/>
          <w:bdr w:val="none" w:sz="0" w:space="0" w:color="auto"/>
          <w:lang w:eastAsia="en-US"/>
        </w:rPr>
        <w:t>diez</w:t>
      </w:r>
      <w:r w:rsidRPr="006A0747">
        <w:rPr>
          <w:rFonts w:ascii="Times New Roman" w:eastAsia="Calibri" w:hAnsi="Times New Roman" w:cs="Times New Roman"/>
          <w:color w:val="767171"/>
          <w:spacing w:val="20"/>
          <w:sz w:val="24"/>
          <w:szCs w:val="24"/>
          <w:bdr w:val="none" w:sz="0" w:space="0" w:color="auto"/>
          <w:lang w:eastAsia="en-US"/>
        </w:rPr>
        <w:t xml:space="preserve"> pesos (RD$ </w:t>
      </w:r>
      <w:r w:rsidR="00754DDA">
        <w:rPr>
          <w:rFonts w:ascii="Times New Roman" w:eastAsia="Calibri" w:hAnsi="Times New Roman" w:cs="Times New Roman"/>
          <w:color w:val="767171"/>
          <w:spacing w:val="20"/>
          <w:sz w:val="24"/>
          <w:szCs w:val="24"/>
          <w:bdr w:val="none" w:sz="0" w:space="0" w:color="auto"/>
          <w:lang w:eastAsia="en-US"/>
        </w:rPr>
        <w:t>4</w:t>
      </w:r>
      <w:r w:rsidRPr="006A0747">
        <w:rPr>
          <w:rFonts w:ascii="Times New Roman" w:eastAsia="Calibri" w:hAnsi="Times New Roman" w:cs="Times New Roman"/>
          <w:color w:val="767171"/>
          <w:spacing w:val="20"/>
          <w:sz w:val="24"/>
          <w:szCs w:val="24"/>
          <w:bdr w:val="none" w:sz="0" w:space="0" w:color="auto"/>
          <w:lang w:eastAsia="en-US"/>
        </w:rPr>
        <w:t>,</w:t>
      </w:r>
      <w:r w:rsidR="00754DDA">
        <w:rPr>
          <w:rFonts w:ascii="Times New Roman" w:eastAsia="Calibri" w:hAnsi="Times New Roman" w:cs="Times New Roman"/>
          <w:color w:val="767171"/>
          <w:spacing w:val="20"/>
          <w:sz w:val="24"/>
          <w:szCs w:val="24"/>
          <w:bdr w:val="none" w:sz="0" w:space="0" w:color="auto"/>
          <w:lang w:eastAsia="en-US"/>
        </w:rPr>
        <w:t>007</w:t>
      </w:r>
      <w:r w:rsidRPr="006A0747">
        <w:rPr>
          <w:rFonts w:ascii="Times New Roman" w:eastAsia="Calibri" w:hAnsi="Times New Roman" w:cs="Times New Roman"/>
          <w:color w:val="767171"/>
          <w:spacing w:val="20"/>
          <w:sz w:val="24"/>
          <w:szCs w:val="24"/>
          <w:bdr w:val="none" w:sz="0" w:space="0" w:color="auto"/>
          <w:lang w:eastAsia="en-US"/>
        </w:rPr>
        <w:t>,</w:t>
      </w:r>
      <w:r w:rsidR="00C26C2D">
        <w:rPr>
          <w:rFonts w:ascii="Times New Roman" w:eastAsia="Calibri" w:hAnsi="Times New Roman" w:cs="Times New Roman"/>
          <w:color w:val="767171"/>
          <w:spacing w:val="20"/>
          <w:sz w:val="24"/>
          <w:szCs w:val="24"/>
          <w:bdr w:val="none" w:sz="0" w:space="0" w:color="auto"/>
          <w:lang w:eastAsia="en-US"/>
        </w:rPr>
        <w:t>065</w:t>
      </w:r>
      <w:r w:rsidRPr="006A0747">
        <w:rPr>
          <w:rFonts w:ascii="Times New Roman" w:eastAsia="Calibri" w:hAnsi="Times New Roman" w:cs="Times New Roman"/>
          <w:color w:val="767171"/>
          <w:spacing w:val="20"/>
          <w:sz w:val="24"/>
          <w:szCs w:val="24"/>
          <w:bdr w:val="none" w:sz="0" w:space="0" w:color="auto"/>
          <w:lang w:eastAsia="en-US"/>
        </w:rPr>
        <w:t>,</w:t>
      </w:r>
      <w:r w:rsidR="00C26C2D">
        <w:rPr>
          <w:rFonts w:ascii="Times New Roman" w:eastAsia="Calibri" w:hAnsi="Times New Roman" w:cs="Times New Roman"/>
          <w:color w:val="767171"/>
          <w:spacing w:val="20"/>
          <w:sz w:val="24"/>
          <w:szCs w:val="24"/>
          <w:bdr w:val="none" w:sz="0" w:space="0" w:color="auto"/>
          <w:lang w:eastAsia="en-US"/>
        </w:rPr>
        <w:t>810</w:t>
      </w:r>
      <w:r w:rsidRPr="006A0747">
        <w:rPr>
          <w:rFonts w:ascii="Times New Roman" w:eastAsia="Calibri" w:hAnsi="Times New Roman" w:cs="Times New Roman"/>
          <w:color w:val="767171"/>
          <w:spacing w:val="20"/>
          <w:sz w:val="24"/>
          <w:szCs w:val="24"/>
          <w:bdr w:val="none" w:sz="0" w:space="0" w:color="auto"/>
          <w:lang w:eastAsia="en-US"/>
        </w:rPr>
        <w:t xml:space="preserve">) para una ejecución de </w:t>
      </w:r>
      <w:r w:rsidR="00C26C2D">
        <w:rPr>
          <w:rFonts w:ascii="Times New Roman" w:eastAsia="Calibri" w:hAnsi="Times New Roman" w:cs="Times New Roman"/>
          <w:color w:val="767171"/>
          <w:spacing w:val="20"/>
          <w:sz w:val="24"/>
          <w:szCs w:val="24"/>
          <w:bdr w:val="none" w:sz="0" w:space="0" w:color="auto"/>
          <w:lang w:eastAsia="en-US"/>
        </w:rPr>
        <w:t>94</w:t>
      </w:r>
      <w:r w:rsidRPr="006A0747">
        <w:rPr>
          <w:rFonts w:ascii="Times New Roman" w:eastAsia="Calibri" w:hAnsi="Times New Roman" w:cs="Times New Roman"/>
          <w:color w:val="767171"/>
          <w:spacing w:val="20"/>
          <w:sz w:val="24"/>
          <w:szCs w:val="24"/>
          <w:bdr w:val="none" w:sz="0" w:space="0" w:color="auto"/>
          <w:lang w:eastAsia="en-US"/>
        </w:rPr>
        <w:t xml:space="preserve">% en base al presupuesto aprobado de RD$4,261,146,897. Cuando </w:t>
      </w:r>
      <w:r w:rsidR="00392B2C" w:rsidRPr="006A0747">
        <w:rPr>
          <w:rFonts w:ascii="Times New Roman" w:eastAsia="Calibri" w:hAnsi="Times New Roman" w:cs="Times New Roman"/>
          <w:color w:val="767171"/>
          <w:spacing w:val="20"/>
          <w:sz w:val="24"/>
          <w:szCs w:val="24"/>
          <w:bdr w:val="none" w:sz="0" w:space="0" w:color="auto"/>
          <w:lang w:eastAsia="en-US"/>
        </w:rPr>
        <w:t>se agregan</w:t>
      </w:r>
      <w:r w:rsidRPr="006A0747">
        <w:rPr>
          <w:rFonts w:ascii="Times New Roman" w:eastAsia="Calibri" w:hAnsi="Times New Roman" w:cs="Times New Roman"/>
          <w:color w:val="767171"/>
          <w:spacing w:val="20"/>
          <w:sz w:val="24"/>
          <w:szCs w:val="24"/>
          <w:bdr w:val="none" w:sz="0" w:space="0" w:color="auto"/>
          <w:lang w:eastAsia="en-US"/>
        </w:rPr>
        <w:t xml:space="preserve"> las transferencias al Ministerio de Hacienda por dos mil millones de pesos (RD$ 2,000,000,000) </w:t>
      </w:r>
      <w:r w:rsidR="00392B2C" w:rsidRPr="006A0747">
        <w:rPr>
          <w:rFonts w:ascii="Times New Roman" w:eastAsia="Calibri" w:hAnsi="Times New Roman" w:cs="Times New Roman"/>
          <w:color w:val="767171"/>
          <w:spacing w:val="20"/>
          <w:sz w:val="24"/>
          <w:szCs w:val="24"/>
          <w:bdr w:val="none" w:sz="0" w:space="0" w:color="auto"/>
          <w:lang w:eastAsia="en-US"/>
        </w:rPr>
        <w:t>se obtiene</w:t>
      </w:r>
      <w:r w:rsidRPr="006A0747">
        <w:rPr>
          <w:rFonts w:ascii="Times New Roman" w:eastAsia="Calibri" w:hAnsi="Times New Roman" w:cs="Times New Roman"/>
          <w:color w:val="767171"/>
          <w:spacing w:val="20"/>
          <w:sz w:val="24"/>
          <w:szCs w:val="24"/>
          <w:bdr w:val="none" w:sz="0" w:space="0" w:color="auto"/>
          <w:lang w:eastAsia="en-US"/>
        </w:rPr>
        <w:t xml:space="preserve"> una ejecución de </w:t>
      </w:r>
      <w:r w:rsidR="0039798D">
        <w:rPr>
          <w:rFonts w:ascii="Times New Roman" w:eastAsia="Calibri" w:hAnsi="Times New Roman" w:cs="Times New Roman"/>
          <w:color w:val="767171"/>
          <w:spacing w:val="20"/>
          <w:sz w:val="24"/>
          <w:szCs w:val="24"/>
          <w:bdr w:val="none" w:sz="0" w:space="0" w:color="auto"/>
          <w:lang w:eastAsia="en-US"/>
        </w:rPr>
        <w:t>seis mil</w:t>
      </w:r>
      <w:r w:rsidR="000369D9" w:rsidRPr="006A0747">
        <w:rPr>
          <w:rFonts w:ascii="Times New Roman" w:eastAsia="Calibri" w:hAnsi="Times New Roman" w:cs="Times New Roman"/>
          <w:color w:val="767171"/>
          <w:spacing w:val="20"/>
          <w:sz w:val="24"/>
          <w:szCs w:val="24"/>
          <w:bdr w:val="none" w:sz="0" w:space="0" w:color="auto"/>
          <w:lang w:eastAsia="en-US"/>
        </w:rPr>
        <w:t xml:space="preserve"> </w:t>
      </w:r>
      <w:r w:rsidR="00F624C8">
        <w:rPr>
          <w:rFonts w:ascii="Times New Roman" w:eastAsia="Calibri" w:hAnsi="Times New Roman" w:cs="Times New Roman"/>
          <w:color w:val="767171"/>
          <w:spacing w:val="20"/>
          <w:sz w:val="24"/>
          <w:szCs w:val="24"/>
          <w:bdr w:val="none" w:sz="0" w:space="0" w:color="auto"/>
          <w:lang w:eastAsia="en-US"/>
        </w:rPr>
        <w:t>siete</w:t>
      </w:r>
      <w:r w:rsidR="000369D9" w:rsidRPr="006A0747">
        <w:rPr>
          <w:rFonts w:ascii="Times New Roman" w:eastAsia="Calibri" w:hAnsi="Times New Roman" w:cs="Times New Roman"/>
          <w:color w:val="767171"/>
          <w:spacing w:val="20"/>
          <w:sz w:val="24"/>
          <w:szCs w:val="24"/>
          <w:bdr w:val="none" w:sz="0" w:space="0" w:color="auto"/>
          <w:lang w:eastAsia="en-US"/>
        </w:rPr>
        <w:t xml:space="preserve"> millones, </w:t>
      </w:r>
      <w:r w:rsidR="000369D9">
        <w:rPr>
          <w:rFonts w:ascii="Times New Roman" w:eastAsia="Calibri" w:hAnsi="Times New Roman" w:cs="Times New Roman"/>
          <w:color w:val="767171"/>
          <w:spacing w:val="20"/>
          <w:sz w:val="24"/>
          <w:szCs w:val="24"/>
          <w:bdr w:val="none" w:sz="0" w:space="0" w:color="auto"/>
          <w:lang w:eastAsia="en-US"/>
        </w:rPr>
        <w:t>sesenta</w:t>
      </w:r>
      <w:r w:rsidR="000369D9" w:rsidRPr="006A0747">
        <w:rPr>
          <w:rFonts w:ascii="Times New Roman" w:eastAsia="Calibri" w:hAnsi="Times New Roman" w:cs="Times New Roman"/>
          <w:color w:val="767171"/>
          <w:spacing w:val="20"/>
          <w:sz w:val="24"/>
          <w:szCs w:val="24"/>
          <w:bdr w:val="none" w:sz="0" w:space="0" w:color="auto"/>
          <w:lang w:eastAsia="en-US"/>
        </w:rPr>
        <w:t xml:space="preserve"> y </w:t>
      </w:r>
      <w:r w:rsidR="000369D9">
        <w:rPr>
          <w:rFonts w:ascii="Times New Roman" w:eastAsia="Calibri" w:hAnsi="Times New Roman" w:cs="Times New Roman"/>
          <w:color w:val="767171"/>
          <w:spacing w:val="20"/>
          <w:sz w:val="24"/>
          <w:szCs w:val="24"/>
          <w:bdr w:val="none" w:sz="0" w:space="0" w:color="auto"/>
          <w:lang w:eastAsia="en-US"/>
        </w:rPr>
        <w:t>cinco</w:t>
      </w:r>
      <w:r w:rsidR="000369D9" w:rsidRPr="006A0747">
        <w:rPr>
          <w:rFonts w:ascii="Times New Roman" w:eastAsia="Calibri" w:hAnsi="Times New Roman" w:cs="Times New Roman"/>
          <w:color w:val="767171"/>
          <w:spacing w:val="20"/>
          <w:sz w:val="24"/>
          <w:szCs w:val="24"/>
          <w:bdr w:val="none" w:sz="0" w:space="0" w:color="auto"/>
          <w:lang w:eastAsia="en-US"/>
        </w:rPr>
        <w:t xml:space="preserve"> </w:t>
      </w:r>
      <w:r w:rsidRPr="006A0747">
        <w:rPr>
          <w:rFonts w:ascii="Times New Roman" w:eastAsia="Calibri" w:hAnsi="Times New Roman" w:cs="Times New Roman"/>
          <w:color w:val="767171"/>
          <w:spacing w:val="20"/>
          <w:sz w:val="24"/>
          <w:szCs w:val="24"/>
          <w:bdr w:val="none" w:sz="0" w:space="0" w:color="auto"/>
          <w:lang w:eastAsia="en-US"/>
        </w:rPr>
        <w:t xml:space="preserve">mil ochocientos </w:t>
      </w:r>
      <w:r w:rsidR="000369D9">
        <w:rPr>
          <w:rFonts w:ascii="Times New Roman" w:eastAsia="Calibri" w:hAnsi="Times New Roman" w:cs="Times New Roman"/>
          <w:color w:val="767171"/>
          <w:spacing w:val="20"/>
          <w:sz w:val="24"/>
          <w:szCs w:val="24"/>
          <w:bdr w:val="none" w:sz="0" w:space="0" w:color="auto"/>
          <w:lang w:eastAsia="en-US"/>
        </w:rPr>
        <w:t>diez</w:t>
      </w:r>
      <w:r w:rsidRPr="006A0747">
        <w:rPr>
          <w:rFonts w:ascii="Times New Roman" w:eastAsia="Calibri" w:hAnsi="Times New Roman" w:cs="Times New Roman"/>
          <w:color w:val="767171"/>
          <w:spacing w:val="20"/>
          <w:sz w:val="24"/>
          <w:szCs w:val="24"/>
          <w:bdr w:val="none" w:sz="0" w:space="0" w:color="auto"/>
          <w:lang w:eastAsia="en-US"/>
        </w:rPr>
        <w:t xml:space="preserve"> pesos (RD$ </w:t>
      </w:r>
      <w:r w:rsidR="00F624C8">
        <w:rPr>
          <w:rFonts w:ascii="Times New Roman" w:eastAsia="Calibri" w:hAnsi="Times New Roman" w:cs="Times New Roman"/>
          <w:color w:val="767171"/>
          <w:spacing w:val="20"/>
          <w:sz w:val="24"/>
          <w:szCs w:val="24"/>
          <w:bdr w:val="none" w:sz="0" w:space="0" w:color="auto"/>
          <w:lang w:eastAsia="en-US"/>
        </w:rPr>
        <w:t>6</w:t>
      </w:r>
      <w:r w:rsidRPr="006A0747">
        <w:rPr>
          <w:rFonts w:ascii="Times New Roman" w:eastAsia="Calibri" w:hAnsi="Times New Roman" w:cs="Times New Roman"/>
          <w:color w:val="767171"/>
          <w:spacing w:val="20"/>
          <w:sz w:val="24"/>
          <w:szCs w:val="24"/>
          <w:bdr w:val="none" w:sz="0" w:space="0" w:color="auto"/>
          <w:lang w:eastAsia="en-US"/>
        </w:rPr>
        <w:t>,</w:t>
      </w:r>
      <w:r w:rsidR="00F624C8">
        <w:rPr>
          <w:rFonts w:ascii="Times New Roman" w:eastAsia="Calibri" w:hAnsi="Times New Roman" w:cs="Times New Roman"/>
          <w:color w:val="767171"/>
          <w:spacing w:val="20"/>
          <w:sz w:val="24"/>
          <w:szCs w:val="24"/>
          <w:bdr w:val="none" w:sz="0" w:space="0" w:color="auto"/>
          <w:lang w:eastAsia="en-US"/>
        </w:rPr>
        <w:t>007</w:t>
      </w:r>
      <w:r w:rsidRPr="006A0747">
        <w:rPr>
          <w:rFonts w:ascii="Times New Roman" w:eastAsia="Calibri" w:hAnsi="Times New Roman" w:cs="Times New Roman"/>
          <w:color w:val="767171"/>
          <w:spacing w:val="20"/>
          <w:sz w:val="24"/>
          <w:szCs w:val="24"/>
          <w:bdr w:val="none" w:sz="0" w:space="0" w:color="auto"/>
          <w:lang w:eastAsia="en-US"/>
        </w:rPr>
        <w:t>,</w:t>
      </w:r>
      <w:r w:rsidR="00F624C8">
        <w:rPr>
          <w:rFonts w:ascii="Times New Roman" w:eastAsia="Calibri" w:hAnsi="Times New Roman" w:cs="Times New Roman"/>
          <w:color w:val="767171"/>
          <w:spacing w:val="20"/>
          <w:sz w:val="24"/>
          <w:szCs w:val="24"/>
          <w:bdr w:val="none" w:sz="0" w:space="0" w:color="auto"/>
          <w:lang w:eastAsia="en-US"/>
        </w:rPr>
        <w:t>065</w:t>
      </w:r>
      <w:r w:rsidRPr="006A0747">
        <w:rPr>
          <w:rFonts w:ascii="Times New Roman" w:eastAsia="Calibri" w:hAnsi="Times New Roman" w:cs="Times New Roman"/>
          <w:color w:val="767171"/>
          <w:spacing w:val="20"/>
          <w:sz w:val="24"/>
          <w:szCs w:val="24"/>
          <w:bdr w:val="none" w:sz="0" w:space="0" w:color="auto"/>
          <w:lang w:eastAsia="en-US"/>
        </w:rPr>
        <w:t>,</w:t>
      </w:r>
      <w:r w:rsidR="00F624C8">
        <w:rPr>
          <w:rFonts w:ascii="Times New Roman" w:eastAsia="Calibri" w:hAnsi="Times New Roman" w:cs="Times New Roman"/>
          <w:color w:val="767171"/>
          <w:spacing w:val="20"/>
          <w:sz w:val="24"/>
          <w:szCs w:val="24"/>
          <w:bdr w:val="none" w:sz="0" w:space="0" w:color="auto"/>
          <w:lang w:eastAsia="en-US"/>
        </w:rPr>
        <w:t>810</w:t>
      </w:r>
      <w:r w:rsidRPr="006A0747">
        <w:rPr>
          <w:rFonts w:ascii="Times New Roman" w:eastAsia="Calibri" w:hAnsi="Times New Roman" w:cs="Times New Roman"/>
          <w:color w:val="767171"/>
          <w:spacing w:val="20"/>
          <w:sz w:val="24"/>
          <w:szCs w:val="24"/>
          <w:bdr w:val="none" w:sz="0" w:space="0" w:color="auto"/>
          <w:lang w:eastAsia="en-US"/>
        </w:rPr>
        <w:t xml:space="preserve">) equivalente a una ejecución presupuestaria de </w:t>
      </w:r>
      <w:r w:rsidR="00562037">
        <w:rPr>
          <w:rFonts w:ascii="Times New Roman" w:eastAsia="Calibri" w:hAnsi="Times New Roman" w:cs="Times New Roman"/>
          <w:color w:val="767171"/>
          <w:spacing w:val="20"/>
          <w:sz w:val="24"/>
          <w:szCs w:val="24"/>
          <w:bdr w:val="none" w:sz="0" w:space="0" w:color="auto"/>
          <w:lang w:eastAsia="en-US"/>
        </w:rPr>
        <w:t>96</w:t>
      </w:r>
      <w:r w:rsidRPr="006A0747">
        <w:rPr>
          <w:rFonts w:ascii="Times New Roman" w:eastAsia="Calibri" w:hAnsi="Times New Roman" w:cs="Times New Roman"/>
          <w:color w:val="767171"/>
          <w:spacing w:val="20"/>
          <w:sz w:val="24"/>
          <w:szCs w:val="24"/>
          <w:bdr w:val="none" w:sz="0" w:space="0" w:color="auto"/>
          <w:lang w:eastAsia="en-US"/>
        </w:rPr>
        <w:t>%.</w:t>
      </w:r>
      <w:r w:rsidR="00EB210D" w:rsidRPr="006A0747">
        <w:rPr>
          <w:rFonts w:ascii="Times New Roman" w:eastAsia="Calibri" w:hAnsi="Times New Roman" w:cs="Times New Roman"/>
          <w:color w:val="767171"/>
          <w:spacing w:val="20"/>
          <w:sz w:val="24"/>
          <w:szCs w:val="24"/>
          <w:bdr w:val="none" w:sz="0" w:space="0" w:color="auto"/>
          <w:lang w:eastAsia="en-US"/>
        </w:rPr>
        <w:t xml:space="preserve"> La proyección de ejecución del gasto al cierre del año se estima que será de un </w:t>
      </w:r>
      <w:r w:rsidR="00562037">
        <w:rPr>
          <w:rFonts w:ascii="Times New Roman" w:eastAsia="Calibri" w:hAnsi="Times New Roman" w:cs="Times New Roman"/>
          <w:color w:val="767171"/>
          <w:spacing w:val="20"/>
          <w:sz w:val="24"/>
          <w:szCs w:val="24"/>
          <w:bdr w:val="none" w:sz="0" w:space="0" w:color="auto"/>
          <w:lang w:eastAsia="en-US"/>
        </w:rPr>
        <w:t>94</w:t>
      </w:r>
      <w:r w:rsidR="00EB210D" w:rsidRPr="006A0747">
        <w:rPr>
          <w:rFonts w:ascii="Times New Roman" w:eastAsia="Calibri" w:hAnsi="Times New Roman" w:cs="Times New Roman"/>
          <w:color w:val="767171"/>
          <w:spacing w:val="20"/>
          <w:sz w:val="24"/>
          <w:szCs w:val="24"/>
          <w:bdr w:val="none" w:sz="0" w:space="0" w:color="auto"/>
          <w:lang w:eastAsia="en-US"/>
        </w:rPr>
        <w:t>%.</w:t>
      </w:r>
    </w:p>
    <w:p w14:paraId="1D6C28DE" w14:textId="77777777" w:rsidR="00392B2C" w:rsidRPr="006A0747" w:rsidRDefault="00392B2C" w:rsidP="009F30D3">
      <w:pPr>
        <w:spacing w:line="360" w:lineRule="auto"/>
        <w:rPr>
          <w:rFonts w:ascii="Times New Roman" w:eastAsia="Calibri" w:hAnsi="Times New Roman" w:cs="Times New Roman"/>
          <w:b/>
          <w:color w:val="767171"/>
          <w:spacing w:val="20"/>
          <w:sz w:val="24"/>
          <w:szCs w:val="24"/>
        </w:rPr>
      </w:pPr>
    </w:p>
    <w:p w14:paraId="26BF09C6" w14:textId="77777777" w:rsidR="002051E4" w:rsidRDefault="002051E4" w:rsidP="009F30D3">
      <w:pPr>
        <w:spacing w:line="360" w:lineRule="auto"/>
        <w:rPr>
          <w:rFonts w:ascii="Times New Roman" w:eastAsia="Calibri" w:hAnsi="Times New Roman" w:cs="Times New Roman"/>
          <w:b/>
          <w:color w:val="767171"/>
          <w:spacing w:val="20"/>
          <w:sz w:val="24"/>
          <w:szCs w:val="24"/>
        </w:rPr>
      </w:pPr>
    </w:p>
    <w:p w14:paraId="69E5CBAD" w14:textId="77777777" w:rsidR="00872723" w:rsidRPr="006A0747" w:rsidRDefault="00872723" w:rsidP="009F30D3">
      <w:pPr>
        <w:spacing w:line="360" w:lineRule="auto"/>
        <w:rPr>
          <w:rFonts w:ascii="Times New Roman" w:eastAsia="Calibri" w:hAnsi="Times New Roman" w:cs="Times New Roman"/>
          <w:b/>
          <w:color w:val="767171"/>
          <w:spacing w:val="20"/>
          <w:sz w:val="24"/>
          <w:szCs w:val="24"/>
        </w:rPr>
      </w:pPr>
    </w:p>
    <w:p w14:paraId="369D3227" w14:textId="09D68DD7" w:rsidR="00A023E8" w:rsidRPr="006A0747" w:rsidRDefault="004A1C5C" w:rsidP="009F30D3">
      <w:pPr>
        <w:spacing w:line="360" w:lineRule="auto"/>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lastRenderedPageBreak/>
        <w:t>Fortalecimiento de</w:t>
      </w:r>
      <w:r w:rsidR="00657DD9" w:rsidRPr="006A0747">
        <w:rPr>
          <w:rFonts w:ascii="Times New Roman" w:eastAsia="Calibri" w:hAnsi="Times New Roman" w:cs="Times New Roman"/>
          <w:b/>
          <w:color w:val="767171"/>
          <w:spacing w:val="20"/>
          <w:sz w:val="24"/>
          <w:szCs w:val="24"/>
        </w:rPr>
        <w:t xml:space="preserve"> los procesos administrativos y financieros</w:t>
      </w:r>
    </w:p>
    <w:p w14:paraId="0D7EB4C8" w14:textId="341867BF" w:rsidR="0054784E" w:rsidRPr="006A0747" w:rsidRDefault="0054784E" w:rsidP="00C266D3">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Las iniciativas en el año 2024 se</w:t>
      </w:r>
      <w:r w:rsidR="00CE2092" w:rsidRPr="006A0747">
        <w:rPr>
          <w:rFonts w:ascii="Times New Roman" w:eastAsia="Calibri" w:hAnsi="Times New Roman" w:cs="Times New Roman"/>
          <w:color w:val="767171"/>
          <w:spacing w:val="20"/>
          <w:sz w:val="24"/>
          <w:szCs w:val="24"/>
        </w:rPr>
        <w:t xml:space="preserve"> </w:t>
      </w:r>
      <w:r w:rsidRPr="006A0747">
        <w:rPr>
          <w:rFonts w:ascii="Times New Roman" w:eastAsia="Calibri" w:hAnsi="Times New Roman" w:cs="Times New Roman"/>
          <w:color w:val="767171"/>
          <w:spacing w:val="20"/>
          <w:sz w:val="24"/>
          <w:szCs w:val="24"/>
        </w:rPr>
        <w:t>encamina</w:t>
      </w:r>
      <w:r w:rsidR="00CE2092" w:rsidRPr="006A0747">
        <w:rPr>
          <w:rFonts w:ascii="Times New Roman" w:eastAsia="Calibri" w:hAnsi="Times New Roman" w:cs="Times New Roman"/>
          <w:color w:val="767171"/>
          <w:spacing w:val="20"/>
          <w:sz w:val="24"/>
          <w:szCs w:val="24"/>
        </w:rPr>
        <w:t>ron</w:t>
      </w:r>
      <w:r w:rsidRPr="006A0747">
        <w:rPr>
          <w:rFonts w:ascii="Times New Roman" w:eastAsia="Calibri" w:hAnsi="Times New Roman" w:cs="Times New Roman"/>
          <w:color w:val="767171"/>
          <w:spacing w:val="20"/>
          <w:sz w:val="24"/>
          <w:szCs w:val="24"/>
        </w:rPr>
        <w:t xml:space="preserve"> a continuar con la implementación y fortalecimiento de un sistema de gestión, control y mitigación de los riesgos asociados a las operaciones administrativas y financieras de la institución y a la implementación de controles y procesos adecuados, que aseguren una información financiera completa, neutral y libre de error. </w:t>
      </w:r>
    </w:p>
    <w:p w14:paraId="50EA209E" w14:textId="0479728B" w:rsidR="0054784E" w:rsidRPr="006A0747" w:rsidRDefault="0054784E" w:rsidP="00C266D3">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Dentro de los avances más notorios en los procesos administrativos y financieros se destaca la continuación de los trabajos de un sistema de planificación de recursos (ERP, por sus siglas en inglés), entre las cuales destaca, la activación del control presupuestario, el cual permite controlar los gastos por centros de costos y objeto del gasto. </w:t>
      </w:r>
      <w:r w:rsidR="004B5BA2" w:rsidRPr="006A0747">
        <w:rPr>
          <w:rFonts w:ascii="Times New Roman" w:eastAsia="Calibri" w:hAnsi="Times New Roman" w:cs="Times New Roman"/>
          <w:color w:val="767171"/>
          <w:spacing w:val="20"/>
          <w:sz w:val="24"/>
          <w:szCs w:val="24"/>
        </w:rPr>
        <w:t>Esto</w:t>
      </w:r>
      <w:r w:rsidRPr="006A0747">
        <w:rPr>
          <w:rFonts w:ascii="Times New Roman" w:eastAsia="Calibri" w:hAnsi="Times New Roman" w:cs="Times New Roman"/>
          <w:color w:val="767171"/>
          <w:spacing w:val="20"/>
          <w:sz w:val="24"/>
          <w:szCs w:val="24"/>
        </w:rPr>
        <w:t xml:space="preserve"> ha fortalecido de manera más integral y eficiente los procesos administrativos.</w:t>
      </w:r>
    </w:p>
    <w:p w14:paraId="1513E7C0" w14:textId="77777777" w:rsidR="002B36DB" w:rsidRPr="006A0747" w:rsidRDefault="0054784E" w:rsidP="00A8535F">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La Superintendencia de Bancos se ha enfocado en fortalecer la institucionalidad de los procesos de Compras y Contrataciones, donde se</w:t>
      </w:r>
      <w:r w:rsidR="00682E34" w:rsidRPr="006A0747">
        <w:rPr>
          <w:rFonts w:ascii="Times New Roman" w:eastAsia="Calibri" w:hAnsi="Times New Roman" w:cs="Times New Roman"/>
          <w:color w:val="767171"/>
          <w:spacing w:val="20"/>
          <w:sz w:val="24"/>
          <w:szCs w:val="24"/>
        </w:rPr>
        <w:t xml:space="preserve"> ha</w:t>
      </w:r>
      <w:r w:rsidRPr="006A0747">
        <w:rPr>
          <w:rFonts w:ascii="Times New Roman" w:eastAsia="Calibri" w:hAnsi="Times New Roman" w:cs="Times New Roman"/>
          <w:color w:val="767171"/>
          <w:spacing w:val="20"/>
          <w:sz w:val="24"/>
          <w:szCs w:val="24"/>
        </w:rPr>
        <w:t xml:space="preserve"> fortalecido el seguimiento a la ejecución del </w:t>
      </w:r>
      <w:r w:rsidR="004B5BA2" w:rsidRPr="006A0747">
        <w:rPr>
          <w:rFonts w:ascii="Times New Roman" w:eastAsia="Calibri" w:hAnsi="Times New Roman" w:cs="Times New Roman"/>
          <w:color w:val="767171"/>
          <w:spacing w:val="20"/>
          <w:sz w:val="24"/>
          <w:szCs w:val="24"/>
        </w:rPr>
        <w:t>Plan Anual de Compras y Contrataciones (</w:t>
      </w:r>
      <w:r w:rsidRPr="006A0747">
        <w:rPr>
          <w:rFonts w:ascii="Times New Roman" w:eastAsia="Calibri" w:hAnsi="Times New Roman" w:cs="Times New Roman"/>
          <w:color w:val="767171"/>
          <w:spacing w:val="20"/>
          <w:sz w:val="24"/>
          <w:szCs w:val="24"/>
        </w:rPr>
        <w:t>PACC</w:t>
      </w:r>
      <w:r w:rsidR="004B5BA2" w:rsidRPr="006A0747">
        <w:rPr>
          <w:rFonts w:ascii="Times New Roman" w:eastAsia="Calibri" w:hAnsi="Times New Roman" w:cs="Times New Roman"/>
          <w:color w:val="767171"/>
          <w:spacing w:val="20"/>
          <w:sz w:val="24"/>
          <w:szCs w:val="24"/>
        </w:rPr>
        <w:t>)</w:t>
      </w:r>
      <w:r w:rsidRPr="006A0747">
        <w:rPr>
          <w:rFonts w:ascii="Times New Roman" w:eastAsia="Calibri" w:hAnsi="Times New Roman" w:cs="Times New Roman"/>
          <w:color w:val="767171"/>
          <w:spacing w:val="20"/>
          <w:sz w:val="24"/>
          <w:szCs w:val="24"/>
        </w:rPr>
        <w:t xml:space="preserve">, lo que ha permitido la mejora en las mediciones del indicador de uso del Sistema Nacional de Contrataciones Públicas (SISCOMPRAS) </w:t>
      </w:r>
      <w:r w:rsidR="00682E34" w:rsidRPr="006A0747">
        <w:rPr>
          <w:rFonts w:ascii="Times New Roman" w:eastAsia="Calibri" w:hAnsi="Times New Roman" w:cs="Times New Roman"/>
          <w:color w:val="767171"/>
          <w:spacing w:val="20"/>
          <w:sz w:val="24"/>
          <w:szCs w:val="24"/>
        </w:rPr>
        <w:t>en la que para el 3er trimestre</w:t>
      </w:r>
      <w:r w:rsidR="009A15E5" w:rsidRPr="006A0747">
        <w:rPr>
          <w:rFonts w:ascii="Times New Roman" w:eastAsia="Calibri" w:hAnsi="Times New Roman" w:cs="Times New Roman"/>
          <w:color w:val="767171"/>
          <w:spacing w:val="20"/>
          <w:sz w:val="24"/>
          <w:szCs w:val="24"/>
        </w:rPr>
        <w:t xml:space="preserve"> </w:t>
      </w:r>
      <w:r w:rsidR="004B5BA2" w:rsidRPr="006A0747">
        <w:rPr>
          <w:rFonts w:ascii="Times New Roman" w:eastAsia="Calibri" w:hAnsi="Times New Roman" w:cs="Times New Roman"/>
          <w:color w:val="767171"/>
          <w:spacing w:val="20"/>
          <w:sz w:val="24"/>
          <w:szCs w:val="24"/>
        </w:rPr>
        <w:t>la SB</w:t>
      </w:r>
      <w:r w:rsidR="001736E6" w:rsidRPr="006A0747">
        <w:rPr>
          <w:rFonts w:ascii="Times New Roman" w:eastAsia="Calibri" w:hAnsi="Times New Roman" w:cs="Times New Roman"/>
          <w:color w:val="767171"/>
          <w:spacing w:val="20"/>
          <w:sz w:val="24"/>
          <w:szCs w:val="24"/>
        </w:rPr>
        <w:t xml:space="preserve"> obtuvo u</w:t>
      </w:r>
      <w:r w:rsidRPr="006A0747">
        <w:rPr>
          <w:rFonts w:ascii="Times New Roman" w:eastAsia="Calibri" w:hAnsi="Times New Roman" w:cs="Times New Roman"/>
          <w:color w:val="767171"/>
          <w:spacing w:val="20"/>
          <w:sz w:val="24"/>
          <w:szCs w:val="24"/>
        </w:rPr>
        <w:t>na puntuación de 97.91</w:t>
      </w:r>
      <w:r w:rsidR="005E3DC2" w:rsidRPr="006A0747">
        <w:rPr>
          <w:rFonts w:ascii="Times New Roman" w:eastAsia="Calibri" w:hAnsi="Times New Roman" w:cs="Times New Roman"/>
          <w:color w:val="767171"/>
          <w:spacing w:val="20"/>
          <w:sz w:val="24"/>
          <w:szCs w:val="24"/>
        </w:rPr>
        <w:t>%</w:t>
      </w:r>
      <w:r w:rsidR="001736E6" w:rsidRPr="006A0747">
        <w:rPr>
          <w:rFonts w:ascii="Times New Roman" w:eastAsia="Calibri" w:hAnsi="Times New Roman" w:cs="Times New Roman"/>
          <w:color w:val="767171"/>
          <w:spacing w:val="20"/>
          <w:sz w:val="24"/>
          <w:szCs w:val="24"/>
        </w:rPr>
        <w:t>.</w:t>
      </w:r>
      <w:r w:rsidR="002B36DB" w:rsidRPr="006A0747">
        <w:rPr>
          <w:rFonts w:ascii="Times New Roman" w:eastAsia="Calibri" w:hAnsi="Times New Roman" w:cs="Times New Roman"/>
          <w:color w:val="767171"/>
          <w:spacing w:val="20"/>
          <w:sz w:val="24"/>
          <w:szCs w:val="24"/>
        </w:rPr>
        <w:t xml:space="preserve"> </w:t>
      </w:r>
      <w:r w:rsidR="00932841" w:rsidRPr="006A0747">
        <w:rPr>
          <w:rFonts w:ascii="Times New Roman" w:eastAsia="Calibri" w:hAnsi="Times New Roman" w:cs="Times New Roman"/>
          <w:color w:val="767171"/>
          <w:spacing w:val="20"/>
          <w:sz w:val="24"/>
          <w:szCs w:val="24"/>
        </w:rPr>
        <w:t xml:space="preserve">Se espera que este </w:t>
      </w:r>
      <w:r w:rsidRPr="006A0747">
        <w:rPr>
          <w:rFonts w:ascii="Times New Roman" w:eastAsia="Calibri" w:hAnsi="Times New Roman" w:cs="Times New Roman"/>
          <w:color w:val="767171"/>
          <w:spacing w:val="20"/>
          <w:sz w:val="24"/>
          <w:szCs w:val="24"/>
        </w:rPr>
        <w:t xml:space="preserve">buen desempeño </w:t>
      </w:r>
      <w:r w:rsidR="00932841" w:rsidRPr="006A0747">
        <w:rPr>
          <w:rFonts w:ascii="Times New Roman" w:eastAsia="Calibri" w:hAnsi="Times New Roman" w:cs="Times New Roman"/>
          <w:color w:val="767171"/>
          <w:spacing w:val="20"/>
          <w:sz w:val="24"/>
          <w:szCs w:val="24"/>
        </w:rPr>
        <w:t>continue en el cu</w:t>
      </w:r>
      <w:r w:rsidRPr="006A0747">
        <w:rPr>
          <w:rFonts w:ascii="Times New Roman" w:eastAsia="Calibri" w:hAnsi="Times New Roman" w:cs="Times New Roman"/>
          <w:color w:val="767171"/>
          <w:spacing w:val="20"/>
          <w:sz w:val="24"/>
          <w:szCs w:val="24"/>
        </w:rPr>
        <w:t>arto trimestre, donde la puntuación estimada por el portal de SISCOMPRAS</w:t>
      </w:r>
      <w:r w:rsidR="002B36DB" w:rsidRPr="006A0747">
        <w:rPr>
          <w:rFonts w:ascii="Times New Roman" w:eastAsia="Calibri" w:hAnsi="Times New Roman" w:cs="Times New Roman"/>
          <w:color w:val="767171"/>
          <w:spacing w:val="20"/>
          <w:sz w:val="24"/>
          <w:szCs w:val="24"/>
        </w:rPr>
        <w:t xml:space="preserve"> es de</w:t>
      </w:r>
      <w:r w:rsidRPr="006A0747">
        <w:rPr>
          <w:rFonts w:ascii="Times New Roman" w:eastAsia="Calibri" w:hAnsi="Times New Roman" w:cs="Times New Roman"/>
          <w:color w:val="767171"/>
          <w:spacing w:val="20"/>
          <w:sz w:val="24"/>
          <w:szCs w:val="24"/>
        </w:rPr>
        <w:t xml:space="preserve"> 99.82.</w:t>
      </w:r>
      <w:r w:rsidR="004F77FD" w:rsidRPr="006A0747">
        <w:rPr>
          <w:rFonts w:ascii="Times New Roman" w:eastAsia="Calibri" w:hAnsi="Times New Roman" w:cs="Times New Roman"/>
          <w:color w:val="767171"/>
          <w:spacing w:val="20"/>
          <w:sz w:val="24"/>
          <w:szCs w:val="24"/>
        </w:rPr>
        <w:t xml:space="preserve"> </w:t>
      </w:r>
    </w:p>
    <w:p w14:paraId="62E1C994" w14:textId="1F80C9D4" w:rsidR="007A61C4" w:rsidRPr="006A0747" w:rsidRDefault="0054784E" w:rsidP="00A8535F">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Asimismo, se implementó el proyecto de “Encuestas </w:t>
      </w:r>
      <w:r w:rsidR="00280848" w:rsidRPr="006A0747">
        <w:rPr>
          <w:rFonts w:ascii="Times New Roman" w:eastAsia="Calibri" w:hAnsi="Times New Roman" w:cs="Times New Roman"/>
          <w:color w:val="767171"/>
          <w:spacing w:val="20"/>
          <w:sz w:val="24"/>
          <w:szCs w:val="24"/>
        </w:rPr>
        <w:t xml:space="preserve">a </w:t>
      </w:r>
      <w:r w:rsidRPr="006A0747">
        <w:rPr>
          <w:rFonts w:ascii="Times New Roman" w:eastAsia="Calibri" w:hAnsi="Times New Roman" w:cs="Times New Roman"/>
          <w:color w:val="767171"/>
          <w:spacing w:val="20"/>
          <w:sz w:val="24"/>
          <w:szCs w:val="24"/>
        </w:rPr>
        <w:t>oferentes” en coordinación con el equipo de C</w:t>
      </w:r>
      <w:r w:rsidR="00280848" w:rsidRPr="006A0747">
        <w:rPr>
          <w:rFonts w:ascii="Times New Roman" w:eastAsia="Calibri" w:hAnsi="Times New Roman" w:cs="Times New Roman"/>
          <w:color w:val="767171"/>
          <w:spacing w:val="20"/>
          <w:sz w:val="24"/>
          <w:szCs w:val="24"/>
        </w:rPr>
        <w:t>alidad</w:t>
      </w:r>
      <w:r w:rsidRPr="006A0747">
        <w:rPr>
          <w:rFonts w:ascii="Times New Roman" w:eastAsia="Calibri" w:hAnsi="Times New Roman" w:cs="Times New Roman"/>
          <w:color w:val="767171"/>
          <w:spacing w:val="20"/>
          <w:sz w:val="24"/>
          <w:szCs w:val="24"/>
        </w:rPr>
        <w:t xml:space="preserve"> y Mejora Continua (CMC), con el objetivo de conocer la percepción de los oferentes de la </w:t>
      </w:r>
      <w:r w:rsidR="00F80219" w:rsidRPr="006A0747">
        <w:rPr>
          <w:rFonts w:ascii="Times New Roman" w:eastAsia="Calibri" w:hAnsi="Times New Roman" w:cs="Times New Roman"/>
          <w:color w:val="767171"/>
          <w:spacing w:val="20"/>
          <w:sz w:val="24"/>
          <w:szCs w:val="24"/>
        </w:rPr>
        <w:t>SB</w:t>
      </w:r>
      <w:r w:rsidRPr="006A0747">
        <w:rPr>
          <w:rFonts w:ascii="Times New Roman" w:eastAsia="Calibri" w:hAnsi="Times New Roman" w:cs="Times New Roman"/>
          <w:color w:val="767171"/>
          <w:spacing w:val="20"/>
          <w:sz w:val="24"/>
          <w:szCs w:val="24"/>
        </w:rPr>
        <w:t>, respecto a los procesos de contratación que realiza la institución</w:t>
      </w:r>
      <w:r w:rsidR="007A6739" w:rsidRPr="006A0747">
        <w:rPr>
          <w:rFonts w:ascii="Times New Roman" w:eastAsia="Calibri" w:hAnsi="Times New Roman" w:cs="Times New Roman"/>
          <w:color w:val="767171"/>
          <w:spacing w:val="20"/>
          <w:sz w:val="24"/>
          <w:szCs w:val="24"/>
        </w:rPr>
        <w:t>.</w:t>
      </w:r>
      <w:r w:rsidR="002C419C" w:rsidRPr="006A0747">
        <w:rPr>
          <w:rFonts w:ascii="Times New Roman" w:eastAsia="Calibri" w:hAnsi="Times New Roman" w:cs="Times New Roman"/>
          <w:color w:val="767171"/>
          <w:spacing w:val="20"/>
          <w:sz w:val="24"/>
          <w:szCs w:val="24"/>
        </w:rPr>
        <w:t xml:space="preserve"> </w:t>
      </w:r>
      <w:r w:rsidR="007A6739" w:rsidRPr="006A0747">
        <w:rPr>
          <w:rFonts w:ascii="Times New Roman" w:eastAsia="Calibri" w:hAnsi="Times New Roman" w:cs="Times New Roman"/>
          <w:color w:val="767171"/>
          <w:spacing w:val="20"/>
          <w:sz w:val="24"/>
          <w:szCs w:val="24"/>
        </w:rPr>
        <w:t>E</w:t>
      </w:r>
      <w:r w:rsidRPr="006A0747">
        <w:rPr>
          <w:rFonts w:ascii="Times New Roman" w:eastAsia="Calibri" w:hAnsi="Times New Roman" w:cs="Times New Roman"/>
          <w:color w:val="767171"/>
          <w:spacing w:val="20"/>
          <w:sz w:val="24"/>
          <w:szCs w:val="24"/>
        </w:rPr>
        <w:t xml:space="preserve">sto con miras a fortalecer los procesos internos, tomando en cuenta aspectos como organización del proceso, calidad de documentación e </w:t>
      </w:r>
      <w:r w:rsidRPr="006A0747">
        <w:rPr>
          <w:rFonts w:ascii="Times New Roman" w:eastAsia="Calibri" w:hAnsi="Times New Roman" w:cs="Times New Roman"/>
          <w:color w:val="767171"/>
          <w:spacing w:val="20"/>
          <w:sz w:val="24"/>
          <w:szCs w:val="24"/>
        </w:rPr>
        <w:lastRenderedPageBreak/>
        <w:t>informaciones relacionadas, ética y transparencia, entre otros. De igual modo,</w:t>
      </w:r>
      <w:r w:rsidR="002C419C" w:rsidRPr="006A0747">
        <w:rPr>
          <w:rFonts w:ascii="Times New Roman" w:eastAsia="Calibri" w:hAnsi="Times New Roman" w:cs="Times New Roman"/>
          <w:color w:val="767171"/>
          <w:spacing w:val="20"/>
          <w:sz w:val="24"/>
          <w:szCs w:val="24"/>
        </w:rPr>
        <w:t xml:space="preserve"> es importante destacar que</w:t>
      </w:r>
      <w:r w:rsidRPr="006A0747">
        <w:rPr>
          <w:rFonts w:ascii="Times New Roman" w:eastAsia="Calibri" w:hAnsi="Times New Roman" w:cs="Times New Roman"/>
          <w:color w:val="767171"/>
          <w:spacing w:val="20"/>
          <w:sz w:val="24"/>
          <w:szCs w:val="24"/>
        </w:rPr>
        <w:t xml:space="preserve"> la Superintendencia de Bancos fue la tercera institución del Estado en acogerse al proceso de Facturación Electrónica </w:t>
      </w:r>
      <w:r w:rsidR="00976532" w:rsidRPr="006A0747">
        <w:rPr>
          <w:rFonts w:ascii="Times New Roman" w:eastAsia="Calibri" w:hAnsi="Times New Roman" w:cs="Times New Roman"/>
          <w:color w:val="767171"/>
          <w:spacing w:val="20"/>
          <w:sz w:val="24"/>
          <w:szCs w:val="24"/>
        </w:rPr>
        <w:t>de la Dirección General de Impuestos Internos (</w:t>
      </w:r>
      <w:r w:rsidRPr="006A0747">
        <w:rPr>
          <w:rFonts w:ascii="Times New Roman" w:eastAsia="Calibri" w:hAnsi="Times New Roman" w:cs="Times New Roman"/>
          <w:color w:val="767171"/>
          <w:spacing w:val="20"/>
          <w:sz w:val="24"/>
          <w:szCs w:val="24"/>
        </w:rPr>
        <w:t>DGII</w:t>
      </w:r>
      <w:r w:rsidR="00976532" w:rsidRPr="006A0747">
        <w:rPr>
          <w:rFonts w:ascii="Times New Roman" w:eastAsia="Calibri" w:hAnsi="Times New Roman" w:cs="Times New Roman"/>
          <w:color w:val="767171"/>
          <w:spacing w:val="20"/>
          <w:sz w:val="24"/>
          <w:szCs w:val="24"/>
        </w:rPr>
        <w:t>)</w:t>
      </w:r>
      <w:r w:rsidRPr="006A0747">
        <w:rPr>
          <w:rFonts w:ascii="Times New Roman" w:eastAsia="Calibri" w:hAnsi="Times New Roman" w:cs="Times New Roman"/>
          <w:color w:val="767171"/>
          <w:spacing w:val="20"/>
          <w:sz w:val="24"/>
          <w:szCs w:val="24"/>
        </w:rPr>
        <w:t>.</w:t>
      </w:r>
    </w:p>
    <w:p w14:paraId="7340C662" w14:textId="77777777" w:rsidR="00C054FB" w:rsidRPr="006A0747" w:rsidRDefault="00C054FB" w:rsidP="00A8535F">
      <w:pPr>
        <w:spacing w:line="360" w:lineRule="auto"/>
        <w:jc w:val="both"/>
        <w:rPr>
          <w:rFonts w:ascii="Times New Roman" w:eastAsia="Calibri" w:hAnsi="Times New Roman" w:cs="Times New Roman"/>
          <w:color w:val="767171"/>
          <w:spacing w:val="20"/>
          <w:sz w:val="24"/>
          <w:szCs w:val="24"/>
        </w:rPr>
      </w:pPr>
    </w:p>
    <w:p w14:paraId="3F5A8B03" w14:textId="004558D0" w:rsidR="006E54C5" w:rsidRPr="006A0747" w:rsidRDefault="00C026B6" w:rsidP="000813B9">
      <w:pPr>
        <w:pStyle w:val="Ttulo2"/>
        <w:numPr>
          <w:ilvl w:val="1"/>
          <w:numId w:val="17"/>
        </w:numPr>
        <w:rPr>
          <w:rFonts w:ascii="Times New Roman" w:eastAsia="Calibri" w:hAnsi="Times New Roman" w:cs="Times New Roman"/>
          <w:b/>
          <w:color w:val="767171"/>
          <w:spacing w:val="20"/>
          <w:sz w:val="24"/>
          <w:szCs w:val="24"/>
        </w:rPr>
      </w:pPr>
      <w:bookmarkStart w:id="49" w:name="_Toc185275005"/>
      <w:r w:rsidRPr="006A0747">
        <w:rPr>
          <w:rFonts w:ascii="Times New Roman" w:eastAsia="Calibri" w:hAnsi="Times New Roman" w:cs="Times New Roman"/>
          <w:b/>
          <w:color w:val="767171"/>
          <w:spacing w:val="20"/>
          <w:sz w:val="24"/>
          <w:szCs w:val="24"/>
        </w:rPr>
        <w:t>Desempeño de los Recursos Humanos</w:t>
      </w:r>
      <w:bookmarkEnd w:id="49"/>
    </w:p>
    <w:p w14:paraId="61FC02CE" w14:textId="3C99CA02" w:rsidR="006553D1" w:rsidRPr="006A0747" w:rsidRDefault="006553D1" w:rsidP="006553D1">
      <w:pPr>
        <w:rPr>
          <w:rFonts w:ascii="Times New Roman" w:hAnsi="Times New Roman" w:cs="Times New Roman"/>
          <w:color w:val="767171"/>
        </w:rPr>
      </w:pPr>
    </w:p>
    <w:p w14:paraId="48F2FCF4" w14:textId="7C2028CD" w:rsidR="00963562" w:rsidRPr="006A0747" w:rsidRDefault="00FE0FC6" w:rsidP="006553D1">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Comprometidos en gestionar </w:t>
      </w:r>
      <w:r w:rsidR="00D72773" w:rsidRPr="006A0747">
        <w:rPr>
          <w:rFonts w:ascii="Times New Roman" w:eastAsia="Calibri" w:hAnsi="Times New Roman" w:cs="Times New Roman"/>
          <w:color w:val="767171"/>
          <w:spacing w:val="20"/>
          <w:sz w:val="24"/>
          <w:szCs w:val="24"/>
        </w:rPr>
        <w:t>con excelencia</w:t>
      </w:r>
      <w:r w:rsidRPr="006A0747">
        <w:rPr>
          <w:rFonts w:ascii="Times New Roman" w:eastAsia="Calibri" w:hAnsi="Times New Roman" w:cs="Times New Roman"/>
          <w:color w:val="767171"/>
          <w:spacing w:val="20"/>
          <w:sz w:val="24"/>
          <w:szCs w:val="24"/>
        </w:rPr>
        <w:t xml:space="preserve"> el talento de la </w:t>
      </w:r>
      <w:r w:rsidR="00D72773" w:rsidRPr="006A0747">
        <w:rPr>
          <w:rFonts w:ascii="Times New Roman" w:eastAsia="Calibri" w:hAnsi="Times New Roman" w:cs="Times New Roman"/>
          <w:color w:val="767171"/>
          <w:spacing w:val="20"/>
          <w:sz w:val="24"/>
          <w:szCs w:val="24"/>
        </w:rPr>
        <w:t>SB</w:t>
      </w:r>
      <w:r w:rsidR="00B628A1" w:rsidRPr="006A0747">
        <w:rPr>
          <w:rFonts w:ascii="Times New Roman" w:eastAsia="Calibri" w:hAnsi="Times New Roman" w:cs="Times New Roman"/>
          <w:color w:val="767171"/>
          <w:spacing w:val="20"/>
          <w:sz w:val="24"/>
          <w:szCs w:val="24"/>
        </w:rPr>
        <w:t>,</w:t>
      </w:r>
      <w:r w:rsidR="00AA09DD" w:rsidRPr="006A0747">
        <w:rPr>
          <w:rFonts w:ascii="Times New Roman" w:eastAsia="Calibri" w:hAnsi="Times New Roman" w:cs="Times New Roman"/>
          <w:color w:val="767171"/>
          <w:spacing w:val="20"/>
          <w:sz w:val="24"/>
          <w:szCs w:val="24"/>
        </w:rPr>
        <w:t xml:space="preserve"> en el año</w:t>
      </w:r>
      <w:r w:rsidR="006553D1" w:rsidRPr="006A0747">
        <w:rPr>
          <w:rFonts w:ascii="Times New Roman" w:eastAsia="Calibri" w:hAnsi="Times New Roman" w:cs="Times New Roman"/>
          <w:color w:val="767171"/>
          <w:spacing w:val="20"/>
          <w:sz w:val="24"/>
          <w:szCs w:val="24"/>
        </w:rPr>
        <w:t xml:space="preserve"> 2024, </w:t>
      </w:r>
      <w:r w:rsidR="009731DE" w:rsidRPr="006A0747">
        <w:rPr>
          <w:rFonts w:ascii="Times New Roman" w:eastAsia="Calibri" w:hAnsi="Times New Roman" w:cs="Times New Roman"/>
          <w:color w:val="767171"/>
          <w:spacing w:val="20"/>
          <w:sz w:val="24"/>
          <w:szCs w:val="24"/>
        </w:rPr>
        <w:t>se</w:t>
      </w:r>
      <w:r w:rsidR="006553D1" w:rsidRPr="006A0747">
        <w:rPr>
          <w:rFonts w:ascii="Times New Roman" w:eastAsia="Calibri" w:hAnsi="Times New Roman" w:cs="Times New Roman"/>
          <w:color w:val="767171"/>
          <w:spacing w:val="20"/>
          <w:sz w:val="24"/>
          <w:szCs w:val="24"/>
        </w:rPr>
        <w:t xml:space="preserve"> </w:t>
      </w:r>
      <w:r w:rsidR="00DB1EC2" w:rsidRPr="006A0747">
        <w:rPr>
          <w:rFonts w:ascii="Times New Roman" w:eastAsia="Calibri" w:hAnsi="Times New Roman" w:cs="Times New Roman"/>
          <w:color w:val="767171"/>
          <w:spacing w:val="20"/>
          <w:sz w:val="24"/>
          <w:szCs w:val="24"/>
        </w:rPr>
        <w:t>implementaron</w:t>
      </w:r>
      <w:r w:rsidR="006553D1" w:rsidRPr="006A0747">
        <w:rPr>
          <w:rFonts w:ascii="Times New Roman" w:eastAsia="Calibri" w:hAnsi="Times New Roman" w:cs="Times New Roman"/>
          <w:color w:val="767171"/>
          <w:spacing w:val="20"/>
          <w:sz w:val="24"/>
          <w:szCs w:val="24"/>
        </w:rPr>
        <w:t xml:space="preserve"> estrategias </w:t>
      </w:r>
      <w:r w:rsidR="00EB05E4" w:rsidRPr="006A0747">
        <w:rPr>
          <w:rFonts w:ascii="Times New Roman" w:eastAsia="Calibri" w:hAnsi="Times New Roman" w:cs="Times New Roman"/>
          <w:color w:val="767171"/>
          <w:spacing w:val="20"/>
          <w:sz w:val="24"/>
          <w:szCs w:val="24"/>
        </w:rPr>
        <w:t>orientadas</w:t>
      </w:r>
      <w:r w:rsidR="006553D1" w:rsidRPr="006A0747">
        <w:rPr>
          <w:rFonts w:ascii="Times New Roman" w:eastAsia="Calibri" w:hAnsi="Times New Roman" w:cs="Times New Roman"/>
          <w:color w:val="767171"/>
          <w:spacing w:val="20"/>
          <w:sz w:val="24"/>
          <w:szCs w:val="24"/>
        </w:rPr>
        <w:t xml:space="preserve"> fortalecer </w:t>
      </w:r>
      <w:r w:rsidR="00EB05E4" w:rsidRPr="006A0747">
        <w:rPr>
          <w:rFonts w:ascii="Times New Roman" w:eastAsia="Calibri" w:hAnsi="Times New Roman" w:cs="Times New Roman"/>
          <w:color w:val="767171"/>
          <w:spacing w:val="20"/>
          <w:sz w:val="24"/>
          <w:szCs w:val="24"/>
        </w:rPr>
        <w:t>su</w:t>
      </w:r>
      <w:r w:rsidR="006553D1" w:rsidRPr="006A0747">
        <w:rPr>
          <w:rFonts w:ascii="Times New Roman" w:eastAsia="Calibri" w:hAnsi="Times New Roman" w:cs="Times New Roman"/>
          <w:color w:val="767171"/>
          <w:spacing w:val="20"/>
          <w:sz w:val="24"/>
          <w:szCs w:val="24"/>
        </w:rPr>
        <w:t xml:space="preserve"> capital humano y su cultura institucional. Estos esfuerzos se han centrado en la atracción e integración del talento, la capacitación, el desarrollo organizacional y la provisión de servicios médicos de calidad en la institución.</w:t>
      </w:r>
    </w:p>
    <w:p w14:paraId="463A86A8" w14:textId="77777777" w:rsidR="00B137D4" w:rsidRPr="006A0747" w:rsidRDefault="00B137D4" w:rsidP="006553D1">
      <w:pPr>
        <w:spacing w:line="360" w:lineRule="auto"/>
        <w:jc w:val="both"/>
        <w:rPr>
          <w:rFonts w:ascii="Times New Roman" w:eastAsia="Calibri" w:hAnsi="Times New Roman" w:cs="Times New Roman"/>
          <w:color w:val="767171"/>
          <w:spacing w:val="20"/>
          <w:sz w:val="24"/>
          <w:szCs w:val="24"/>
        </w:rPr>
      </w:pPr>
    </w:p>
    <w:p w14:paraId="7F7BB65A" w14:textId="2A6D94D2" w:rsidR="006062D8" w:rsidRPr="006A0747" w:rsidRDefault="006062D8" w:rsidP="006553D1">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t>Atracción e integración de talentos</w:t>
      </w:r>
    </w:p>
    <w:p w14:paraId="60FF7993" w14:textId="2447C379" w:rsidR="006553D1" w:rsidRPr="006A0747" w:rsidRDefault="006062D8" w:rsidP="00900A71">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D</w:t>
      </w:r>
      <w:r w:rsidR="006553D1" w:rsidRPr="006A0747">
        <w:rPr>
          <w:rFonts w:ascii="Times New Roman" w:eastAsia="Calibri" w:hAnsi="Times New Roman" w:cs="Times New Roman"/>
          <w:color w:val="767171"/>
          <w:spacing w:val="20"/>
          <w:sz w:val="24"/>
          <w:szCs w:val="24"/>
        </w:rPr>
        <w:t xml:space="preserve">urante </w:t>
      </w:r>
      <w:r w:rsidR="00BF30E3" w:rsidRPr="006A0747">
        <w:rPr>
          <w:rFonts w:ascii="Times New Roman" w:eastAsia="Calibri" w:hAnsi="Times New Roman" w:cs="Times New Roman"/>
          <w:color w:val="767171"/>
          <w:spacing w:val="20"/>
          <w:sz w:val="24"/>
          <w:szCs w:val="24"/>
        </w:rPr>
        <w:t>el 2024,</w:t>
      </w:r>
      <w:r w:rsidR="006553D1" w:rsidRPr="006A0747">
        <w:rPr>
          <w:rFonts w:ascii="Times New Roman" w:eastAsia="Calibri" w:hAnsi="Times New Roman" w:cs="Times New Roman"/>
          <w:color w:val="767171"/>
          <w:spacing w:val="20"/>
          <w:sz w:val="24"/>
          <w:szCs w:val="24"/>
        </w:rPr>
        <w:t xml:space="preserve"> </w:t>
      </w:r>
      <w:r w:rsidR="00A23411" w:rsidRPr="006A0747">
        <w:rPr>
          <w:rFonts w:ascii="Times New Roman" w:eastAsia="Calibri" w:hAnsi="Times New Roman" w:cs="Times New Roman"/>
          <w:color w:val="767171"/>
          <w:spacing w:val="20"/>
          <w:sz w:val="24"/>
          <w:szCs w:val="24"/>
        </w:rPr>
        <w:t>fueron integrados</w:t>
      </w:r>
      <w:r w:rsidR="006553D1" w:rsidRPr="006A0747">
        <w:rPr>
          <w:rFonts w:ascii="Times New Roman" w:eastAsia="Calibri" w:hAnsi="Times New Roman" w:cs="Times New Roman"/>
          <w:color w:val="767171"/>
          <w:spacing w:val="20"/>
          <w:sz w:val="24"/>
          <w:szCs w:val="24"/>
        </w:rPr>
        <w:t xml:space="preserve"> </w:t>
      </w:r>
      <w:r w:rsidR="001D3A91" w:rsidRPr="006A0747">
        <w:rPr>
          <w:rFonts w:ascii="Times New Roman" w:eastAsia="Calibri" w:hAnsi="Times New Roman" w:cs="Times New Roman"/>
          <w:color w:val="767171"/>
          <w:spacing w:val="20"/>
          <w:sz w:val="24"/>
          <w:szCs w:val="24"/>
        </w:rPr>
        <w:t>156</w:t>
      </w:r>
      <w:r w:rsidR="006553D1" w:rsidRPr="006A0747">
        <w:rPr>
          <w:rFonts w:ascii="Times New Roman" w:eastAsia="Calibri" w:hAnsi="Times New Roman" w:cs="Times New Roman"/>
          <w:color w:val="767171"/>
          <w:spacing w:val="20"/>
          <w:sz w:val="24"/>
          <w:szCs w:val="24"/>
        </w:rPr>
        <w:t xml:space="preserve"> </w:t>
      </w:r>
      <w:r w:rsidR="00802A06" w:rsidRPr="006A0747">
        <w:rPr>
          <w:rFonts w:ascii="Times New Roman" w:eastAsia="Calibri" w:hAnsi="Times New Roman" w:cs="Times New Roman"/>
          <w:color w:val="767171"/>
          <w:spacing w:val="20"/>
          <w:sz w:val="24"/>
          <w:szCs w:val="24"/>
        </w:rPr>
        <w:t xml:space="preserve">nuevos talentos a la </w:t>
      </w:r>
      <w:r w:rsidR="009925AC" w:rsidRPr="006A0747">
        <w:rPr>
          <w:rFonts w:ascii="Times New Roman" w:eastAsia="Calibri" w:hAnsi="Times New Roman" w:cs="Times New Roman"/>
          <w:color w:val="767171"/>
          <w:spacing w:val="20"/>
          <w:sz w:val="24"/>
          <w:szCs w:val="24"/>
        </w:rPr>
        <w:t>institución</w:t>
      </w:r>
      <w:r w:rsidR="00661142" w:rsidRPr="006A0747">
        <w:rPr>
          <w:rFonts w:ascii="Times New Roman" w:eastAsia="Calibri" w:hAnsi="Times New Roman" w:cs="Times New Roman"/>
          <w:color w:val="767171"/>
          <w:spacing w:val="20"/>
          <w:sz w:val="24"/>
          <w:szCs w:val="24"/>
        </w:rPr>
        <w:t xml:space="preserve"> producto de </w:t>
      </w:r>
      <w:r w:rsidR="00EF24E8" w:rsidRPr="006A0747">
        <w:rPr>
          <w:rFonts w:ascii="Times New Roman" w:eastAsia="Calibri" w:hAnsi="Times New Roman" w:cs="Times New Roman"/>
          <w:color w:val="767171"/>
          <w:spacing w:val="20"/>
          <w:sz w:val="24"/>
          <w:szCs w:val="24"/>
        </w:rPr>
        <w:t xml:space="preserve">una estrategia de reconversión y renovación de la fuerza laboral. </w:t>
      </w:r>
      <w:r w:rsidR="00DC5B55" w:rsidRPr="006A0747">
        <w:rPr>
          <w:rFonts w:ascii="Times New Roman" w:eastAsia="Calibri" w:hAnsi="Times New Roman" w:cs="Times New Roman"/>
          <w:color w:val="767171"/>
          <w:spacing w:val="20"/>
          <w:sz w:val="24"/>
          <w:szCs w:val="24"/>
        </w:rPr>
        <w:t>Estos se distribuyen</w:t>
      </w:r>
      <w:r w:rsidR="006553D1" w:rsidRPr="006A0747">
        <w:rPr>
          <w:rFonts w:ascii="Times New Roman" w:eastAsia="Calibri" w:hAnsi="Times New Roman" w:cs="Times New Roman"/>
          <w:color w:val="767171"/>
          <w:spacing w:val="20"/>
          <w:sz w:val="24"/>
          <w:szCs w:val="24"/>
        </w:rPr>
        <w:t xml:space="preserve"> en </w:t>
      </w:r>
      <w:r w:rsidR="004E086D" w:rsidRPr="006A0747">
        <w:rPr>
          <w:rFonts w:ascii="Times New Roman" w:eastAsia="Calibri" w:hAnsi="Times New Roman" w:cs="Times New Roman"/>
          <w:color w:val="767171"/>
          <w:spacing w:val="20"/>
          <w:sz w:val="24"/>
          <w:szCs w:val="24"/>
        </w:rPr>
        <w:t>88</w:t>
      </w:r>
      <w:r w:rsidR="006553D1" w:rsidRPr="006A0747">
        <w:rPr>
          <w:rFonts w:ascii="Times New Roman" w:eastAsia="Calibri" w:hAnsi="Times New Roman" w:cs="Times New Roman"/>
          <w:color w:val="767171"/>
          <w:spacing w:val="20"/>
          <w:sz w:val="24"/>
          <w:szCs w:val="24"/>
        </w:rPr>
        <w:t xml:space="preserve"> puestos misionales y </w:t>
      </w:r>
      <w:r w:rsidR="003E661A" w:rsidRPr="006A0747">
        <w:rPr>
          <w:rFonts w:ascii="Times New Roman" w:eastAsia="Calibri" w:hAnsi="Times New Roman" w:cs="Times New Roman"/>
          <w:color w:val="767171"/>
          <w:spacing w:val="20"/>
          <w:sz w:val="24"/>
          <w:szCs w:val="24"/>
        </w:rPr>
        <w:t>68 para puestos</w:t>
      </w:r>
      <w:r w:rsidR="006553D1" w:rsidRPr="006A0747">
        <w:rPr>
          <w:rFonts w:ascii="Times New Roman" w:eastAsia="Calibri" w:hAnsi="Times New Roman" w:cs="Times New Roman"/>
          <w:color w:val="767171"/>
          <w:spacing w:val="20"/>
          <w:sz w:val="24"/>
          <w:szCs w:val="24"/>
        </w:rPr>
        <w:t xml:space="preserve"> de apoyo. </w:t>
      </w:r>
      <w:r w:rsidR="00C12F2E" w:rsidRPr="006A0747">
        <w:rPr>
          <w:rFonts w:ascii="Times New Roman" w:eastAsia="Calibri" w:hAnsi="Times New Roman" w:cs="Times New Roman"/>
          <w:color w:val="767171"/>
          <w:spacing w:val="20"/>
          <w:sz w:val="24"/>
          <w:szCs w:val="24"/>
        </w:rPr>
        <w:t xml:space="preserve">Adicionalmente, cabe resaltar </w:t>
      </w:r>
      <w:r w:rsidR="00EB6AC3" w:rsidRPr="006A0747">
        <w:rPr>
          <w:rFonts w:ascii="Times New Roman" w:eastAsia="Calibri" w:hAnsi="Times New Roman" w:cs="Times New Roman"/>
          <w:color w:val="767171"/>
          <w:spacing w:val="20"/>
          <w:sz w:val="24"/>
          <w:szCs w:val="24"/>
        </w:rPr>
        <w:t>que,</w:t>
      </w:r>
      <w:r w:rsidR="00C12F2E" w:rsidRPr="006A0747">
        <w:rPr>
          <w:rFonts w:ascii="Times New Roman" w:eastAsia="Calibri" w:hAnsi="Times New Roman" w:cs="Times New Roman"/>
          <w:color w:val="767171"/>
          <w:spacing w:val="20"/>
          <w:sz w:val="24"/>
          <w:szCs w:val="24"/>
        </w:rPr>
        <w:t xml:space="preserve"> en este mismo período, se han ejecutado </w:t>
      </w:r>
      <w:r w:rsidR="00A32F5D" w:rsidRPr="006A0747">
        <w:rPr>
          <w:rFonts w:ascii="Times New Roman" w:eastAsia="Calibri" w:hAnsi="Times New Roman" w:cs="Times New Roman"/>
          <w:color w:val="767171"/>
          <w:spacing w:val="20"/>
          <w:sz w:val="24"/>
          <w:szCs w:val="24"/>
        </w:rPr>
        <w:t>116</w:t>
      </w:r>
      <w:r w:rsidR="00C12F2E" w:rsidRPr="006A0747">
        <w:rPr>
          <w:rFonts w:ascii="Times New Roman" w:eastAsia="Calibri" w:hAnsi="Times New Roman" w:cs="Times New Roman"/>
          <w:color w:val="767171"/>
          <w:spacing w:val="20"/>
          <w:sz w:val="24"/>
          <w:szCs w:val="24"/>
        </w:rPr>
        <w:t xml:space="preserve"> promociones internas.</w:t>
      </w:r>
    </w:p>
    <w:p w14:paraId="4267FD4F" w14:textId="77777777" w:rsidR="00963562" w:rsidRPr="006A0747" w:rsidRDefault="00963562" w:rsidP="006553D1">
      <w:pPr>
        <w:spacing w:line="360" w:lineRule="auto"/>
        <w:jc w:val="both"/>
        <w:rPr>
          <w:rFonts w:ascii="Times New Roman" w:eastAsia="Calibri" w:hAnsi="Times New Roman" w:cs="Times New Roman"/>
          <w:b/>
          <w:color w:val="767171"/>
          <w:spacing w:val="20"/>
          <w:sz w:val="24"/>
          <w:szCs w:val="24"/>
        </w:rPr>
      </w:pPr>
    </w:p>
    <w:p w14:paraId="1AF77730" w14:textId="3DD8D4C9" w:rsidR="006062D8" w:rsidRPr="006A0747" w:rsidRDefault="006062D8" w:rsidP="006553D1">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t>Capacitación y desarrollo</w:t>
      </w:r>
    </w:p>
    <w:p w14:paraId="65C5A484" w14:textId="1E276531" w:rsidR="00DC79B7" w:rsidRPr="006A0747" w:rsidRDefault="00DC79B7" w:rsidP="00DC79B7">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Con</w:t>
      </w:r>
      <w:r w:rsidR="00E95473" w:rsidRPr="006A0747">
        <w:rPr>
          <w:rFonts w:ascii="Times New Roman" w:eastAsia="Calibri" w:hAnsi="Times New Roman" w:cs="Times New Roman"/>
          <w:color w:val="767171"/>
          <w:spacing w:val="20"/>
          <w:sz w:val="24"/>
          <w:szCs w:val="24"/>
        </w:rPr>
        <w:t xml:space="preserve"> </w:t>
      </w:r>
      <w:r w:rsidR="00082FA7" w:rsidRPr="006A0747">
        <w:rPr>
          <w:rFonts w:ascii="Times New Roman" w:eastAsia="Calibri" w:hAnsi="Times New Roman" w:cs="Times New Roman"/>
          <w:color w:val="767171"/>
          <w:spacing w:val="20"/>
          <w:sz w:val="24"/>
          <w:szCs w:val="24"/>
        </w:rPr>
        <w:t>miras a</w:t>
      </w:r>
      <w:r w:rsidRPr="006A0747">
        <w:rPr>
          <w:rFonts w:ascii="Times New Roman" w:eastAsia="Calibri" w:hAnsi="Times New Roman" w:cs="Times New Roman"/>
          <w:color w:val="767171"/>
          <w:spacing w:val="20"/>
          <w:sz w:val="24"/>
          <w:szCs w:val="24"/>
        </w:rPr>
        <w:t xml:space="preserve"> </w:t>
      </w:r>
      <w:r w:rsidR="00082FA7" w:rsidRPr="006A0747">
        <w:rPr>
          <w:rFonts w:ascii="Times New Roman" w:eastAsia="Calibri" w:hAnsi="Times New Roman" w:cs="Times New Roman"/>
          <w:color w:val="767171"/>
          <w:spacing w:val="20"/>
          <w:sz w:val="24"/>
          <w:szCs w:val="24"/>
        </w:rPr>
        <w:t>potenciar</w:t>
      </w:r>
      <w:r w:rsidRPr="006A0747">
        <w:rPr>
          <w:rFonts w:ascii="Times New Roman" w:eastAsia="Calibri" w:hAnsi="Times New Roman" w:cs="Times New Roman"/>
          <w:color w:val="767171"/>
          <w:spacing w:val="20"/>
          <w:sz w:val="24"/>
          <w:szCs w:val="24"/>
        </w:rPr>
        <w:t xml:space="preserve"> las capacidades del personal de la institución</w:t>
      </w:r>
      <w:r w:rsidR="00E95473" w:rsidRPr="006A0747">
        <w:rPr>
          <w:rFonts w:ascii="Times New Roman" w:eastAsia="Calibri" w:hAnsi="Times New Roman" w:cs="Times New Roman"/>
          <w:color w:val="767171"/>
          <w:spacing w:val="20"/>
          <w:sz w:val="24"/>
          <w:szCs w:val="24"/>
        </w:rPr>
        <w:t>,</w:t>
      </w:r>
      <w:r w:rsidRPr="006A0747">
        <w:rPr>
          <w:rFonts w:ascii="Times New Roman" w:eastAsia="Calibri" w:hAnsi="Times New Roman" w:cs="Times New Roman"/>
          <w:color w:val="767171"/>
          <w:spacing w:val="20"/>
          <w:sz w:val="24"/>
          <w:szCs w:val="24"/>
        </w:rPr>
        <w:t xml:space="preserve"> se elaboró un programa de capacitación</w:t>
      </w:r>
      <w:r w:rsidR="00404D70" w:rsidRPr="006A0747">
        <w:rPr>
          <w:rFonts w:ascii="Times New Roman" w:eastAsia="Calibri" w:hAnsi="Times New Roman" w:cs="Times New Roman"/>
          <w:color w:val="767171"/>
          <w:spacing w:val="20"/>
          <w:sz w:val="24"/>
          <w:szCs w:val="24"/>
        </w:rPr>
        <w:t xml:space="preserve"> a partir de</w:t>
      </w:r>
      <w:r w:rsidRPr="006A0747">
        <w:rPr>
          <w:rFonts w:ascii="Times New Roman" w:eastAsia="Calibri" w:hAnsi="Times New Roman" w:cs="Times New Roman"/>
          <w:color w:val="767171"/>
          <w:spacing w:val="20"/>
          <w:sz w:val="24"/>
          <w:szCs w:val="24"/>
        </w:rPr>
        <w:t xml:space="preserve"> las necesidades levantadas por los departamentos misionales y de apoyo de la SB, logrando impartir 240 programas de capacitación a 681 colaboradores(as), equivalente al 89% de la </w:t>
      </w:r>
      <w:r w:rsidR="0046628B" w:rsidRPr="006A0747">
        <w:rPr>
          <w:rFonts w:ascii="Times New Roman" w:eastAsia="Calibri" w:hAnsi="Times New Roman" w:cs="Times New Roman"/>
          <w:color w:val="767171"/>
          <w:spacing w:val="20"/>
          <w:sz w:val="24"/>
          <w:szCs w:val="24"/>
        </w:rPr>
        <w:t>plantilla</w:t>
      </w:r>
      <w:r w:rsidRPr="006A0747">
        <w:rPr>
          <w:rFonts w:ascii="Times New Roman" w:eastAsia="Calibri" w:hAnsi="Times New Roman" w:cs="Times New Roman"/>
          <w:color w:val="767171"/>
          <w:spacing w:val="20"/>
          <w:sz w:val="24"/>
          <w:szCs w:val="24"/>
        </w:rPr>
        <w:t xml:space="preserve">. </w:t>
      </w:r>
      <w:r w:rsidR="005D1353" w:rsidRPr="006A0747">
        <w:rPr>
          <w:rFonts w:ascii="Times New Roman" w:eastAsia="Calibri" w:hAnsi="Times New Roman" w:cs="Times New Roman"/>
          <w:color w:val="767171"/>
          <w:spacing w:val="20"/>
          <w:sz w:val="24"/>
          <w:szCs w:val="24"/>
        </w:rPr>
        <w:t xml:space="preserve">Las </w:t>
      </w:r>
      <w:r w:rsidR="005D1353" w:rsidRPr="006A0747">
        <w:rPr>
          <w:rFonts w:ascii="Times New Roman" w:eastAsia="Calibri" w:hAnsi="Times New Roman" w:cs="Times New Roman"/>
          <w:color w:val="767171"/>
          <w:spacing w:val="20"/>
          <w:sz w:val="24"/>
          <w:szCs w:val="24"/>
        </w:rPr>
        <w:lastRenderedPageBreak/>
        <w:t>capacitaciones realizadas sumaron un total de 50,099 horas, lo que equivale a un promedio de 65 horas por cada colaborador capacitado.</w:t>
      </w:r>
    </w:p>
    <w:p w14:paraId="6A454467" w14:textId="3F52FE3A" w:rsidR="00DC79B7" w:rsidRPr="006A0747" w:rsidRDefault="00FD1AA5" w:rsidP="00DC79B7">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Asimismo, s</w:t>
      </w:r>
      <w:r w:rsidR="00DC79B7" w:rsidRPr="006A0747">
        <w:rPr>
          <w:rFonts w:ascii="Times New Roman" w:eastAsia="Calibri" w:hAnsi="Times New Roman" w:cs="Times New Roman"/>
          <w:color w:val="767171"/>
          <w:spacing w:val="20"/>
          <w:sz w:val="24"/>
          <w:szCs w:val="24"/>
        </w:rPr>
        <w:t>e concluyó la segunda fase del proyecto de diseño e implementación de un plan de carrera y ruta de desarrollo</w:t>
      </w:r>
      <w:r w:rsidR="0008014B" w:rsidRPr="006A0747">
        <w:rPr>
          <w:rFonts w:ascii="Times New Roman" w:eastAsia="Calibri" w:hAnsi="Times New Roman" w:cs="Times New Roman"/>
          <w:color w:val="767171"/>
          <w:spacing w:val="20"/>
          <w:sz w:val="24"/>
          <w:szCs w:val="24"/>
        </w:rPr>
        <w:t>, impact</w:t>
      </w:r>
      <w:r w:rsidR="004454E6" w:rsidRPr="006A0747">
        <w:rPr>
          <w:rFonts w:ascii="Times New Roman" w:eastAsia="Calibri" w:hAnsi="Times New Roman" w:cs="Times New Roman"/>
          <w:color w:val="767171"/>
          <w:spacing w:val="20"/>
          <w:sz w:val="24"/>
          <w:szCs w:val="24"/>
        </w:rPr>
        <w:t>ando</w:t>
      </w:r>
      <w:r w:rsidR="0083552E" w:rsidRPr="006A0747">
        <w:rPr>
          <w:rFonts w:ascii="Times New Roman" w:eastAsia="Calibri" w:hAnsi="Times New Roman" w:cs="Times New Roman"/>
          <w:color w:val="767171"/>
          <w:spacing w:val="20"/>
          <w:sz w:val="24"/>
          <w:szCs w:val="24"/>
        </w:rPr>
        <w:t xml:space="preserve"> </w:t>
      </w:r>
      <w:r w:rsidR="00D23304" w:rsidRPr="006A0747">
        <w:rPr>
          <w:rFonts w:ascii="Times New Roman" w:eastAsia="Calibri" w:hAnsi="Times New Roman" w:cs="Times New Roman"/>
          <w:color w:val="767171"/>
          <w:spacing w:val="20"/>
          <w:sz w:val="24"/>
          <w:szCs w:val="24"/>
        </w:rPr>
        <w:t>en esta etapa</w:t>
      </w:r>
      <w:r w:rsidR="00196B12" w:rsidRPr="006A0747">
        <w:rPr>
          <w:rFonts w:ascii="Times New Roman" w:eastAsia="Calibri" w:hAnsi="Times New Roman" w:cs="Times New Roman"/>
          <w:color w:val="767171"/>
          <w:spacing w:val="20"/>
          <w:sz w:val="24"/>
          <w:szCs w:val="24"/>
        </w:rPr>
        <w:t xml:space="preserve"> a</w:t>
      </w:r>
      <w:r w:rsidR="00DC79B7" w:rsidRPr="006A0747">
        <w:rPr>
          <w:rFonts w:ascii="Times New Roman" w:eastAsia="Calibri" w:hAnsi="Times New Roman" w:cs="Times New Roman"/>
          <w:color w:val="767171"/>
          <w:spacing w:val="20"/>
          <w:sz w:val="24"/>
          <w:szCs w:val="24"/>
        </w:rPr>
        <w:t xml:space="preserve"> la Subgerencia de Regulación e Innovación y </w:t>
      </w:r>
      <w:r w:rsidR="0076481A" w:rsidRPr="006A0747">
        <w:rPr>
          <w:rFonts w:ascii="Times New Roman" w:eastAsia="Calibri" w:hAnsi="Times New Roman" w:cs="Times New Roman"/>
          <w:color w:val="767171"/>
          <w:spacing w:val="20"/>
          <w:sz w:val="24"/>
          <w:szCs w:val="24"/>
        </w:rPr>
        <w:t xml:space="preserve">a </w:t>
      </w:r>
      <w:r w:rsidR="00DC79B7" w:rsidRPr="006A0747">
        <w:rPr>
          <w:rFonts w:ascii="Times New Roman" w:eastAsia="Calibri" w:hAnsi="Times New Roman" w:cs="Times New Roman"/>
          <w:color w:val="767171"/>
          <w:spacing w:val="20"/>
          <w:sz w:val="24"/>
          <w:szCs w:val="24"/>
        </w:rPr>
        <w:t>Pro</w:t>
      </w:r>
      <w:r w:rsidR="00970A66" w:rsidRPr="006A0747">
        <w:rPr>
          <w:rFonts w:ascii="Times New Roman" w:eastAsia="Calibri" w:hAnsi="Times New Roman" w:cs="Times New Roman"/>
          <w:color w:val="767171"/>
          <w:spacing w:val="20"/>
          <w:sz w:val="24"/>
          <w:szCs w:val="24"/>
        </w:rPr>
        <w:t>U</w:t>
      </w:r>
      <w:r w:rsidR="00DC79B7" w:rsidRPr="006A0747">
        <w:rPr>
          <w:rFonts w:ascii="Times New Roman" w:eastAsia="Calibri" w:hAnsi="Times New Roman" w:cs="Times New Roman"/>
          <w:color w:val="767171"/>
          <w:spacing w:val="20"/>
          <w:sz w:val="24"/>
          <w:szCs w:val="24"/>
        </w:rPr>
        <w:t>suario</w:t>
      </w:r>
      <w:r w:rsidR="0076481A" w:rsidRPr="006A0747">
        <w:rPr>
          <w:rFonts w:ascii="Times New Roman" w:eastAsia="Calibri" w:hAnsi="Times New Roman" w:cs="Times New Roman"/>
          <w:color w:val="767171"/>
          <w:spacing w:val="20"/>
          <w:sz w:val="24"/>
          <w:szCs w:val="24"/>
        </w:rPr>
        <w:t xml:space="preserve">. Este </w:t>
      </w:r>
      <w:r w:rsidR="00E15A33" w:rsidRPr="006A0747">
        <w:rPr>
          <w:rFonts w:ascii="Times New Roman" w:eastAsia="Calibri" w:hAnsi="Times New Roman" w:cs="Times New Roman"/>
          <w:color w:val="767171"/>
          <w:spacing w:val="20"/>
          <w:sz w:val="24"/>
          <w:szCs w:val="24"/>
        </w:rPr>
        <w:t xml:space="preserve">proyecto </w:t>
      </w:r>
      <w:r w:rsidR="00E617C4" w:rsidRPr="006A0747">
        <w:rPr>
          <w:rFonts w:ascii="Times New Roman" w:eastAsia="Calibri" w:hAnsi="Times New Roman" w:cs="Times New Roman"/>
          <w:color w:val="767171"/>
          <w:spacing w:val="20"/>
          <w:sz w:val="24"/>
          <w:szCs w:val="24"/>
        </w:rPr>
        <w:t>facilitará el</w:t>
      </w:r>
      <w:r w:rsidR="00DC79B7" w:rsidRPr="006A0747">
        <w:rPr>
          <w:rFonts w:ascii="Times New Roman" w:eastAsia="Calibri" w:hAnsi="Times New Roman" w:cs="Times New Roman"/>
          <w:color w:val="767171"/>
          <w:spacing w:val="20"/>
          <w:sz w:val="24"/>
          <w:szCs w:val="24"/>
        </w:rPr>
        <w:t xml:space="preserve"> crecimiento de los colaboradores(as) dentro de la institución, potencializa</w:t>
      </w:r>
      <w:r w:rsidR="00323965" w:rsidRPr="006A0747">
        <w:rPr>
          <w:rFonts w:ascii="Times New Roman" w:eastAsia="Calibri" w:hAnsi="Times New Roman" w:cs="Times New Roman"/>
          <w:color w:val="767171"/>
          <w:spacing w:val="20"/>
          <w:sz w:val="24"/>
          <w:szCs w:val="24"/>
        </w:rPr>
        <w:t>rá</w:t>
      </w:r>
      <w:r w:rsidR="00DC79B7" w:rsidRPr="006A0747">
        <w:rPr>
          <w:rFonts w:ascii="Times New Roman" w:eastAsia="Calibri" w:hAnsi="Times New Roman" w:cs="Times New Roman"/>
          <w:color w:val="767171"/>
          <w:spacing w:val="20"/>
          <w:sz w:val="24"/>
          <w:szCs w:val="24"/>
        </w:rPr>
        <w:t xml:space="preserve"> sus capacidades y </w:t>
      </w:r>
      <w:r w:rsidR="00471874" w:rsidRPr="006A0747">
        <w:rPr>
          <w:rFonts w:ascii="Times New Roman" w:eastAsia="Calibri" w:hAnsi="Times New Roman" w:cs="Times New Roman"/>
          <w:color w:val="767171"/>
          <w:spacing w:val="20"/>
          <w:sz w:val="24"/>
          <w:szCs w:val="24"/>
        </w:rPr>
        <w:t>contribuirá</w:t>
      </w:r>
      <w:r w:rsidR="00055071" w:rsidRPr="006A0747">
        <w:rPr>
          <w:rFonts w:ascii="Times New Roman" w:eastAsia="Calibri" w:hAnsi="Times New Roman" w:cs="Times New Roman"/>
          <w:color w:val="767171"/>
          <w:spacing w:val="20"/>
          <w:sz w:val="24"/>
          <w:szCs w:val="24"/>
        </w:rPr>
        <w:t xml:space="preserve"> </w:t>
      </w:r>
      <w:r w:rsidR="002A540F" w:rsidRPr="006A0747">
        <w:rPr>
          <w:rFonts w:ascii="Times New Roman" w:eastAsia="Calibri" w:hAnsi="Times New Roman" w:cs="Times New Roman"/>
          <w:color w:val="767171"/>
          <w:spacing w:val="20"/>
          <w:sz w:val="24"/>
          <w:szCs w:val="24"/>
        </w:rPr>
        <w:t>con la</w:t>
      </w:r>
      <w:r w:rsidR="00471874" w:rsidRPr="006A0747">
        <w:rPr>
          <w:rFonts w:ascii="Times New Roman" w:eastAsia="Calibri" w:hAnsi="Times New Roman" w:cs="Times New Roman"/>
          <w:color w:val="767171"/>
          <w:spacing w:val="20"/>
          <w:sz w:val="24"/>
          <w:szCs w:val="24"/>
        </w:rPr>
        <w:t xml:space="preserve"> </w:t>
      </w:r>
      <w:r w:rsidR="00DC79B7" w:rsidRPr="006A0747">
        <w:rPr>
          <w:rFonts w:ascii="Times New Roman" w:eastAsia="Calibri" w:hAnsi="Times New Roman" w:cs="Times New Roman"/>
          <w:color w:val="767171"/>
          <w:spacing w:val="20"/>
          <w:sz w:val="24"/>
          <w:szCs w:val="24"/>
        </w:rPr>
        <w:t>reten</w:t>
      </w:r>
      <w:r w:rsidR="002A540F" w:rsidRPr="006A0747">
        <w:rPr>
          <w:rFonts w:ascii="Times New Roman" w:eastAsia="Calibri" w:hAnsi="Times New Roman" w:cs="Times New Roman"/>
          <w:color w:val="767171"/>
          <w:spacing w:val="20"/>
          <w:sz w:val="24"/>
          <w:szCs w:val="24"/>
        </w:rPr>
        <w:t>ción</w:t>
      </w:r>
      <w:r w:rsidR="00DC79B7" w:rsidRPr="006A0747">
        <w:rPr>
          <w:rFonts w:ascii="Times New Roman" w:eastAsia="Calibri" w:hAnsi="Times New Roman" w:cs="Times New Roman"/>
          <w:color w:val="767171"/>
          <w:spacing w:val="20"/>
          <w:sz w:val="24"/>
          <w:szCs w:val="24"/>
        </w:rPr>
        <w:t xml:space="preserve"> </w:t>
      </w:r>
      <w:r w:rsidR="002A540F" w:rsidRPr="006A0747">
        <w:rPr>
          <w:rFonts w:ascii="Times New Roman" w:eastAsia="Calibri" w:hAnsi="Times New Roman" w:cs="Times New Roman"/>
          <w:color w:val="767171"/>
          <w:spacing w:val="20"/>
          <w:sz w:val="24"/>
          <w:szCs w:val="24"/>
        </w:rPr>
        <w:t>d</w:t>
      </w:r>
      <w:r w:rsidR="00DC79B7" w:rsidRPr="006A0747">
        <w:rPr>
          <w:rFonts w:ascii="Times New Roman" w:eastAsia="Calibri" w:hAnsi="Times New Roman" w:cs="Times New Roman"/>
          <w:color w:val="767171"/>
          <w:spacing w:val="20"/>
          <w:sz w:val="24"/>
          <w:szCs w:val="24"/>
        </w:rPr>
        <w:t>el talento</w:t>
      </w:r>
      <w:r w:rsidR="002A540F" w:rsidRPr="006A0747">
        <w:rPr>
          <w:rFonts w:ascii="Times New Roman" w:eastAsia="Calibri" w:hAnsi="Times New Roman" w:cs="Times New Roman"/>
          <w:color w:val="767171"/>
          <w:spacing w:val="20"/>
          <w:sz w:val="24"/>
          <w:szCs w:val="24"/>
        </w:rPr>
        <w:t>.</w:t>
      </w:r>
    </w:p>
    <w:p w14:paraId="77FA50F0" w14:textId="2A4B9092" w:rsidR="00DC79B7" w:rsidRPr="006A0747" w:rsidRDefault="00E617C4" w:rsidP="00DC79B7">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Por otro lado</w:t>
      </w:r>
      <w:r w:rsidR="00E031D7" w:rsidRPr="006A0747">
        <w:rPr>
          <w:rFonts w:ascii="Times New Roman" w:eastAsia="Calibri" w:hAnsi="Times New Roman" w:cs="Times New Roman"/>
          <w:color w:val="767171"/>
          <w:spacing w:val="20"/>
          <w:sz w:val="24"/>
          <w:szCs w:val="24"/>
        </w:rPr>
        <w:t>, se</w:t>
      </w:r>
      <w:r w:rsidR="00321731" w:rsidRPr="006A0747">
        <w:rPr>
          <w:rFonts w:ascii="Times New Roman" w:eastAsia="Calibri" w:hAnsi="Times New Roman" w:cs="Times New Roman"/>
          <w:color w:val="767171"/>
          <w:spacing w:val="20"/>
          <w:sz w:val="24"/>
          <w:szCs w:val="24"/>
        </w:rPr>
        <w:t xml:space="preserve"> </w:t>
      </w:r>
      <w:r w:rsidR="00265EF1" w:rsidRPr="006A0747">
        <w:rPr>
          <w:rFonts w:ascii="Times New Roman" w:eastAsia="Calibri" w:hAnsi="Times New Roman" w:cs="Times New Roman"/>
          <w:color w:val="767171"/>
          <w:spacing w:val="20"/>
          <w:sz w:val="24"/>
          <w:szCs w:val="24"/>
        </w:rPr>
        <w:t>certifica</w:t>
      </w:r>
      <w:r w:rsidR="00E031D7" w:rsidRPr="006A0747">
        <w:rPr>
          <w:rFonts w:ascii="Times New Roman" w:eastAsia="Calibri" w:hAnsi="Times New Roman" w:cs="Times New Roman"/>
          <w:color w:val="767171"/>
          <w:spacing w:val="20"/>
          <w:sz w:val="24"/>
          <w:szCs w:val="24"/>
        </w:rPr>
        <w:t>ron</w:t>
      </w:r>
      <w:r w:rsidR="00DC79B7" w:rsidRPr="006A0747">
        <w:rPr>
          <w:rFonts w:ascii="Times New Roman" w:eastAsia="Calibri" w:hAnsi="Times New Roman" w:cs="Times New Roman"/>
          <w:color w:val="767171"/>
          <w:spacing w:val="20"/>
          <w:sz w:val="24"/>
          <w:szCs w:val="24"/>
        </w:rPr>
        <w:t xml:space="preserve"> 35 colaboradores en </w:t>
      </w:r>
      <w:r w:rsidR="00265EF1" w:rsidRPr="006A0747">
        <w:rPr>
          <w:rFonts w:ascii="Times New Roman" w:eastAsia="Calibri" w:hAnsi="Times New Roman" w:cs="Times New Roman"/>
          <w:color w:val="767171"/>
          <w:spacing w:val="20"/>
          <w:sz w:val="24"/>
          <w:szCs w:val="24"/>
        </w:rPr>
        <w:t>la Norma</w:t>
      </w:r>
      <w:r w:rsidR="00DC79B7" w:rsidRPr="006A0747">
        <w:rPr>
          <w:rFonts w:ascii="Times New Roman" w:eastAsia="Calibri" w:hAnsi="Times New Roman" w:cs="Times New Roman"/>
          <w:color w:val="767171"/>
          <w:spacing w:val="20"/>
          <w:sz w:val="24"/>
          <w:szCs w:val="24"/>
        </w:rPr>
        <w:t xml:space="preserve"> ISO 31000 </w:t>
      </w:r>
      <w:proofErr w:type="spellStart"/>
      <w:r w:rsidR="00DC79B7" w:rsidRPr="006A0747">
        <w:rPr>
          <w:rFonts w:ascii="Times New Roman" w:eastAsia="Calibri" w:hAnsi="Times New Roman" w:cs="Times New Roman"/>
          <w:color w:val="767171"/>
          <w:spacing w:val="20"/>
          <w:sz w:val="24"/>
          <w:szCs w:val="24"/>
        </w:rPr>
        <w:t>Risk</w:t>
      </w:r>
      <w:proofErr w:type="spellEnd"/>
      <w:r w:rsidR="00DC79B7" w:rsidRPr="006A0747">
        <w:rPr>
          <w:rFonts w:ascii="Times New Roman" w:eastAsia="Calibri" w:hAnsi="Times New Roman" w:cs="Times New Roman"/>
          <w:color w:val="767171"/>
          <w:spacing w:val="20"/>
          <w:sz w:val="24"/>
          <w:szCs w:val="24"/>
        </w:rPr>
        <w:t xml:space="preserve"> Manager, 8 colaboradores en control interno (COSO)</w:t>
      </w:r>
      <w:r w:rsidR="00265EF1" w:rsidRPr="006A0747">
        <w:rPr>
          <w:rFonts w:ascii="Times New Roman" w:eastAsia="Calibri" w:hAnsi="Times New Roman" w:cs="Times New Roman"/>
          <w:color w:val="767171"/>
          <w:spacing w:val="20"/>
          <w:sz w:val="24"/>
          <w:szCs w:val="24"/>
        </w:rPr>
        <w:t>,</w:t>
      </w:r>
      <w:r w:rsidR="007A79CF" w:rsidRPr="006A0747">
        <w:rPr>
          <w:rFonts w:ascii="Times New Roman" w:eastAsia="Calibri" w:hAnsi="Times New Roman" w:cs="Times New Roman"/>
          <w:color w:val="767171"/>
          <w:spacing w:val="20"/>
          <w:sz w:val="24"/>
          <w:szCs w:val="24"/>
        </w:rPr>
        <w:t xml:space="preserve"> 7 colaboradores en la ISO 22301</w:t>
      </w:r>
      <w:r w:rsidR="0056449C" w:rsidRPr="006A0747">
        <w:rPr>
          <w:rFonts w:ascii="Times New Roman" w:eastAsia="Calibri" w:hAnsi="Times New Roman" w:cs="Times New Roman"/>
          <w:color w:val="767171"/>
          <w:spacing w:val="20"/>
          <w:sz w:val="24"/>
          <w:szCs w:val="24"/>
        </w:rPr>
        <w:t>:2019</w:t>
      </w:r>
      <w:r w:rsidR="007A79CF" w:rsidRPr="006A0747">
        <w:rPr>
          <w:rFonts w:ascii="Times New Roman" w:eastAsia="Calibri" w:hAnsi="Times New Roman" w:cs="Times New Roman"/>
          <w:color w:val="767171"/>
          <w:spacing w:val="20"/>
          <w:sz w:val="24"/>
          <w:szCs w:val="24"/>
        </w:rPr>
        <w:t xml:space="preserve"> Continuidad de Negocios,</w:t>
      </w:r>
      <w:r w:rsidR="00DC79B7" w:rsidRPr="006A0747">
        <w:rPr>
          <w:rFonts w:ascii="Times New Roman" w:eastAsia="Calibri" w:hAnsi="Times New Roman" w:cs="Times New Roman"/>
          <w:color w:val="767171"/>
          <w:spacing w:val="20"/>
          <w:sz w:val="24"/>
          <w:szCs w:val="24"/>
        </w:rPr>
        <w:t xml:space="preserve"> 23 colaboradores en Auditor Líder en Sistema de Gestión Integrado ISO 27001</w:t>
      </w:r>
      <w:r w:rsidR="00673E9C" w:rsidRPr="006A0747">
        <w:rPr>
          <w:rFonts w:ascii="Times New Roman" w:eastAsia="Calibri" w:hAnsi="Times New Roman" w:cs="Times New Roman"/>
          <w:color w:val="767171"/>
          <w:spacing w:val="20"/>
          <w:sz w:val="24"/>
          <w:szCs w:val="24"/>
        </w:rPr>
        <w:t>:2022</w:t>
      </w:r>
      <w:r w:rsidR="00DC79B7" w:rsidRPr="006A0747">
        <w:rPr>
          <w:rFonts w:ascii="Times New Roman" w:eastAsia="Calibri" w:hAnsi="Times New Roman" w:cs="Times New Roman"/>
          <w:color w:val="767171"/>
          <w:spacing w:val="20"/>
          <w:sz w:val="24"/>
          <w:szCs w:val="24"/>
        </w:rPr>
        <w:t xml:space="preserve"> e ISO 22301</w:t>
      </w:r>
      <w:r w:rsidR="0003506F" w:rsidRPr="006A0747">
        <w:rPr>
          <w:rFonts w:ascii="Times New Roman" w:eastAsia="Calibri" w:hAnsi="Times New Roman" w:cs="Times New Roman"/>
          <w:color w:val="767171"/>
          <w:spacing w:val="20"/>
          <w:sz w:val="24"/>
          <w:szCs w:val="24"/>
        </w:rPr>
        <w:t>:2019</w:t>
      </w:r>
      <w:r w:rsidR="00DC79B7" w:rsidRPr="006A0747">
        <w:rPr>
          <w:rFonts w:ascii="Times New Roman" w:eastAsia="Calibri" w:hAnsi="Times New Roman" w:cs="Times New Roman"/>
          <w:color w:val="767171"/>
          <w:spacing w:val="20"/>
          <w:sz w:val="24"/>
          <w:szCs w:val="24"/>
        </w:rPr>
        <w:t xml:space="preserve"> y 14 colaboradores en Gobierno Corporativo. </w:t>
      </w:r>
      <w:r w:rsidR="00216096" w:rsidRPr="006A0747">
        <w:rPr>
          <w:rFonts w:ascii="Times New Roman" w:eastAsia="Calibri" w:hAnsi="Times New Roman" w:cs="Times New Roman"/>
          <w:color w:val="767171"/>
          <w:spacing w:val="20"/>
          <w:sz w:val="24"/>
          <w:szCs w:val="24"/>
        </w:rPr>
        <w:t>En adición</w:t>
      </w:r>
      <w:r w:rsidR="002B1080" w:rsidRPr="006A0747">
        <w:rPr>
          <w:rFonts w:ascii="Times New Roman" w:eastAsia="Calibri" w:hAnsi="Times New Roman" w:cs="Times New Roman"/>
          <w:color w:val="767171"/>
          <w:spacing w:val="20"/>
          <w:sz w:val="24"/>
          <w:szCs w:val="24"/>
        </w:rPr>
        <w:t>, s</w:t>
      </w:r>
      <w:r w:rsidR="00DC79B7" w:rsidRPr="006A0747">
        <w:rPr>
          <w:rFonts w:ascii="Times New Roman" w:eastAsia="Calibri" w:hAnsi="Times New Roman" w:cs="Times New Roman"/>
          <w:color w:val="767171"/>
          <w:spacing w:val="20"/>
          <w:sz w:val="24"/>
          <w:szCs w:val="24"/>
        </w:rPr>
        <w:t>e impartieron jornadas de capacitación enfocadas en gestión de proyectos donde participaron 108 colaboradores</w:t>
      </w:r>
      <w:r w:rsidR="00D871FF" w:rsidRPr="006A0747">
        <w:rPr>
          <w:rFonts w:ascii="Times New Roman" w:eastAsia="Calibri" w:hAnsi="Times New Roman" w:cs="Times New Roman"/>
          <w:color w:val="767171"/>
          <w:spacing w:val="20"/>
          <w:sz w:val="24"/>
          <w:szCs w:val="24"/>
        </w:rPr>
        <w:t>.</w:t>
      </w:r>
    </w:p>
    <w:p w14:paraId="4CB4F546" w14:textId="68C970DB" w:rsidR="00522CF0" w:rsidRPr="006A0747" w:rsidRDefault="007737E9" w:rsidP="00DC79B7">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De igual manera, </w:t>
      </w:r>
      <w:r w:rsidR="00DC79B7" w:rsidRPr="006A0747">
        <w:rPr>
          <w:rFonts w:ascii="Times New Roman" w:eastAsia="Calibri" w:hAnsi="Times New Roman" w:cs="Times New Roman"/>
          <w:color w:val="767171"/>
          <w:spacing w:val="20"/>
          <w:sz w:val="24"/>
          <w:szCs w:val="24"/>
        </w:rPr>
        <w:t>se ejecutó el Programa de Desarrollo de Competencias de Liderazgo y Gestión, para 40 Encargados, Coordinadores y personal de Mandos Medios, con la finalidad de fortalecer las habilidades requeridas según el rol desempeñado y apoyar el fortalecimiento institucional.</w:t>
      </w:r>
    </w:p>
    <w:p w14:paraId="230A5D90" w14:textId="77777777" w:rsidR="00DC79B7" w:rsidRPr="006A0747" w:rsidRDefault="00DC79B7" w:rsidP="00DC79B7">
      <w:pPr>
        <w:spacing w:line="360" w:lineRule="auto"/>
        <w:jc w:val="both"/>
        <w:rPr>
          <w:rFonts w:ascii="Times New Roman" w:eastAsia="Calibri" w:hAnsi="Times New Roman" w:cs="Times New Roman"/>
          <w:color w:val="767171"/>
          <w:spacing w:val="20"/>
          <w:sz w:val="24"/>
          <w:szCs w:val="24"/>
        </w:rPr>
      </w:pPr>
    </w:p>
    <w:p w14:paraId="3F86FCA1" w14:textId="28845BD1" w:rsidR="006062D8" w:rsidRPr="006A0747" w:rsidRDefault="006062D8" w:rsidP="006553D1">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t>D</w:t>
      </w:r>
      <w:r w:rsidR="006553D1" w:rsidRPr="006A0747">
        <w:rPr>
          <w:rFonts w:ascii="Times New Roman" w:eastAsia="Calibri" w:hAnsi="Times New Roman" w:cs="Times New Roman"/>
          <w:b/>
          <w:color w:val="767171"/>
          <w:spacing w:val="20"/>
          <w:sz w:val="24"/>
          <w:szCs w:val="24"/>
        </w:rPr>
        <w:t>esempeño y clima organizacional</w:t>
      </w:r>
    </w:p>
    <w:p w14:paraId="09C850EE" w14:textId="0EF378FF" w:rsidR="00090EBC" w:rsidRPr="006A0747" w:rsidRDefault="00171148" w:rsidP="0032670A">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En lo concerniente a la</w:t>
      </w:r>
      <w:r w:rsidR="0052314D" w:rsidRPr="006A0747">
        <w:rPr>
          <w:rFonts w:ascii="Times New Roman" w:eastAsia="Calibri" w:hAnsi="Times New Roman" w:cs="Times New Roman"/>
          <w:color w:val="767171"/>
          <w:spacing w:val="20"/>
          <w:sz w:val="24"/>
          <w:szCs w:val="24"/>
        </w:rPr>
        <w:t xml:space="preserve"> e</w:t>
      </w:r>
      <w:r w:rsidR="00090EBC" w:rsidRPr="006A0747">
        <w:rPr>
          <w:rFonts w:ascii="Times New Roman" w:eastAsia="Calibri" w:hAnsi="Times New Roman" w:cs="Times New Roman"/>
          <w:color w:val="767171"/>
          <w:spacing w:val="20"/>
          <w:sz w:val="24"/>
          <w:szCs w:val="24"/>
        </w:rPr>
        <w:t xml:space="preserve">valuación del </w:t>
      </w:r>
      <w:r w:rsidR="0052314D" w:rsidRPr="006A0747">
        <w:rPr>
          <w:rFonts w:ascii="Times New Roman" w:eastAsia="Calibri" w:hAnsi="Times New Roman" w:cs="Times New Roman"/>
          <w:color w:val="767171"/>
          <w:spacing w:val="20"/>
          <w:sz w:val="24"/>
          <w:szCs w:val="24"/>
        </w:rPr>
        <w:t>d</w:t>
      </w:r>
      <w:r w:rsidR="00090EBC" w:rsidRPr="006A0747">
        <w:rPr>
          <w:rFonts w:ascii="Times New Roman" w:eastAsia="Calibri" w:hAnsi="Times New Roman" w:cs="Times New Roman"/>
          <w:color w:val="767171"/>
          <w:spacing w:val="20"/>
          <w:sz w:val="24"/>
          <w:szCs w:val="24"/>
        </w:rPr>
        <w:t xml:space="preserve">esempeño </w:t>
      </w:r>
      <w:r w:rsidR="0052314D" w:rsidRPr="006A0747">
        <w:rPr>
          <w:rFonts w:ascii="Times New Roman" w:eastAsia="Calibri" w:hAnsi="Times New Roman" w:cs="Times New Roman"/>
          <w:color w:val="767171"/>
          <w:spacing w:val="20"/>
          <w:sz w:val="24"/>
          <w:szCs w:val="24"/>
        </w:rPr>
        <w:t>i</w:t>
      </w:r>
      <w:r w:rsidR="00090EBC" w:rsidRPr="006A0747">
        <w:rPr>
          <w:rFonts w:ascii="Times New Roman" w:eastAsia="Calibri" w:hAnsi="Times New Roman" w:cs="Times New Roman"/>
          <w:color w:val="767171"/>
          <w:spacing w:val="20"/>
          <w:sz w:val="24"/>
          <w:szCs w:val="24"/>
        </w:rPr>
        <w:t>ndividual (ED</w:t>
      </w:r>
      <w:r w:rsidR="00D17F3F" w:rsidRPr="006A0747">
        <w:rPr>
          <w:rFonts w:ascii="Times New Roman" w:eastAsia="Calibri" w:hAnsi="Times New Roman" w:cs="Times New Roman"/>
          <w:color w:val="767171"/>
          <w:spacing w:val="20"/>
          <w:sz w:val="24"/>
          <w:szCs w:val="24"/>
        </w:rPr>
        <w:t>I</w:t>
      </w:r>
      <w:r w:rsidR="00090EBC" w:rsidRPr="006A0747">
        <w:rPr>
          <w:rFonts w:ascii="Times New Roman" w:eastAsia="Calibri" w:hAnsi="Times New Roman" w:cs="Times New Roman"/>
          <w:color w:val="767171"/>
          <w:spacing w:val="20"/>
          <w:sz w:val="24"/>
          <w:szCs w:val="24"/>
        </w:rPr>
        <w:t>), se realizaron entrenamientos en</w:t>
      </w:r>
      <w:r w:rsidR="00180898" w:rsidRPr="006A0747">
        <w:rPr>
          <w:rFonts w:ascii="Times New Roman" w:eastAsia="Calibri" w:hAnsi="Times New Roman" w:cs="Times New Roman"/>
          <w:color w:val="767171"/>
          <w:spacing w:val="20"/>
          <w:sz w:val="24"/>
          <w:szCs w:val="24"/>
        </w:rPr>
        <w:t xml:space="preserve"> el uso de la</w:t>
      </w:r>
      <w:r w:rsidR="00090EBC" w:rsidRPr="006A0747">
        <w:rPr>
          <w:rFonts w:ascii="Times New Roman" w:eastAsia="Calibri" w:hAnsi="Times New Roman" w:cs="Times New Roman"/>
          <w:color w:val="767171"/>
          <w:spacing w:val="20"/>
          <w:sz w:val="24"/>
          <w:szCs w:val="24"/>
        </w:rPr>
        <w:t xml:space="preserve"> plataforma EDI 3.0 (Dynamics 365)</w:t>
      </w:r>
      <w:r w:rsidR="00421D42" w:rsidRPr="006A0747">
        <w:rPr>
          <w:rFonts w:ascii="Times New Roman" w:eastAsia="Calibri" w:hAnsi="Times New Roman" w:cs="Times New Roman"/>
          <w:color w:val="767171"/>
          <w:spacing w:val="20"/>
          <w:sz w:val="24"/>
          <w:szCs w:val="24"/>
        </w:rPr>
        <w:t xml:space="preserve"> y se elaboró</w:t>
      </w:r>
      <w:r w:rsidR="00090EBC" w:rsidRPr="006A0747">
        <w:rPr>
          <w:rFonts w:ascii="Times New Roman" w:eastAsia="Calibri" w:hAnsi="Times New Roman" w:cs="Times New Roman"/>
          <w:color w:val="767171"/>
          <w:spacing w:val="20"/>
          <w:sz w:val="24"/>
          <w:szCs w:val="24"/>
        </w:rPr>
        <w:t xml:space="preserve"> un instructivo de uso </w:t>
      </w:r>
      <w:r w:rsidR="00421D42" w:rsidRPr="006A0747">
        <w:rPr>
          <w:rFonts w:ascii="Times New Roman" w:eastAsia="Calibri" w:hAnsi="Times New Roman" w:cs="Times New Roman"/>
          <w:color w:val="767171"/>
          <w:spacing w:val="20"/>
          <w:sz w:val="24"/>
          <w:szCs w:val="24"/>
        </w:rPr>
        <w:t xml:space="preserve">para asegurar la </w:t>
      </w:r>
      <w:r w:rsidR="006D6EAB" w:rsidRPr="006A0747">
        <w:rPr>
          <w:rFonts w:ascii="Times New Roman" w:eastAsia="Calibri" w:hAnsi="Times New Roman" w:cs="Times New Roman"/>
          <w:color w:val="767171"/>
          <w:spacing w:val="20"/>
          <w:sz w:val="24"/>
          <w:szCs w:val="24"/>
        </w:rPr>
        <w:t xml:space="preserve">eficacia y eficiencia </w:t>
      </w:r>
      <w:r w:rsidR="00125B9E" w:rsidRPr="006A0747">
        <w:rPr>
          <w:rFonts w:ascii="Times New Roman" w:eastAsia="Calibri" w:hAnsi="Times New Roman" w:cs="Times New Roman"/>
          <w:color w:val="767171"/>
          <w:spacing w:val="20"/>
          <w:sz w:val="24"/>
          <w:szCs w:val="24"/>
        </w:rPr>
        <w:t>del pro</w:t>
      </w:r>
      <w:r w:rsidR="00493520" w:rsidRPr="006A0747">
        <w:rPr>
          <w:rFonts w:ascii="Times New Roman" w:eastAsia="Calibri" w:hAnsi="Times New Roman" w:cs="Times New Roman"/>
          <w:color w:val="767171"/>
          <w:spacing w:val="20"/>
          <w:sz w:val="24"/>
          <w:szCs w:val="24"/>
        </w:rPr>
        <w:t>ceso</w:t>
      </w:r>
      <w:r w:rsidR="00090EBC" w:rsidRPr="006A0747">
        <w:rPr>
          <w:rFonts w:ascii="Times New Roman" w:eastAsia="Calibri" w:hAnsi="Times New Roman" w:cs="Times New Roman"/>
          <w:color w:val="767171"/>
          <w:spacing w:val="20"/>
          <w:sz w:val="24"/>
          <w:szCs w:val="24"/>
        </w:rPr>
        <w:t>.</w:t>
      </w:r>
      <w:r w:rsidR="0032670A" w:rsidRPr="006A0747">
        <w:rPr>
          <w:rFonts w:ascii="Times New Roman" w:eastAsia="Calibri" w:hAnsi="Times New Roman" w:cs="Times New Roman"/>
          <w:color w:val="767171"/>
          <w:spacing w:val="20"/>
          <w:sz w:val="24"/>
          <w:szCs w:val="24"/>
        </w:rPr>
        <w:t xml:space="preserve"> Estas serán las bases que permitirán, en febrero del próximo año 2025, llevar a cabo la </w:t>
      </w:r>
      <w:r w:rsidR="0032670A" w:rsidRPr="006A0747">
        <w:rPr>
          <w:rFonts w:ascii="Times New Roman" w:eastAsia="Calibri" w:hAnsi="Times New Roman" w:cs="Times New Roman"/>
          <w:color w:val="767171"/>
          <w:spacing w:val="20"/>
          <w:sz w:val="24"/>
          <w:szCs w:val="24"/>
        </w:rPr>
        <w:lastRenderedPageBreak/>
        <w:t>evaluación de desempeño individual correspondiente al año 2024 de manera más ágil y precisa, garantizando una valoración objetiva y alineada con los objetivos institucionales establecidos</w:t>
      </w:r>
      <w:r w:rsidR="004E3D68" w:rsidRPr="006A0747">
        <w:rPr>
          <w:rFonts w:ascii="Times New Roman" w:eastAsia="Calibri" w:hAnsi="Times New Roman" w:cs="Times New Roman"/>
          <w:color w:val="767171"/>
          <w:spacing w:val="20"/>
          <w:sz w:val="24"/>
          <w:szCs w:val="24"/>
        </w:rPr>
        <w:t>.</w:t>
      </w:r>
    </w:p>
    <w:p w14:paraId="27E649D0" w14:textId="0C2DCEE0" w:rsidR="00EF51D1" w:rsidRPr="006A0747" w:rsidRDefault="00EF51D1" w:rsidP="00090EBC">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En cuanto al clima organizacional, por cuarto año consecutivo</w:t>
      </w:r>
      <w:r w:rsidR="00F65F73" w:rsidRPr="006A0747">
        <w:rPr>
          <w:rFonts w:ascii="Times New Roman" w:eastAsia="Calibri" w:hAnsi="Times New Roman" w:cs="Times New Roman"/>
          <w:color w:val="767171"/>
          <w:spacing w:val="20"/>
          <w:sz w:val="24"/>
          <w:szCs w:val="24"/>
        </w:rPr>
        <w:t>,</w:t>
      </w:r>
      <w:r w:rsidRPr="006A0747">
        <w:rPr>
          <w:rFonts w:ascii="Times New Roman" w:eastAsia="Calibri" w:hAnsi="Times New Roman" w:cs="Times New Roman"/>
          <w:color w:val="767171"/>
          <w:spacing w:val="20"/>
          <w:sz w:val="24"/>
          <w:szCs w:val="24"/>
        </w:rPr>
        <w:t xml:space="preserve"> se aplicó la encuesta para la Certificación Great Place </w:t>
      </w:r>
      <w:proofErr w:type="spellStart"/>
      <w:r w:rsidRPr="006A0747">
        <w:rPr>
          <w:rFonts w:ascii="Times New Roman" w:eastAsia="Calibri" w:hAnsi="Times New Roman" w:cs="Times New Roman"/>
          <w:color w:val="767171"/>
          <w:spacing w:val="20"/>
          <w:sz w:val="24"/>
          <w:szCs w:val="24"/>
        </w:rPr>
        <w:t>to</w:t>
      </w:r>
      <w:proofErr w:type="spellEnd"/>
      <w:r w:rsidRPr="006A0747">
        <w:rPr>
          <w:rFonts w:ascii="Times New Roman" w:eastAsia="Calibri" w:hAnsi="Times New Roman" w:cs="Times New Roman"/>
          <w:color w:val="767171"/>
          <w:spacing w:val="20"/>
          <w:sz w:val="24"/>
          <w:szCs w:val="24"/>
        </w:rPr>
        <w:t xml:space="preserve"> </w:t>
      </w:r>
      <w:proofErr w:type="spellStart"/>
      <w:r w:rsidRPr="006A0747">
        <w:rPr>
          <w:rFonts w:ascii="Times New Roman" w:eastAsia="Calibri" w:hAnsi="Times New Roman" w:cs="Times New Roman"/>
          <w:color w:val="767171"/>
          <w:spacing w:val="20"/>
          <w:sz w:val="24"/>
          <w:szCs w:val="24"/>
        </w:rPr>
        <w:t>Work</w:t>
      </w:r>
      <w:proofErr w:type="spellEnd"/>
      <w:r w:rsidRPr="006A0747">
        <w:rPr>
          <w:rFonts w:ascii="Times New Roman" w:eastAsia="Calibri" w:hAnsi="Times New Roman" w:cs="Times New Roman"/>
          <w:color w:val="767171"/>
          <w:spacing w:val="20"/>
          <w:sz w:val="24"/>
          <w:szCs w:val="24"/>
        </w:rPr>
        <w:t xml:space="preserve">, </w:t>
      </w:r>
      <w:r w:rsidR="00AF12CC" w:rsidRPr="006A0747">
        <w:rPr>
          <w:rFonts w:ascii="Times New Roman" w:eastAsia="Calibri" w:hAnsi="Times New Roman" w:cs="Times New Roman"/>
          <w:color w:val="767171"/>
          <w:spacing w:val="20"/>
          <w:sz w:val="24"/>
          <w:szCs w:val="24"/>
        </w:rPr>
        <w:t>cuyos resultados</w:t>
      </w:r>
      <w:r w:rsidRPr="006A0747">
        <w:rPr>
          <w:rFonts w:ascii="Times New Roman" w:eastAsia="Calibri" w:hAnsi="Times New Roman" w:cs="Times New Roman"/>
          <w:color w:val="767171"/>
          <w:spacing w:val="20"/>
          <w:sz w:val="24"/>
          <w:szCs w:val="24"/>
        </w:rPr>
        <w:t xml:space="preserve"> permiti</w:t>
      </w:r>
      <w:r w:rsidR="00AF12CC" w:rsidRPr="006A0747">
        <w:rPr>
          <w:rFonts w:ascii="Times New Roman" w:eastAsia="Calibri" w:hAnsi="Times New Roman" w:cs="Times New Roman"/>
          <w:color w:val="767171"/>
          <w:spacing w:val="20"/>
          <w:sz w:val="24"/>
          <w:szCs w:val="24"/>
        </w:rPr>
        <w:t>eron</w:t>
      </w:r>
      <w:r w:rsidRPr="006A0747">
        <w:rPr>
          <w:rFonts w:ascii="Times New Roman" w:eastAsia="Calibri" w:hAnsi="Times New Roman" w:cs="Times New Roman"/>
          <w:color w:val="767171"/>
          <w:spacing w:val="20"/>
          <w:sz w:val="24"/>
          <w:szCs w:val="24"/>
        </w:rPr>
        <w:t xml:space="preserve"> que la Superintendencia de Bancos mantuviera una calificación </w:t>
      </w:r>
      <w:r w:rsidR="00AF12CC" w:rsidRPr="006A0747">
        <w:rPr>
          <w:rFonts w:ascii="Times New Roman" w:eastAsia="Calibri" w:hAnsi="Times New Roman" w:cs="Times New Roman"/>
          <w:color w:val="767171"/>
          <w:spacing w:val="20"/>
          <w:sz w:val="24"/>
          <w:szCs w:val="24"/>
        </w:rPr>
        <w:t xml:space="preserve">interanual </w:t>
      </w:r>
      <w:r w:rsidRPr="006A0747">
        <w:rPr>
          <w:rFonts w:ascii="Times New Roman" w:eastAsia="Calibri" w:hAnsi="Times New Roman" w:cs="Times New Roman"/>
          <w:color w:val="767171"/>
          <w:spacing w:val="20"/>
          <w:sz w:val="24"/>
          <w:szCs w:val="24"/>
        </w:rPr>
        <w:t xml:space="preserve">del 91% </w:t>
      </w:r>
      <w:r w:rsidR="00317115" w:rsidRPr="006A0747">
        <w:rPr>
          <w:rFonts w:ascii="Times New Roman" w:eastAsia="Calibri" w:hAnsi="Times New Roman" w:cs="Times New Roman"/>
          <w:color w:val="767171"/>
          <w:spacing w:val="20"/>
          <w:sz w:val="24"/>
          <w:szCs w:val="24"/>
        </w:rPr>
        <w:t>de</w:t>
      </w:r>
      <w:r w:rsidRPr="006A0747">
        <w:rPr>
          <w:rFonts w:ascii="Times New Roman" w:eastAsia="Calibri" w:hAnsi="Times New Roman" w:cs="Times New Roman"/>
          <w:color w:val="767171"/>
          <w:spacing w:val="20"/>
          <w:sz w:val="24"/>
          <w:szCs w:val="24"/>
        </w:rPr>
        <w:t xml:space="preserve"> satisfacción general de sus colaboradores.</w:t>
      </w:r>
    </w:p>
    <w:p w14:paraId="2D0C9EE2" w14:textId="09FF0833" w:rsidR="000D3E65" w:rsidRPr="006A0747" w:rsidRDefault="00740C05" w:rsidP="00090EBC">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Concomitantemente, con miras a promover el bienestar de los colaboradores </w:t>
      </w:r>
      <w:r w:rsidR="000C0DBF" w:rsidRPr="006A0747">
        <w:rPr>
          <w:rFonts w:ascii="Times New Roman" w:eastAsia="Calibri" w:hAnsi="Times New Roman" w:cs="Times New Roman"/>
          <w:color w:val="767171"/>
          <w:spacing w:val="20"/>
          <w:sz w:val="24"/>
          <w:szCs w:val="24"/>
        </w:rPr>
        <w:t>a través del reconocimiento del mérito, se realizaron</w:t>
      </w:r>
      <w:r w:rsidR="00090EBC" w:rsidRPr="006A0747">
        <w:rPr>
          <w:rFonts w:ascii="Times New Roman" w:eastAsia="Calibri" w:hAnsi="Times New Roman" w:cs="Times New Roman"/>
          <w:color w:val="767171"/>
          <w:spacing w:val="20"/>
          <w:sz w:val="24"/>
          <w:szCs w:val="24"/>
        </w:rPr>
        <w:t xml:space="preserve"> 5 actividades de reconocimiento al personal</w:t>
      </w:r>
      <w:r w:rsidR="00994A8F" w:rsidRPr="006A0747">
        <w:rPr>
          <w:rFonts w:ascii="Times New Roman" w:eastAsia="Calibri" w:hAnsi="Times New Roman" w:cs="Times New Roman"/>
          <w:color w:val="767171"/>
          <w:spacing w:val="20"/>
          <w:sz w:val="24"/>
          <w:szCs w:val="24"/>
        </w:rPr>
        <w:t xml:space="preserve">. </w:t>
      </w:r>
      <w:r w:rsidR="00B97C12" w:rsidRPr="006A0747">
        <w:rPr>
          <w:rFonts w:ascii="Times New Roman" w:eastAsia="Calibri" w:hAnsi="Times New Roman" w:cs="Times New Roman"/>
          <w:color w:val="767171"/>
          <w:spacing w:val="20"/>
          <w:sz w:val="24"/>
          <w:szCs w:val="24"/>
        </w:rPr>
        <w:t>En dichas actividades</w:t>
      </w:r>
      <w:r w:rsidR="00571AB3" w:rsidRPr="006A0747">
        <w:rPr>
          <w:rFonts w:ascii="Times New Roman" w:eastAsia="Calibri" w:hAnsi="Times New Roman" w:cs="Times New Roman"/>
          <w:color w:val="767171"/>
          <w:spacing w:val="20"/>
          <w:sz w:val="24"/>
          <w:szCs w:val="24"/>
        </w:rPr>
        <w:t>,</w:t>
      </w:r>
      <w:r w:rsidR="0054174D" w:rsidRPr="006A0747">
        <w:rPr>
          <w:rFonts w:ascii="Times New Roman" w:eastAsia="Calibri" w:hAnsi="Times New Roman" w:cs="Times New Roman"/>
          <w:color w:val="767171"/>
          <w:spacing w:val="20"/>
          <w:sz w:val="24"/>
          <w:szCs w:val="24"/>
        </w:rPr>
        <w:t xml:space="preserve"> se reconocieron </w:t>
      </w:r>
      <w:r w:rsidR="001D45F6" w:rsidRPr="006A0747">
        <w:rPr>
          <w:rFonts w:ascii="Times New Roman" w:eastAsia="Calibri" w:hAnsi="Times New Roman" w:cs="Times New Roman"/>
          <w:color w:val="767171"/>
          <w:spacing w:val="20"/>
          <w:sz w:val="24"/>
          <w:szCs w:val="24"/>
        </w:rPr>
        <w:t>197 colaboradores</w:t>
      </w:r>
      <w:r w:rsidR="0031727C" w:rsidRPr="006A0747">
        <w:rPr>
          <w:rFonts w:ascii="Times New Roman" w:eastAsia="Calibri" w:hAnsi="Times New Roman" w:cs="Times New Roman"/>
          <w:color w:val="767171"/>
          <w:spacing w:val="20"/>
          <w:sz w:val="24"/>
          <w:szCs w:val="24"/>
        </w:rPr>
        <w:t xml:space="preserve"> </w:t>
      </w:r>
      <w:r w:rsidR="001D45F6" w:rsidRPr="006A0747">
        <w:rPr>
          <w:rFonts w:ascii="Times New Roman" w:eastAsia="Calibri" w:hAnsi="Times New Roman" w:cs="Times New Roman"/>
          <w:color w:val="767171"/>
          <w:spacing w:val="20"/>
          <w:sz w:val="24"/>
          <w:szCs w:val="24"/>
        </w:rPr>
        <w:t xml:space="preserve">y 34 </w:t>
      </w:r>
      <w:r w:rsidR="00E630B5" w:rsidRPr="006A0747">
        <w:rPr>
          <w:rFonts w:ascii="Times New Roman" w:eastAsia="Calibri" w:hAnsi="Times New Roman" w:cs="Times New Roman"/>
          <w:color w:val="767171"/>
          <w:spacing w:val="20"/>
          <w:sz w:val="24"/>
          <w:szCs w:val="24"/>
        </w:rPr>
        <w:t>funcionarios(as)</w:t>
      </w:r>
      <w:r w:rsidR="000D63DC" w:rsidRPr="006A0747">
        <w:rPr>
          <w:rFonts w:ascii="Times New Roman" w:eastAsia="Calibri" w:hAnsi="Times New Roman" w:cs="Times New Roman"/>
          <w:color w:val="767171"/>
          <w:spacing w:val="20"/>
          <w:sz w:val="24"/>
          <w:szCs w:val="24"/>
        </w:rPr>
        <w:t xml:space="preserve"> </w:t>
      </w:r>
      <w:r w:rsidR="00B359B4" w:rsidRPr="006A0747">
        <w:rPr>
          <w:rFonts w:ascii="Times New Roman" w:eastAsia="Calibri" w:hAnsi="Times New Roman" w:cs="Times New Roman"/>
          <w:color w:val="767171"/>
          <w:spacing w:val="20"/>
          <w:sz w:val="24"/>
          <w:szCs w:val="24"/>
        </w:rPr>
        <w:t>por su desempeño excepcional</w:t>
      </w:r>
      <w:r w:rsidR="00E630B5" w:rsidRPr="006A0747">
        <w:rPr>
          <w:rFonts w:ascii="Times New Roman" w:eastAsia="Calibri" w:hAnsi="Times New Roman" w:cs="Times New Roman"/>
          <w:color w:val="767171"/>
          <w:spacing w:val="20"/>
          <w:sz w:val="24"/>
          <w:szCs w:val="24"/>
        </w:rPr>
        <w:t>;</w:t>
      </w:r>
      <w:r w:rsidR="00B359B4" w:rsidRPr="006A0747">
        <w:rPr>
          <w:rFonts w:ascii="Times New Roman" w:eastAsia="Calibri" w:hAnsi="Times New Roman" w:cs="Times New Roman"/>
          <w:color w:val="767171"/>
          <w:spacing w:val="20"/>
          <w:sz w:val="24"/>
          <w:szCs w:val="24"/>
        </w:rPr>
        <w:t xml:space="preserve"> 162 colaboradores por su involucramiento </w:t>
      </w:r>
      <w:r w:rsidR="006C7068" w:rsidRPr="006A0747">
        <w:rPr>
          <w:rFonts w:ascii="Times New Roman" w:eastAsia="Calibri" w:hAnsi="Times New Roman" w:cs="Times New Roman"/>
          <w:color w:val="767171"/>
          <w:spacing w:val="20"/>
          <w:sz w:val="24"/>
          <w:szCs w:val="24"/>
        </w:rPr>
        <w:t xml:space="preserve">en </w:t>
      </w:r>
      <w:r w:rsidR="00A60FEB" w:rsidRPr="006A0747">
        <w:rPr>
          <w:rFonts w:ascii="Times New Roman" w:eastAsia="Calibri" w:hAnsi="Times New Roman" w:cs="Times New Roman"/>
          <w:color w:val="767171"/>
          <w:spacing w:val="20"/>
          <w:sz w:val="24"/>
          <w:szCs w:val="24"/>
        </w:rPr>
        <w:t xml:space="preserve">el proyecto de certificación ISO; </w:t>
      </w:r>
      <w:r w:rsidR="00096D0D" w:rsidRPr="006A0747">
        <w:rPr>
          <w:rFonts w:ascii="Times New Roman" w:eastAsia="Calibri" w:hAnsi="Times New Roman" w:cs="Times New Roman"/>
          <w:color w:val="767171"/>
          <w:spacing w:val="20"/>
          <w:sz w:val="24"/>
          <w:szCs w:val="24"/>
        </w:rPr>
        <w:t>99</w:t>
      </w:r>
      <w:r w:rsidR="00B836BA" w:rsidRPr="006A0747">
        <w:rPr>
          <w:rFonts w:ascii="Times New Roman" w:eastAsia="Calibri" w:hAnsi="Times New Roman" w:cs="Times New Roman"/>
          <w:color w:val="767171"/>
          <w:spacing w:val="20"/>
          <w:sz w:val="24"/>
          <w:szCs w:val="24"/>
        </w:rPr>
        <w:t xml:space="preserve"> colaboradores por </w:t>
      </w:r>
      <w:r w:rsidR="001F752C" w:rsidRPr="006A0747">
        <w:rPr>
          <w:rFonts w:ascii="Times New Roman" w:eastAsia="Calibri" w:hAnsi="Times New Roman" w:cs="Times New Roman"/>
          <w:color w:val="767171"/>
          <w:spacing w:val="20"/>
          <w:sz w:val="24"/>
          <w:szCs w:val="24"/>
        </w:rPr>
        <w:t>manejo ejemplar</w:t>
      </w:r>
      <w:r w:rsidR="00090EBC" w:rsidRPr="006A0747">
        <w:rPr>
          <w:rFonts w:ascii="Times New Roman" w:eastAsia="Calibri" w:hAnsi="Times New Roman" w:cs="Times New Roman"/>
          <w:color w:val="767171"/>
          <w:spacing w:val="20"/>
          <w:sz w:val="24"/>
          <w:szCs w:val="24"/>
        </w:rPr>
        <w:t xml:space="preserve"> en </w:t>
      </w:r>
      <w:r w:rsidR="001F752C" w:rsidRPr="006A0747">
        <w:rPr>
          <w:rFonts w:ascii="Times New Roman" w:eastAsia="Calibri" w:hAnsi="Times New Roman" w:cs="Times New Roman"/>
          <w:color w:val="767171"/>
          <w:spacing w:val="20"/>
          <w:sz w:val="24"/>
          <w:szCs w:val="24"/>
        </w:rPr>
        <w:t xml:space="preserve">los proyectos de </w:t>
      </w:r>
      <w:r w:rsidR="004254EF" w:rsidRPr="006A0747">
        <w:rPr>
          <w:rFonts w:ascii="Times New Roman" w:eastAsia="Calibri" w:hAnsi="Times New Roman" w:cs="Times New Roman"/>
          <w:color w:val="767171"/>
          <w:spacing w:val="20"/>
          <w:sz w:val="24"/>
          <w:szCs w:val="24"/>
        </w:rPr>
        <w:t>readecuación de la</w:t>
      </w:r>
      <w:r w:rsidR="001F752C" w:rsidRPr="006A0747">
        <w:rPr>
          <w:rFonts w:ascii="Times New Roman" w:eastAsia="Calibri" w:hAnsi="Times New Roman" w:cs="Times New Roman"/>
          <w:color w:val="767171"/>
          <w:spacing w:val="20"/>
          <w:sz w:val="24"/>
          <w:szCs w:val="24"/>
        </w:rPr>
        <w:t xml:space="preserve"> infraestructura</w:t>
      </w:r>
      <w:r w:rsidR="004254EF" w:rsidRPr="006A0747">
        <w:rPr>
          <w:rFonts w:ascii="Times New Roman" w:eastAsia="Calibri" w:hAnsi="Times New Roman" w:cs="Times New Roman"/>
          <w:color w:val="767171"/>
          <w:spacing w:val="20"/>
          <w:sz w:val="24"/>
          <w:szCs w:val="24"/>
        </w:rPr>
        <w:t xml:space="preserve"> </w:t>
      </w:r>
      <w:r w:rsidR="001A7A4D" w:rsidRPr="006A0747">
        <w:rPr>
          <w:rFonts w:ascii="Times New Roman" w:eastAsia="Calibri" w:hAnsi="Times New Roman" w:cs="Times New Roman"/>
          <w:color w:val="767171"/>
          <w:spacing w:val="20"/>
          <w:sz w:val="24"/>
          <w:szCs w:val="24"/>
        </w:rPr>
        <w:t>física</w:t>
      </w:r>
      <w:r w:rsidR="00A9462B" w:rsidRPr="006A0747">
        <w:rPr>
          <w:rFonts w:ascii="Times New Roman" w:eastAsia="Calibri" w:hAnsi="Times New Roman" w:cs="Times New Roman"/>
          <w:color w:val="767171"/>
          <w:spacing w:val="20"/>
          <w:sz w:val="24"/>
          <w:szCs w:val="24"/>
        </w:rPr>
        <w:t>;</w:t>
      </w:r>
      <w:r w:rsidR="00090EBC" w:rsidRPr="006A0747">
        <w:rPr>
          <w:rFonts w:ascii="Times New Roman" w:eastAsia="Calibri" w:hAnsi="Times New Roman" w:cs="Times New Roman"/>
          <w:color w:val="767171"/>
          <w:spacing w:val="20"/>
          <w:sz w:val="24"/>
          <w:szCs w:val="24"/>
        </w:rPr>
        <w:t xml:space="preserve"> y </w:t>
      </w:r>
      <w:r w:rsidR="00210E4B" w:rsidRPr="006A0747">
        <w:rPr>
          <w:rFonts w:ascii="Times New Roman" w:eastAsia="Calibri" w:hAnsi="Times New Roman" w:cs="Times New Roman"/>
          <w:color w:val="767171"/>
          <w:spacing w:val="20"/>
          <w:sz w:val="24"/>
          <w:szCs w:val="24"/>
        </w:rPr>
        <w:t>94</w:t>
      </w:r>
      <w:r w:rsidR="00090EBC" w:rsidRPr="006A0747">
        <w:rPr>
          <w:rFonts w:ascii="Times New Roman" w:eastAsia="Calibri" w:hAnsi="Times New Roman" w:cs="Times New Roman"/>
          <w:color w:val="767171"/>
          <w:spacing w:val="20"/>
          <w:sz w:val="24"/>
          <w:szCs w:val="24"/>
        </w:rPr>
        <w:t xml:space="preserve"> colaboradores por antigüedad.</w:t>
      </w:r>
    </w:p>
    <w:p w14:paraId="580914AF" w14:textId="77777777" w:rsidR="00090EBC" w:rsidRPr="006A0747" w:rsidRDefault="00090EBC" w:rsidP="00090EBC">
      <w:pPr>
        <w:spacing w:line="360" w:lineRule="auto"/>
        <w:jc w:val="both"/>
        <w:rPr>
          <w:rFonts w:ascii="Times New Roman" w:eastAsia="Calibri" w:hAnsi="Times New Roman" w:cs="Times New Roman"/>
          <w:color w:val="767171"/>
          <w:spacing w:val="20"/>
          <w:sz w:val="24"/>
          <w:szCs w:val="24"/>
        </w:rPr>
      </w:pPr>
    </w:p>
    <w:p w14:paraId="1263078B" w14:textId="30B34648" w:rsidR="006062D8" w:rsidRPr="006A0747" w:rsidRDefault="006062D8" w:rsidP="006553D1">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t>Salud ocupacional</w:t>
      </w:r>
    </w:p>
    <w:p w14:paraId="76CAB96D" w14:textId="7A86DB4F" w:rsidR="006553D1" w:rsidRPr="006A0747" w:rsidRDefault="006062D8" w:rsidP="006553D1">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Durante</w:t>
      </w:r>
      <w:r w:rsidR="006553D1" w:rsidRPr="006A0747">
        <w:rPr>
          <w:rFonts w:ascii="Times New Roman" w:eastAsia="Calibri" w:hAnsi="Times New Roman" w:cs="Times New Roman"/>
          <w:color w:val="767171"/>
          <w:spacing w:val="20"/>
          <w:sz w:val="24"/>
          <w:szCs w:val="24"/>
        </w:rPr>
        <w:t xml:space="preserve"> el 2024 se realizaron </w:t>
      </w:r>
      <w:r w:rsidR="00236FF9" w:rsidRPr="006A0747">
        <w:rPr>
          <w:rFonts w:ascii="Times New Roman" w:eastAsia="Calibri" w:hAnsi="Times New Roman" w:cs="Times New Roman"/>
          <w:color w:val="767171"/>
          <w:spacing w:val="20"/>
          <w:sz w:val="24"/>
          <w:szCs w:val="24"/>
        </w:rPr>
        <w:t>2,284</w:t>
      </w:r>
      <w:r w:rsidR="006553D1" w:rsidRPr="006A0747">
        <w:rPr>
          <w:rFonts w:ascii="Times New Roman" w:eastAsia="Calibri" w:hAnsi="Times New Roman" w:cs="Times New Roman"/>
          <w:color w:val="767171"/>
          <w:spacing w:val="20"/>
          <w:sz w:val="24"/>
          <w:szCs w:val="24"/>
        </w:rPr>
        <w:t xml:space="preserve"> consultas y/o atenciones a colaboradores, incluyendo evaluaciones, primeros auxilios, diagnósticos, referimientos y suministro de medicamentos para atender las patologías identificadas. </w:t>
      </w:r>
      <w:r w:rsidR="00EF0C5F" w:rsidRPr="006A0747">
        <w:rPr>
          <w:rFonts w:ascii="Times New Roman" w:eastAsia="Calibri" w:hAnsi="Times New Roman" w:cs="Times New Roman"/>
          <w:color w:val="767171"/>
          <w:spacing w:val="20"/>
          <w:sz w:val="24"/>
          <w:szCs w:val="24"/>
        </w:rPr>
        <w:t>En adición, la</w:t>
      </w:r>
      <w:r w:rsidR="00FA3379" w:rsidRPr="006A0747">
        <w:rPr>
          <w:rFonts w:ascii="Times New Roman" w:eastAsia="Calibri" w:hAnsi="Times New Roman" w:cs="Times New Roman"/>
          <w:color w:val="767171"/>
          <w:spacing w:val="20"/>
          <w:sz w:val="24"/>
          <w:szCs w:val="24"/>
        </w:rPr>
        <w:t xml:space="preserve"> unidad de</w:t>
      </w:r>
      <w:r w:rsidR="006553D1" w:rsidRPr="006A0747">
        <w:rPr>
          <w:rFonts w:ascii="Times New Roman" w:eastAsia="Calibri" w:hAnsi="Times New Roman" w:cs="Times New Roman"/>
          <w:color w:val="767171"/>
          <w:spacing w:val="20"/>
          <w:sz w:val="24"/>
          <w:szCs w:val="24"/>
        </w:rPr>
        <w:t xml:space="preserve"> </w:t>
      </w:r>
      <w:r w:rsidRPr="006A0747">
        <w:rPr>
          <w:rFonts w:ascii="Times New Roman" w:eastAsia="Calibri" w:hAnsi="Times New Roman" w:cs="Times New Roman"/>
          <w:color w:val="767171"/>
          <w:spacing w:val="20"/>
          <w:sz w:val="24"/>
          <w:szCs w:val="24"/>
        </w:rPr>
        <w:t>s</w:t>
      </w:r>
      <w:r w:rsidR="006553D1" w:rsidRPr="006A0747">
        <w:rPr>
          <w:rFonts w:ascii="Times New Roman" w:eastAsia="Calibri" w:hAnsi="Times New Roman" w:cs="Times New Roman"/>
          <w:color w:val="767171"/>
          <w:spacing w:val="20"/>
          <w:sz w:val="24"/>
          <w:szCs w:val="24"/>
        </w:rPr>
        <w:t xml:space="preserve">alud </w:t>
      </w:r>
      <w:r w:rsidRPr="006A0747">
        <w:rPr>
          <w:rFonts w:ascii="Times New Roman" w:eastAsia="Calibri" w:hAnsi="Times New Roman" w:cs="Times New Roman"/>
          <w:color w:val="767171"/>
          <w:spacing w:val="20"/>
          <w:sz w:val="24"/>
          <w:szCs w:val="24"/>
        </w:rPr>
        <w:t>o</w:t>
      </w:r>
      <w:r w:rsidR="006553D1" w:rsidRPr="006A0747">
        <w:rPr>
          <w:rFonts w:ascii="Times New Roman" w:eastAsia="Calibri" w:hAnsi="Times New Roman" w:cs="Times New Roman"/>
          <w:color w:val="767171"/>
          <w:spacing w:val="20"/>
          <w:sz w:val="24"/>
          <w:szCs w:val="24"/>
        </w:rPr>
        <w:t xml:space="preserve">cupacional llevó a cabo </w:t>
      </w:r>
      <w:r w:rsidR="00236FF9" w:rsidRPr="006A0747">
        <w:rPr>
          <w:rFonts w:ascii="Times New Roman" w:eastAsia="Calibri" w:hAnsi="Times New Roman" w:cs="Times New Roman"/>
          <w:color w:val="767171"/>
          <w:spacing w:val="20"/>
          <w:sz w:val="24"/>
          <w:szCs w:val="24"/>
        </w:rPr>
        <w:t>155</w:t>
      </w:r>
      <w:r w:rsidR="006553D1" w:rsidRPr="006A0747">
        <w:rPr>
          <w:rFonts w:ascii="Times New Roman" w:eastAsia="Calibri" w:hAnsi="Times New Roman" w:cs="Times New Roman"/>
          <w:color w:val="767171"/>
          <w:spacing w:val="20"/>
          <w:sz w:val="24"/>
          <w:szCs w:val="24"/>
        </w:rPr>
        <w:t xml:space="preserve"> evaluaciones médicas para apoyar el proceso de contratación de nuevos colaboradores en este periodo. </w:t>
      </w:r>
      <w:r w:rsidR="006B2DB6" w:rsidRPr="006A0747">
        <w:rPr>
          <w:rFonts w:ascii="Times New Roman" w:eastAsia="Calibri" w:hAnsi="Times New Roman" w:cs="Times New Roman"/>
          <w:color w:val="767171"/>
          <w:spacing w:val="20"/>
          <w:sz w:val="24"/>
          <w:szCs w:val="24"/>
        </w:rPr>
        <w:t>Asimismo</w:t>
      </w:r>
      <w:r w:rsidR="006553D1" w:rsidRPr="006A0747">
        <w:rPr>
          <w:rFonts w:ascii="Times New Roman" w:eastAsia="Calibri" w:hAnsi="Times New Roman" w:cs="Times New Roman"/>
          <w:color w:val="767171"/>
          <w:spacing w:val="20"/>
          <w:sz w:val="24"/>
          <w:szCs w:val="24"/>
        </w:rPr>
        <w:t>, se realizó el operativo “latidos”, donde se identificaron factores de riesgo personales</w:t>
      </w:r>
      <w:r w:rsidR="006B2DB6" w:rsidRPr="006A0747">
        <w:rPr>
          <w:rFonts w:ascii="Times New Roman" w:eastAsia="Calibri" w:hAnsi="Times New Roman" w:cs="Times New Roman"/>
          <w:color w:val="767171"/>
          <w:spacing w:val="20"/>
          <w:sz w:val="24"/>
          <w:szCs w:val="24"/>
        </w:rPr>
        <w:t xml:space="preserve"> </w:t>
      </w:r>
      <w:r w:rsidR="000E79C2" w:rsidRPr="006A0747">
        <w:rPr>
          <w:rFonts w:ascii="Times New Roman" w:eastAsia="Calibri" w:hAnsi="Times New Roman" w:cs="Times New Roman"/>
          <w:color w:val="767171"/>
          <w:spacing w:val="20"/>
          <w:sz w:val="24"/>
          <w:szCs w:val="24"/>
        </w:rPr>
        <w:t>con</w:t>
      </w:r>
      <w:r w:rsidR="00261147" w:rsidRPr="006A0747">
        <w:rPr>
          <w:rFonts w:ascii="Times New Roman" w:eastAsia="Calibri" w:hAnsi="Times New Roman" w:cs="Times New Roman"/>
          <w:color w:val="767171"/>
          <w:spacing w:val="20"/>
          <w:sz w:val="24"/>
          <w:szCs w:val="24"/>
        </w:rPr>
        <w:t xml:space="preserve"> incidencia en la probabilidad de</w:t>
      </w:r>
      <w:r w:rsidR="00AA218F" w:rsidRPr="006A0747">
        <w:rPr>
          <w:rFonts w:ascii="Times New Roman" w:eastAsia="Calibri" w:hAnsi="Times New Roman" w:cs="Times New Roman"/>
          <w:color w:val="767171"/>
          <w:spacing w:val="20"/>
          <w:sz w:val="24"/>
          <w:szCs w:val="24"/>
        </w:rPr>
        <w:t xml:space="preserve"> </w:t>
      </w:r>
      <w:r w:rsidR="000E79C2" w:rsidRPr="006A0747">
        <w:rPr>
          <w:rFonts w:ascii="Times New Roman" w:eastAsia="Calibri" w:hAnsi="Times New Roman" w:cs="Times New Roman"/>
          <w:color w:val="767171"/>
          <w:spacing w:val="20"/>
          <w:sz w:val="24"/>
          <w:szCs w:val="24"/>
        </w:rPr>
        <w:t>desarrollo de enfermedades cardiovasculares</w:t>
      </w:r>
      <w:r w:rsidR="00AD746A" w:rsidRPr="006A0747">
        <w:rPr>
          <w:rFonts w:ascii="Times New Roman" w:eastAsia="Calibri" w:hAnsi="Times New Roman" w:cs="Times New Roman"/>
          <w:color w:val="767171"/>
          <w:spacing w:val="20"/>
          <w:sz w:val="24"/>
          <w:szCs w:val="24"/>
        </w:rPr>
        <w:t xml:space="preserve"> </w:t>
      </w:r>
      <w:r w:rsidR="00F1146B" w:rsidRPr="006A0747">
        <w:rPr>
          <w:rFonts w:ascii="Times New Roman" w:eastAsia="Calibri" w:hAnsi="Times New Roman" w:cs="Times New Roman"/>
          <w:color w:val="767171"/>
          <w:spacing w:val="20"/>
          <w:sz w:val="24"/>
          <w:szCs w:val="24"/>
        </w:rPr>
        <w:t>para</w:t>
      </w:r>
      <w:r w:rsidR="006553D1" w:rsidRPr="006A0747">
        <w:rPr>
          <w:rFonts w:ascii="Times New Roman" w:eastAsia="Calibri" w:hAnsi="Times New Roman" w:cs="Times New Roman"/>
          <w:color w:val="767171"/>
          <w:spacing w:val="20"/>
          <w:sz w:val="24"/>
          <w:szCs w:val="24"/>
        </w:rPr>
        <w:t xml:space="preserve"> 11</w:t>
      </w:r>
      <w:r w:rsidR="006633DE" w:rsidRPr="006A0747">
        <w:rPr>
          <w:rFonts w:ascii="Times New Roman" w:eastAsia="Calibri" w:hAnsi="Times New Roman" w:cs="Times New Roman"/>
          <w:color w:val="767171"/>
          <w:spacing w:val="20"/>
          <w:sz w:val="24"/>
          <w:szCs w:val="24"/>
        </w:rPr>
        <w:t>5</w:t>
      </w:r>
      <w:r w:rsidR="006553D1" w:rsidRPr="006A0747">
        <w:rPr>
          <w:rFonts w:ascii="Times New Roman" w:eastAsia="Calibri" w:hAnsi="Times New Roman" w:cs="Times New Roman"/>
          <w:color w:val="767171"/>
          <w:spacing w:val="20"/>
          <w:sz w:val="24"/>
          <w:szCs w:val="24"/>
        </w:rPr>
        <w:t xml:space="preserve"> colaboradores, </w:t>
      </w:r>
      <w:r w:rsidR="0066380B" w:rsidRPr="006A0747">
        <w:rPr>
          <w:rFonts w:ascii="Times New Roman" w:eastAsia="Calibri" w:hAnsi="Times New Roman" w:cs="Times New Roman"/>
          <w:color w:val="767171"/>
          <w:spacing w:val="20"/>
          <w:sz w:val="24"/>
          <w:szCs w:val="24"/>
        </w:rPr>
        <w:t>representando</w:t>
      </w:r>
      <w:r w:rsidR="006553D1" w:rsidRPr="006A0747">
        <w:rPr>
          <w:rFonts w:ascii="Times New Roman" w:eastAsia="Calibri" w:hAnsi="Times New Roman" w:cs="Times New Roman"/>
          <w:color w:val="767171"/>
          <w:spacing w:val="20"/>
          <w:sz w:val="24"/>
          <w:szCs w:val="24"/>
        </w:rPr>
        <w:t xml:space="preserve"> el 15% de la población de la SB</w:t>
      </w:r>
      <w:r w:rsidR="002F6EAE" w:rsidRPr="006A0747">
        <w:rPr>
          <w:rFonts w:ascii="Times New Roman" w:eastAsia="Calibri" w:hAnsi="Times New Roman" w:cs="Times New Roman"/>
          <w:color w:val="767171"/>
          <w:spacing w:val="20"/>
          <w:sz w:val="24"/>
          <w:szCs w:val="24"/>
        </w:rPr>
        <w:t>. Además, se llevó a cabo</w:t>
      </w:r>
      <w:r w:rsidR="00763F3B" w:rsidRPr="006A0747">
        <w:rPr>
          <w:rFonts w:ascii="Times New Roman" w:eastAsia="Calibri" w:hAnsi="Times New Roman" w:cs="Times New Roman"/>
          <w:color w:val="767171"/>
          <w:spacing w:val="20"/>
          <w:sz w:val="24"/>
          <w:szCs w:val="24"/>
        </w:rPr>
        <w:t xml:space="preserve"> el operativo </w:t>
      </w:r>
      <w:r w:rsidR="00523A47" w:rsidRPr="006A0747">
        <w:rPr>
          <w:rFonts w:ascii="Times New Roman" w:eastAsia="Calibri" w:hAnsi="Times New Roman" w:cs="Times New Roman"/>
          <w:color w:val="767171"/>
          <w:spacing w:val="20"/>
          <w:sz w:val="24"/>
          <w:szCs w:val="24"/>
        </w:rPr>
        <w:t xml:space="preserve">de Salud Visual con participación de </w:t>
      </w:r>
      <w:r w:rsidR="00AE0CAC" w:rsidRPr="006A0747">
        <w:rPr>
          <w:rFonts w:ascii="Times New Roman" w:eastAsia="Calibri" w:hAnsi="Times New Roman" w:cs="Times New Roman"/>
          <w:color w:val="767171"/>
          <w:spacing w:val="20"/>
          <w:sz w:val="24"/>
          <w:szCs w:val="24"/>
        </w:rPr>
        <w:t xml:space="preserve">266 </w:t>
      </w:r>
      <w:r w:rsidR="00AE0CAC" w:rsidRPr="006A0747">
        <w:rPr>
          <w:rFonts w:ascii="Times New Roman" w:eastAsia="Calibri" w:hAnsi="Times New Roman" w:cs="Times New Roman"/>
          <w:color w:val="767171"/>
          <w:spacing w:val="20"/>
          <w:sz w:val="24"/>
          <w:szCs w:val="24"/>
        </w:rPr>
        <w:lastRenderedPageBreak/>
        <w:t>colaboradores</w:t>
      </w:r>
      <w:r w:rsidR="002A30C2" w:rsidRPr="006A0747">
        <w:rPr>
          <w:rFonts w:ascii="Times New Roman" w:eastAsia="Calibri" w:hAnsi="Times New Roman" w:cs="Times New Roman"/>
          <w:color w:val="767171"/>
          <w:spacing w:val="20"/>
          <w:sz w:val="24"/>
          <w:szCs w:val="24"/>
        </w:rPr>
        <w:t>,</w:t>
      </w:r>
      <w:r w:rsidR="00AE0CAC" w:rsidRPr="006A0747">
        <w:rPr>
          <w:rFonts w:ascii="Times New Roman" w:eastAsia="Calibri" w:hAnsi="Times New Roman" w:cs="Times New Roman"/>
          <w:color w:val="767171"/>
          <w:spacing w:val="20"/>
          <w:sz w:val="24"/>
          <w:szCs w:val="24"/>
        </w:rPr>
        <w:t xml:space="preserve"> y </w:t>
      </w:r>
      <w:r w:rsidR="002A30C2" w:rsidRPr="006A0747">
        <w:rPr>
          <w:rFonts w:ascii="Times New Roman" w:eastAsia="Calibri" w:hAnsi="Times New Roman" w:cs="Times New Roman"/>
          <w:color w:val="767171"/>
          <w:spacing w:val="20"/>
          <w:sz w:val="24"/>
          <w:szCs w:val="24"/>
        </w:rPr>
        <w:t>el operativo de</w:t>
      </w:r>
      <w:r w:rsidR="00AE0CAC" w:rsidRPr="006A0747">
        <w:rPr>
          <w:rFonts w:ascii="Times New Roman" w:eastAsia="Calibri" w:hAnsi="Times New Roman" w:cs="Times New Roman"/>
          <w:color w:val="767171"/>
          <w:spacing w:val="20"/>
          <w:sz w:val="24"/>
          <w:szCs w:val="24"/>
        </w:rPr>
        <w:t xml:space="preserve"> </w:t>
      </w:r>
      <w:r w:rsidR="00CF2EF9" w:rsidRPr="006A0747">
        <w:rPr>
          <w:rFonts w:ascii="Times New Roman" w:eastAsia="Calibri" w:hAnsi="Times New Roman" w:cs="Times New Roman"/>
          <w:color w:val="767171"/>
          <w:spacing w:val="20"/>
          <w:sz w:val="24"/>
          <w:szCs w:val="24"/>
        </w:rPr>
        <w:t>vacunación</w:t>
      </w:r>
      <w:r w:rsidR="006D243E" w:rsidRPr="006A0747">
        <w:rPr>
          <w:rFonts w:ascii="Times New Roman" w:eastAsia="Calibri" w:hAnsi="Times New Roman" w:cs="Times New Roman"/>
          <w:color w:val="767171"/>
          <w:spacing w:val="20"/>
          <w:sz w:val="24"/>
          <w:szCs w:val="24"/>
        </w:rPr>
        <w:t xml:space="preserve"> de Influenza y hepatitis </w:t>
      </w:r>
      <w:r w:rsidR="002A30C2" w:rsidRPr="006A0747">
        <w:rPr>
          <w:rFonts w:ascii="Times New Roman" w:eastAsia="Calibri" w:hAnsi="Times New Roman" w:cs="Times New Roman"/>
          <w:color w:val="767171"/>
          <w:spacing w:val="20"/>
          <w:sz w:val="24"/>
          <w:szCs w:val="24"/>
        </w:rPr>
        <w:t>donde</w:t>
      </w:r>
      <w:r w:rsidR="006D243E" w:rsidRPr="006A0747">
        <w:rPr>
          <w:rFonts w:ascii="Times New Roman" w:eastAsia="Calibri" w:hAnsi="Times New Roman" w:cs="Times New Roman"/>
          <w:color w:val="767171"/>
          <w:spacing w:val="20"/>
          <w:sz w:val="24"/>
          <w:szCs w:val="24"/>
        </w:rPr>
        <w:t xml:space="preserve"> </w:t>
      </w:r>
      <w:r w:rsidR="00CF2EF9" w:rsidRPr="006A0747">
        <w:rPr>
          <w:rFonts w:ascii="Times New Roman" w:eastAsia="Calibri" w:hAnsi="Times New Roman" w:cs="Times New Roman"/>
          <w:color w:val="767171"/>
          <w:spacing w:val="20"/>
          <w:sz w:val="24"/>
          <w:szCs w:val="24"/>
        </w:rPr>
        <w:t xml:space="preserve">141 colaboradores </w:t>
      </w:r>
      <w:r w:rsidR="002A30C2" w:rsidRPr="006A0747">
        <w:rPr>
          <w:rFonts w:ascii="Times New Roman" w:eastAsia="Calibri" w:hAnsi="Times New Roman" w:cs="Times New Roman"/>
          <w:color w:val="767171"/>
          <w:spacing w:val="20"/>
          <w:sz w:val="24"/>
          <w:szCs w:val="24"/>
        </w:rPr>
        <w:t xml:space="preserve">fueron </w:t>
      </w:r>
      <w:r w:rsidR="00CF2EF9" w:rsidRPr="006A0747">
        <w:rPr>
          <w:rFonts w:ascii="Times New Roman" w:eastAsia="Calibri" w:hAnsi="Times New Roman" w:cs="Times New Roman"/>
          <w:color w:val="767171"/>
          <w:spacing w:val="20"/>
          <w:sz w:val="24"/>
          <w:szCs w:val="24"/>
        </w:rPr>
        <w:t>vacunados.</w:t>
      </w:r>
    </w:p>
    <w:p w14:paraId="088BC04E" w14:textId="77777777" w:rsidR="00220AE0" w:rsidRPr="006A0747" w:rsidRDefault="00220AE0" w:rsidP="006553D1">
      <w:pPr>
        <w:spacing w:line="360" w:lineRule="auto"/>
        <w:jc w:val="both"/>
        <w:rPr>
          <w:rFonts w:ascii="Times New Roman" w:eastAsia="Calibri" w:hAnsi="Times New Roman" w:cs="Times New Roman"/>
          <w:color w:val="767171"/>
          <w:spacing w:val="20"/>
          <w:sz w:val="24"/>
          <w:szCs w:val="24"/>
        </w:rPr>
      </w:pPr>
    </w:p>
    <w:p w14:paraId="3B1D0DDB" w14:textId="3AF91271" w:rsidR="00C026B6" w:rsidRPr="006A0747" w:rsidRDefault="003E2D6D" w:rsidP="000813B9">
      <w:pPr>
        <w:pStyle w:val="Ttulo2"/>
        <w:numPr>
          <w:ilvl w:val="1"/>
          <w:numId w:val="17"/>
        </w:numPr>
        <w:rPr>
          <w:rFonts w:ascii="Times New Roman" w:eastAsia="Calibri" w:hAnsi="Times New Roman" w:cs="Times New Roman"/>
          <w:b/>
          <w:color w:val="767171"/>
          <w:spacing w:val="20"/>
          <w:sz w:val="24"/>
          <w:szCs w:val="24"/>
        </w:rPr>
      </w:pPr>
      <w:bookmarkStart w:id="50" w:name="_Toc185275006"/>
      <w:r w:rsidRPr="006A0747">
        <w:rPr>
          <w:rFonts w:ascii="Times New Roman" w:eastAsia="Calibri" w:hAnsi="Times New Roman" w:cs="Times New Roman"/>
          <w:b/>
          <w:color w:val="767171"/>
          <w:spacing w:val="20"/>
          <w:sz w:val="24"/>
          <w:szCs w:val="24"/>
        </w:rPr>
        <w:t xml:space="preserve">Fortalecimiento de los Procesos </w:t>
      </w:r>
      <w:r w:rsidR="00364907" w:rsidRPr="006A0747">
        <w:rPr>
          <w:rFonts w:ascii="Times New Roman" w:eastAsia="Calibri" w:hAnsi="Times New Roman" w:cs="Times New Roman"/>
          <w:b/>
          <w:color w:val="767171"/>
          <w:spacing w:val="20"/>
          <w:sz w:val="24"/>
          <w:szCs w:val="24"/>
        </w:rPr>
        <w:t>Jurídic</w:t>
      </w:r>
      <w:r w:rsidR="00F36693" w:rsidRPr="006A0747">
        <w:rPr>
          <w:rFonts w:ascii="Times New Roman" w:eastAsia="Calibri" w:hAnsi="Times New Roman" w:cs="Times New Roman"/>
          <w:b/>
          <w:color w:val="767171"/>
          <w:spacing w:val="20"/>
          <w:sz w:val="24"/>
          <w:szCs w:val="24"/>
        </w:rPr>
        <w:t>o</w:t>
      </w:r>
      <w:r w:rsidR="00364907" w:rsidRPr="006A0747">
        <w:rPr>
          <w:rFonts w:ascii="Times New Roman" w:eastAsia="Calibri" w:hAnsi="Times New Roman" w:cs="Times New Roman"/>
          <w:b/>
          <w:color w:val="767171"/>
          <w:spacing w:val="20"/>
          <w:sz w:val="24"/>
          <w:szCs w:val="24"/>
        </w:rPr>
        <w:t>s</w:t>
      </w:r>
      <w:bookmarkEnd w:id="50"/>
    </w:p>
    <w:p w14:paraId="68629EB1" w14:textId="77777777" w:rsidR="006062D8" w:rsidRPr="006A0747" w:rsidRDefault="006062D8" w:rsidP="00CD5D54">
      <w:pPr>
        <w:spacing w:line="360" w:lineRule="auto"/>
        <w:jc w:val="both"/>
        <w:rPr>
          <w:rFonts w:ascii="Times New Roman" w:eastAsia="Calibri" w:hAnsi="Times New Roman" w:cs="Times New Roman"/>
          <w:color w:val="2E74B5" w:themeColor="accent5" w:themeShade="BF"/>
          <w:spacing w:val="20"/>
          <w:sz w:val="24"/>
          <w:szCs w:val="24"/>
        </w:rPr>
      </w:pPr>
    </w:p>
    <w:p w14:paraId="6FAC8C80" w14:textId="4AC4F402" w:rsidR="00BB1A9D" w:rsidRPr="006A0747" w:rsidRDefault="00BB1A9D" w:rsidP="00BB1A9D">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t>Gestión legal efectiva</w:t>
      </w:r>
    </w:p>
    <w:p w14:paraId="3F2CB39F" w14:textId="19517C83" w:rsidR="00BB1A9D" w:rsidRPr="006A0747" w:rsidRDefault="00BB1A9D" w:rsidP="00BB1A9D">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En el marco de los procedimientos administrativos sancionadores, la </w:t>
      </w:r>
      <w:r w:rsidR="002176CF" w:rsidRPr="006A0747">
        <w:rPr>
          <w:rFonts w:ascii="Times New Roman" w:eastAsia="Calibri" w:hAnsi="Times New Roman" w:cs="Times New Roman"/>
          <w:color w:val="767171"/>
          <w:spacing w:val="20"/>
          <w:sz w:val="24"/>
          <w:szCs w:val="24"/>
        </w:rPr>
        <w:t>Superintendencia de Bancos</w:t>
      </w:r>
      <w:r w:rsidRPr="006A0747">
        <w:rPr>
          <w:rFonts w:ascii="Times New Roman" w:eastAsia="Calibri" w:hAnsi="Times New Roman" w:cs="Times New Roman"/>
          <w:color w:val="767171"/>
          <w:spacing w:val="20"/>
          <w:sz w:val="24"/>
          <w:szCs w:val="24"/>
        </w:rPr>
        <w:t xml:space="preserve"> </w:t>
      </w:r>
      <w:r w:rsidR="002176CF" w:rsidRPr="006A0747">
        <w:rPr>
          <w:rFonts w:ascii="Times New Roman" w:eastAsia="Calibri" w:hAnsi="Times New Roman" w:cs="Times New Roman"/>
          <w:color w:val="767171"/>
          <w:spacing w:val="20"/>
          <w:sz w:val="24"/>
          <w:szCs w:val="24"/>
        </w:rPr>
        <w:t>ha logrado</w:t>
      </w:r>
      <w:r w:rsidRPr="006A0747">
        <w:rPr>
          <w:rFonts w:ascii="Times New Roman" w:eastAsia="Calibri" w:hAnsi="Times New Roman" w:cs="Times New Roman"/>
          <w:color w:val="767171"/>
          <w:spacing w:val="20"/>
          <w:sz w:val="24"/>
          <w:szCs w:val="24"/>
        </w:rPr>
        <w:t xml:space="preserve"> mantener un promedio en el tiempo de respuesta a las solicitudes de opinión por debajo de 20 días, con un promedio a la fecha de 15.98 días. Con esto, </w:t>
      </w:r>
      <w:r w:rsidR="005579AC" w:rsidRPr="006A0747">
        <w:rPr>
          <w:rFonts w:ascii="Times New Roman" w:eastAsia="Calibri" w:hAnsi="Times New Roman" w:cs="Times New Roman"/>
          <w:color w:val="767171"/>
          <w:spacing w:val="20"/>
          <w:sz w:val="24"/>
          <w:szCs w:val="24"/>
        </w:rPr>
        <w:t xml:space="preserve">se </w:t>
      </w:r>
      <w:r w:rsidRPr="006A0747">
        <w:rPr>
          <w:rFonts w:ascii="Times New Roman" w:eastAsia="Calibri" w:hAnsi="Times New Roman" w:cs="Times New Roman"/>
          <w:color w:val="767171"/>
          <w:spacing w:val="20"/>
          <w:sz w:val="24"/>
          <w:szCs w:val="24"/>
        </w:rPr>
        <w:t>contribuye para que la Superintendencia de Bancos cumpla con los plazos establecidos por ley en esta materia y se dicten decisiones apegadas a Derecho.</w:t>
      </w:r>
    </w:p>
    <w:p w14:paraId="11DCD8AE" w14:textId="24CA1C0A" w:rsidR="00BB1A9D" w:rsidRPr="006A0747" w:rsidRDefault="0034618A" w:rsidP="00BB1A9D">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Se</w:t>
      </w:r>
      <w:r w:rsidR="00BB1A9D" w:rsidRPr="006A0747">
        <w:rPr>
          <w:rFonts w:ascii="Times New Roman" w:eastAsia="Calibri" w:hAnsi="Times New Roman" w:cs="Times New Roman"/>
          <w:color w:val="767171"/>
          <w:spacing w:val="20"/>
          <w:sz w:val="24"/>
          <w:szCs w:val="24"/>
        </w:rPr>
        <w:t xml:space="preserve"> gestion</w:t>
      </w:r>
      <w:r w:rsidR="0044473D" w:rsidRPr="006A0747">
        <w:rPr>
          <w:rFonts w:ascii="Times New Roman" w:eastAsia="Calibri" w:hAnsi="Times New Roman" w:cs="Times New Roman"/>
          <w:color w:val="767171"/>
          <w:spacing w:val="20"/>
          <w:sz w:val="24"/>
          <w:szCs w:val="24"/>
        </w:rPr>
        <w:t>aron</w:t>
      </w:r>
      <w:r w:rsidR="00BB1A9D" w:rsidRPr="006A0747">
        <w:rPr>
          <w:rFonts w:ascii="Times New Roman" w:eastAsia="Calibri" w:hAnsi="Times New Roman" w:cs="Times New Roman"/>
          <w:color w:val="767171"/>
          <w:spacing w:val="20"/>
          <w:sz w:val="24"/>
          <w:szCs w:val="24"/>
        </w:rPr>
        <w:t xml:space="preserve"> satisfactoriamente 403 solicitudes relacionadas al buen funcionamiento, gestión y correcta aplicación de la normativa vigente de las entidades de intermediación financiera. Estas solicitudes fueron atendidas en un 100%, con un 99.75% de las respuestas emitidas en menos de 5 días.  </w:t>
      </w:r>
    </w:p>
    <w:p w14:paraId="10E543A4" w14:textId="648EF49C" w:rsidR="00BB1A9D" w:rsidRPr="006A0747" w:rsidRDefault="003F2E38" w:rsidP="00BB1A9D">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Por otro lado</w:t>
      </w:r>
      <w:r w:rsidR="00BB1A9D" w:rsidRPr="006A0747">
        <w:rPr>
          <w:rFonts w:ascii="Times New Roman" w:eastAsia="Calibri" w:hAnsi="Times New Roman" w:cs="Times New Roman"/>
          <w:color w:val="767171"/>
          <w:spacing w:val="20"/>
          <w:sz w:val="24"/>
          <w:szCs w:val="24"/>
        </w:rPr>
        <w:t xml:space="preserve">, en </w:t>
      </w:r>
      <w:r w:rsidR="0034618A" w:rsidRPr="006A0747">
        <w:rPr>
          <w:rFonts w:ascii="Times New Roman" w:eastAsia="Calibri" w:hAnsi="Times New Roman" w:cs="Times New Roman"/>
          <w:color w:val="767171"/>
          <w:spacing w:val="20"/>
          <w:sz w:val="24"/>
          <w:szCs w:val="24"/>
        </w:rPr>
        <w:t>cuanto a los litigios</w:t>
      </w:r>
      <w:r w:rsidRPr="006A0747">
        <w:rPr>
          <w:rFonts w:ascii="Times New Roman" w:eastAsia="Calibri" w:hAnsi="Times New Roman" w:cs="Times New Roman"/>
          <w:color w:val="767171"/>
          <w:spacing w:val="20"/>
          <w:sz w:val="24"/>
          <w:szCs w:val="24"/>
        </w:rPr>
        <w:t>,</w:t>
      </w:r>
      <w:r w:rsidR="0034618A" w:rsidRPr="006A0747">
        <w:rPr>
          <w:rFonts w:ascii="Times New Roman" w:eastAsia="Calibri" w:hAnsi="Times New Roman" w:cs="Times New Roman"/>
          <w:color w:val="767171"/>
          <w:spacing w:val="20"/>
          <w:sz w:val="24"/>
          <w:szCs w:val="24"/>
        </w:rPr>
        <w:t xml:space="preserve"> </w:t>
      </w:r>
      <w:r w:rsidR="00BB1A9D" w:rsidRPr="006A0747">
        <w:rPr>
          <w:rFonts w:ascii="Times New Roman" w:eastAsia="Calibri" w:hAnsi="Times New Roman" w:cs="Times New Roman"/>
          <w:color w:val="767171"/>
          <w:spacing w:val="20"/>
          <w:sz w:val="24"/>
          <w:szCs w:val="24"/>
        </w:rPr>
        <w:t>se logró un sólido desempeño, con un 98% de sentencias favorables</w:t>
      </w:r>
      <w:r w:rsidR="00314B01" w:rsidRPr="006A0747">
        <w:rPr>
          <w:rFonts w:ascii="Times New Roman" w:eastAsia="Calibri" w:hAnsi="Times New Roman" w:cs="Times New Roman"/>
          <w:color w:val="767171"/>
          <w:spacing w:val="20"/>
          <w:sz w:val="24"/>
          <w:szCs w:val="24"/>
        </w:rPr>
        <w:t>, reflejando</w:t>
      </w:r>
      <w:r w:rsidR="006509EE" w:rsidRPr="006A0747">
        <w:rPr>
          <w:rFonts w:ascii="Times New Roman" w:eastAsia="Calibri" w:hAnsi="Times New Roman" w:cs="Times New Roman"/>
          <w:color w:val="767171"/>
          <w:spacing w:val="20"/>
          <w:sz w:val="24"/>
          <w:szCs w:val="24"/>
        </w:rPr>
        <w:t xml:space="preserve"> </w:t>
      </w:r>
      <w:r w:rsidR="00BB1A9D" w:rsidRPr="006A0747">
        <w:rPr>
          <w:rFonts w:ascii="Times New Roman" w:eastAsia="Calibri" w:hAnsi="Times New Roman" w:cs="Times New Roman"/>
          <w:color w:val="767171"/>
          <w:spacing w:val="20"/>
          <w:sz w:val="24"/>
          <w:szCs w:val="24"/>
        </w:rPr>
        <w:t>la efectividad y éxito en la gestión de los casos a favor de los intereses de la institución</w:t>
      </w:r>
      <w:r w:rsidR="006509EE" w:rsidRPr="006A0747">
        <w:rPr>
          <w:rFonts w:ascii="Times New Roman" w:eastAsia="Calibri" w:hAnsi="Times New Roman" w:cs="Times New Roman"/>
          <w:color w:val="767171"/>
          <w:spacing w:val="20"/>
          <w:sz w:val="24"/>
          <w:szCs w:val="24"/>
        </w:rPr>
        <w:t xml:space="preserve"> y las estrategias planteadas.</w:t>
      </w:r>
    </w:p>
    <w:p w14:paraId="439AABC0" w14:textId="77777777" w:rsidR="00741689" w:rsidRPr="006A0747" w:rsidRDefault="00741689" w:rsidP="00A00A1E">
      <w:pPr>
        <w:spacing w:line="360" w:lineRule="auto"/>
        <w:jc w:val="both"/>
        <w:rPr>
          <w:rFonts w:ascii="Times New Roman" w:eastAsia="Calibri" w:hAnsi="Times New Roman" w:cs="Times New Roman"/>
          <w:color w:val="2E74B5" w:themeColor="accent5" w:themeShade="BF"/>
          <w:spacing w:val="20"/>
          <w:sz w:val="24"/>
          <w:szCs w:val="24"/>
        </w:rPr>
      </w:pPr>
    </w:p>
    <w:p w14:paraId="0A72EE76" w14:textId="2671D1D3" w:rsidR="006A16FA" w:rsidRPr="006A0747" w:rsidRDefault="00CB3CA3" w:rsidP="000813B9">
      <w:pPr>
        <w:pStyle w:val="Ttulo2"/>
        <w:numPr>
          <w:ilvl w:val="1"/>
          <w:numId w:val="17"/>
        </w:numPr>
        <w:rPr>
          <w:rFonts w:ascii="Times New Roman" w:eastAsia="Calibri" w:hAnsi="Times New Roman" w:cs="Times New Roman"/>
          <w:b/>
          <w:color w:val="767171"/>
          <w:spacing w:val="20"/>
          <w:sz w:val="24"/>
          <w:szCs w:val="24"/>
        </w:rPr>
      </w:pPr>
      <w:bookmarkStart w:id="51" w:name="_Toc185275007"/>
      <w:r w:rsidRPr="006A0747">
        <w:rPr>
          <w:rFonts w:ascii="Times New Roman" w:eastAsia="Calibri" w:hAnsi="Times New Roman" w:cs="Times New Roman"/>
          <w:b/>
          <w:color w:val="767171"/>
          <w:spacing w:val="20"/>
          <w:sz w:val="24"/>
          <w:szCs w:val="24"/>
        </w:rPr>
        <w:t>Desempeño de la Tecnología</w:t>
      </w:r>
      <w:bookmarkEnd w:id="51"/>
    </w:p>
    <w:p w14:paraId="5FEF8232" w14:textId="77777777" w:rsidR="00B623AE" w:rsidRPr="006A0747" w:rsidRDefault="00B623AE" w:rsidP="00B623AE">
      <w:pPr>
        <w:rPr>
          <w:color w:val="767171"/>
        </w:rPr>
      </w:pPr>
    </w:p>
    <w:p w14:paraId="41A80723" w14:textId="49B69919" w:rsidR="007A783E" w:rsidRPr="006A0747" w:rsidRDefault="00982608" w:rsidP="00F8305C">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En </w:t>
      </w:r>
      <w:r w:rsidR="008F0558" w:rsidRPr="006A0747">
        <w:rPr>
          <w:rFonts w:ascii="Times New Roman" w:eastAsia="Calibri" w:hAnsi="Times New Roman" w:cs="Times New Roman"/>
          <w:color w:val="767171"/>
          <w:spacing w:val="20"/>
          <w:sz w:val="24"/>
          <w:szCs w:val="24"/>
        </w:rPr>
        <w:t xml:space="preserve">materia </w:t>
      </w:r>
      <w:r w:rsidR="00C554B2" w:rsidRPr="006A0747">
        <w:rPr>
          <w:rFonts w:ascii="Times New Roman" w:eastAsia="Calibri" w:hAnsi="Times New Roman" w:cs="Times New Roman"/>
          <w:color w:val="767171"/>
          <w:spacing w:val="20"/>
          <w:sz w:val="24"/>
          <w:szCs w:val="24"/>
        </w:rPr>
        <w:t xml:space="preserve">de </w:t>
      </w:r>
      <w:r w:rsidR="008F0558" w:rsidRPr="006A0747">
        <w:rPr>
          <w:rFonts w:ascii="Times New Roman" w:eastAsia="Calibri" w:hAnsi="Times New Roman" w:cs="Times New Roman"/>
          <w:color w:val="767171"/>
          <w:spacing w:val="20"/>
          <w:sz w:val="24"/>
          <w:szCs w:val="24"/>
        </w:rPr>
        <w:t>tecnología</w:t>
      </w:r>
      <w:r w:rsidRPr="006A0747">
        <w:rPr>
          <w:rFonts w:ascii="Times New Roman" w:eastAsia="Calibri" w:hAnsi="Times New Roman" w:cs="Times New Roman"/>
          <w:color w:val="767171"/>
          <w:spacing w:val="20"/>
          <w:sz w:val="24"/>
          <w:szCs w:val="24"/>
        </w:rPr>
        <w:t xml:space="preserve">, la Superintendencia de Bancos </w:t>
      </w:r>
      <w:r w:rsidR="00DB5C82" w:rsidRPr="006A0747">
        <w:rPr>
          <w:rFonts w:ascii="Times New Roman" w:eastAsia="Calibri" w:hAnsi="Times New Roman" w:cs="Times New Roman"/>
          <w:color w:val="767171"/>
          <w:spacing w:val="20"/>
          <w:sz w:val="24"/>
          <w:szCs w:val="24"/>
        </w:rPr>
        <w:t xml:space="preserve">centró sus esfuerzos en </w:t>
      </w:r>
      <w:r w:rsidR="000420D3" w:rsidRPr="006A0747">
        <w:rPr>
          <w:rFonts w:ascii="Times New Roman" w:eastAsia="Calibri" w:hAnsi="Times New Roman" w:cs="Times New Roman"/>
          <w:color w:val="767171"/>
          <w:spacing w:val="20"/>
          <w:sz w:val="24"/>
          <w:szCs w:val="24"/>
        </w:rPr>
        <w:t xml:space="preserve">el fortalecimiento de los procesos </w:t>
      </w:r>
      <w:r w:rsidR="003353CC" w:rsidRPr="006A0747">
        <w:rPr>
          <w:rFonts w:ascii="Times New Roman" w:eastAsia="Calibri" w:hAnsi="Times New Roman" w:cs="Times New Roman"/>
          <w:color w:val="767171"/>
          <w:spacing w:val="20"/>
          <w:sz w:val="24"/>
          <w:szCs w:val="24"/>
        </w:rPr>
        <w:t>misionales</w:t>
      </w:r>
      <w:r w:rsidR="00F23974" w:rsidRPr="006A0747">
        <w:rPr>
          <w:rFonts w:ascii="Times New Roman" w:eastAsia="Calibri" w:hAnsi="Times New Roman" w:cs="Times New Roman"/>
          <w:color w:val="767171"/>
          <w:spacing w:val="20"/>
          <w:sz w:val="24"/>
          <w:szCs w:val="24"/>
        </w:rPr>
        <w:t xml:space="preserve">, </w:t>
      </w:r>
      <w:r w:rsidR="00C554B2" w:rsidRPr="006A0747">
        <w:rPr>
          <w:rFonts w:ascii="Times New Roman" w:eastAsia="Calibri" w:hAnsi="Times New Roman" w:cs="Times New Roman"/>
          <w:color w:val="767171"/>
          <w:spacing w:val="20"/>
          <w:sz w:val="24"/>
          <w:szCs w:val="24"/>
        </w:rPr>
        <w:t>con</w:t>
      </w:r>
      <w:r w:rsidR="005813CA" w:rsidRPr="006A0747">
        <w:rPr>
          <w:rFonts w:ascii="Times New Roman" w:eastAsia="Calibri" w:hAnsi="Times New Roman" w:cs="Times New Roman"/>
          <w:color w:val="767171"/>
          <w:spacing w:val="20"/>
          <w:sz w:val="24"/>
          <w:szCs w:val="24"/>
        </w:rPr>
        <w:t xml:space="preserve"> la implementación de herramientas </w:t>
      </w:r>
      <w:r w:rsidR="00EF2E0E" w:rsidRPr="006A0747">
        <w:rPr>
          <w:rFonts w:ascii="Times New Roman" w:eastAsia="Calibri" w:hAnsi="Times New Roman" w:cs="Times New Roman"/>
          <w:color w:val="767171"/>
          <w:spacing w:val="20"/>
          <w:sz w:val="24"/>
          <w:szCs w:val="24"/>
        </w:rPr>
        <w:t>internas</w:t>
      </w:r>
      <w:r w:rsidR="005813CA" w:rsidRPr="006A0747">
        <w:rPr>
          <w:rFonts w:ascii="Times New Roman" w:eastAsia="Calibri" w:hAnsi="Times New Roman" w:cs="Times New Roman"/>
          <w:color w:val="767171"/>
          <w:spacing w:val="20"/>
          <w:sz w:val="24"/>
          <w:szCs w:val="24"/>
        </w:rPr>
        <w:t xml:space="preserve"> </w:t>
      </w:r>
      <w:r w:rsidR="00C554B2" w:rsidRPr="006A0747">
        <w:rPr>
          <w:rFonts w:ascii="Times New Roman" w:eastAsia="Calibri" w:hAnsi="Times New Roman" w:cs="Times New Roman"/>
          <w:color w:val="767171"/>
          <w:spacing w:val="20"/>
          <w:sz w:val="24"/>
          <w:szCs w:val="24"/>
        </w:rPr>
        <w:t>para apoyar</w:t>
      </w:r>
      <w:r w:rsidR="007A528F" w:rsidRPr="006A0747">
        <w:rPr>
          <w:rFonts w:ascii="Times New Roman" w:eastAsia="Calibri" w:hAnsi="Times New Roman" w:cs="Times New Roman"/>
          <w:color w:val="767171"/>
          <w:spacing w:val="20"/>
          <w:sz w:val="24"/>
          <w:szCs w:val="24"/>
        </w:rPr>
        <w:t xml:space="preserve"> </w:t>
      </w:r>
      <w:r w:rsidR="004A02B0" w:rsidRPr="006A0747">
        <w:rPr>
          <w:rFonts w:ascii="Times New Roman" w:eastAsia="Calibri" w:hAnsi="Times New Roman" w:cs="Times New Roman"/>
          <w:color w:val="767171"/>
          <w:spacing w:val="20"/>
          <w:sz w:val="24"/>
          <w:szCs w:val="24"/>
        </w:rPr>
        <w:t>la supervisión</w:t>
      </w:r>
      <w:r w:rsidR="00C554B2" w:rsidRPr="006A0747">
        <w:rPr>
          <w:rFonts w:ascii="Times New Roman" w:eastAsia="Calibri" w:hAnsi="Times New Roman" w:cs="Times New Roman"/>
          <w:color w:val="767171"/>
          <w:spacing w:val="20"/>
          <w:sz w:val="24"/>
          <w:szCs w:val="24"/>
        </w:rPr>
        <w:t>,</w:t>
      </w:r>
      <w:r w:rsidR="004A02B0" w:rsidRPr="006A0747">
        <w:rPr>
          <w:rFonts w:ascii="Times New Roman" w:eastAsia="Calibri" w:hAnsi="Times New Roman" w:cs="Times New Roman"/>
          <w:color w:val="767171"/>
          <w:spacing w:val="20"/>
          <w:sz w:val="24"/>
          <w:szCs w:val="24"/>
        </w:rPr>
        <w:t xml:space="preserve"> </w:t>
      </w:r>
      <w:r w:rsidR="00C94D5E" w:rsidRPr="006A0747">
        <w:rPr>
          <w:rFonts w:ascii="Times New Roman" w:eastAsia="Calibri" w:hAnsi="Times New Roman" w:cs="Times New Roman"/>
          <w:color w:val="767171"/>
          <w:spacing w:val="20"/>
          <w:sz w:val="24"/>
          <w:szCs w:val="24"/>
        </w:rPr>
        <w:lastRenderedPageBreak/>
        <w:t xml:space="preserve">las cuales </w:t>
      </w:r>
      <w:r w:rsidR="00D207E1" w:rsidRPr="006A0747">
        <w:rPr>
          <w:rFonts w:ascii="Times New Roman" w:eastAsia="Calibri" w:hAnsi="Times New Roman" w:cs="Times New Roman"/>
          <w:color w:val="767171"/>
          <w:spacing w:val="20"/>
          <w:sz w:val="24"/>
          <w:szCs w:val="24"/>
        </w:rPr>
        <w:t>facilita</w:t>
      </w:r>
      <w:r w:rsidR="00C94D5E" w:rsidRPr="006A0747">
        <w:rPr>
          <w:rFonts w:ascii="Times New Roman" w:eastAsia="Calibri" w:hAnsi="Times New Roman" w:cs="Times New Roman"/>
          <w:color w:val="767171"/>
          <w:spacing w:val="20"/>
          <w:sz w:val="24"/>
          <w:szCs w:val="24"/>
        </w:rPr>
        <w:t>n</w:t>
      </w:r>
      <w:r w:rsidR="00D207E1" w:rsidRPr="006A0747">
        <w:rPr>
          <w:rFonts w:ascii="Times New Roman" w:eastAsia="Calibri" w:hAnsi="Times New Roman" w:cs="Times New Roman"/>
          <w:color w:val="767171"/>
          <w:spacing w:val="20"/>
          <w:sz w:val="24"/>
          <w:szCs w:val="24"/>
        </w:rPr>
        <w:t xml:space="preserve"> la detección de</w:t>
      </w:r>
      <w:r w:rsidR="006E7210" w:rsidRPr="006A0747">
        <w:rPr>
          <w:rFonts w:ascii="Times New Roman" w:eastAsia="Calibri" w:hAnsi="Times New Roman" w:cs="Times New Roman"/>
          <w:color w:val="767171"/>
          <w:spacing w:val="20"/>
          <w:sz w:val="24"/>
          <w:szCs w:val="24"/>
        </w:rPr>
        <w:t xml:space="preserve"> posibles riesgos de manera más rápida y precisa</w:t>
      </w:r>
      <w:r w:rsidR="00C554B2" w:rsidRPr="006A0747">
        <w:rPr>
          <w:rFonts w:ascii="Times New Roman" w:eastAsia="Calibri" w:hAnsi="Times New Roman" w:cs="Times New Roman"/>
          <w:color w:val="767171"/>
          <w:spacing w:val="20"/>
          <w:sz w:val="24"/>
          <w:szCs w:val="24"/>
        </w:rPr>
        <w:t>. En adición</w:t>
      </w:r>
      <w:r w:rsidR="00C94D5E" w:rsidRPr="006A0747">
        <w:rPr>
          <w:rFonts w:ascii="Times New Roman" w:eastAsia="Calibri" w:hAnsi="Times New Roman" w:cs="Times New Roman"/>
          <w:color w:val="767171"/>
          <w:spacing w:val="20"/>
          <w:sz w:val="24"/>
          <w:szCs w:val="24"/>
        </w:rPr>
        <w:t>, la SB</w:t>
      </w:r>
      <w:r w:rsidR="00C554B2" w:rsidRPr="006A0747">
        <w:rPr>
          <w:rFonts w:ascii="Times New Roman" w:eastAsia="Calibri" w:hAnsi="Times New Roman" w:cs="Times New Roman"/>
          <w:color w:val="767171"/>
          <w:spacing w:val="20"/>
          <w:sz w:val="24"/>
          <w:szCs w:val="24"/>
        </w:rPr>
        <w:t xml:space="preserve"> </w:t>
      </w:r>
      <w:r w:rsidR="00C94D5E" w:rsidRPr="006A0747">
        <w:rPr>
          <w:rFonts w:ascii="Times New Roman" w:eastAsia="Calibri" w:hAnsi="Times New Roman" w:cs="Times New Roman"/>
          <w:color w:val="767171"/>
          <w:spacing w:val="20"/>
          <w:sz w:val="24"/>
          <w:szCs w:val="24"/>
        </w:rPr>
        <w:t>también</w:t>
      </w:r>
      <w:r w:rsidR="004A02B0" w:rsidRPr="006A0747">
        <w:rPr>
          <w:rFonts w:ascii="Times New Roman" w:eastAsia="Calibri" w:hAnsi="Times New Roman" w:cs="Times New Roman"/>
          <w:color w:val="767171"/>
          <w:spacing w:val="20"/>
          <w:sz w:val="24"/>
          <w:szCs w:val="24"/>
        </w:rPr>
        <w:t xml:space="preserve"> </w:t>
      </w:r>
      <w:r w:rsidR="003353CC" w:rsidRPr="006A0747">
        <w:rPr>
          <w:rFonts w:ascii="Times New Roman" w:eastAsia="Calibri" w:hAnsi="Times New Roman" w:cs="Times New Roman"/>
          <w:color w:val="767171"/>
          <w:spacing w:val="20"/>
          <w:sz w:val="24"/>
          <w:szCs w:val="24"/>
        </w:rPr>
        <w:t>se enfocó</w:t>
      </w:r>
      <w:r w:rsidR="00EF2E0E" w:rsidRPr="006A0747">
        <w:rPr>
          <w:rFonts w:ascii="Times New Roman" w:eastAsia="Calibri" w:hAnsi="Times New Roman" w:cs="Times New Roman"/>
          <w:color w:val="767171"/>
          <w:spacing w:val="20"/>
          <w:sz w:val="24"/>
          <w:szCs w:val="24"/>
        </w:rPr>
        <w:t xml:space="preserve"> </w:t>
      </w:r>
      <w:r w:rsidR="003353CC" w:rsidRPr="006A0747">
        <w:rPr>
          <w:rFonts w:ascii="Times New Roman" w:eastAsia="Calibri" w:hAnsi="Times New Roman" w:cs="Times New Roman"/>
          <w:color w:val="767171"/>
          <w:spacing w:val="20"/>
          <w:sz w:val="24"/>
          <w:szCs w:val="24"/>
        </w:rPr>
        <w:t>en</w:t>
      </w:r>
      <w:r w:rsidR="00EF2E0E" w:rsidRPr="006A0747">
        <w:rPr>
          <w:rFonts w:ascii="Times New Roman" w:eastAsia="Calibri" w:hAnsi="Times New Roman" w:cs="Times New Roman"/>
          <w:color w:val="767171"/>
          <w:spacing w:val="20"/>
          <w:sz w:val="24"/>
          <w:szCs w:val="24"/>
        </w:rPr>
        <w:t xml:space="preserve"> </w:t>
      </w:r>
      <w:r w:rsidR="004912BD" w:rsidRPr="006A0747">
        <w:rPr>
          <w:rFonts w:ascii="Times New Roman" w:eastAsia="Calibri" w:hAnsi="Times New Roman" w:cs="Times New Roman"/>
          <w:color w:val="767171"/>
          <w:spacing w:val="20"/>
          <w:sz w:val="24"/>
          <w:szCs w:val="24"/>
        </w:rPr>
        <w:t>la implementación de</w:t>
      </w:r>
      <w:r w:rsidR="00EF2E0E" w:rsidRPr="006A0747">
        <w:rPr>
          <w:rFonts w:ascii="Times New Roman" w:eastAsia="Calibri" w:hAnsi="Times New Roman" w:cs="Times New Roman"/>
          <w:color w:val="767171"/>
          <w:spacing w:val="20"/>
          <w:sz w:val="24"/>
          <w:szCs w:val="24"/>
        </w:rPr>
        <w:t xml:space="preserve"> herramientas externas </w:t>
      </w:r>
      <w:r w:rsidR="00C94D5E" w:rsidRPr="006A0747">
        <w:rPr>
          <w:rFonts w:ascii="Times New Roman" w:eastAsia="Calibri" w:hAnsi="Times New Roman" w:cs="Times New Roman"/>
          <w:color w:val="767171"/>
          <w:spacing w:val="20"/>
          <w:sz w:val="24"/>
          <w:szCs w:val="24"/>
        </w:rPr>
        <w:t>para mejorar</w:t>
      </w:r>
      <w:r w:rsidR="00373378" w:rsidRPr="006A0747">
        <w:rPr>
          <w:rFonts w:ascii="Times New Roman" w:eastAsia="Calibri" w:hAnsi="Times New Roman" w:cs="Times New Roman"/>
          <w:color w:val="767171"/>
          <w:spacing w:val="20"/>
          <w:sz w:val="24"/>
          <w:szCs w:val="24"/>
        </w:rPr>
        <w:t xml:space="preserve"> la eficiencia y seguridad del sistema financiero</w:t>
      </w:r>
      <w:r w:rsidR="00EF2E0E" w:rsidRPr="006A0747">
        <w:rPr>
          <w:rFonts w:ascii="Times New Roman" w:eastAsia="Calibri" w:hAnsi="Times New Roman" w:cs="Times New Roman"/>
          <w:color w:val="767171"/>
          <w:spacing w:val="20"/>
          <w:sz w:val="24"/>
          <w:szCs w:val="24"/>
        </w:rPr>
        <w:t>.</w:t>
      </w:r>
      <w:r w:rsidR="00373378" w:rsidRPr="006A0747">
        <w:rPr>
          <w:rFonts w:ascii="Times New Roman" w:eastAsia="Calibri" w:hAnsi="Times New Roman" w:cs="Times New Roman"/>
          <w:color w:val="767171"/>
          <w:spacing w:val="20"/>
          <w:sz w:val="24"/>
          <w:szCs w:val="24"/>
        </w:rPr>
        <w:t xml:space="preserve"> </w:t>
      </w:r>
      <w:r w:rsidR="0090112C" w:rsidRPr="006A0747">
        <w:rPr>
          <w:rFonts w:ascii="Times New Roman" w:eastAsia="Calibri" w:hAnsi="Times New Roman" w:cs="Times New Roman"/>
          <w:color w:val="767171"/>
          <w:spacing w:val="20"/>
          <w:sz w:val="24"/>
          <w:szCs w:val="24"/>
        </w:rPr>
        <w:t>Cabe resaltar que</w:t>
      </w:r>
      <w:r w:rsidR="00185F16" w:rsidRPr="006A0747">
        <w:rPr>
          <w:rFonts w:ascii="Times New Roman" w:eastAsia="Calibri" w:hAnsi="Times New Roman" w:cs="Times New Roman"/>
          <w:color w:val="767171"/>
          <w:spacing w:val="20"/>
          <w:sz w:val="24"/>
          <w:szCs w:val="24"/>
        </w:rPr>
        <w:t xml:space="preserve"> la implementación de las herramientas externas implicó</w:t>
      </w:r>
      <w:r w:rsidR="0070075A" w:rsidRPr="006A0747">
        <w:rPr>
          <w:rFonts w:ascii="Times New Roman" w:eastAsia="Calibri" w:hAnsi="Times New Roman" w:cs="Times New Roman"/>
          <w:color w:val="767171"/>
          <w:spacing w:val="20"/>
          <w:sz w:val="24"/>
          <w:szCs w:val="24"/>
        </w:rPr>
        <w:t xml:space="preserve"> l</w:t>
      </w:r>
      <w:r w:rsidRPr="006A0747">
        <w:rPr>
          <w:rFonts w:ascii="Times New Roman" w:eastAsia="Calibri" w:hAnsi="Times New Roman" w:cs="Times New Roman"/>
          <w:color w:val="767171"/>
          <w:spacing w:val="20"/>
          <w:sz w:val="24"/>
          <w:szCs w:val="24"/>
        </w:rPr>
        <w:t xml:space="preserve">a modernización de la infraestructura tecnológica </w:t>
      </w:r>
      <w:r w:rsidR="00FF6C74" w:rsidRPr="006A0747">
        <w:rPr>
          <w:rFonts w:ascii="Times New Roman" w:eastAsia="Calibri" w:hAnsi="Times New Roman" w:cs="Times New Roman"/>
          <w:color w:val="767171"/>
          <w:spacing w:val="20"/>
          <w:sz w:val="24"/>
          <w:szCs w:val="24"/>
        </w:rPr>
        <w:t xml:space="preserve">para </w:t>
      </w:r>
      <w:r w:rsidRPr="006A0747">
        <w:rPr>
          <w:rFonts w:ascii="Times New Roman" w:eastAsia="Calibri" w:hAnsi="Times New Roman" w:cs="Times New Roman"/>
          <w:color w:val="767171"/>
          <w:spacing w:val="20"/>
          <w:sz w:val="24"/>
          <w:szCs w:val="24"/>
        </w:rPr>
        <w:t>permiti</w:t>
      </w:r>
      <w:r w:rsidR="00FF6C74" w:rsidRPr="006A0747">
        <w:rPr>
          <w:rFonts w:ascii="Times New Roman" w:eastAsia="Calibri" w:hAnsi="Times New Roman" w:cs="Times New Roman"/>
          <w:color w:val="767171"/>
          <w:spacing w:val="20"/>
          <w:sz w:val="24"/>
          <w:szCs w:val="24"/>
        </w:rPr>
        <w:t>r</w:t>
      </w:r>
      <w:r w:rsidRPr="006A0747">
        <w:rPr>
          <w:rFonts w:ascii="Times New Roman" w:eastAsia="Calibri" w:hAnsi="Times New Roman" w:cs="Times New Roman"/>
          <w:color w:val="767171"/>
          <w:spacing w:val="20"/>
          <w:sz w:val="24"/>
          <w:szCs w:val="24"/>
        </w:rPr>
        <w:t xml:space="preserve"> una mayor interoperabilidad </w:t>
      </w:r>
      <w:r w:rsidR="0070075A" w:rsidRPr="006A0747">
        <w:rPr>
          <w:rFonts w:ascii="Times New Roman" w:eastAsia="Calibri" w:hAnsi="Times New Roman" w:cs="Times New Roman"/>
          <w:color w:val="767171"/>
          <w:spacing w:val="20"/>
          <w:sz w:val="24"/>
          <w:szCs w:val="24"/>
        </w:rPr>
        <w:t>e</w:t>
      </w:r>
      <w:r w:rsidRPr="006A0747">
        <w:rPr>
          <w:rFonts w:ascii="Times New Roman" w:eastAsia="Calibri" w:hAnsi="Times New Roman" w:cs="Times New Roman"/>
          <w:color w:val="767171"/>
          <w:spacing w:val="20"/>
          <w:sz w:val="24"/>
          <w:szCs w:val="24"/>
        </w:rPr>
        <w:t xml:space="preserve"> integración de nuevas tecnologías </w:t>
      </w:r>
      <w:r w:rsidR="00663573" w:rsidRPr="006A0747">
        <w:rPr>
          <w:rFonts w:ascii="Times New Roman" w:eastAsia="Calibri" w:hAnsi="Times New Roman" w:cs="Times New Roman"/>
          <w:color w:val="767171"/>
          <w:spacing w:val="20"/>
          <w:sz w:val="24"/>
          <w:szCs w:val="24"/>
        </w:rPr>
        <w:t>orientadas a robustecer</w:t>
      </w:r>
      <w:r w:rsidRPr="006A0747">
        <w:rPr>
          <w:rFonts w:ascii="Times New Roman" w:eastAsia="Calibri" w:hAnsi="Times New Roman" w:cs="Times New Roman"/>
          <w:color w:val="767171"/>
          <w:spacing w:val="20"/>
          <w:sz w:val="24"/>
          <w:szCs w:val="24"/>
        </w:rPr>
        <w:t xml:space="preserve"> la transparencia y seguridad de las operaciones bancarias. </w:t>
      </w:r>
    </w:p>
    <w:p w14:paraId="01615D3A" w14:textId="77777777" w:rsidR="00C71982" w:rsidRPr="006A0747" w:rsidRDefault="00C71982" w:rsidP="00F8305C">
      <w:pPr>
        <w:spacing w:line="360" w:lineRule="auto"/>
        <w:jc w:val="both"/>
        <w:rPr>
          <w:rFonts w:ascii="Times New Roman" w:eastAsia="Calibri" w:hAnsi="Times New Roman" w:cs="Times New Roman"/>
          <w:b/>
          <w:color w:val="767171"/>
          <w:spacing w:val="20"/>
          <w:sz w:val="24"/>
          <w:szCs w:val="24"/>
        </w:rPr>
      </w:pPr>
    </w:p>
    <w:p w14:paraId="16F7670C" w14:textId="10FE286B" w:rsidR="00A61E1F" w:rsidRPr="006A0747" w:rsidRDefault="00A61E1F" w:rsidP="00A61E1F">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t xml:space="preserve">Eliminación de Obsolescencia e Inclusión de nuevas tecnologías: </w:t>
      </w:r>
    </w:p>
    <w:p w14:paraId="433C6637" w14:textId="77777777" w:rsidR="006D52DA" w:rsidRPr="006A0747" w:rsidRDefault="002A05EB" w:rsidP="009566F2">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La reducción de la obsolescencia ha sido una de las principales estrategias utilizadas para optimizar los procesos. En este orden, d</w:t>
      </w:r>
      <w:r w:rsidR="00B52A12" w:rsidRPr="006A0747">
        <w:rPr>
          <w:rFonts w:ascii="Times New Roman" w:eastAsia="Calibri" w:hAnsi="Times New Roman" w:cs="Times New Roman"/>
          <w:color w:val="767171"/>
          <w:spacing w:val="20"/>
          <w:sz w:val="24"/>
          <w:szCs w:val="24"/>
        </w:rPr>
        <w:t>entro de los hitos más significativo</w:t>
      </w:r>
      <w:r w:rsidR="00483353" w:rsidRPr="006A0747">
        <w:rPr>
          <w:rFonts w:ascii="Times New Roman" w:eastAsia="Calibri" w:hAnsi="Times New Roman" w:cs="Times New Roman"/>
          <w:color w:val="767171"/>
          <w:spacing w:val="20"/>
          <w:sz w:val="24"/>
          <w:szCs w:val="24"/>
        </w:rPr>
        <w:t>s</w:t>
      </w:r>
      <w:r w:rsidR="00B52A12" w:rsidRPr="006A0747">
        <w:rPr>
          <w:rFonts w:ascii="Times New Roman" w:eastAsia="Calibri" w:hAnsi="Times New Roman" w:cs="Times New Roman"/>
          <w:color w:val="767171"/>
          <w:spacing w:val="20"/>
          <w:sz w:val="24"/>
          <w:szCs w:val="24"/>
        </w:rPr>
        <w:t xml:space="preserve"> que ha tenido l</w:t>
      </w:r>
      <w:r w:rsidR="009566F2" w:rsidRPr="006A0747">
        <w:rPr>
          <w:rFonts w:ascii="Times New Roman" w:eastAsia="Calibri" w:hAnsi="Times New Roman" w:cs="Times New Roman"/>
          <w:color w:val="767171"/>
          <w:spacing w:val="20"/>
          <w:sz w:val="24"/>
          <w:szCs w:val="24"/>
        </w:rPr>
        <w:t>a Superintendencia de Bancos</w:t>
      </w:r>
      <w:r w:rsidR="00B52A12" w:rsidRPr="006A0747">
        <w:rPr>
          <w:rFonts w:ascii="Times New Roman" w:eastAsia="Calibri" w:hAnsi="Times New Roman" w:cs="Times New Roman"/>
          <w:color w:val="767171"/>
          <w:spacing w:val="20"/>
          <w:sz w:val="24"/>
          <w:szCs w:val="24"/>
        </w:rPr>
        <w:t>, se encuentra</w:t>
      </w:r>
      <w:r w:rsidR="00301C19" w:rsidRPr="006A0747">
        <w:rPr>
          <w:rFonts w:ascii="Times New Roman" w:eastAsia="Calibri" w:hAnsi="Times New Roman" w:cs="Times New Roman"/>
          <w:color w:val="767171"/>
          <w:spacing w:val="20"/>
          <w:sz w:val="24"/>
          <w:szCs w:val="24"/>
        </w:rPr>
        <w:t>n</w:t>
      </w:r>
      <w:r w:rsidR="00B52A12" w:rsidRPr="006A0747">
        <w:rPr>
          <w:rFonts w:ascii="Times New Roman" w:eastAsia="Calibri" w:hAnsi="Times New Roman" w:cs="Times New Roman"/>
          <w:color w:val="767171"/>
          <w:spacing w:val="20"/>
          <w:sz w:val="24"/>
          <w:szCs w:val="24"/>
        </w:rPr>
        <w:t xml:space="preserve"> </w:t>
      </w:r>
      <w:r w:rsidR="008628E1" w:rsidRPr="006A0747">
        <w:rPr>
          <w:rFonts w:ascii="Times New Roman" w:eastAsia="Calibri" w:hAnsi="Times New Roman" w:cs="Times New Roman"/>
          <w:color w:val="767171"/>
          <w:spacing w:val="20"/>
          <w:sz w:val="24"/>
          <w:szCs w:val="24"/>
        </w:rPr>
        <w:t>el cese</w:t>
      </w:r>
      <w:r w:rsidR="00B52A12" w:rsidRPr="006A0747">
        <w:rPr>
          <w:rFonts w:ascii="Times New Roman" w:eastAsia="Calibri" w:hAnsi="Times New Roman" w:cs="Times New Roman"/>
          <w:color w:val="767171"/>
          <w:spacing w:val="20"/>
          <w:sz w:val="24"/>
          <w:szCs w:val="24"/>
        </w:rPr>
        <w:t xml:space="preserve"> del </w:t>
      </w:r>
      <w:r w:rsidR="009566F2" w:rsidRPr="006A0747">
        <w:rPr>
          <w:rFonts w:ascii="Times New Roman" w:eastAsia="Calibri" w:hAnsi="Times New Roman" w:cs="Times New Roman"/>
          <w:color w:val="767171"/>
          <w:spacing w:val="20"/>
          <w:sz w:val="24"/>
          <w:szCs w:val="24"/>
        </w:rPr>
        <w:t xml:space="preserve">aplicativo </w:t>
      </w:r>
      <w:proofErr w:type="spellStart"/>
      <w:r w:rsidR="009566F2" w:rsidRPr="006A0747">
        <w:rPr>
          <w:rFonts w:ascii="Times New Roman" w:eastAsia="Calibri" w:hAnsi="Times New Roman" w:cs="Times New Roman"/>
          <w:color w:val="767171"/>
          <w:spacing w:val="20"/>
          <w:sz w:val="24"/>
          <w:szCs w:val="24"/>
        </w:rPr>
        <w:t>Bancanet</w:t>
      </w:r>
      <w:proofErr w:type="spellEnd"/>
      <w:r w:rsidR="009566F2" w:rsidRPr="006A0747">
        <w:rPr>
          <w:rFonts w:ascii="Times New Roman" w:eastAsia="Calibri" w:hAnsi="Times New Roman" w:cs="Times New Roman"/>
          <w:color w:val="767171"/>
          <w:spacing w:val="20"/>
          <w:sz w:val="24"/>
          <w:szCs w:val="24"/>
        </w:rPr>
        <w:t>, anteriormente utilizado para interactuar con los supervisados en la remisión de la reportería regulatoria.</w:t>
      </w:r>
      <w:r w:rsidR="008B3CDB" w:rsidRPr="006A0747">
        <w:rPr>
          <w:rFonts w:ascii="Times New Roman" w:eastAsia="Calibri" w:hAnsi="Times New Roman" w:cs="Times New Roman"/>
          <w:color w:val="767171"/>
          <w:spacing w:val="20"/>
          <w:sz w:val="24"/>
          <w:szCs w:val="24"/>
        </w:rPr>
        <w:t xml:space="preserve"> </w:t>
      </w:r>
      <w:r w:rsidR="008B1DDC" w:rsidRPr="006A0747">
        <w:rPr>
          <w:rFonts w:ascii="Times New Roman" w:eastAsia="Calibri" w:hAnsi="Times New Roman" w:cs="Times New Roman"/>
          <w:color w:val="767171"/>
          <w:spacing w:val="20"/>
          <w:sz w:val="24"/>
          <w:szCs w:val="24"/>
        </w:rPr>
        <w:t>En su lugar,</w:t>
      </w:r>
      <w:r w:rsidR="008628E1" w:rsidRPr="006A0747">
        <w:rPr>
          <w:rFonts w:ascii="Times New Roman" w:eastAsia="Calibri" w:hAnsi="Times New Roman" w:cs="Times New Roman"/>
          <w:color w:val="767171"/>
          <w:spacing w:val="20"/>
          <w:sz w:val="24"/>
          <w:szCs w:val="24"/>
        </w:rPr>
        <w:t xml:space="preserve"> fueron</w:t>
      </w:r>
      <w:r w:rsidR="009566F2" w:rsidRPr="006A0747">
        <w:rPr>
          <w:rFonts w:ascii="Times New Roman" w:eastAsia="Calibri" w:hAnsi="Times New Roman" w:cs="Times New Roman"/>
          <w:color w:val="767171"/>
          <w:spacing w:val="20"/>
          <w:sz w:val="24"/>
          <w:szCs w:val="24"/>
        </w:rPr>
        <w:t xml:space="preserve"> </w:t>
      </w:r>
      <w:r w:rsidR="008B1DDC" w:rsidRPr="006A0747">
        <w:rPr>
          <w:rFonts w:ascii="Times New Roman" w:eastAsia="Calibri" w:hAnsi="Times New Roman" w:cs="Times New Roman"/>
          <w:color w:val="767171"/>
          <w:spacing w:val="20"/>
          <w:sz w:val="24"/>
          <w:szCs w:val="24"/>
        </w:rPr>
        <w:t>implementados</w:t>
      </w:r>
      <w:r w:rsidR="009566F2" w:rsidRPr="006A0747">
        <w:rPr>
          <w:rFonts w:ascii="Times New Roman" w:eastAsia="Calibri" w:hAnsi="Times New Roman" w:cs="Times New Roman"/>
          <w:color w:val="767171"/>
          <w:spacing w:val="20"/>
          <w:sz w:val="24"/>
          <w:szCs w:val="24"/>
        </w:rPr>
        <w:t xml:space="preserve"> </w:t>
      </w:r>
      <w:r w:rsidR="00B620CA" w:rsidRPr="006A0747">
        <w:rPr>
          <w:rFonts w:ascii="Times New Roman" w:eastAsia="Calibri" w:hAnsi="Times New Roman" w:cs="Times New Roman"/>
          <w:color w:val="767171"/>
          <w:spacing w:val="20"/>
          <w:sz w:val="24"/>
          <w:szCs w:val="24"/>
        </w:rPr>
        <w:t>herramientas tecnológicas</w:t>
      </w:r>
      <w:r w:rsidR="009566F2" w:rsidRPr="006A0747">
        <w:rPr>
          <w:rFonts w:ascii="Times New Roman" w:eastAsia="Calibri" w:hAnsi="Times New Roman" w:cs="Times New Roman"/>
          <w:color w:val="767171"/>
          <w:spacing w:val="20"/>
          <w:sz w:val="24"/>
          <w:szCs w:val="24"/>
        </w:rPr>
        <w:t xml:space="preserve"> más modernas y resilientes</w:t>
      </w:r>
      <w:r w:rsidR="00B620CA" w:rsidRPr="006A0747">
        <w:rPr>
          <w:rFonts w:ascii="Times New Roman" w:eastAsia="Calibri" w:hAnsi="Times New Roman" w:cs="Times New Roman"/>
          <w:color w:val="767171"/>
          <w:spacing w:val="20"/>
          <w:sz w:val="24"/>
          <w:szCs w:val="24"/>
        </w:rPr>
        <w:t xml:space="preserve"> desde el punto de vista de la seguridad de la información</w:t>
      </w:r>
      <w:r w:rsidR="00906E0F" w:rsidRPr="006A0747">
        <w:rPr>
          <w:rFonts w:ascii="Times New Roman" w:eastAsia="Calibri" w:hAnsi="Times New Roman" w:cs="Times New Roman"/>
          <w:color w:val="767171"/>
          <w:spacing w:val="20"/>
          <w:sz w:val="24"/>
          <w:szCs w:val="24"/>
        </w:rPr>
        <w:t xml:space="preserve">. </w:t>
      </w:r>
    </w:p>
    <w:p w14:paraId="7D88DC59" w14:textId="33A434B5" w:rsidR="00B52A12" w:rsidRPr="006A0747" w:rsidRDefault="00AD55BD" w:rsidP="009566F2">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Fruto de este esfuerzo, </w:t>
      </w:r>
      <w:r w:rsidR="00C559D9" w:rsidRPr="006A0747">
        <w:rPr>
          <w:rFonts w:ascii="Times New Roman" w:eastAsia="Calibri" w:hAnsi="Times New Roman" w:cs="Times New Roman"/>
          <w:color w:val="767171"/>
          <w:spacing w:val="20"/>
          <w:sz w:val="24"/>
          <w:szCs w:val="24"/>
        </w:rPr>
        <w:t xml:space="preserve">tanto </w:t>
      </w:r>
      <w:r w:rsidRPr="006A0747">
        <w:rPr>
          <w:rFonts w:ascii="Times New Roman" w:eastAsia="Calibri" w:hAnsi="Times New Roman" w:cs="Times New Roman"/>
          <w:color w:val="767171"/>
          <w:spacing w:val="20"/>
          <w:sz w:val="24"/>
          <w:szCs w:val="24"/>
        </w:rPr>
        <w:t xml:space="preserve">la institución </w:t>
      </w:r>
      <w:r w:rsidR="00C559D9" w:rsidRPr="006A0747">
        <w:rPr>
          <w:rFonts w:ascii="Times New Roman" w:eastAsia="Calibri" w:hAnsi="Times New Roman" w:cs="Times New Roman"/>
          <w:color w:val="767171"/>
          <w:spacing w:val="20"/>
          <w:sz w:val="24"/>
          <w:szCs w:val="24"/>
        </w:rPr>
        <w:t>como</w:t>
      </w:r>
      <w:r w:rsidRPr="006A0747">
        <w:rPr>
          <w:rFonts w:ascii="Times New Roman" w:eastAsia="Calibri" w:hAnsi="Times New Roman" w:cs="Times New Roman"/>
          <w:color w:val="767171"/>
          <w:spacing w:val="20"/>
          <w:sz w:val="24"/>
          <w:szCs w:val="24"/>
        </w:rPr>
        <w:t xml:space="preserve"> el sistema financiero </w:t>
      </w:r>
      <w:r w:rsidR="0078530D" w:rsidRPr="006A0747">
        <w:rPr>
          <w:rFonts w:ascii="Times New Roman" w:eastAsia="Calibri" w:hAnsi="Times New Roman" w:cs="Times New Roman"/>
          <w:color w:val="767171"/>
          <w:spacing w:val="20"/>
          <w:sz w:val="24"/>
          <w:szCs w:val="24"/>
        </w:rPr>
        <w:t xml:space="preserve">han obtenido beneficios sustanciales, </w:t>
      </w:r>
      <w:r w:rsidR="006D52DA" w:rsidRPr="006A0747">
        <w:rPr>
          <w:rFonts w:ascii="Times New Roman" w:eastAsia="Calibri" w:hAnsi="Times New Roman" w:cs="Times New Roman"/>
          <w:color w:val="767171"/>
          <w:spacing w:val="20"/>
          <w:sz w:val="24"/>
          <w:szCs w:val="24"/>
        </w:rPr>
        <w:t xml:space="preserve">entre </w:t>
      </w:r>
      <w:r w:rsidR="007F24D6" w:rsidRPr="006A0747">
        <w:rPr>
          <w:rFonts w:ascii="Times New Roman" w:eastAsia="Calibri" w:hAnsi="Times New Roman" w:cs="Times New Roman"/>
          <w:color w:val="767171"/>
          <w:spacing w:val="20"/>
          <w:sz w:val="24"/>
          <w:szCs w:val="24"/>
        </w:rPr>
        <w:t>los que</w:t>
      </w:r>
      <w:r w:rsidR="009566F2" w:rsidRPr="006A0747">
        <w:rPr>
          <w:rFonts w:ascii="Times New Roman" w:eastAsia="Calibri" w:hAnsi="Times New Roman" w:cs="Times New Roman"/>
          <w:color w:val="767171"/>
          <w:spacing w:val="20"/>
          <w:sz w:val="24"/>
          <w:szCs w:val="24"/>
        </w:rPr>
        <w:t xml:space="preserve"> se encuentran:</w:t>
      </w:r>
      <w:r w:rsidR="007F24D6" w:rsidRPr="006A0747">
        <w:rPr>
          <w:rFonts w:ascii="Times New Roman" w:eastAsia="Calibri" w:hAnsi="Times New Roman" w:cs="Times New Roman"/>
          <w:color w:val="767171"/>
          <w:spacing w:val="20"/>
          <w:sz w:val="24"/>
          <w:szCs w:val="24"/>
        </w:rPr>
        <w:t xml:space="preserve"> </w:t>
      </w:r>
      <w:r w:rsidR="009566F2" w:rsidRPr="006A0747">
        <w:rPr>
          <w:rFonts w:ascii="Times New Roman" w:eastAsia="Calibri" w:hAnsi="Times New Roman" w:cs="Times New Roman"/>
          <w:color w:val="767171"/>
          <w:spacing w:val="20"/>
          <w:sz w:val="24"/>
          <w:szCs w:val="24"/>
        </w:rPr>
        <w:t xml:space="preserve">Mejora en los </w:t>
      </w:r>
      <w:r w:rsidR="006221FF" w:rsidRPr="006A0747">
        <w:rPr>
          <w:rFonts w:ascii="Times New Roman" w:eastAsia="Calibri" w:hAnsi="Times New Roman" w:cs="Times New Roman"/>
          <w:color w:val="767171"/>
          <w:spacing w:val="20"/>
          <w:sz w:val="24"/>
          <w:szCs w:val="24"/>
        </w:rPr>
        <w:t>c</w:t>
      </w:r>
      <w:r w:rsidR="009566F2" w:rsidRPr="006A0747">
        <w:rPr>
          <w:rFonts w:ascii="Times New Roman" w:eastAsia="Calibri" w:hAnsi="Times New Roman" w:cs="Times New Roman"/>
          <w:color w:val="767171"/>
          <w:spacing w:val="20"/>
          <w:sz w:val="24"/>
          <w:szCs w:val="24"/>
        </w:rPr>
        <w:t xml:space="preserve">ontroles de </w:t>
      </w:r>
      <w:r w:rsidR="006221FF" w:rsidRPr="006A0747">
        <w:rPr>
          <w:rFonts w:ascii="Times New Roman" w:eastAsia="Calibri" w:hAnsi="Times New Roman" w:cs="Times New Roman"/>
          <w:color w:val="767171"/>
          <w:spacing w:val="20"/>
          <w:sz w:val="24"/>
          <w:szCs w:val="24"/>
        </w:rPr>
        <w:t>s</w:t>
      </w:r>
      <w:r w:rsidR="009566F2" w:rsidRPr="006A0747">
        <w:rPr>
          <w:rFonts w:ascii="Times New Roman" w:eastAsia="Calibri" w:hAnsi="Times New Roman" w:cs="Times New Roman"/>
          <w:color w:val="767171"/>
          <w:spacing w:val="20"/>
          <w:sz w:val="24"/>
          <w:szCs w:val="24"/>
        </w:rPr>
        <w:t xml:space="preserve">eguridad de la </w:t>
      </w:r>
      <w:r w:rsidR="006221FF" w:rsidRPr="006A0747">
        <w:rPr>
          <w:rFonts w:ascii="Times New Roman" w:eastAsia="Calibri" w:hAnsi="Times New Roman" w:cs="Times New Roman"/>
          <w:color w:val="767171"/>
          <w:spacing w:val="20"/>
          <w:sz w:val="24"/>
          <w:szCs w:val="24"/>
        </w:rPr>
        <w:t>i</w:t>
      </w:r>
      <w:r w:rsidR="009566F2" w:rsidRPr="006A0747">
        <w:rPr>
          <w:rFonts w:ascii="Times New Roman" w:eastAsia="Calibri" w:hAnsi="Times New Roman" w:cs="Times New Roman"/>
          <w:color w:val="767171"/>
          <w:spacing w:val="20"/>
          <w:sz w:val="24"/>
          <w:szCs w:val="24"/>
        </w:rPr>
        <w:t>nformación</w:t>
      </w:r>
      <w:r w:rsidR="007F24D6" w:rsidRPr="006A0747">
        <w:rPr>
          <w:rFonts w:ascii="Times New Roman" w:eastAsia="Calibri" w:hAnsi="Times New Roman" w:cs="Times New Roman"/>
          <w:color w:val="767171"/>
          <w:spacing w:val="20"/>
          <w:sz w:val="24"/>
          <w:szCs w:val="24"/>
        </w:rPr>
        <w:t xml:space="preserve">; </w:t>
      </w:r>
      <w:r w:rsidR="00077C91" w:rsidRPr="006A0747">
        <w:rPr>
          <w:rFonts w:ascii="Times New Roman" w:eastAsia="Calibri" w:hAnsi="Times New Roman" w:cs="Times New Roman"/>
          <w:color w:val="767171"/>
          <w:spacing w:val="20"/>
          <w:sz w:val="24"/>
          <w:szCs w:val="24"/>
        </w:rPr>
        <w:t xml:space="preserve">simplificación </w:t>
      </w:r>
      <w:r w:rsidR="00672CF5" w:rsidRPr="006A0747">
        <w:rPr>
          <w:rFonts w:ascii="Times New Roman" w:eastAsia="Calibri" w:hAnsi="Times New Roman" w:cs="Times New Roman"/>
          <w:color w:val="767171"/>
          <w:spacing w:val="20"/>
          <w:sz w:val="24"/>
          <w:szCs w:val="24"/>
        </w:rPr>
        <w:t>de</w:t>
      </w:r>
      <w:r w:rsidR="00077C91" w:rsidRPr="006A0747">
        <w:rPr>
          <w:rFonts w:ascii="Times New Roman" w:eastAsia="Calibri" w:hAnsi="Times New Roman" w:cs="Times New Roman"/>
          <w:color w:val="767171"/>
          <w:spacing w:val="20"/>
          <w:sz w:val="24"/>
          <w:szCs w:val="24"/>
        </w:rPr>
        <w:t xml:space="preserve"> </w:t>
      </w:r>
      <w:r w:rsidR="00672CF5" w:rsidRPr="006A0747">
        <w:rPr>
          <w:rFonts w:ascii="Times New Roman" w:eastAsia="Calibri" w:hAnsi="Times New Roman" w:cs="Times New Roman"/>
          <w:color w:val="767171"/>
          <w:spacing w:val="20"/>
          <w:sz w:val="24"/>
          <w:szCs w:val="24"/>
        </w:rPr>
        <w:t>los procesos asociados a</w:t>
      </w:r>
      <w:r w:rsidR="00E42066" w:rsidRPr="006A0747">
        <w:rPr>
          <w:rFonts w:ascii="Times New Roman" w:eastAsia="Calibri" w:hAnsi="Times New Roman" w:cs="Times New Roman"/>
          <w:color w:val="767171"/>
          <w:spacing w:val="20"/>
          <w:sz w:val="24"/>
          <w:szCs w:val="24"/>
        </w:rPr>
        <w:t xml:space="preserve"> </w:t>
      </w:r>
      <w:r w:rsidR="009566F2" w:rsidRPr="006A0747">
        <w:rPr>
          <w:rFonts w:ascii="Times New Roman" w:eastAsia="Calibri" w:hAnsi="Times New Roman" w:cs="Times New Roman"/>
          <w:color w:val="767171"/>
          <w:spacing w:val="20"/>
          <w:sz w:val="24"/>
          <w:szCs w:val="24"/>
        </w:rPr>
        <w:t xml:space="preserve">la </w:t>
      </w:r>
      <w:r w:rsidR="00A679CD" w:rsidRPr="006A0747">
        <w:rPr>
          <w:rFonts w:ascii="Times New Roman" w:eastAsia="Calibri" w:hAnsi="Times New Roman" w:cs="Times New Roman"/>
          <w:color w:val="767171"/>
          <w:spacing w:val="20"/>
          <w:sz w:val="24"/>
          <w:szCs w:val="24"/>
        </w:rPr>
        <w:t>i</w:t>
      </w:r>
      <w:r w:rsidR="009566F2" w:rsidRPr="006A0747">
        <w:rPr>
          <w:rFonts w:ascii="Times New Roman" w:eastAsia="Calibri" w:hAnsi="Times New Roman" w:cs="Times New Roman"/>
          <w:color w:val="767171"/>
          <w:spacing w:val="20"/>
          <w:sz w:val="24"/>
          <w:szCs w:val="24"/>
        </w:rPr>
        <w:t xml:space="preserve">nnovación y </w:t>
      </w:r>
      <w:r w:rsidR="00A679CD" w:rsidRPr="006A0747">
        <w:rPr>
          <w:rFonts w:ascii="Times New Roman" w:eastAsia="Calibri" w:hAnsi="Times New Roman" w:cs="Times New Roman"/>
          <w:color w:val="767171"/>
          <w:spacing w:val="20"/>
          <w:sz w:val="24"/>
          <w:szCs w:val="24"/>
        </w:rPr>
        <w:t>c</w:t>
      </w:r>
      <w:r w:rsidR="009566F2" w:rsidRPr="006A0747">
        <w:rPr>
          <w:rFonts w:ascii="Times New Roman" w:eastAsia="Calibri" w:hAnsi="Times New Roman" w:cs="Times New Roman"/>
          <w:color w:val="767171"/>
          <w:spacing w:val="20"/>
          <w:sz w:val="24"/>
          <w:szCs w:val="24"/>
        </w:rPr>
        <w:t xml:space="preserve">ontinuidad de </w:t>
      </w:r>
      <w:r w:rsidR="00A679CD" w:rsidRPr="006A0747">
        <w:rPr>
          <w:rFonts w:ascii="Times New Roman" w:eastAsia="Calibri" w:hAnsi="Times New Roman" w:cs="Times New Roman"/>
          <w:color w:val="767171"/>
          <w:spacing w:val="20"/>
          <w:sz w:val="24"/>
          <w:szCs w:val="24"/>
        </w:rPr>
        <w:t>n</w:t>
      </w:r>
      <w:r w:rsidR="009566F2" w:rsidRPr="006A0747">
        <w:rPr>
          <w:rFonts w:ascii="Times New Roman" w:eastAsia="Calibri" w:hAnsi="Times New Roman" w:cs="Times New Roman"/>
          <w:color w:val="767171"/>
          <w:spacing w:val="20"/>
          <w:sz w:val="24"/>
          <w:szCs w:val="24"/>
        </w:rPr>
        <w:t>egocios</w:t>
      </w:r>
      <w:r w:rsidR="007F24D6" w:rsidRPr="006A0747">
        <w:rPr>
          <w:rFonts w:ascii="Times New Roman" w:eastAsia="Calibri" w:hAnsi="Times New Roman" w:cs="Times New Roman"/>
          <w:color w:val="767171"/>
          <w:spacing w:val="20"/>
          <w:sz w:val="24"/>
          <w:szCs w:val="24"/>
        </w:rPr>
        <w:t xml:space="preserve">; </w:t>
      </w:r>
      <w:r w:rsidR="00933C6E" w:rsidRPr="006A0747">
        <w:rPr>
          <w:rFonts w:ascii="Times New Roman" w:eastAsia="Calibri" w:hAnsi="Times New Roman" w:cs="Times New Roman"/>
          <w:color w:val="767171"/>
          <w:spacing w:val="20"/>
          <w:sz w:val="24"/>
          <w:szCs w:val="24"/>
        </w:rPr>
        <w:t>o</w:t>
      </w:r>
      <w:r w:rsidR="009566F2" w:rsidRPr="006A0747">
        <w:rPr>
          <w:rFonts w:ascii="Times New Roman" w:eastAsia="Calibri" w:hAnsi="Times New Roman" w:cs="Times New Roman"/>
          <w:color w:val="767171"/>
          <w:spacing w:val="20"/>
          <w:sz w:val="24"/>
          <w:szCs w:val="24"/>
        </w:rPr>
        <w:t xml:space="preserve">ptimización del </w:t>
      </w:r>
      <w:r w:rsidR="00933C6E" w:rsidRPr="006A0747">
        <w:rPr>
          <w:rFonts w:ascii="Times New Roman" w:eastAsia="Calibri" w:hAnsi="Times New Roman" w:cs="Times New Roman"/>
          <w:color w:val="767171"/>
          <w:spacing w:val="20"/>
          <w:sz w:val="24"/>
          <w:szCs w:val="24"/>
        </w:rPr>
        <w:t>u</w:t>
      </w:r>
      <w:r w:rsidR="009566F2" w:rsidRPr="006A0747">
        <w:rPr>
          <w:rFonts w:ascii="Times New Roman" w:eastAsia="Calibri" w:hAnsi="Times New Roman" w:cs="Times New Roman"/>
          <w:color w:val="767171"/>
          <w:spacing w:val="20"/>
          <w:sz w:val="24"/>
          <w:szCs w:val="24"/>
        </w:rPr>
        <w:t xml:space="preserve">so de </w:t>
      </w:r>
      <w:r w:rsidR="00933C6E" w:rsidRPr="006A0747">
        <w:rPr>
          <w:rFonts w:ascii="Times New Roman" w:eastAsia="Calibri" w:hAnsi="Times New Roman" w:cs="Times New Roman"/>
          <w:color w:val="767171"/>
          <w:spacing w:val="20"/>
          <w:sz w:val="24"/>
          <w:szCs w:val="24"/>
        </w:rPr>
        <w:t>r</w:t>
      </w:r>
      <w:r w:rsidR="009566F2" w:rsidRPr="006A0747">
        <w:rPr>
          <w:rFonts w:ascii="Times New Roman" w:eastAsia="Calibri" w:hAnsi="Times New Roman" w:cs="Times New Roman"/>
          <w:color w:val="767171"/>
          <w:spacing w:val="20"/>
          <w:sz w:val="24"/>
          <w:szCs w:val="24"/>
        </w:rPr>
        <w:t xml:space="preserve">ecursos y </w:t>
      </w:r>
      <w:r w:rsidR="00933C6E" w:rsidRPr="006A0747">
        <w:rPr>
          <w:rFonts w:ascii="Times New Roman" w:eastAsia="Calibri" w:hAnsi="Times New Roman" w:cs="Times New Roman"/>
          <w:color w:val="767171"/>
          <w:spacing w:val="20"/>
          <w:sz w:val="24"/>
          <w:szCs w:val="24"/>
        </w:rPr>
        <w:t>c</w:t>
      </w:r>
      <w:r w:rsidR="009566F2" w:rsidRPr="006A0747">
        <w:rPr>
          <w:rFonts w:ascii="Times New Roman" w:eastAsia="Calibri" w:hAnsi="Times New Roman" w:cs="Times New Roman"/>
          <w:color w:val="767171"/>
          <w:spacing w:val="20"/>
          <w:sz w:val="24"/>
          <w:szCs w:val="24"/>
        </w:rPr>
        <w:t xml:space="preserve">apacidad </w:t>
      </w:r>
      <w:r w:rsidR="00933C6E" w:rsidRPr="006A0747">
        <w:rPr>
          <w:rFonts w:ascii="Times New Roman" w:eastAsia="Calibri" w:hAnsi="Times New Roman" w:cs="Times New Roman"/>
          <w:color w:val="767171"/>
          <w:spacing w:val="20"/>
          <w:sz w:val="24"/>
          <w:szCs w:val="24"/>
        </w:rPr>
        <w:t>i</w:t>
      </w:r>
      <w:r w:rsidR="009566F2" w:rsidRPr="006A0747">
        <w:rPr>
          <w:rFonts w:ascii="Times New Roman" w:eastAsia="Calibri" w:hAnsi="Times New Roman" w:cs="Times New Roman"/>
          <w:color w:val="767171"/>
          <w:spacing w:val="20"/>
          <w:sz w:val="24"/>
          <w:szCs w:val="24"/>
        </w:rPr>
        <w:t>nstalada</w:t>
      </w:r>
      <w:r w:rsidR="007F24D6" w:rsidRPr="006A0747">
        <w:rPr>
          <w:rFonts w:ascii="Times New Roman" w:eastAsia="Calibri" w:hAnsi="Times New Roman" w:cs="Times New Roman"/>
          <w:color w:val="767171"/>
          <w:spacing w:val="20"/>
          <w:sz w:val="24"/>
          <w:szCs w:val="24"/>
        </w:rPr>
        <w:t xml:space="preserve">; </w:t>
      </w:r>
      <w:r w:rsidR="00672CF5" w:rsidRPr="006A0747">
        <w:rPr>
          <w:rFonts w:ascii="Times New Roman" w:eastAsia="Calibri" w:hAnsi="Times New Roman" w:cs="Times New Roman"/>
          <w:color w:val="767171"/>
          <w:spacing w:val="20"/>
          <w:sz w:val="24"/>
          <w:szCs w:val="24"/>
        </w:rPr>
        <w:t>y</w:t>
      </w:r>
      <w:r w:rsidR="007F24D6" w:rsidRPr="006A0747">
        <w:rPr>
          <w:rFonts w:ascii="Times New Roman" w:eastAsia="Calibri" w:hAnsi="Times New Roman" w:cs="Times New Roman"/>
          <w:color w:val="767171"/>
          <w:spacing w:val="20"/>
          <w:sz w:val="24"/>
          <w:szCs w:val="24"/>
        </w:rPr>
        <w:t xml:space="preserve"> </w:t>
      </w:r>
      <w:r w:rsidR="00933C6E" w:rsidRPr="006A0747">
        <w:rPr>
          <w:rFonts w:ascii="Times New Roman" w:eastAsia="Calibri" w:hAnsi="Times New Roman" w:cs="Times New Roman"/>
          <w:color w:val="767171"/>
          <w:spacing w:val="20"/>
          <w:sz w:val="24"/>
          <w:szCs w:val="24"/>
        </w:rPr>
        <w:t>m</w:t>
      </w:r>
      <w:r w:rsidR="009566F2" w:rsidRPr="006A0747">
        <w:rPr>
          <w:rFonts w:ascii="Times New Roman" w:eastAsia="Calibri" w:hAnsi="Times New Roman" w:cs="Times New Roman"/>
          <w:color w:val="767171"/>
          <w:spacing w:val="20"/>
          <w:sz w:val="24"/>
          <w:szCs w:val="24"/>
        </w:rPr>
        <w:t xml:space="preserve">ejora de la </w:t>
      </w:r>
      <w:r w:rsidR="00933C6E" w:rsidRPr="006A0747">
        <w:rPr>
          <w:rFonts w:ascii="Times New Roman" w:eastAsia="Calibri" w:hAnsi="Times New Roman" w:cs="Times New Roman"/>
          <w:color w:val="767171"/>
          <w:spacing w:val="20"/>
          <w:sz w:val="24"/>
          <w:szCs w:val="24"/>
        </w:rPr>
        <w:t>e</w:t>
      </w:r>
      <w:r w:rsidR="009566F2" w:rsidRPr="006A0747">
        <w:rPr>
          <w:rFonts w:ascii="Times New Roman" w:eastAsia="Calibri" w:hAnsi="Times New Roman" w:cs="Times New Roman"/>
          <w:color w:val="767171"/>
          <w:spacing w:val="20"/>
          <w:sz w:val="24"/>
          <w:szCs w:val="24"/>
        </w:rPr>
        <w:t xml:space="preserve">xperiencia del </w:t>
      </w:r>
      <w:r w:rsidR="00933C6E" w:rsidRPr="006A0747">
        <w:rPr>
          <w:rFonts w:ascii="Times New Roman" w:eastAsia="Calibri" w:hAnsi="Times New Roman" w:cs="Times New Roman"/>
          <w:color w:val="767171"/>
          <w:spacing w:val="20"/>
          <w:sz w:val="24"/>
          <w:szCs w:val="24"/>
        </w:rPr>
        <w:t>u</w:t>
      </w:r>
      <w:r w:rsidR="009566F2" w:rsidRPr="006A0747">
        <w:rPr>
          <w:rFonts w:ascii="Times New Roman" w:eastAsia="Calibri" w:hAnsi="Times New Roman" w:cs="Times New Roman"/>
          <w:color w:val="767171"/>
          <w:spacing w:val="20"/>
          <w:sz w:val="24"/>
          <w:szCs w:val="24"/>
        </w:rPr>
        <w:t>suario</w:t>
      </w:r>
      <w:r w:rsidR="00B52A12" w:rsidRPr="006A0747">
        <w:rPr>
          <w:rFonts w:ascii="Times New Roman" w:eastAsia="Calibri" w:hAnsi="Times New Roman" w:cs="Times New Roman"/>
          <w:color w:val="767171"/>
          <w:spacing w:val="20"/>
          <w:sz w:val="24"/>
          <w:szCs w:val="24"/>
        </w:rPr>
        <w:t>.</w:t>
      </w:r>
    </w:p>
    <w:p w14:paraId="668DC421" w14:textId="44272D4B" w:rsidR="003B2418" w:rsidRPr="006A0747" w:rsidRDefault="00681D10" w:rsidP="009566F2">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Por otro lado, c</w:t>
      </w:r>
      <w:r w:rsidR="003A5C9C" w:rsidRPr="006A0747">
        <w:rPr>
          <w:rFonts w:ascii="Times New Roman" w:eastAsia="Calibri" w:hAnsi="Times New Roman" w:cs="Times New Roman"/>
          <w:color w:val="767171"/>
          <w:spacing w:val="20"/>
          <w:sz w:val="24"/>
          <w:szCs w:val="24"/>
        </w:rPr>
        <w:t>on el objetivo de fortalecer el proceso de supervisión transfronteriza</w:t>
      </w:r>
      <w:r w:rsidR="00124014" w:rsidRPr="006A0747">
        <w:rPr>
          <w:rFonts w:ascii="Times New Roman" w:eastAsia="Calibri" w:hAnsi="Times New Roman" w:cs="Times New Roman"/>
          <w:color w:val="767171"/>
          <w:spacing w:val="20"/>
          <w:sz w:val="24"/>
          <w:szCs w:val="24"/>
        </w:rPr>
        <w:t>, se llevó a cabo</w:t>
      </w:r>
      <w:r w:rsidR="00A61E1F" w:rsidRPr="006A0747">
        <w:rPr>
          <w:rFonts w:ascii="Times New Roman" w:eastAsia="Calibri" w:hAnsi="Times New Roman" w:cs="Times New Roman"/>
          <w:color w:val="767171"/>
          <w:spacing w:val="20"/>
          <w:sz w:val="24"/>
          <w:szCs w:val="24"/>
        </w:rPr>
        <w:t xml:space="preserve"> la implementación de un aplicativo para estandarizar y automatizar</w:t>
      </w:r>
      <w:r w:rsidR="00906584" w:rsidRPr="006A0747">
        <w:rPr>
          <w:rFonts w:ascii="Times New Roman" w:eastAsia="Calibri" w:hAnsi="Times New Roman" w:cs="Times New Roman"/>
          <w:color w:val="767171"/>
          <w:spacing w:val="20"/>
          <w:sz w:val="24"/>
          <w:szCs w:val="24"/>
        </w:rPr>
        <w:t xml:space="preserve"> los reportes </w:t>
      </w:r>
      <w:r w:rsidR="005E539F" w:rsidRPr="006A0747">
        <w:rPr>
          <w:rFonts w:ascii="Times New Roman" w:eastAsia="Calibri" w:hAnsi="Times New Roman" w:cs="Times New Roman"/>
          <w:color w:val="767171"/>
          <w:spacing w:val="20"/>
          <w:sz w:val="24"/>
          <w:szCs w:val="24"/>
        </w:rPr>
        <w:t>de supervisión</w:t>
      </w:r>
      <w:r w:rsidR="00C757A7" w:rsidRPr="006A0747">
        <w:rPr>
          <w:rFonts w:ascii="Times New Roman" w:eastAsia="Calibri" w:hAnsi="Times New Roman" w:cs="Times New Roman"/>
          <w:color w:val="767171"/>
          <w:spacing w:val="20"/>
          <w:sz w:val="24"/>
          <w:szCs w:val="24"/>
        </w:rPr>
        <w:t xml:space="preserve"> </w:t>
      </w:r>
      <w:r w:rsidR="003F37A1" w:rsidRPr="006A0747">
        <w:rPr>
          <w:rFonts w:ascii="Times New Roman" w:eastAsia="Calibri" w:hAnsi="Times New Roman" w:cs="Times New Roman"/>
          <w:color w:val="767171"/>
          <w:spacing w:val="20"/>
          <w:sz w:val="24"/>
          <w:szCs w:val="24"/>
        </w:rPr>
        <w:t>q</w:t>
      </w:r>
      <w:r w:rsidR="00DE47F3" w:rsidRPr="006A0747">
        <w:rPr>
          <w:rFonts w:ascii="Times New Roman" w:eastAsia="Calibri" w:hAnsi="Times New Roman" w:cs="Times New Roman"/>
          <w:color w:val="767171"/>
          <w:spacing w:val="20"/>
          <w:sz w:val="24"/>
          <w:szCs w:val="24"/>
        </w:rPr>
        <w:t>ue se comparten</w:t>
      </w:r>
      <w:r w:rsidR="001B554B" w:rsidRPr="006A0747">
        <w:rPr>
          <w:rFonts w:ascii="Times New Roman" w:eastAsia="Calibri" w:hAnsi="Times New Roman" w:cs="Times New Roman"/>
          <w:color w:val="767171"/>
          <w:spacing w:val="20"/>
          <w:sz w:val="24"/>
          <w:szCs w:val="24"/>
        </w:rPr>
        <w:t xml:space="preserve"> entre </w:t>
      </w:r>
      <w:r w:rsidR="006261ED" w:rsidRPr="006A0747">
        <w:rPr>
          <w:rFonts w:ascii="Times New Roman" w:eastAsia="Calibri" w:hAnsi="Times New Roman" w:cs="Times New Roman"/>
          <w:color w:val="767171"/>
          <w:spacing w:val="20"/>
          <w:sz w:val="24"/>
          <w:szCs w:val="24"/>
        </w:rPr>
        <w:t xml:space="preserve">las distintas </w:t>
      </w:r>
      <w:r w:rsidR="008C749D" w:rsidRPr="006A0747">
        <w:rPr>
          <w:rFonts w:ascii="Times New Roman" w:eastAsia="Calibri" w:hAnsi="Times New Roman" w:cs="Times New Roman"/>
          <w:color w:val="767171"/>
          <w:spacing w:val="20"/>
          <w:sz w:val="24"/>
          <w:szCs w:val="24"/>
        </w:rPr>
        <w:t xml:space="preserve">jurisdicciones </w:t>
      </w:r>
      <w:r w:rsidR="00573DEF" w:rsidRPr="006A0747">
        <w:rPr>
          <w:rFonts w:ascii="Times New Roman" w:eastAsia="Calibri" w:hAnsi="Times New Roman" w:cs="Times New Roman"/>
          <w:color w:val="767171"/>
          <w:spacing w:val="20"/>
          <w:sz w:val="24"/>
          <w:szCs w:val="24"/>
        </w:rPr>
        <w:t xml:space="preserve">de la región de </w:t>
      </w:r>
      <w:proofErr w:type="spellStart"/>
      <w:r w:rsidR="00573DEF" w:rsidRPr="006A0747">
        <w:rPr>
          <w:rFonts w:ascii="Times New Roman" w:eastAsia="Calibri" w:hAnsi="Times New Roman" w:cs="Times New Roman"/>
          <w:color w:val="767171"/>
          <w:spacing w:val="20"/>
          <w:sz w:val="24"/>
          <w:szCs w:val="24"/>
        </w:rPr>
        <w:lastRenderedPageBreak/>
        <w:t>Centroamerica</w:t>
      </w:r>
      <w:proofErr w:type="spellEnd"/>
      <w:r w:rsidR="00014BAC" w:rsidRPr="006A0747">
        <w:rPr>
          <w:rFonts w:ascii="Times New Roman" w:eastAsia="Calibri" w:hAnsi="Times New Roman" w:cs="Times New Roman"/>
          <w:color w:val="767171"/>
          <w:spacing w:val="20"/>
          <w:sz w:val="24"/>
          <w:szCs w:val="24"/>
        </w:rPr>
        <w:t xml:space="preserve">. </w:t>
      </w:r>
      <w:r w:rsidR="004E21C3" w:rsidRPr="006A0747">
        <w:rPr>
          <w:rFonts w:ascii="Times New Roman" w:eastAsia="Calibri" w:hAnsi="Times New Roman" w:cs="Times New Roman"/>
          <w:color w:val="767171"/>
          <w:spacing w:val="20"/>
          <w:sz w:val="24"/>
          <w:szCs w:val="24"/>
        </w:rPr>
        <w:t>Las parametrizaciones de dicho</w:t>
      </w:r>
      <w:r w:rsidR="00304F3E" w:rsidRPr="006A0747">
        <w:rPr>
          <w:rFonts w:ascii="Times New Roman" w:eastAsia="Calibri" w:hAnsi="Times New Roman" w:cs="Times New Roman"/>
          <w:color w:val="767171"/>
          <w:spacing w:val="20"/>
          <w:sz w:val="24"/>
          <w:szCs w:val="24"/>
        </w:rPr>
        <w:t xml:space="preserve"> aplicativo </w:t>
      </w:r>
      <w:r w:rsidR="004E21C3" w:rsidRPr="006A0747">
        <w:rPr>
          <w:rFonts w:ascii="Times New Roman" w:eastAsia="Calibri" w:hAnsi="Times New Roman" w:cs="Times New Roman"/>
          <w:color w:val="767171"/>
          <w:spacing w:val="20"/>
          <w:sz w:val="24"/>
          <w:szCs w:val="24"/>
        </w:rPr>
        <w:t>fueron realizadas</w:t>
      </w:r>
      <w:r w:rsidR="00CC29C1" w:rsidRPr="006A0747">
        <w:rPr>
          <w:rFonts w:ascii="Times New Roman" w:eastAsia="Calibri" w:hAnsi="Times New Roman" w:cs="Times New Roman"/>
          <w:color w:val="767171"/>
          <w:spacing w:val="20"/>
          <w:sz w:val="24"/>
          <w:szCs w:val="24"/>
        </w:rPr>
        <w:t xml:space="preserve"> </w:t>
      </w:r>
      <w:r w:rsidR="00A61E1F" w:rsidRPr="006A0747">
        <w:rPr>
          <w:rFonts w:ascii="Times New Roman" w:eastAsia="Calibri" w:hAnsi="Times New Roman" w:cs="Times New Roman"/>
          <w:color w:val="767171"/>
          <w:spacing w:val="20"/>
          <w:sz w:val="24"/>
          <w:szCs w:val="24"/>
        </w:rPr>
        <w:t xml:space="preserve">acorde al modelo establecido por el </w:t>
      </w:r>
      <w:r w:rsidR="00A61E1F" w:rsidRPr="006A0747">
        <w:rPr>
          <w:rFonts w:ascii="Times New Roman" w:eastAsia="Calibri" w:hAnsi="Times New Roman" w:cs="Times New Roman"/>
          <w:b/>
          <w:color w:val="767171"/>
          <w:spacing w:val="20"/>
          <w:sz w:val="24"/>
          <w:szCs w:val="24"/>
        </w:rPr>
        <w:t xml:space="preserve">Consejo Centroamericano de Superintendentes, de Seguros y Otras instituciones Financieras </w:t>
      </w:r>
      <w:r w:rsidR="00CC29C1" w:rsidRPr="006A0747">
        <w:rPr>
          <w:rFonts w:ascii="Times New Roman" w:eastAsia="Calibri" w:hAnsi="Times New Roman" w:cs="Times New Roman"/>
          <w:b/>
          <w:color w:val="767171"/>
          <w:spacing w:val="20"/>
          <w:sz w:val="24"/>
          <w:szCs w:val="24"/>
        </w:rPr>
        <w:t>(</w:t>
      </w:r>
      <w:r w:rsidR="00A61E1F" w:rsidRPr="006A0747">
        <w:rPr>
          <w:rFonts w:ascii="Times New Roman" w:eastAsia="Calibri" w:hAnsi="Times New Roman" w:cs="Times New Roman"/>
          <w:b/>
          <w:color w:val="767171"/>
          <w:spacing w:val="20"/>
          <w:sz w:val="24"/>
          <w:szCs w:val="24"/>
        </w:rPr>
        <w:t>CCSBSO</w:t>
      </w:r>
      <w:r w:rsidR="00CC29C1" w:rsidRPr="006A0747">
        <w:rPr>
          <w:rFonts w:ascii="Times New Roman" w:eastAsia="Calibri" w:hAnsi="Times New Roman" w:cs="Times New Roman"/>
          <w:b/>
          <w:color w:val="767171"/>
          <w:spacing w:val="20"/>
          <w:sz w:val="24"/>
          <w:szCs w:val="24"/>
        </w:rPr>
        <w:t>)</w:t>
      </w:r>
      <w:r w:rsidR="00A61E1F" w:rsidRPr="006A0747">
        <w:rPr>
          <w:rFonts w:ascii="Times New Roman" w:eastAsia="Calibri" w:hAnsi="Times New Roman" w:cs="Times New Roman"/>
          <w:color w:val="767171"/>
          <w:spacing w:val="20"/>
          <w:sz w:val="24"/>
          <w:szCs w:val="24"/>
        </w:rPr>
        <w:t>.</w:t>
      </w:r>
      <w:r w:rsidR="00E84F1E" w:rsidRPr="006A0747">
        <w:rPr>
          <w:rFonts w:ascii="Times New Roman" w:eastAsia="Calibri" w:hAnsi="Times New Roman" w:cs="Times New Roman"/>
          <w:color w:val="767171"/>
          <w:spacing w:val="20"/>
          <w:sz w:val="24"/>
          <w:szCs w:val="24"/>
        </w:rPr>
        <w:t xml:space="preserve"> De igual manera, se habilitó un aplicativo para gestionar los grupos de riesgo con el objetivo de monitorear los límites de concentración de los diferentes grupos activos en el sistema financiero.</w:t>
      </w:r>
    </w:p>
    <w:p w14:paraId="1A133181" w14:textId="08E7506A" w:rsidR="00D76572" w:rsidRPr="006A0747" w:rsidRDefault="00BC2D32" w:rsidP="00A61E1F">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Igualmente</w:t>
      </w:r>
      <w:r w:rsidR="00A61E1F" w:rsidRPr="006A0747">
        <w:rPr>
          <w:rFonts w:ascii="Times New Roman" w:eastAsia="Calibri" w:hAnsi="Times New Roman" w:cs="Times New Roman"/>
          <w:color w:val="767171"/>
          <w:spacing w:val="20"/>
          <w:sz w:val="24"/>
          <w:szCs w:val="24"/>
        </w:rPr>
        <w:t xml:space="preserve">, </w:t>
      </w:r>
      <w:r w:rsidR="00B43F77" w:rsidRPr="006A0747">
        <w:rPr>
          <w:rFonts w:ascii="Times New Roman" w:eastAsia="Calibri" w:hAnsi="Times New Roman" w:cs="Times New Roman"/>
          <w:color w:val="767171"/>
          <w:spacing w:val="20"/>
          <w:sz w:val="24"/>
          <w:szCs w:val="24"/>
        </w:rPr>
        <w:t>se implement</w:t>
      </w:r>
      <w:r w:rsidR="00DE76A6" w:rsidRPr="006A0747">
        <w:rPr>
          <w:rFonts w:ascii="Times New Roman" w:eastAsia="Calibri" w:hAnsi="Times New Roman" w:cs="Times New Roman"/>
          <w:color w:val="767171"/>
          <w:spacing w:val="20"/>
          <w:sz w:val="24"/>
          <w:szCs w:val="24"/>
        </w:rPr>
        <w:t xml:space="preserve">ó </w:t>
      </w:r>
      <w:r w:rsidR="00B43F77" w:rsidRPr="006A0747">
        <w:rPr>
          <w:rFonts w:ascii="Times New Roman" w:eastAsia="Calibri" w:hAnsi="Times New Roman" w:cs="Times New Roman"/>
          <w:color w:val="767171"/>
          <w:spacing w:val="20"/>
          <w:sz w:val="24"/>
          <w:szCs w:val="24"/>
        </w:rPr>
        <w:t>el</w:t>
      </w:r>
      <w:r w:rsidR="00A61E1F" w:rsidRPr="006A0747">
        <w:rPr>
          <w:rFonts w:ascii="Times New Roman" w:eastAsia="Calibri" w:hAnsi="Times New Roman" w:cs="Times New Roman"/>
          <w:color w:val="767171"/>
          <w:spacing w:val="20"/>
          <w:sz w:val="24"/>
          <w:szCs w:val="24"/>
        </w:rPr>
        <w:t xml:space="preserve"> aplicativo </w:t>
      </w:r>
      <w:r w:rsidR="00A61E1F" w:rsidRPr="006A0747">
        <w:rPr>
          <w:rFonts w:ascii="Times New Roman" w:eastAsia="Calibri" w:hAnsi="Times New Roman" w:cs="Times New Roman"/>
          <w:b/>
          <w:color w:val="767171"/>
          <w:spacing w:val="20"/>
          <w:sz w:val="24"/>
          <w:szCs w:val="24"/>
        </w:rPr>
        <w:t>Gobierno de Entidades</w:t>
      </w:r>
      <w:r w:rsidR="00B43F77" w:rsidRPr="006A0747">
        <w:rPr>
          <w:rFonts w:ascii="Times New Roman" w:eastAsia="Calibri" w:hAnsi="Times New Roman" w:cs="Times New Roman"/>
          <w:color w:val="767171"/>
          <w:spacing w:val="20"/>
          <w:sz w:val="24"/>
          <w:szCs w:val="24"/>
        </w:rPr>
        <w:t xml:space="preserve"> con el </w:t>
      </w:r>
      <w:r w:rsidR="00AD1E85" w:rsidRPr="006A0747">
        <w:rPr>
          <w:rFonts w:ascii="Times New Roman" w:eastAsia="Calibri" w:hAnsi="Times New Roman" w:cs="Times New Roman"/>
          <w:color w:val="767171"/>
          <w:spacing w:val="20"/>
          <w:sz w:val="24"/>
          <w:szCs w:val="24"/>
        </w:rPr>
        <w:t xml:space="preserve">propósito </w:t>
      </w:r>
      <w:r w:rsidR="00B43F77" w:rsidRPr="006A0747">
        <w:rPr>
          <w:rFonts w:ascii="Times New Roman" w:eastAsia="Calibri" w:hAnsi="Times New Roman" w:cs="Times New Roman"/>
          <w:color w:val="767171"/>
          <w:spacing w:val="20"/>
          <w:sz w:val="24"/>
          <w:szCs w:val="24"/>
        </w:rPr>
        <w:t>de</w:t>
      </w:r>
      <w:r w:rsidR="00A61E1F" w:rsidRPr="006A0747">
        <w:rPr>
          <w:rFonts w:ascii="Times New Roman" w:eastAsia="Calibri" w:hAnsi="Times New Roman" w:cs="Times New Roman"/>
          <w:color w:val="767171"/>
          <w:spacing w:val="20"/>
          <w:sz w:val="24"/>
          <w:szCs w:val="24"/>
        </w:rPr>
        <w:t xml:space="preserve"> optimizar los medios utilizados para documentar las evaluaciones y las calificaciones de riesgo de las </w:t>
      </w:r>
      <w:proofErr w:type="spellStart"/>
      <w:r w:rsidR="00A61E1F" w:rsidRPr="006A0747">
        <w:rPr>
          <w:rFonts w:ascii="Times New Roman" w:eastAsia="Calibri" w:hAnsi="Times New Roman" w:cs="Times New Roman"/>
          <w:color w:val="767171"/>
          <w:spacing w:val="20"/>
          <w:sz w:val="24"/>
          <w:szCs w:val="24"/>
        </w:rPr>
        <w:t>EIFs</w:t>
      </w:r>
      <w:proofErr w:type="spellEnd"/>
      <w:r w:rsidR="0062182C" w:rsidRPr="006A0747">
        <w:rPr>
          <w:rFonts w:ascii="Times New Roman" w:eastAsia="Calibri" w:hAnsi="Times New Roman" w:cs="Times New Roman"/>
          <w:color w:val="767171"/>
          <w:spacing w:val="20"/>
          <w:sz w:val="24"/>
          <w:szCs w:val="24"/>
        </w:rPr>
        <w:t xml:space="preserve">. </w:t>
      </w:r>
      <w:r w:rsidR="00C16D1D" w:rsidRPr="006A0747">
        <w:rPr>
          <w:rFonts w:ascii="Times New Roman" w:eastAsia="Calibri" w:hAnsi="Times New Roman" w:cs="Times New Roman"/>
          <w:color w:val="767171"/>
          <w:spacing w:val="20"/>
          <w:sz w:val="24"/>
          <w:szCs w:val="24"/>
        </w:rPr>
        <w:t>Est</w:t>
      </w:r>
      <w:r w:rsidR="004629D8" w:rsidRPr="006A0747">
        <w:rPr>
          <w:rFonts w:ascii="Times New Roman" w:eastAsia="Calibri" w:hAnsi="Times New Roman" w:cs="Times New Roman"/>
          <w:color w:val="767171"/>
          <w:spacing w:val="20"/>
          <w:sz w:val="24"/>
          <w:szCs w:val="24"/>
        </w:rPr>
        <w:t xml:space="preserve">as mejoras permiten </w:t>
      </w:r>
      <w:r w:rsidR="00A61E1F" w:rsidRPr="006A0747">
        <w:rPr>
          <w:rFonts w:ascii="Times New Roman" w:eastAsia="Calibri" w:hAnsi="Times New Roman" w:cs="Times New Roman"/>
          <w:color w:val="767171"/>
          <w:spacing w:val="20"/>
          <w:sz w:val="24"/>
          <w:szCs w:val="24"/>
        </w:rPr>
        <w:t>evidenciar</w:t>
      </w:r>
      <w:r w:rsidR="009B057C" w:rsidRPr="006A0747">
        <w:rPr>
          <w:rFonts w:ascii="Times New Roman" w:eastAsia="Calibri" w:hAnsi="Times New Roman" w:cs="Times New Roman"/>
          <w:color w:val="767171"/>
          <w:spacing w:val="20"/>
          <w:sz w:val="24"/>
          <w:szCs w:val="24"/>
        </w:rPr>
        <w:t>,</w:t>
      </w:r>
      <w:r w:rsidR="00A61E1F" w:rsidRPr="006A0747">
        <w:rPr>
          <w:rFonts w:ascii="Times New Roman" w:eastAsia="Calibri" w:hAnsi="Times New Roman" w:cs="Times New Roman"/>
          <w:color w:val="767171"/>
          <w:spacing w:val="20"/>
          <w:sz w:val="24"/>
          <w:szCs w:val="24"/>
        </w:rPr>
        <w:t xml:space="preserve"> </w:t>
      </w:r>
      <w:r w:rsidR="00FA65E8" w:rsidRPr="006A0747">
        <w:rPr>
          <w:rFonts w:ascii="Times New Roman" w:eastAsia="Calibri" w:hAnsi="Times New Roman" w:cs="Times New Roman"/>
          <w:color w:val="767171"/>
          <w:spacing w:val="20"/>
          <w:sz w:val="24"/>
          <w:szCs w:val="24"/>
        </w:rPr>
        <w:t>de manera más eficiente</w:t>
      </w:r>
      <w:r w:rsidR="009B057C" w:rsidRPr="006A0747">
        <w:rPr>
          <w:rFonts w:ascii="Times New Roman" w:eastAsia="Calibri" w:hAnsi="Times New Roman" w:cs="Times New Roman"/>
          <w:color w:val="767171"/>
          <w:spacing w:val="20"/>
          <w:sz w:val="24"/>
          <w:szCs w:val="24"/>
        </w:rPr>
        <w:t>,</w:t>
      </w:r>
      <w:r w:rsidR="00FA65E8" w:rsidRPr="006A0747">
        <w:rPr>
          <w:rFonts w:ascii="Times New Roman" w:eastAsia="Calibri" w:hAnsi="Times New Roman" w:cs="Times New Roman"/>
          <w:color w:val="767171"/>
          <w:spacing w:val="20"/>
          <w:sz w:val="24"/>
          <w:szCs w:val="24"/>
        </w:rPr>
        <w:t xml:space="preserve"> </w:t>
      </w:r>
      <w:r w:rsidR="00A61E1F" w:rsidRPr="006A0747">
        <w:rPr>
          <w:rFonts w:ascii="Times New Roman" w:eastAsia="Calibri" w:hAnsi="Times New Roman" w:cs="Times New Roman"/>
          <w:color w:val="767171"/>
          <w:spacing w:val="20"/>
          <w:sz w:val="24"/>
          <w:szCs w:val="24"/>
        </w:rPr>
        <w:t xml:space="preserve">el deterioro o mejora de las </w:t>
      </w:r>
      <w:r w:rsidR="00CC29C1" w:rsidRPr="006A0747">
        <w:rPr>
          <w:rFonts w:ascii="Times New Roman" w:eastAsia="Calibri" w:hAnsi="Times New Roman" w:cs="Times New Roman"/>
          <w:color w:val="767171"/>
          <w:spacing w:val="20"/>
          <w:sz w:val="24"/>
          <w:szCs w:val="24"/>
        </w:rPr>
        <w:t>F</w:t>
      </w:r>
      <w:r w:rsidR="00A61E1F" w:rsidRPr="006A0747">
        <w:rPr>
          <w:rFonts w:ascii="Times New Roman" w:eastAsia="Calibri" w:hAnsi="Times New Roman" w:cs="Times New Roman"/>
          <w:color w:val="767171"/>
          <w:spacing w:val="20"/>
          <w:sz w:val="24"/>
          <w:szCs w:val="24"/>
        </w:rPr>
        <w:t xml:space="preserve">unciones de Control de Gestión de Riesgos (FCGR), Capital, Utilidades y Actividades Significativas. </w:t>
      </w:r>
      <w:r w:rsidR="0065501F" w:rsidRPr="006A0747">
        <w:rPr>
          <w:rFonts w:ascii="Times New Roman" w:eastAsia="Calibri" w:hAnsi="Times New Roman" w:cs="Times New Roman"/>
          <w:color w:val="767171"/>
          <w:spacing w:val="20"/>
          <w:sz w:val="24"/>
          <w:szCs w:val="24"/>
        </w:rPr>
        <w:t>En adición</w:t>
      </w:r>
      <w:r w:rsidR="00D76572" w:rsidRPr="006A0747">
        <w:rPr>
          <w:rFonts w:ascii="Times New Roman" w:eastAsia="Calibri" w:hAnsi="Times New Roman" w:cs="Times New Roman"/>
          <w:color w:val="767171"/>
          <w:spacing w:val="20"/>
          <w:sz w:val="24"/>
          <w:szCs w:val="24"/>
        </w:rPr>
        <w:t>, se implementó una solución tecnológica de Calidad de Datos que permite la detección proactiva de inconsistencias en los datos de las entidades supervisadas.</w:t>
      </w:r>
    </w:p>
    <w:p w14:paraId="41D3DBCF" w14:textId="26ED40B4" w:rsidR="00A61E1F" w:rsidRPr="006A0747" w:rsidRDefault="00A61E1F" w:rsidP="00A61E1F">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En cuanto a mejoras</w:t>
      </w:r>
      <w:r w:rsidR="00BA73A4" w:rsidRPr="006A0747">
        <w:rPr>
          <w:rFonts w:ascii="Times New Roman" w:eastAsia="Calibri" w:hAnsi="Times New Roman" w:cs="Times New Roman"/>
          <w:color w:val="767171"/>
          <w:spacing w:val="20"/>
          <w:sz w:val="24"/>
          <w:szCs w:val="24"/>
        </w:rPr>
        <w:t xml:space="preserve"> en</w:t>
      </w:r>
      <w:r w:rsidR="007F0A74" w:rsidRPr="006A0747">
        <w:rPr>
          <w:rFonts w:ascii="Times New Roman" w:eastAsia="Calibri" w:hAnsi="Times New Roman" w:cs="Times New Roman"/>
          <w:color w:val="767171"/>
          <w:spacing w:val="20"/>
          <w:sz w:val="24"/>
          <w:szCs w:val="24"/>
        </w:rPr>
        <w:t xml:space="preserve"> los aplicativos </w:t>
      </w:r>
      <w:r w:rsidR="009B6043" w:rsidRPr="006A0747">
        <w:rPr>
          <w:rFonts w:ascii="Times New Roman" w:eastAsia="Calibri" w:hAnsi="Times New Roman" w:cs="Times New Roman"/>
          <w:color w:val="767171"/>
          <w:spacing w:val="20"/>
          <w:sz w:val="24"/>
          <w:szCs w:val="24"/>
        </w:rPr>
        <w:t>preexistentes</w:t>
      </w:r>
      <w:r w:rsidRPr="006A0747">
        <w:rPr>
          <w:rFonts w:ascii="Times New Roman" w:eastAsia="Calibri" w:hAnsi="Times New Roman" w:cs="Times New Roman"/>
          <w:color w:val="767171"/>
          <w:spacing w:val="20"/>
          <w:sz w:val="24"/>
          <w:szCs w:val="24"/>
        </w:rPr>
        <w:t xml:space="preserve">, se </w:t>
      </w:r>
      <w:r w:rsidR="00743D3D" w:rsidRPr="006A0747">
        <w:rPr>
          <w:rFonts w:ascii="Times New Roman" w:eastAsia="Calibri" w:hAnsi="Times New Roman" w:cs="Times New Roman"/>
          <w:color w:val="767171"/>
          <w:spacing w:val="20"/>
          <w:sz w:val="24"/>
          <w:szCs w:val="24"/>
        </w:rPr>
        <w:t xml:space="preserve">aplicaron </w:t>
      </w:r>
      <w:r w:rsidR="00C63E4F" w:rsidRPr="006A0747">
        <w:rPr>
          <w:rFonts w:ascii="Times New Roman" w:eastAsia="Calibri" w:hAnsi="Times New Roman" w:cs="Times New Roman"/>
          <w:color w:val="767171"/>
          <w:spacing w:val="20"/>
          <w:sz w:val="24"/>
          <w:szCs w:val="24"/>
        </w:rPr>
        <w:t>ajustes</w:t>
      </w:r>
      <w:r w:rsidR="00743D3D" w:rsidRPr="006A0747">
        <w:rPr>
          <w:rFonts w:ascii="Times New Roman" w:eastAsia="Calibri" w:hAnsi="Times New Roman" w:cs="Times New Roman"/>
          <w:color w:val="767171"/>
          <w:spacing w:val="20"/>
          <w:sz w:val="24"/>
          <w:szCs w:val="24"/>
        </w:rPr>
        <w:t xml:space="preserve"> en</w:t>
      </w:r>
      <w:r w:rsidRPr="006A0747">
        <w:rPr>
          <w:rFonts w:ascii="Times New Roman" w:eastAsia="Calibri" w:hAnsi="Times New Roman" w:cs="Times New Roman"/>
          <w:color w:val="767171"/>
          <w:spacing w:val="20"/>
          <w:sz w:val="24"/>
          <w:szCs w:val="24"/>
        </w:rPr>
        <w:t xml:space="preserve"> el aplicativo para la gestión de sanciones</w:t>
      </w:r>
      <w:r w:rsidR="007C36CC" w:rsidRPr="006A0747">
        <w:rPr>
          <w:rFonts w:ascii="Times New Roman" w:eastAsia="Calibri" w:hAnsi="Times New Roman" w:cs="Times New Roman"/>
          <w:color w:val="767171"/>
          <w:spacing w:val="20"/>
          <w:sz w:val="24"/>
          <w:szCs w:val="24"/>
        </w:rPr>
        <w:t xml:space="preserve"> y se </w:t>
      </w:r>
      <w:r w:rsidR="002462AB" w:rsidRPr="006A0747">
        <w:rPr>
          <w:rFonts w:ascii="Times New Roman" w:eastAsia="Calibri" w:hAnsi="Times New Roman" w:cs="Times New Roman"/>
          <w:color w:val="767171"/>
          <w:spacing w:val="20"/>
          <w:sz w:val="24"/>
          <w:szCs w:val="24"/>
        </w:rPr>
        <w:t>inclu</w:t>
      </w:r>
      <w:r w:rsidR="007C36CC" w:rsidRPr="006A0747">
        <w:rPr>
          <w:rFonts w:ascii="Times New Roman" w:eastAsia="Calibri" w:hAnsi="Times New Roman" w:cs="Times New Roman"/>
          <w:color w:val="767171"/>
          <w:spacing w:val="20"/>
          <w:sz w:val="24"/>
          <w:szCs w:val="24"/>
        </w:rPr>
        <w:t>yeron módulos</w:t>
      </w:r>
      <w:r w:rsidR="002462AB" w:rsidRPr="006A0747">
        <w:rPr>
          <w:rFonts w:ascii="Times New Roman" w:eastAsia="Calibri" w:hAnsi="Times New Roman" w:cs="Times New Roman"/>
          <w:color w:val="767171"/>
          <w:spacing w:val="20"/>
          <w:sz w:val="24"/>
          <w:szCs w:val="24"/>
        </w:rPr>
        <w:t xml:space="preserve"> </w:t>
      </w:r>
      <w:r w:rsidR="00A05942" w:rsidRPr="006A0747">
        <w:rPr>
          <w:rFonts w:ascii="Times New Roman" w:eastAsia="Calibri" w:hAnsi="Times New Roman" w:cs="Times New Roman"/>
          <w:color w:val="767171"/>
          <w:spacing w:val="20"/>
          <w:sz w:val="24"/>
          <w:szCs w:val="24"/>
        </w:rPr>
        <w:t xml:space="preserve">para otros departamentos </w:t>
      </w:r>
      <w:r w:rsidR="007C36CC" w:rsidRPr="006A0747">
        <w:rPr>
          <w:rFonts w:ascii="Times New Roman" w:eastAsia="Calibri" w:hAnsi="Times New Roman" w:cs="Times New Roman"/>
          <w:color w:val="767171"/>
          <w:spacing w:val="20"/>
          <w:sz w:val="24"/>
          <w:szCs w:val="24"/>
        </w:rPr>
        <w:t>que intervienen en el proceso</w:t>
      </w:r>
      <w:r w:rsidR="00A05942" w:rsidRPr="006A0747">
        <w:rPr>
          <w:rFonts w:ascii="Times New Roman" w:eastAsia="Calibri" w:hAnsi="Times New Roman" w:cs="Times New Roman"/>
          <w:color w:val="767171"/>
          <w:spacing w:val="20"/>
          <w:sz w:val="24"/>
          <w:szCs w:val="24"/>
        </w:rPr>
        <w:t>,</w:t>
      </w:r>
      <w:r w:rsidRPr="006A0747">
        <w:rPr>
          <w:rFonts w:ascii="Times New Roman" w:eastAsia="Calibri" w:hAnsi="Times New Roman" w:cs="Times New Roman"/>
          <w:color w:val="767171"/>
          <w:spacing w:val="20"/>
          <w:sz w:val="24"/>
          <w:szCs w:val="24"/>
        </w:rPr>
        <w:t xml:space="preserve"> </w:t>
      </w:r>
      <w:r w:rsidR="00C6190E" w:rsidRPr="006A0747">
        <w:rPr>
          <w:rFonts w:ascii="Times New Roman" w:eastAsia="Calibri" w:hAnsi="Times New Roman" w:cs="Times New Roman"/>
          <w:color w:val="767171"/>
          <w:spacing w:val="20"/>
          <w:sz w:val="24"/>
          <w:szCs w:val="24"/>
        </w:rPr>
        <w:t xml:space="preserve">lo que se traduce </w:t>
      </w:r>
      <w:r w:rsidR="00D01B08" w:rsidRPr="006A0747">
        <w:rPr>
          <w:rFonts w:ascii="Times New Roman" w:eastAsia="Calibri" w:hAnsi="Times New Roman" w:cs="Times New Roman"/>
          <w:color w:val="767171"/>
          <w:spacing w:val="20"/>
          <w:sz w:val="24"/>
          <w:szCs w:val="24"/>
        </w:rPr>
        <w:t xml:space="preserve">en </w:t>
      </w:r>
      <w:r w:rsidR="007C36CC" w:rsidRPr="006A0747">
        <w:rPr>
          <w:rFonts w:ascii="Times New Roman" w:eastAsia="Calibri" w:hAnsi="Times New Roman" w:cs="Times New Roman"/>
          <w:color w:val="767171"/>
          <w:spacing w:val="20"/>
          <w:sz w:val="24"/>
          <w:szCs w:val="24"/>
        </w:rPr>
        <w:t xml:space="preserve">mayor trazabilidad, </w:t>
      </w:r>
      <w:r w:rsidR="00D01B08" w:rsidRPr="006A0747">
        <w:rPr>
          <w:rFonts w:ascii="Times New Roman" w:eastAsia="Calibri" w:hAnsi="Times New Roman" w:cs="Times New Roman"/>
          <w:color w:val="767171"/>
          <w:spacing w:val="20"/>
          <w:sz w:val="24"/>
          <w:szCs w:val="24"/>
        </w:rPr>
        <w:t>en flujos de trabajo más eficientes</w:t>
      </w:r>
      <w:r w:rsidR="00F70C02" w:rsidRPr="006A0747">
        <w:rPr>
          <w:rFonts w:ascii="Times New Roman" w:eastAsia="Calibri" w:hAnsi="Times New Roman" w:cs="Times New Roman"/>
          <w:color w:val="767171"/>
          <w:spacing w:val="20"/>
          <w:sz w:val="24"/>
          <w:szCs w:val="24"/>
        </w:rPr>
        <w:t xml:space="preserve"> </w:t>
      </w:r>
      <w:r w:rsidR="000A10D3" w:rsidRPr="006A0747">
        <w:rPr>
          <w:rFonts w:ascii="Times New Roman" w:eastAsia="Calibri" w:hAnsi="Times New Roman" w:cs="Times New Roman"/>
          <w:color w:val="767171"/>
          <w:spacing w:val="20"/>
          <w:sz w:val="24"/>
          <w:szCs w:val="24"/>
        </w:rPr>
        <w:t xml:space="preserve">y </w:t>
      </w:r>
      <w:r w:rsidR="008F75DE" w:rsidRPr="006A0747">
        <w:rPr>
          <w:rFonts w:ascii="Times New Roman" w:eastAsia="Calibri" w:hAnsi="Times New Roman" w:cs="Times New Roman"/>
          <w:color w:val="767171"/>
          <w:spacing w:val="20"/>
          <w:sz w:val="24"/>
          <w:szCs w:val="24"/>
        </w:rPr>
        <w:t xml:space="preserve">en </w:t>
      </w:r>
      <w:r w:rsidR="005119CA" w:rsidRPr="006A0747">
        <w:rPr>
          <w:rFonts w:ascii="Times New Roman" w:eastAsia="Calibri" w:hAnsi="Times New Roman" w:cs="Times New Roman"/>
          <w:color w:val="767171"/>
          <w:spacing w:val="20"/>
          <w:sz w:val="24"/>
          <w:szCs w:val="24"/>
        </w:rPr>
        <w:t>reducciones</w:t>
      </w:r>
      <w:r w:rsidR="000A10D3" w:rsidRPr="006A0747">
        <w:rPr>
          <w:rFonts w:ascii="Times New Roman" w:eastAsia="Calibri" w:hAnsi="Times New Roman" w:cs="Times New Roman"/>
          <w:color w:val="767171"/>
          <w:spacing w:val="20"/>
          <w:sz w:val="24"/>
          <w:szCs w:val="24"/>
        </w:rPr>
        <w:t xml:space="preserve"> en los tiempos de respuesta asociados a</w:t>
      </w:r>
      <w:r w:rsidRPr="006A0747">
        <w:rPr>
          <w:rFonts w:ascii="Times New Roman" w:eastAsia="Calibri" w:hAnsi="Times New Roman" w:cs="Times New Roman"/>
          <w:color w:val="767171"/>
          <w:spacing w:val="20"/>
          <w:sz w:val="24"/>
          <w:szCs w:val="24"/>
        </w:rPr>
        <w:t xml:space="preserve"> cada expediente.</w:t>
      </w:r>
    </w:p>
    <w:p w14:paraId="77A45DB3" w14:textId="5FF44101" w:rsidR="00A61E1F" w:rsidRPr="006A0747" w:rsidRDefault="00A61E1F" w:rsidP="00A61E1F">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De cara a las entidades supervisadas por esta Superintendencia, </w:t>
      </w:r>
      <w:r w:rsidR="008F75DE" w:rsidRPr="006A0747">
        <w:rPr>
          <w:rFonts w:ascii="Times New Roman" w:eastAsia="Calibri" w:hAnsi="Times New Roman" w:cs="Times New Roman"/>
          <w:color w:val="767171"/>
          <w:spacing w:val="20"/>
          <w:sz w:val="24"/>
          <w:szCs w:val="24"/>
        </w:rPr>
        <w:t xml:space="preserve">se </w:t>
      </w:r>
      <w:r w:rsidR="007C73EF" w:rsidRPr="006A0747">
        <w:rPr>
          <w:rFonts w:ascii="Times New Roman" w:eastAsia="Calibri" w:hAnsi="Times New Roman" w:cs="Times New Roman"/>
          <w:color w:val="767171"/>
          <w:spacing w:val="20"/>
          <w:sz w:val="24"/>
          <w:szCs w:val="24"/>
        </w:rPr>
        <w:t>puso en marcha una</w:t>
      </w:r>
      <w:r w:rsidRPr="006A0747">
        <w:rPr>
          <w:rFonts w:ascii="Times New Roman" w:eastAsia="Calibri" w:hAnsi="Times New Roman" w:cs="Times New Roman"/>
          <w:color w:val="767171"/>
          <w:spacing w:val="20"/>
          <w:sz w:val="24"/>
          <w:szCs w:val="24"/>
        </w:rPr>
        <w:t xml:space="preserve"> nueva versión del </w:t>
      </w:r>
      <w:r w:rsidR="007C73EF" w:rsidRPr="006A0747">
        <w:rPr>
          <w:rFonts w:ascii="Times New Roman" w:eastAsia="Calibri" w:hAnsi="Times New Roman" w:cs="Times New Roman"/>
          <w:color w:val="767171"/>
          <w:spacing w:val="20"/>
          <w:sz w:val="24"/>
          <w:szCs w:val="24"/>
        </w:rPr>
        <w:t>aplicativo</w:t>
      </w:r>
      <w:r w:rsidRPr="006A0747">
        <w:rPr>
          <w:rFonts w:ascii="Times New Roman" w:eastAsia="Calibri" w:hAnsi="Times New Roman" w:cs="Times New Roman"/>
          <w:color w:val="767171"/>
          <w:spacing w:val="20"/>
          <w:sz w:val="24"/>
          <w:szCs w:val="24"/>
        </w:rPr>
        <w:t xml:space="preserve"> </w:t>
      </w:r>
      <w:r w:rsidRPr="006A0747">
        <w:rPr>
          <w:rFonts w:ascii="Times New Roman" w:eastAsia="Calibri" w:hAnsi="Times New Roman" w:cs="Times New Roman"/>
          <w:b/>
          <w:bCs/>
          <w:color w:val="767171"/>
          <w:spacing w:val="20"/>
          <w:sz w:val="24"/>
          <w:szCs w:val="24"/>
        </w:rPr>
        <w:t>SB</w:t>
      </w:r>
      <w:r w:rsidR="00B83351" w:rsidRPr="006A0747">
        <w:rPr>
          <w:rFonts w:ascii="Times New Roman" w:eastAsia="Calibri" w:hAnsi="Times New Roman" w:cs="Times New Roman"/>
          <w:b/>
          <w:bCs/>
          <w:color w:val="767171"/>
          <w:spacing w:val="20"/>
          <w:sz w:val="24"/>
          <w:szCs w:val="24"/>
        </w:rPr>
        <w:t xml:space="preserve"> </w:t>
      </w:r>
      <w:r w:rsidRPr="006A0747">
        <w:rPr>
          <w:rFonts w:ascii="Times New Roman" w:eastAsia="Calibri" w:hAnsi="Times New Roman" w:cs="Times New Roman"/>
          <w:b/>
          <w:bCs/>
          <w:color w:val="767171"/>
          <w:spacing w:val="20"/>
          <w:sz w:val="24"/>
          <w:szCs w:val="24"/>
        </w:rPr>
        <w:t>Interactivo</w:t>
      </w:r>
      <w:r w:rsidRPr="006A0747">
        <w:rPr>
          <w:rFonts w:ascii="Times New Roman" w:eastAsia="Calibri" w:hAnsi="Times New Roman" w:cs="Times New Roman"/>
          <w:color w:val="767171"/>
          <w:spacing w:val="20"/>
          <w:sz w:val="24"/>
          <w:szCs w:val="24"/>
        </w:rPr>
        <w:t>. La renovada plataforma mejora significativamente la experiencia de los usuarios</w:t>
      </w:r>
      <w:r w:rsidR="00AA1B41" w:rsidRPr="006A0747">
        <w:rPr>
          <w:rFonts w:ascii="Times New Roman" w:eastAsia="Calibri" w:hAnsi="Times New Roman" w:cs="Times New Roman"/>
          <w:color w:val="767171"/>
          <w:spacing w:val="20"/>
          <w:sz w:val="24"/>
          <w:szCs w:val="24"/>
        </w:rPr>
        <w:t>,</w:t>
      </w:r>
      <w:r w:rsidRPr="006A0747">
        <w:rPr>
          <w:rFonts w:ascii="Times New Roman" w:eastAsia="Calibri" w:hAnsi="Times New Roman" w:cs="Times New Roman"/>
          <w:color w:val="767171"/>
          <w:spacing w:val="20"/>
          <w:sz w:val="24"/>
          <w:szCs w:val="24"/>
        </w:rPr>
        <w:t xml:space="preserve"> </w:t>
      </w:r>
      <w:r w:rsidR="008E4308" w:rsidRPr="006A0747">
        <w:rPr>
          <w:rFonts w:ascii="Times New Roman" w:eastAsia="Calibri" w:hAnsi="Times New Roman" w:cs="Times New Roman"/>
          <w:color w:val="767171"/>
          <w:spacing w:val="20"/>
          <w:sz w:val="24"/>
          <w:szCs w:val="24"/>
        </w:rPr>
        <w:t xml:space="preserve">al integrar </w:t>
      </w:r>
      <w:r w:rsidR="008E75C7" w:rsidRPr="006A0747">
        <w:rPr>
          <w:rFonts w:ascii="Times New Roman" w:eastAsia="Calibri" w:hAnsi="Times New Roman" w:cs="Times New Roman"/>
          <w:color w:val="767171"/>
          <w:spacing w:val="20"/>
          <w:sz w:val="24"/>
          <w:szCs w:val="24"/>
        </w:rPr>
        <w:t>un diseño moderno, más amigable y alineado a la imagen institucional</w:t>
      </w:r>
      <w:r w:rsidR="008E4308" w:rsidRPr="006A0747">
        <w:rPr>
          <w:rFonts w:ascii="Times New Roman" w:eastAsia="Calibri" w:hAnsi="Times New Roman" w:cs="Times New Roman"/>
          <w:color w:val="767171"/>
          <w:spacing w:val="20"/>
          <w:sz w:val="24"/>
          <w:szCs w:val="24"/>
        </w:rPr>
        <w:t xml:space="preserve">, </w:t>
      </w:r>
      <w:r w:rsidR="00A56DA1" w:rsidRPr="006A0747">
        <w:rPr>
          <w:rFonts w:ascii="Times New Roman" w:eastAsia="Calibri" w:hAnsi="Times New Roman" w:cs="Times New Roman"/>
          <w:color w:val="767171"/>
          <w:spacing w:val="20"/>
          <w:sz w:val="24"/>
          <w:szCs w:val="24"/>
        </w:rPr>
        <w:t>a la vez que</w:t>
      </w:r>
      <w:r w:rsidRPr="006A0747">
        <w:rPr>
          <w:rFonts w:ascii="Times New Roman" w:eastAsia="Calibri" w:hAnsi="Times New Roman" w:cs="Times New Roman"/>
          <w:color w:val="767171"/>
          <w:spacing w:val="20"/>
          <w:sz w:val="24"/>
          <w:szCs w:val="24"/>
        </w:rPr>
        <w:t xml:space="preserve"> facilita el acceso a las informaciones </w:t>
      </w:r>
      <w:r w:rsidR="00A56DA1" w:rsidRPr="006A0747">
        <w:rPr>
          <w:rFonts w:ascii="Times New Roman" w:eastAsia="Calibri" w:hAnsi="Times New Roman" w:cs="Times New Roman"/>
          <w:color w:val="767171"/>
          <w:spacing w:val="20"/>
          <w:sz w:val="24"/>
          <w:szCs w:val="24"/>
        </w:rPr>
        <w:t xml:space="preserve">y </w:t>
      </w:r>
      <w:r w:rsidRPr="006A0747">
        <w:rPr>
          <w:rFonts w:ascii="Times New Roman" w:eastAsia="Calibri" w:hAnsi="Times New Roman" w:cs="Times New Roman"/>
          <w:color w:val="767171"/>
          <w:spacing w:val="20"/>
          <w:sz w:val="24"/>
          <w:szCs w:val="24"/>
        </w:rPr>
        <w:t xml:space="preserve">funcionalidades </w:t>
      </w:r>
      <w:r w:rsidR="00A56DA1" w:rsidRPr="006A0747">
        <w:rPr>
          <w:rFonts w:ascii="Times New Roman" w:eastAsia="Calibri" w:hAnsi="Times New Roman" w:cs="Times New Roman"/>
          <w:color w:val="767171"/>
          <w:spacing w:val="20"/>
          <w:sz w:val="24"/>
          <w:szCs w:val="24"/>
        </w:rPr>
        <w:t>más relevantes</w:t>
      </w:r>
      <w:r w:rsidRPr="006A0747">
        <w:rPr>
          <w:rFonts w:ascii="Times New Roman" w:eastAsia="Calibri" w:hAnsi="Times New Roman" w:cs="Times New Roman"/>
          <w:color w:val="767171"/>
          <w:spacing w:val="20"/>
          <w:sz w:val="24"/>
          <w:szCs w:val="24"/>
        </w:rPr>
        <w:t>.</w:t>
      </w:r>
    </w:p>
    <w:p w14:paraId="72462177" w14:textId="77777777" w:rsidR="00E8789B" w:rsidRPr="006A0747" w:rsidRDefault="00E8789B" w:rsidP="00A61E1F">
      <w:pPr>
        <w:spacing w:line="360" w:lineRule="auto"/>
        <w:jc w:val="both"/>
        <w:rPr>
          <w:rFonts w:ascii="Times New Roman" w:eastAsia="Calibri" w:hAnsi="Times New Roman" w:cs="Times New Roman"/>
          <w:color w:val="767171"/>
          <w:spacing w:val="20"/>
          <w:sz w:val="24"/>
          <w:szCs w:val="24"/>
        </w:rPr>
      </w:pPr>
    </w:p>
    <w:p w14:paraId="70AF5BD6" w14:textId="728203FA" w:rsidR="00A61E1F" w:rsidRPr="006A0747" w:rsidRDefault="00A61E1F" w:rsidP="00A61E1F">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lastRenderedPageBreak/>
        <w:t>Fortalecimiento de la Gobernanza</w:t>
      </w:r>
      <w:r w:rsidR="0056292E" w:rsidRPr="006A0747">
        <w:rPr>
          <w:rFonts w:ascii="Times New Roman" w:eastAsia="Calibri" w:hAnsi="Times New Roman" w:cs="Times New Roman"/>
          <w:b/>
          <w:color w:val="767171"/>
          <w:spacing w:val="20"/>
          <w:sz w:val="24"/>
          <w:szCs w:val="24"/>
        </w:rPr>
        <w:t xml:space="preserve"> de TI</w:t>
      </w:r>
    </w:p>
    <w:p w14:paraId="126322BF" w14:textId="326B7265" w:rsidR="00A61E1F" w:rsidRPr="006A0747" w:rsidRDefault="001648E1" w:rsidP="00A61E1F">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Con relación a la gobernanza institucional</w:t>
      </w:r>
      <w:r w:rsidR="0056292E" w:rsidRPr="006A0747">
        <w:rPr>
          <w:rFonts w:ascii="Times New Roman" w:eastAsia="Calibri" w:hAnsi="Times New Roman" w:cs="Times New Roman"/>
          <w:color w:val="767171"/>
          <w:spacing w:val="20"/>
          <w:sz w:val="24"/>
          <w:szCs w:val="24"/>
        </w:rPr>
        <w:t xml:space="preserve"> de las tecnologías de la información (TI)</w:t>
      </w:r>
      <w:r w:rsidRPr="006A0747">
        <w:rPr>
          <w:rFonts w:ascii="Times New Roman" w:eastAsia="Calibri" w:hAnsi="Times New Roman" w:cs="Times New Roman"/>
          <w:color w:val="767171"/>
          <w:spacing w:val="20"/>
          <w:sz w:val="24"/>
          <w:szCs w:val="24"/>
        </w:rPr>
        <w:t xml:space="preserve">, la </w:t>
      </w:r>
      <w:r w:rsidR="00E2483C" w:rsidRPr="006A0747">
        <w:rPr>
          <w:rFonts w:ascii="Times New Roman" w:eastAsia="Calibri" w:hAnsi="Times New Roman" w:cs="Times New Roman"/>
          <w:color w:val="767171"/>
          <w:spacing w:val="20"/>
          <w:sz w:val="24"/>
          <w:szCs w:val="24"/>
        </w:rPr>
        <w:t xml:space="preserve">SB logró mantener </w:t>
      </w:r>
      <w:r w:rsidRPr="006A0747">
        <w:rPr>
          <w:rFonts w:ascii="Times New Roman" w:eastAsia="Calibri" w:hAnsi="Times New Roman" w:cs="Times New Roman"/>
          <w:color w:val="767171"/>
          <w:spacing w:val="20"/>
          <w:sz w:val="24"/>
          <w:szCs w:val="24"/>
        </w:rPr>
        <w:t xml:space="preserve">los requisitos necesarios para recertificar </w:t>
      </w:r>
      <w:proofErr w:type="gramStart"/>
      <w:r w:rsidRPr="006A0747">
        <w:rPr>
          <w:rFonts w:ascii="Times New Roman" w:eastAsia="Calibri" w:hAnsi="Times New Roman" w:cs="Times New Roman"/>
          <w:color w:val="767171"/>
          <w:spacing w:val="20"/>
          <w:sz w:val="24"/>
          <w:szCs w:val="24"/>
        </w:rPr>
        <w:t xml:space="preserve">las siguientes </w:t>
      </w:r>
      <w:r w:rsidR="00237158" w:rsidRPr="006A0747">
        <w:rPr>
          <w:rFonts w:ascii="Times New Roman" w:eastAsia="Calibri" w:hAnsi="Times New Roman" w:cs="Times New Roman"/>
          <w:color w:val="767171"/>
          <w:spacing w:val="20"/>
          <w:sz w:val="24"/>
          <w:szCs w:val="24"/>
        </w:rPr>
        <w:t>estándares</w:t>
      </w:r>
      <w:proofErr w:type="gramEnd"/>
      <w:r w:rsidR="0052161A" w:rsidRPr="006A0747">
        <w:rPr>
          <w:rFonts w:ascii="Times New Roman" w:eastAsia="Calibri" w:hAnsi="Times New Roman" w:cs="Times New Roman"/>
          <w:color w:val="767171"/>
          <w:spacing w:val="20"/>
          <w:sz w:val="24"/>
          <w:szCs w:val="24"/>
        </w:rPr>
        <w:t xml:space="preserve"> </w:t>
      </w:r>
      <w:r w:rsidRPr="006A0747">
        <w:rPr>
          <w:rFonts w:ascii="Times New Roman" w:eastAsia="Calibri" w:hAnsi="Times New Roman" w:cs="Times New Roman"/>
          <w:color w:val="767171"/>
          <w:spacing w:val="20"/>
          <w:sz w:val="24"/>
          <w:szCs w:val="24"/>
        </w:rPr>
        <w:t>NORTIC:</w:t>
      </w:r>
    </w:p>
    <w:p w14:paraId="0038B290" w14:textId="77777777" w:rsidR="00A61E1F" w:rsidRPr="006A0747" w:rsidRDefault="00A61E1F" w:rsidP="00A61E1F">
      <w:pPr>
        <w:spacing w:line="360" w:lineRule="auto"/>
        <w:jc w:val="both"/>
        <w:rPr>
          <w:rFonts w:ascii="Times New Roman" w:eastAsia="Calibri" w:hAnsi="Times New Roman" w:cs="Times New Roman"/>
          <w:color w:val="767171"/>
          <w:spacing w:val="20"/>
          <w:sz w:val="24"/>
          <w:szCs w:val="24"/>
        </w:rPr>
      </w:pPr>
      <w:proofErr w:type="spellStart"/>
      <w:r w:rsidRPr="006A0747">
        <w:rPr>
          <w:rFonts w:ascii="Times New Roman" w:eastAsia="Calibri" w:hAnsi="Times New Roman" w:cs="Times New Roman"/>
          <w:b/>
          <w:color w:val="767171"/>
          <w:spacing w:val="20"/>
          <w:sz w:val="24"/>
          <w:szCs w:val="24"/>
        </w:rPr>
        <w:t>Nortic</w:t>
      </w:r>
      <w:proofErr w:type="spellEnd"/>
      <w:r w:rsidRPr="006A0747">
        <w:rPr>
          <w:rFonts w:ascii="Times New Roman" w:eastAsia="Calibri" w:hAnsi="Times New Roman" w:cs="Times New Roman"/>
          <w:b/>
          <w:color w:val="767171"/>
          <w:spacing w:val="20"/>
          <w:sz w:val="24"/>
          <w:szCs w:val="24"/>
        </w:rPr>
        <w:t xml:space="preserve"> A2</w:t>
      </w:r>
      <w:r w:rsidRPr="006A0747">
        <w:rPr>
          <w:rFonts w:ascii="Times New Roman" w:eastAsia="Calibri" w:hAnsi="Times New Roman" w:cs="Times New Roman"/>
          <w:color w:val="767171"/>
          <w:spacing w:val="20"/>
          <w:sz w:val="24"/>
          <w:szCs w:val="24"/>
        </w:rPr>
        <w:t xml:space="preserve">- para el Desarrollo y Gestión de los Portales Web y la Transparencia de los Organismos del Estado Dominicano. </w:t>
      </w:r>
    </w:p>
    <w:p w14:paraId="1A26E222" w14:textId="77777777" w:rsidR="00A61E1F" w:rsidRPr="006A0747" w:rsidRDefault="00A61E1F" w:rsidP="00A61E1F">
      <w:pPr>
        <w:spacing w:line="360" w:lineRule="auto"/>
        <w:jc w:val="both"/>
        <w:rPr>
          <w:rFonts w:ascii="Times New Roman" w:eastAsia="Calibri" w:hAnsi="Times New Roman" w:cs="Times New Roman"/>
          <w:color w:val="767171"/>
          <w:spacing w:val="20"/>
          <w:sz w:val="24"/>
          <w:szCs w:val="24"/>
        </w:rPr>
      </w:pPr>
      <w:proofErr w:type="spellStart"/>
      <w:r w:rsidRPr="006A0747">
        <w:rPr>
          <w:rFonts w:ascii="Times New Roman" w:eastAsia="Calibri" w:hAnsi="Times New Roman" w:cs="Times New Roman"/>
          <w:b/>
          <w:color w:val="767171"/>
          <w:spacing w:val="20"/>
          <w:sz w:val="24"/>
          <w:szCs w:val="24"/>
        </w:rPr>
        <w:t>Nortic</w:t>
      </w:r>
      <w:proofErr w:type="spellEnd"/>
      <w:r w:rsidRPr="006A0747">
        <w:rPr>
          <w:rFonts w:ascii="Times New Roman" w:eastAsia="Calibri" w:hAnsi="Times New Roman" w:cs="Times New Roman"/>
          <w:b/>
          <w:color w:val="767171"/>
          <w:spacing w:val="20"/>
          <w:sz w:val="24"/>
          <w:szCs w:val="24"/>
        </w:rPr>
        <w:t xml:space="preserve"> A3-</w:t>
      </w:r>
      <w:r w:rsidRPr="006A0747">
        <w:rPr>
          <w:rFonts w:ascii="Times New Roman" w:eastAsia="Calibri" w:hAnsi="Times New Roman" w:cs="Times New Roman"/>
          <w:color w:val="767171"/>
          <w:spacing w:val="20"/>
          <w:sz w:val="24"/>
          <w:szCs w:val="24"/>
        </w:rPr>
        <w:t xml:space="preserve"> sobre Publicación de Datos Abiertos del Gobierno Dominicano</w:t>
      </w:r>
    </w:p>
    <w:p w14:paraId="60BDDF15" w14:textId="77777777" w:rsidR="00A61E1F" w:rsidRPr="006A0747" w:rsidRDefault="00A61E1F" w:rsidP="00A61E1F">
      <w:pPr>
        <w:spacing w:line="360" w:lineRule="auto"/>
        <w:jc w:val="both"/>
        <w:rPr>
          <w:rFonts w:ascii="Times New Roman" w:eastAsia="Calibri" w:hAnsi="Times New Roman" w:cs="Times New Roman"/>
          <w:color w:val="767171"/>
          <w:spacing w:val="20"/>
          <w:sz w:val="24"/>
          <w:szCs w:val="24"/>
        </w:rPr>
      </w:pPr>
      <w:proofErr w:type="spellStart"/>
      <w:r w:rsidRPr="006A0747">
        <w:rPr>
          <w:rFonts w:ascii="Times New Roman" w:eastAsia="Calibri" w:hAnsi="Times New Roman" w:cs="Times New Roman"/>
          <w:b/>
          <w:color w:val="767171"/>
          <w:spacing w:val="20"/>
          <w:sz w:val="24"/>
          <w:szCs w:val="24"/>
        </w:rPr>
        <w:t>Nortic</w:t>
      </w:r>
      <w:proofErr w:type="spellEnd"/>
      <w:r w:rsidRPr="006A0747">
        <w:rPr>
          <w:rFonts w:ascii="Times New Roman" w:eastAsia="Calibri" w:hAnsi="Times New Roman" w:cs="Times New Roman"/>
          <w:b/>
          <w:color w:val="767171"/>
          <w:spacing w:val="20"/>
          <w:sz w:val="24"/>
          <w:szCs w:val="24"/>
        </w:rPr>
        <w:t xml:space="preserve"> E1-</w:t>
      </w:r>
      <w:r w:rsidRPr="006A0747">
        <w:rPr>
          <w:rFonts w:ascii="Times New Roman" w:eastAsia="Calibri" w:hAnsi="Times New Roman" w:cs="Times New Roman"/>
          <w:color w:val="767171"/>
          <w:spacing w:val="20"/>
          <w:sz w:val="24"/>
          <w:szCs w:val="24"/>
        </w:rPr>
        <w:t xml:space="preserve"> Norma para la Gestión de las Redes Sociales en los Organismos Gubernamentales</w:t>
      </w:r>
    </w:p>
    <w:p w14:paraId="7D36271E" w14:textId="011535C2" w:rsidR="00741689" w:rsidRPr="006A0747" w:rsidRDefault="00F557E2" w:rsidP="000B556D">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Asimismo</w:t>
      </w:r>
      <w:r w:rsidR="00A61E1F" w:rsidRPr="006A0747">
        <w:rPr>
          <w:rFonts w:ascii="Times New Roman" w:eastAsia="Calibri" w:hAnsi="Times New Roman" w:cs="Times New Roman"/>
          <w:color w:val="767171"/>
          <w:spacing w:val="20"/>
          <w:sz w:val="24"/>
          <w:szCs w:val="24"/>
        </w:rPr>
        <w:t xml:space="preserve">, en noviembre de 2024, </w:t>
      </w:r>
      <w:r w:rsidR="007149DC" w:rsidRPr="006A0747">
        <w:rPr>
          <w:rFonts w:ascii="Times New Roman" w:eastAsia="Calibri" w:hAnsi="Times New Roman" w:cs="Times New Roman"/>
          <w:color w:val="767171"/>
          <w:spacing w:val="20"/>
          <w:sz w:val="24"/>
          <w:szCs w:val="24"/>
        </w:rPr>
        <w:t xml:space="preserve">la institución </w:t>
      </w:r>
      <w:r w:rsidR="00CE70AC" w:rsidRPr="006A0747">
        <w:rPr>
          <w:rFonts w:ascii="Times New Roman" w:eastAsia="Calibri" w:hAnsi="Times New Roman" w:cs="Times New Roman"/>
          <w:color w:val="767171"/>
          <w:spacing w:val="20"/>
          <w:sz w:val="24"/>
          <w:szCs w:val="24"/>
        </w:rPr>
        <w:t xml:space="preserve">obtuvo </w:t>
      </w:r>
      <w:r w:rsidR="00A61E1F" w:rsidRPr="006A0747">
        <w:rPr>
          <w:rFonts w:ascii="Times New Roman" w:eastAsia="Calibri" w:hAnsi="Times New Roman" w:cs="Times New Roman"/>
          <w:color w:val="767171"/>
          <w:spacing w:val="20"/>
          <w:sz w:val="24"/>
          <w:szCs w:val="24"/>
        </w:rPr>
        <w:t xml:space="preserve">la certificación </w:t>
      </w:r>
      <w:proofErr w:type="spellStart"/>
      <w:r w:rsidR="00A61E1F" w:rsidRPr="006A0747">
        <w:rPr>
          <w:rFonts w:ascii="Times New Roman" w:eastAsia="Calibri" w:hAnsi="Times New Roman" w:cs="Times New Roman"/>
          <w:b/>
          <w:color w:val="767171"/>
          <w:spacing w:val="20"/>
          <w:sz w:val="24"/>
          <w:szCs w:val="24"/>
        </w:rPr>
        <w:t>Nortic</w:t>
      </w:r>
      <w:proofErr w:type="spellEnd"/>
      <w:r w:rsidR="00A61E1F" w:rsidRPr="006A0747">
        <w:rPr>
          <w:rFonts w:ascii="Times New Roman" w:eastAsia="Calibri" w:hAnsi="Times New Roman" w:cs="Times New Roman"/>
          <w:b/>
          <w:color w:val="767171"/>
          <w:spacing w:val="20"/>
          <w:sz w:val="24"/>
          <w:szCs w:val="24"/>
        </w:rPr>
        <w:t xml:space="preserve"> A6</w:t>
      </w:r>
      <w:r w:rsidR="00A61E1F" w:rsidRPr="006A0747">
        <w:rPr>
          <w:rFonts w:ascii="Times New Roman" w:eastAsia="Calibri" w:hAnsi="Times New Roman" w:cs="Times New Roman"/>
          <w:color w:val="767171"/>
          <w:spacing w:val="20"/>
          <w:sz w:val="24"/>
          <w:szCs w:val="24"/>
        </w:rPr>
        <w:t xml:space="preserve"> sobre el </w:t>
      </w:r>
      <w:r w:rsidR="00DA1B73" w:rsidRPr="006A0747">
        <w:rPr>
          <w:rFonts w:ascii="Times New Roman" w:eastAsia="Calibri" w:hAnsi="Times New Roman" w:cs="Times New Roman"/>
          <w:color w:val="767171"/>
          <w:spacing w:val="20"/>
          <w:sz w:val="24"/>
          <w:szCs w:val="24"/>
        </w:rPr>
        <w:t>desarrollo</w:t>
      </w:r>
      <w:r w:rsidR="00A61E1F" w:rsidRPr="006A0747">
        <w:rPr>
          <w:rFonts w:ascii="Times New Roman" w:eastAsia="Calibri" w:hAnsi="Times New Roman" w:cs="Times New Roman"/>
          <w:color w:val="767171"/>
          <w:spacing w:val="20"/>
          <w:sz w:val="24"/>
          <w:szCs w:val="24"/>
        </w:rPr>
        <w:t xml:space="preserve"> y </w:t>
      </w:r>
      <w:r w:rsidR="00DA1B73" w:rsidRPr="006A0747">
        <w:rPr>
          <w:rFonts w:ascii="Times New Roman" w:eastAsia="Calibri" w:hAnsi="Times New Roman" w:cs="Times New Roman"/>
          <w:color w:val="767171"/>
          <w:spacing w:val="20"/>
          <w:sz w:val="24"/>
          <w:szCs w:val="24"/>
        </w:rPr>
        <w:t xml:space="preserve">gestión </w:t>
      </w:r>
      <w:r w:rsidR="00A61E1F" w:rsidRPr="006A0747">
        <w:rPr>
          <w:rFonts w:ascii="Times New Roman" w:eastAsia="Calibri" w:hAnsi="Times New Roman" w:cs="Times New Roman"/>
          <w:color w:val="767171"/>
          <w:spacing w:val="20"/>
          <w:sz w:val="24"/>
          <w:szCs w:val="24"/>
        </w:rPr>
        <w:t xml:space="preserve">del </w:t>
      </w:r>
      <w:r w:rsidR="00DA1B73" w:rsidRPr="006A0747">
        <w:rPr>
          <w:rFonts w:ascii="Times New Roman" w:eastAsia="Calibri" w:hAnsi="Times New Roman" w:cs="Times New Roman"/>
          <w:color w:val="767171"/>
          <w:spacing w:val="20"/>
          <w:sz w:val="24"/>
          <w:szCs w:val="24"/>
        </w:rPr>
        <w:t>software</w:t>
      </w:r>
      <w:r w:rsidR="00A61E1F" w:rsidRPr="006A0747">
        <w:rPr>
          <w:rFonts w:ascii="Times New Roman" w:eastAsia="Calibri" w:hAnsi="Times New Roman" w:cs="Times New Roman"/>
          <w:color w:val="767171"/>
          <w:spacing w:val="20"/>
          <w:sz w:val="24"/>
          <w:szCs w:val="24"/>
        </w:rPr>
        <w:t xml:space="preserve"> en el Estado Dominicano</w:t>
      </w:r>
      <w:r w:rsidR="008D58B4" w:rsidRPr="006A0747">
        <w:rPr>
          <w:rFonts w:ascii="Times New Roman" w:eastAsia="Calibri" w:hAnsi="Times New Roman" w:cs="Times New Roman"/>
          <w:color w:val="767171"/>
          <w:spacing w:val="20"/>
          <w:sz w:val="24"/>
          <w:szCs w:val="24"/>
        </w:rPr>
        <w:t xml:space="preserve">. </w:t>
      </w:r>
      <w:r w:rsidR="00DA1B73" w:rsidRPr="006A0747">
        <w:rPr>
          <w:rFonts w:ascii="Times New Roman" w:eastAsia="Calibri" w:hAnsi="Times New Roman" w:cs="Times New Roman"/>
          <w:color w:val="767171"/>
          <w:spacing w:val="20"/>
          <w:sz w:val="24"/>
          <w:szCs w:val="24"/>
        </w:rPr>
        <w:t>Esta</w:t>
      </w:r>
      <w:r w:rsidR="008D58B4" w:rsidRPr="006A0747">
        <w:rPr>
          <w:rFonts w:ascii="Times New Roman" w:eastAsia="Calibri" w:hAnsi="Times New Roman" w:cs="Times New Roman"/>
          <w:color w:val="767171"/>
          <w:spacing w:val="20"/>
          <w:sz w:val="24"/>
          <w:szCs w:val="24"/>
        </w:rPr>
        <w:t xml:space="preserve"> certificación</w:t>
      </w:r>
      <w:r w:rsidR="00A61E1F" w:rsidRPr="006A0747">
        <w:rPr>
          <w:rFonts w:ascii="Times New Roman" w:eastAsia="Calibri" w:hAnsi="Times New Roman" w:cs="Times New Roman"/>
          <w:color w:val="767171"/>
          <w:spacing w:val="20"/>
          <w:sz w:val="24"/>
          <w:szCs w:val="24"/>
        </w:rPr>
        <w:t xml:space="preserve"> </w:t>
      </w:r>
      <w:r w:rsidR="00DA1B73" w:rsidRPr="006A0747">
        <w:rPr>
          <w:rFonts w:ascii="Times New Roman" w:eastAsia="Calibri" w:hAnsi="Times New Roman" w:cs="Times New Roman"/>
          <w:color w:val="767171"/>
          <w:spacing w:val="20"/>
          <w:sz w:val="24"/>
          <w:szCs w:val="24"/>
        </w:rPr>
        <w:t xml:space="preserve">se </w:t>
      </w:r>
      <w:r w:rsidR="00A61E1F" w:rsidRPr="006A0747">
        <w:rPr>
          <w:rFonts w:ascii="Times New Roman" w:eastAsia="Calibri" w:hAnsi="Times New Roman" w:cs="Times New Roman"/>
          <w:color w:val="767171"/>
          <w:spacing w:val="20"/>
          <w:sz w:val="24"/>
          <w:szCs w:val="24"/>
        </w:rPr>
        <w:t xml:space="preserve">enfoca en establecer un marco de referencia para el desarrollo, gestión y mejora continua de </w:t>
      </w:r>
      <w:r w:rsidR="00DA1B73" w:rsidRPr="006A0747">
        <w:rPr>
          <w:rFonts w:ascii="Times New Roman" w:eastAsia="Calibri" w:hAnsi="Times New Roman" w:cs="Times New Roman"/>
          <w:color w:val="767171"/>
          <w:spacing w:val="20"/>
          <w:sz w:val="24"/>
          <w:szCs w:val="24"/>
        </w:rPr>
        <w:t xml:space="preserve">los </w:t>
      </w:r>
      <w:r w:rsidR="00A61E1F" w:rsidRPr="006A0747">
        <w:rPr>
          <w:rFonts w:ascii="Times New Roman" w:eastAsia="Calibri" w:hAnsi="Times New Roman" w:cs="Times New Roman"/>
          <w:color w:val="767171"/>
          <w:spacing w:val="20"/>
          <w:sz w:val="24"/>
          <w:szCs w:val="24"/>
        </w:rPr>
        <w:t xml:space="preserve">procesos de software, con el objetivo de </w:t>
      </w:r>
      <w:r w:rsidR="005F57E5" w:rsidRPr="006A0747">
        <w:rPr>
          <w:rFonts w:ascii="Times New Roman" w:eastAsia="Calibri" w:hAnsi="Times New Roman" w:cs="Times New Roman"/>
          <w:color w:val="767171"/>
          <w:spacing w:val="20"/>
          <w:sz w:val="24"/>
          <w:szCs w:val="24"/>
        </w:rPr>
        <w:t xml:space="preserve">asegurar que los desarrollos realizados por </w:t>
      </w:r>
      <w:r w:rsidR="005A3451" w:rsidRPr="006A0747">
        <w:rPr>
          <w:rFonts w:ascii="Times New Roman" w:eastAsia="Calibri" w:hAnsi="Times New Roman" w:cs="Times New Roman"/>
          <w:color w:val="767171"/>
          <w:spacing w:val="20"/>
          <w:sz w:val="24"/>
          <w:szCs w:val="24"/>
        </w:rPr>
        <w:t xml:space="preserve">las instituciones del </w:t>
      </w:r>
      <w:r w:rsidR="00DA1B73" w:rsidRPr="006A0747">
        <w:rPr>
          <w:rFonts w:ascii="Times New Roman" w:eastAsia="Calibri" w:hAnsi="Times New Roman" w:cs="Times New Roman"/>
          <w:color w:val="767171"/>
          <w:spacing w:val="20"/>
          <w:sz w:val="24"/>
          <w:szCs w:val="24"/>
        </w:rPr>
        <w:t>Estado</w:t>
      </w:r>
      <w:r w:rsidR="00A61E1F" w:rsidRPr="006A0747">
        <w:rPr>
          <w:rFonts w:ascii="Times New Roman" w:eastAsia="Calibri" w:hAnsi="Times New Roman" w:cs="Times New Roman"/>
          <w:color w:val="767171"/>
          <w:spacing w:val="20"/>
          <w:sz w:val="24"/>
          <w:szCs w:val="24"/>
        </w:rPr>
        <w:t xml:space="preserve"> </w:t>
      </w:r>
      <w:r w:rsidR="001476A6" w:rsidRPr="006A0747">
        <w:rPr>
          <w:rFonts w:ascii="Times New Roman" w:eastAsia="Calibri" w:hAnsi="Times New Roman" w:cs="Times New Roman"/>
          <w:color w:val="767171"/>
          <w:spacing w:val="20"/>
          <w:sz w:val="24"/>
          <w:szCs w:val="24"/>
        </w:rPr>
        <w:t>cuenten con las características necesarias para ser</w:t>
      </w:r>
      <w:r w:rsidR="00313E45" w:rsidRPr="006A0747">
        <w:rPr>
          <w:rFonts w:ascii="Times New Roman" w:eastAsia="Calibri" w:hAnsi="Times New Roman" w:cs="Times New Roman"/>
          <w:color w:val="767171"/>
          <w:spacing w:val="20"/>
          <w:sz w:val="24"/>
          <w:szCs w:val="24"/>
        </w:rPr>
        <w:t xml:space="preserve"> activos que agreguen </w:t>
      </w:r>
      <w:r w:rsidR="00A61E1F" w:rsidRPr="006A0747">
        <w:rPr>
          <w:rFonts w:ascii="Times New Roman" w:eastAsia="Calibri" w:hAnsi="Times New Roman" w:cs="Times New Roman"/>
          <w:color w:val="767171"/>
          <w:spacing w:val="20"/>
          <w:sz w:val="24"/>
          <w:szCs w:val="24"/>
        </w:rPr>
        <w:t>valor a toda la ciudadanía.</w:t>
      </w:r>
    </w:p>
    <w:p w14:paraId="0B277B25" w14:textId="77777777" w:rsidR="00A023E8" w:rsidRPr="006A0747" w:rsidRDefault="00A023E8" w:rsidP="000B556D">
      <w:pPr>
        <w:spacing w:line="360" w:lineRule="auto"/>
        <w:jc w:val="both"/>
        <w:rPr>
          <w:rFonts w:ascii="Times New Roman" w:eastAsia="Calibri" w:hAnsi="Times New Roman" w:cs="Times New Roman"/>
          <w:color w:val="2E74B5" w:themeColor="accent5" w:themeShade="BF"/>
          <w:spacing w:val="20"/>
          <w:sz w:val="24"/>
          <w:szCs w:val="24"/>
        </w:rPr>
      </w:pPr>
    </w:p>
    <w:p w14:paraId="26B6D27C" w14:textId="25DF54F4" w:rsidR="00CB3CA3" w:rsidRPr="006A0747" w:rsidRDefault="00F94DB1" w:rsidP="000813B9">
      <w:pPr>
        <w:pStyle w:val="Ttulo2"/>
        <w:numPr>
          <w:ilvl w:val="1"/>
          <w:numId w:val="17"/>
        </w:numPr>
        <w:rPr>
          <w:rFonts w:ascii="Times New Roman" w:eastAsia="Calibri" w:hAnsi="Times New Roman" w:cs="Times New Roman"/>
          <w:b/>
          <w:color w:val="767171"/>
          <w:spacing w:val="20"/>
          <w:sz w:val="24"/>
          <w:szCs w:val="24"/>
        </w:rPr>
      </w:pPr>
      <w:bookmarkStart w:id="52" w:name="_Toc185275008"/>
      <w:r w:rsidRPr="006A0747">
        <w:rPr>
          <w:rFonts w:ascii="Times New Roman" w:eastAsia="Calibri" w:hAnsi="Times New Roman" w:cs="Times New Roman"/>
          <w:b/>
          <w:color w:val="767171"/>
          <w:spacing w:val="20"/>
          <w:sz w:val="24"/>
          <w:szCs w:val="24"/>
        </w:rPr>
        <w:t>Desempeño del Sistema de Planificación y Desarrollo Institucional</w:t>
      </w:r>
      <w:bookmarkEnd w:id="52"/>
    </w:p>
    <w:p w14:paraId="744EF385" w14:textId="77777777" w:rsidR="00050128" w:rsidRPr="006A0747" w:rsidRDefault="00050128" w:rsidP="00DB6AE7">
      <w:pPr>
        <w:spacing w:line="360" w:lineRule="auto"/>
        <w:jc w:val="both"/>
        <w:rPr>
          <w:rFonts w:ascii="Times New Roman" w:eastAsia="Calibri" w:hAnsi="Times New Roman" w:cs="Times New Roman"/>
          <w:color w:val="767171"/>
          <w:spacing w:val="20"/>
          <w:sz w:val="24"/>
          <w:szCs w:val="24"/>
        </w:rPr>
      </w:pPr>
    </w:p>
    <w:p w14:paraId="3C923A3D" w14:textId="77777777" w:rsidR="00786883" w:rsidRPr="006A0747" w:rsidRDefault="00786883" w:rsidP="00786883">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t xml:space="preserve">Planificación Estratégica </w:t>
      </w:r>
    </w:p>
    <w:p w14:paraId="50D0FCDF" w14:textId="7C415E62" w:rsidR="00786883" w:rsidRPr="006A0747" w:rsidRDefault="00786883" w:rsidP="00786883">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Desde el 2021, la Superintendencia de Bancos ha puesto en marcha su Plan Estratégico Institucional 2021-2024</w:t>
      </w:r>
      <w:r w:rsidR="00253C24" w:rsidRPr="006A0747">
        <w:rPr>
          <w:rFonts w:ascii="Times New Roman" w:eastAsia="Calibri" w:hAnsi="Times New Roman" w:cs="Times New Roman"/>
          <w:color w:val="767171"/>
          <w:spacing w:val="20"/>
          <w:sz w:val="24"/>
          <w:szCs w:val="24"/>
        </w:rPr>
        <w:t xml:space="preserve"> (PEI)</w:t>
      </w:r>
      <w:r w:rsidRPr="006A0747">
        <w:rPr>
          <w:rFonts w:ascii="Times New Roman" w:eastAsia="Calibri" w:hAnsi="Times New Roman" w:cs="Times New Roman"/>
          <w:color w:val="767171"/>
          <w:spacing w:val="20"/>
          <w:sz w:val="24"/>
          <w:szCs w:val="24"/>
        </w:rPr>
        <w:t xml:space="preserve">, compuesto </w:t>
      </w:r>
      <w:r w:rsidR="00B25B58" w:rsidRPr="006A0747">
        <w:rPr>
          <w:rFonts w:ascii="Times New Roman" w:eastAsia="Calibri" w:hAnsi="Times New Roman" w:cs="Times New Roman"/>
          <w:color w:val="767171"/>
          <w:spacing w:val="20"/>
          <w:sz w:val="24"/>
          <w:szCs w:val="24"/>
        </w:rPr>
        <w:t>por</w:t>
      </w:r>
      <w:r w:rsidRPr="006A0747">
        <w:rPr>
          <w:rFonts w:ascii="Times New Roman" w:eastAsia="Calibri" w:hAnsi="Times New Roman" w:cs="Times New Roman"/>
          <w:color w:val="767171"/>
          <w:spacing w:val="20"/>
          <w:sz w:val="24"/>
          <w:szCs w:val="24"/>
        </w:rPr>
        <w:t xml:space="preserve"> 6 ejes </w:t>
      </w:r>
      <w:r w:rsidR="003D340D" w:rsidRPr="006A0747">
        <w:rPr>
          <w:rFonts w:ascii="Times New Roman" w:eastAsia="Calibri" w:hAnsi="Times New Roman" w:cs="Times New Roman"/>
          <w:color w:val="767171"/>
          <w:spacing w:val="20"/>
          <w:sz w:val="24"/>
          <w:szCs w:val="24"/>
        </w:rPr>
        <w:t xml:space="preserve">fundamentales dentro de los cuales se han planteado 11 objetivos </w:t>
      </w:r>
      <w:r w:rsidRPr="006A0747">
        <w:rPr>
          <w:rFonts w:ascii="Times New Roman" w:eastAsia="Calibri" w:hAnsi="Times New Roman" w:cs="Times New Roman"/>
          <w:color w:val="767171"/>
          <w:spacing w:val="20"/>
          <w:sz w:val="24"/>
          <w:szCs w:val="24"/>
        </w:rPr>
        <w:t>estratégicos</w:t>
      </w:r>
      <w:r w:rsidR="005D75DC" w:rsidRPr="006A0747">
        <w:rPr>
          <w:rFonts w:ascii="Times New Roman" w:eastAsia="Calibri" w:hAnsi="Times New Roman" w:cs="Times New Roman"/>
          <w:color w:val="767171"/>
          <w:spacing w:val="20"/>
          <w:sz w:val="24"/>
          <w:szCs w:val="24"/>
        </w:rPr>
        <w:t xml:space="preserve">, </w:t>
      </w:r>
      <w:r w:rsidR="00F917D4" w:rsidRPr="006A0747">
        <w:rPr>
          <w:rFonts w:ascii="Times New Roman" w:eastAsia="Calibri" w:hAnsi="Times New Roman" w:cs="Times New Roman"/>
          <w:color w:val="767171"/>
          <w:spacing w:val="20"/>
          <w:sz w:val="24"/>
          <w:szCs w:val="24"/>
        </w:rPr>
        <w:t xml:space="preserve">cuyo enfoque es el </w:t>
      </w:r>
      <w:r w:rsidR="005D75DC" w:rsidRPr="006A0747">
        <w:rPr>
          <w:rFonts w:ascii="Times New Roman" w:eastAsia="Calibri" w:hAnsi="Times New Roman" w:cs="Times New Roman"/>
          <w:color w:val="767171"/>
          <w:spacing w:val="20"/>
          <w:sz w:val="24"/>
          <w:szCs w:val="24"/>
        </w:rPr>
        <w:t xml:space="preserve">de </w:t>
      </w:r>
      <w:r w:rsidR="004A4E3F" w:rsidRPr="006A0747">
        <w:rPr>
          <w:rFonts w:ascii="Times New Roman" w:eastAsia="Calibri" w:hAnsi="Times New Roman" w:cs="Times New Roman"/>
          <w:color w:val="767171"/>
          <w:spacing w:val="20"/>
          <w:sz w:val="24"/>
          <w:szCs w:val="24"/>
        </w:rPr>
        <w:t>velar por</w:t>
      </w:r>
      <w:r w:rsidR="00F917D4" w:rsidRPr="006A0747">
        <w:rPr>
          <w:rFonts w:ascii="Times New Roman" w:eastAsia="Calibri" w:hAnsi="Times New Roman" w:cs="Times New Roman"/>
          <w:color w:val="767171"/>
          <w:spacing w:val="20"/>
          <w:sz w:val="24"/>
          <w:szCs w:val="24"/>
        </w:rPr>
        <w:t xml:space="preserve"> la estabilidad</w:t>
      </w:r>
      <w:r w:rsidR="004A4E3F" w:rsidRPr="006A0747">
        <w:rPr>
          <w:rFonts w:ascii="Times New Roman" w:eastAsia="Calibri" w:hAnsi="Times New Roman" w:cs="Times New Roman"/>
          <w:color w:val="767171"/>
          <w:spacing w:val="20"/>
          <w:sz w:val="24"/>
          <w:szCs w:val="24"/>
        </w:rPr>
        <w:t xml:space="preserve"> e integridad del sistema financiero</w:t>
      </w:r>
      <w:r w:rsidR="00811909" w:rsidRPr="006A0747">
        <w:rPr>
          <w:rFonts w:ascii="Times New Roman" w:eastAsia="Calibri" w:hAnsi="Times New Roman" w:cs="Times New Roman"/>
          <w:color w:val="767171"/>
          <w:spacing w:val="20"/>
          <w:sz w:val="24"/>
          <w:szCs w:val="24"/>
        </w:rPr>
        <w:t>;</w:t>
      </w:r>
      <w:r w:rsidR="005D75DC" w:rsidRPr="006A0747">
        <w:rPr>
          <w:rFonts w:ascii="Times New Roman" w:eastAsia="Calibri" w:hAnsi="Times New Roman" w:cs="Times New Roman"/>
          <w:color w:val="767171"/>
          <w:spacing w:val="20"/>
          <w:sz w:val="24"/>
          <w:szCs w:val="24"/>
        </w:rPr>
        <w:t xml:space="preserve"> </w:t>
      </w:r>
      <w:r w:rsidR="00811909" w:rsidRPr="006A0747">
        <w:rPr>
          <w:rFonts w:ascii="Times New Roman" w:eastAsia="Calibri" w:hAnsi="Times New Roman" w:cs="Times New Roman"/>
          <w:color w:val="767171"/>
          <w:spacing w:val="20"/>
          <w:sz w:val="24"/>
          <w:szCs w:val="24"/>
        </w:rPr>
        <w:t xml:space="preserve">fomentar la digitalización, </w:t>
      </w:r>
      <w:r w:rsidR="00811909" w:rsidRPr="006A0747">
        <w:rPr>
          <w:rFonts w:ascii="Times New Roman" w:eastAsia="Calibri" w:hAnsi="Times New Roman" w:cs="Times New Roman"/>
          <w:color w:val="767171"/>
          <w:spacing w:val="20"/>
          <w:sz w:val="24"/>
          <w:szCs w:val="24"/>
        </w:rPr>
        <w:lastRenderedPageBreak/>
        <w:t xml:space="preserve">innovación y nuevas tecnologías en el sistema financiero; fortalecer </w:t>
      </w:r>
      <w:r w:rsidR="00937CDC" w:rsidRPr="006A0747">
        <w:rPr>
          <w:rFonts w:ascii="Times New Roman" w:eastAsia="Calibri" w:hAnsi="Times New Roman" w:cs="Times New Roman"/>
          <w:color w:val="767171"/>
          <w:spacing w:val="20"/>
          <w:sz w:val="24"/>
          <w:szCs w:val="24"/>
        </w:rPr>
        <w:t>la efectividad y calidad de la gestión</w:t>
      </w:r>
      <w:r w:rsidR="004A4E3F" w:rsidRPr="006A0747">
        <w:rPr>
          <w:rFonts w:ascii="Times New Roman" w:eastAsia="Calibri" w:hAnsi="Times New Roman" w:cs="Times New Roman"/>
          <w:color w:val="767171"/>
          <w:spacing w:val="20"/>
          <w:sz w:val="24"/>
          <w:szCs w:val="24"/>
        </w:rPr>
        <w:t xml:space="preserve"> </w:t>
      </w:r>
      <w:r w:rsidR="006132E7" w:rsidRPr="006A0747">
        <w:rPr>
          <w:rFonts w:ascii="Times New Roman" w:eastAsia="Calibri" w:hAnsi="Times New Roman" w:cs="Times New Roman"/>
          <w:color w:val="767171"/>
          <w:spacing w:val="20"/>
          <w:sz w:val="24"/>
          <w:szCs w:val="24"/>
        </w:rPr>
        <w:t>institucional</w:t>
      </w:r>
      <w:r w:rsidR="00886ABC" w:rsidRPr="006A0747">
        <w:rPr>
          <w:rFonts w:ascii="Times New Roman" w:eastAsia="Calibri" w:hAnsi="Times New Roman" w:cs="Times New Roman"/>
          <w:color w:val="767171"/>
          <w:spacing w:val="20"/>
          <w:sz w:val="24"/>
          <w:szCs w:val="24"/>
        </w:rPr>
        <w:t>; propiciar la inclusión financiera y la bancarización; y proteger los usuarios del sistema financiero</w:t>
      </w:r>
      <w:r w:rsidR="00884BE8" w:rsidRPr="006A0747">
        <w:rPr>
          <w:rFonts w:ascii="Times New Roman" w:eastAsia="Calibri" w:hAnsi="Times New Roman" w:cs="Times New Roman"/>
          <w:color w:val="767171"/>
          <w:spacing w:val="20"/>
          <w:sz w:val="24"/>
          <w:szCs w:val="24"/>
        </w:rPr>
        <w:t>.</w:t>
      </w:r>
      <w:r w:rsidR="00ED2024" w:rsidRPr="006A0747">
        <w:rPr>
          <w:rFonts w:ascii="Times New Roman" w:eastAsia="Calibri" w:hAnsi="Times New Roman" w:cs="Times New Roman"/>
          <w:color w:val="767171"/>
          <w:spacing w:val="20"/>
          <w:sz w:val="24"/>
          <w:szCs w:val="24"/>
        </w:rPr>
        <w:t xml:space="preserve"> </w:t>
      </w:r>
      <w:r w:rsidR="00A83409" w:rsidRPr="006A0747">
        <w:rPr>
          <w:rFonts w:ascii="Times New Roman" w:eastAsia="Calibri" w:hAnsi="Times New Roman" w:cs="Times New Roman"/>
          <w:color w:val="767171"/>
          <w:spacing w:val="20"/>
          <w:sz w:val="24"/>
          <w:szCs w:val="24"/>
        </w:rPr>
        <w:t>La</w:t>
      </w:r>
      <w:r w:rsidR="00253C24" w:rsidRPr="006A0747">
        <w:rPr>
          <w:rFonts w:ascii="Times New Roman" w:eastAsia="Calibri" w:hAnsi="Times New Roman" w:cs="Times New Roman"/>
          <w:color w:val="767171"/>
          <w:spacing w:val="20"/>
          <w:sz w:val="24"/>
          <w:szCs w:val="24"/>
        </w:rPr>
        <w:t xml:space="preserve"> última medición </w:t>
      </w:r>
      <w:r w:rsidR="00A83409" w:rsidRPr="006A0747">
        <w:rPr>
          <w:rFonts w:ascii="Times New Roman" w:eastAsia="Calibri" w:hAnsi="Times New Roman" w:cs="Times New Roman"/>
          <w:color w:val="767171"/>
          <w:spacing w:val="20"/>
          <w:sz w:val="24"/>
          <w:szCs w:val="24"/>
        </w:rPr>
        <w:t xml:space="preserve">de los indicadores de resultado estratégico </w:t>
      </w:r>
      <w:r w:rsidR="007A0F8C" w:rsidRPr="006A0747">
        <w:rPr>
          <w:rFonts w:ascii="Times New Roman" w:eastAsia="Calibri" w:hAnsi="Times New Roman" w:cs="Times New Roman"/>
          <w:color w:val="767171"/>
          <w:spacing w:val="20"/>
          <w:sz w:val="24"/>
          <w:szCs w:val="24"/>
        </w:rPr>
        <w:t xml:space="preserve">del </w:t>
      </w:r>
      <w:r w:rsidRPr="006A0747">
        <w:rPr>
          <w:rFonts w:ascii="Times New Roman" w:eastAsia="Calibri" w:hAnsi="Times New Roman" w:cs="Times New Roman"/>
          <w:color w:val="767171"/>
          <w:spacing w:val="20"/>
          <w:sz w:val="24"/>
          <w:szCs w:val="24"/>
        </w:rPr>
        <w:t>PEI 2021-2024</w:t>
      </w:r>
      <w:r w:rsidR="00A83409" w:rsidRPr="006A0747">
        <w:rPr>
          <w:rFonts w:ascii="Times New Roman" w:eastAsia="Calibri" w:hAnsi="Times New Roman" w:cs="Times New Roman"/>
          <w:color w:val="767171"/>
          <w:spacing w:val="20"/>
          <w:sz w:val="24"/>
          <w:szCs w:val="24"/>
        </w:rPr>
        <w:t>,</w:t>
      </w:r>
      <w:r w:rsidR="00551E00" w:rsidRPr="006A0747">
        <w:rPr>
          <w:rFonts w:ascii="Times New Roman" w:eastAsia="Calibri" w:hAnsi="Times New Roman" w:cs="Times New Roman"/>
          <w:color w:val="767171"/>
          <w:spacing w:val="20"/>
          <w:sz w:val="24"/>
          <w:szCs w:val="24"/>
        </w:rPr>
        <w:t xml:space="preserve"> </w:t>
      </w:r>
      <w:r w:rsidR="00A83409" w:rsidRPr="006A0747">
        <w:rPr>
          <w:rFonts w:ascii="Times New Roman" w:eastAsia="Calibri" w:hAnsi="Times New Roman" w:cs="Times New Roman"/>
          <w:color w:val="767171"/>
          <w:spacing w:val="20"/>
          <w:sz w:val="24"/>
          <w:szCs w:val="24"/>
        </w:rPr>
        <w:t>arrojó</w:t>
      </w:r>
      <w:r w:rsidR="00253C24" w:rsidRPr="006A0747">
        <w:rPr>
          <w:rFonts w:ascii="Times New Roman" w:eastAsia="Calibri" w:hAnsi="Times New Roman" w:cs="Times New Roman"/>
          <w:color w:val="767171"/>
          <w:spacing w:val="20"/>
          <w:sz w:val="24"/>
          <w:szCs w:val="24"/>
        </w:rPr>
        <w:t xml:space="preserve"> </w:t>
      </w:r>
      <w:r w:rsidRPr="006A0747">
        <w:rPr>
          <w:rFonts w:ascii="Times New Roman" w:eastAsia="Calibri" w:hAnsi="Times New Roman" w:cs="Times New Roman"/>
          <w:color w:val="767171"/>
          <w:spacing w:val="20"/>
          <w:sz w:val="24"/>
          <w:szCs w:val="24"/>
        </w:rPr>
        <w:t xml:space="preserve">un nivel </w:t>
      </w:r>
      <w:r w:rsidR="00CB5774" w:rsidRPr="006A0747">
        <w:rPr>
          <w:rFonts w:ascii="Times New Roman" w:eastAsia="Calibri" w:hAnsi="Times New Roman" w:cs="Times New Roman"/>
          <w:color w:val="767171"/>
          <w:spacing w:val="20"/>
          <w:sz w:val="24"/>
          <w:szCs w:val="24"/>
        </w:rPr>
        <w:t xml:space="preserve">de avance </w:t>
      </w:r>
      <w:r w:rsidR="00C033B9" w:rsidRPr="006A0747">
        <w:rPr>
          <w:rFonts w:ascii="Times New Roman" w:eastAsia="Calibri" w:hAnsi="Times New Roman" w:cs="Times New Roman"/>
          <w:color w:val="767171"/>
          <w:spacing w:val="20"/>
          <w:sz w:val="24"/>
          <w:szCs w:val="24"/>
        </w:rPr>
        <w:t xml:space="preserve">promedio </w:t>
      </w:r>
      <w:r w:rsidRPr="006A0747">
        <w:rPr>
          <w:rFonts w:ascii="Times New Roman" w:eastAsia="Calibri" w:hAnsi="Times New Roman" w:cs="Times New Roman"/>
          <w:color w:val="767171"/>
          <w:spacing w:val="20"/>
          <w:sz w:val="24"/>
          <w:szCs w:val="24"/>
        </w:rPr>
        <w:t>de</w:t>
      </w:r>
      <w:r w:rsidR="00C033B9" w:rsidRPr="006A0747">
        <w:rPr>
          <w:rFonts w:ascii="Times New Roman" w:eastAsia="Calibri" w:hAnsi="Times New Roman" w:cs="Times New Roman"/>
          <w:color w:val="767171"/>
          <w:spacing w:val="20"/>
          <w:sz w:val="24"/>
          <w:szCs w:val="24"/>
        </w:rPr>
        <w:t xml:space="preserve"> </w:t>
      </w:r>
      <w:r w:rsidR="00B15F70" w:rsidRPr="006A0747">
        <w:rPr>
          <w:rFonts w:ascii="Times New Roman" w:eastAsia="Calibri" w:hAnsi="Times New Roman" w:cs="Times New Roman"/>
          <w:color w:val="767171"/>
          <w:spacing w:val="20"/>
          <w:sz w:val="24"/>
          <w:szCs w:val="24"/>
        </w:rPr>
        <w:t>8</w:t>
      </w:r>
      <w:r w:rsidR="00D609DF" w:rsidRPr="006A0747">
        <w:rPr>
          <w:rFonts w:ascii="Times New Roman" w:eastAsia="Calibri" w:hAnsi="Times New Roman" w:cs="Times New Roman"/>
          <w:color w:val="767171"/>
          <w:spacing w:val="20"/>
          <w:sz w:val="24"/>
          <w:szCs w:val="24"/>
        </w:rPr>
        <w:t>9</w:t>
      </w:r>
      <w:r w:rsidR="00253C24" w:rsidRPr="006A0747">
        <w:rPr>
          <w:rFonts w:ascii="Times New Roman" w:eastAsia="Calibri" w:hAnsi="Times New Roman" w:cs="Times New Roman"/>
          <w:color w:val="767171"/>
          <w:spacing w:val="20"/>
          <w:sz w:val="24"/>
          <w:szCs w:val="24"/>
        </w:rPr>
        <w:t>%</w:t>
      </w:r>
      <w:r w:rsidR="00D609DF" w:rsidRPr="006A0747">
        <w:rPr>
          <w:rFonts w:ascii="Times New Roman" w:eastAsia="Calibri" w:hAnsi="Times New Roman" w:cs="Times New Roman"/>
          <w:color w:val="767171"/>
          <w:spacing w:val="20"/>
          <w:sz w:val="24"/>
          <w:szCs w:val="24"/>
        </w:rPr>
        <w:t xml:space="preserve"> </w:t>
      </w:r>
      <w:r w:rsidR="00A0474E" w:rsidRPr="006A0747">
        <w:rPr>
          <w:rFonts w:ascii="Times New Roman" w:eastAsia="Calibri" w:hAnsi="Times New Roman" w:cs="Times New Roman"/>
          <w:color w:val="767171"/>
          <w:spacing w:val="20"/>
          <w:sz w:val="24"/>
          <w:szCs w:val="24"/>
        </w:rPr>
        <w:t xml:space="preserve">con respecto a </w:t>
      </w:r>
      <w:r w:rsidR="00A83409" w:rsidRPr="006A0747">
        <w:rPr>
          <w:rFonts w:ascii="Times New Roman" w:eastAsia="Calibri" w:hAnsi="Times New Roman" w:cs="Times New Roman"/>
          <w:color w:val="767171"/>
          <w:spacing w:val="20"/>
          <w:sz w:val="24"/>
          <w:szCs w:val="24"/>
        </w:rPr>
        <w:t>las metas planteadas</w:t>
      </w:r>
      <w:r w:rsidR="00D259FC" w:rsidRPr="006A0747">
        <w:rPr>
          <w:rFonts w:ascii="Times New Roman" w:eastAsia="Calibri" w:hAnsi="Times New Roman" w:cs="Times New Roman"/>
          <w:color w:val="767171"/>
          <w:spacing w:val="20"/>
          <w:sz w:val="24"/>
          <w:szCs w:val="24"/>
        </w:rPr>
        <w:t xml:space="preserve">, lo que evidencia </w:t>
      </w:r>
      <w:r w:rsidR="00E95ACF" w:rsidRPr="006A0747">
        <w:rPr>
          <w:rFonts w:ascii="Times New Roman" w:eastAsia="Calibri" w:hAnsi="Times New Roman" w:cs="Times New Roman"/>
          <w:color w:val="767171"/>
          <w:spacing w:val="20"/>
          <w:sz w:val="24"/>
          <w:szCs w:val="24"/>
        </w:rPr>
        <w:t>los profundos cambios</w:t>
      </w:r>
      <w:r w:rsidR="00D259FC" w:rsidRPr="006A0747">
        <w:rPr>
          <w:rFonts w:ascii="Times New Roman" w:eastAsia="Calibri" w:hAnsi="Times New Roman" w:cs="Times New Roman"/>
          <w:color w:val="767171"/>
          <w:spacing w:val="20"/>
          <w:sz w:val="24"/>
          <w:szCs w:val="24"/>
        </w:rPr>
        <w:t xml:space="preserve"> que </w:t>
      </w:r>
      <w:r w:rsidR="00E95ACF" w:rsidRPr="006A0747">
        <w:rPr>
          <w:rFonts w:ascii="Times New Roman" w:eastAsia="Calibri" w:hAnsi="Times New Roman" w:cs="Times New Roman"/>
          <w:color w:val="767171"/>
          <w:spacing w:val="20"/>
          <w:sz w:val="24"/>
          <w:szCs w:val="24"/>
        </w:rPr>
        <w:t xml:space="preserve">la institución ha experimentado </w:t>
      </w:r>
      <w:r w:rsidR="00505309" w:rsidRPr="006A0747">
        <w:rPr>
          <w:rFonts w:ascii="Times New Roman" w:eastAsia="Calibri" w:hAnsi="Times New Roman" w:cs="Times New Roman"/>
          <w:color w:val="767171"/>
          <w:spacing w:val="20"/>
          <w:sz w:val="24"/>
          <w:szCs w:val="24"/>
        </w:rPr>
        <w:t>durante el período de ejecución</w:t>
      </w:r>
      <w:r w:rsidR="00E95ACF" w:rsidRPr="006A0747">
        <w:rPr>
          <w:rFonts w:ascii="Times New Roman" w:eastAsia="Calibri" w:hAnsi="Times New Roman" w:cs="Times New Roman"/>
          <w:color w:val="767171"/>
          <w:spacing w:val="20"/>
          <w:sz w:val="24"/>
          <w:szCs w:val="24"/>
        </w:rPr>
        <w:t xml:space="preserve"> del </w:t>
      </w:r>
      <w:r w:rsidR="00505309" w:rsidRPr="006A0747">
        <w:rPr>
          <w:rFonts w:ascii="Times New Roman" w:eastAsia="Calibri" w:hAnsi="Times New Roman" w:cs="Times New Roman"/>
          <w:color w:val="767171"/>
          <w:spacing w:val="20"/>
          <w:sz w:val="24"/>
          <w:szCs w:val="24"/>
        </w:rPr>
        <w:t>plan</w:t>
      </w:r>
      <w:r w:rsidR="00A0474E" w:rsidRPr="006A0747">
        <w:rPr>
          <w:rFonts w:ascii="Times New Roman" w:eastAsia="Calibri" w:hAnsi="Times New Roman" w:cs="Times New Roman"/>
          <w:color w:val="767171"/>
          <w:spacing w:val="20"/>
          <w:sz w:val="24"/>
          <w:szCs w:val="24"/>
        </w:rPr>
        <w:t>.</w:t>
      </w:r>
    </w:p>
    <w:p w14:paraId="13339E70" w14:textId="77777777" w:rsidR="00220AE0" w:rsidRPr="006A0747" w:rsidRDefault="00220AE0" w:rsidP="00786883">
      <w:pPr>
        <w:spacing w:line="360" w:lineRule="auto"/>
        <w:jc w:val="both"/>
        <w:rPr>
          <w:rFonts w:ascii="Times New Roman" w:eastAsia="Calibri" w:hAnsi="Times New Roman" w:cs="Times New Roman"/>
          <w:color w:val="767171"/>
          <w:spacing w:val="20"/>
          <w:sz w:val="24"/>
          <w:szCs w:val="24"/>
        </w:rPr>
      </w:pPr>
    </w:p>
    <w:p w14:paraId="1F15C041" w14:textId="77777777" w:rsidR="00786883" w:rsidRPr="006A0747" w:rsidRDefault="00786883" w:rsidP="00786883">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t xml:space="preserve">Planificación Operativa </w:t>
      </w:r>
    </w:p>
    <w:p w14:paraId="17C2EF72" w14:textId="2CC0F0D9" w:rsidR="00786883" w:rsidRPr="006A0747" w:rsidRDefault="00786883" w:rsidP="00DB6AE7">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Con el objetivo de alcanzar los resultados esperados </w:t>
      </w:r>
      <w:r w:rsidR="001F0048" w:rsidRPr="006A0747">
        <w:rPr>
          <w:rFonts w:ascii="Times New Roman" w:eastAsia="Calibri" w:hAnsi="Times New Roman" w:cs="Times New Roman"/>
          <w:color w:val="767171"/>
          <w:spacing w:val="20"/>
          <w:sz w:val="24"/>
          <w:szCs w:val="24"/>
        </w:rPr>
        <w:t xml:space="preserve">planteados </w:t>
      </w:r>
      <w:r w:rsidRPr="006A0747">
        <w:rPr>
          <w:rFonts w:ascii="Times New Roman" w:eastAsia="Calibri" w:hAnsi="Times New Roman" w:cs="Times New Roman"/>
          <w:color w:val="767171"/>
          <w:spacing w:val="20"/>
          <w:sz w:val="24"/>
          <w:szCs w:val="24"/>
        </w:rPr>
        <w:t>en el Plan Estratégico Institucional 2021-2024, se elaboró el Plan Operativo Anual (POA) 2024, conformado por 7</w:t>
      </w:r>
      <w:r w:rsidR="00596D18" w:rsidRPr="006A0747">
        <w:rPr>
          <w:rFonts w:ascii="Times New Roman" w:eastAsia="Calibri" w:hAnsi="Times New Roman" w:cs="Times New Roman"/>
          <w:color w:val="767171"/>
          <w:spacing w:val="20"/>
          <w:sz w:val="24"/>
          <w:szCs w:val="24"/>
        </w:rPr>
        <w:t>1</w:t>
      </w:r>
      <w:r w:rsidRPr="006A0747">
        <w:rPr>
          <w:rFonts w:ascii="Times New Roman" w:eastAsia="Calibri" w:hAnsi="Times New Roman" w:cs="Times New Roman"/>
          <w:color w:val="767171"/>
          <w:spacing w:val="20"/>
          <w:sz w:val="24"/>
          <w:szCs w:val="24"/>
        </w:rPr>
        <w:t xml:space="preserve"> proyectos y productos asociados a iniciativas de transformación y producción misional, ejecutados por 24 departamentos y áreas de la institución. </w:t>
      </w:r>
      <w:r w:rsidR="00F80518" w:rsidRPr="006A0747">
        <w:rPr>
          <w:rFonts w:ascii="Times New Roman" w:eastAsia="Calibri" w:hAnsi="Times New Roman" w:cs="Times New Roman"/>
          <w:color w:val="767171"/>
          <w:spacing w:val="20"/>
          <w:sz w:val="24"/>
          <w:szCs w:val="24"/>
        </w:rPr>
        <w:t xml:space="preserve">Al corte de </w:t>
      </w:r>
      <w:r w:rsidR="00596D18" w:rsidRPr="006A0747">
        <w:rPr>
          <w:rFonts w:ascii="Times New Roman" w:eastAsia="Calibri" w:hAnsi="Times New Roman" w:cs="Times New Roman"/>
          <w:color w:val="767171"/>
          <w:spacing w:val="20"/>
          <w:sz w:val="24"/>
          <w:szCs w:val="24"/>
        </w:rPr>
        <w:t>octubre</w:t>
      </w:r>
      <w:r w:rsidR="00F80518" w:rsidRPr="006A0747">
        <w:rPr>
          <w:rFonts w:ascii="Times New Roman" w:eastAsia="Calibri" w:hAnsi="Times New Roman" w:cs="Times New Roman"/>
          <w:color w:val="767171"/>
          <w:spacing w:val="20"/>
          <w:sz w:val="24"/>
          <w:szCs w:val="24"/>
        </w:rPr>
        <w:t xml:space="preserve"> del 2024, </w:t>
      </w:r>
      <w:r w:rsidRPr="006A0747">
        <w:rPr>
          <w:rFonts w:ascii="Times New Roman" w:eastAsia="Calibri" w:hAnsi="Times New Roman" w:cs="Times New Roman"/>
          <w:color w:val="767171"/>
          <w:spacing w:val="20"/>
          <w:sz w:val="24"/>
          <w:szCs w:val="24"/>
        </w:rPr>
        <w:t xml:space="preserve">la ejecución POA alcanzó un </w:t>
      </w:r>
      <w:r w:rsidR="00596D18" w:rsidRPr="006A0747">
        <w:rPr>
          <w:rFonts w:ascii="Times New Roman" w:eastAsia="Calibri" w:hAnsi="Times New Roman" w:cs="Times New Roman"/>
          <w:color w:val="767171"/>
          <w:spacing w:val="20"/>
          <w:sz w:val="24"/>
          <w:szCs w:val="24"/>
        </w:rPr>
        <w:t>78</w:t>
      </w:r>
      <w:r w:rsidRPr="006A0747">
        <w:rPr>
          <w:rFonts w:ascii="Times New Roman" w:eastAsia="Calibri" w:hAnsi="Times New Roman" w:cs="Times New Roman"/>
          <w:color w:val="767171"/>
          <w:spacing w:val="20"/>
          <w:sz w:val="24"/>
          <w:szCs w:val="24"/>
        </w:rPr>
        <w:t>% de avance en cuanto a proyectos y productos.</w:t>
      </w:r>
      <w:r w:rsidR="006A0280" w:rsidRPr="006A0747">
        <w:rPr>
          <w:rFonts w:ascii="Times New Roman" w:eastAsia="Calibri" w:hAnsi="Times New Roman" w:cs="Times New Roman"/>
          <w:color w:val="767171"/>
          <w:spacing w:val="20"/>
          <w:sz w:val="24"/>
          <w:szCs w:val="24"/>
        </w:rPr>
        <w:t xml:space="preserve"> Se estima para el cierre de año que la ejecución del POA supere el 85%.</w:t>
      </w:r>
    </w:p>
    <w:p w14:paraId="37E9EE26" w14:textId="77777777" w:rsidR="009D0BAA" w:rsidRPr="006A0747" w:rsidRDefault="009D0BAA" w:rsidP="00DB6AE7">
      <w:pPr>
        <w:spacing w:line="360" w:lineRule="auto"/>
        <w:jc w:val="both"/>
        <w:rPr>
          <w:rFonts w:ascii="Times New Roman" w:eastAsia="Calibri" w:hAnsi="Times New Roman" w:cs="Times New Roman"/>
          <w:color w:val="2E74B5" w:themeColor="accent5" w:themeShade="BF"/>
          <w:spacing w:val="20"/>
          <w:sz w:val="24"/>
          <w:szCs w:val="24"/>
        </w:rPr>
      </w:pPr>
    </w:p>
    <w:p w14:paraId="175DF002" w14:textId="7F1359BA" w:rsidR="00786883" w:rsidRPr="006A0747" w:rsidRDefault="00786883" w:rsidP="000813B9">
      <w:pPr>
        <w:pStyle w:val="Ttulo2"/>
        <w:numPr>
          <w:ilvl w:val="1"/>
          <w:numId w:val="17"/>
        </w:numPr>
        <w:rPr>
          <w:rFonts w:ascii="Times New Roman" w:eastAsia="Calibri" w:hAnsi="Times New Roman" w:cs="Times New Roman"/>
          <w:b/>
          <w:color w:val="767171"/>
          <w:spacing w:val="20"/>
          <w:sz w:val="24"/>
          <w:szCs w:val="24"/>
        </w:rPr>
      </w:pPr>
      <w:bookmarkStart w:id="53" w:name="_Toc185275009"/>
      <w:r w:rsidRPr="006A0747">
        <w:rPr>
          <w:rFonts w:ascii="Times New Roman" w:eastAsia="Calibri" w:hAnsi="Times New Roman" w:cs="Times New Roman"/>
          <w:b/>
          <w:color w:val="767171"/>
          <w:spacing w:val="20"/>
          <w:sz w:val="24"/>
          <w:szCs w:val="24"/>
        </w:rPr>
        <w:t>Desarrollo organizacional y Sistema de Gestión Integrado</w:t>
      </w:r>
      <w:bookmarkEnd w:id="53"/>
    </w:p>
    <w:p w14:paraId="58CBA3F6" w14:textId="77777777" w:rsidR="00786883" w:rsidRPr="006A0747" w:rsidRDefault="00786883" w:rsidP="00DB6AE7">
      <w:pPr>
        <w:spacing w:line="360" w:lineRule="auto"/>
        <w:jc w:val="both"/>
        <w:rPr>
          <w:rFonts w:ascii="Times New Roman" w:eastAsia="Calibri" w:hAnsi="Times New Roman" w:cs="Times New Roman"/>
          <w:color w:val="767171"/>
          <w:spacing w:val="20"/>
          <w:sz w:val="24"/>
          <w:szCs w:val="24"/>
        </w:rPr>
      </w:pPr>
    </w:p>
    <w:p w14:paraId="76222EE5" w14:textId="77777777" w:rsidR="004A6096" w:rsidRPr="006A0747" w:rsidRDefault="006438EB" w:rsidP="00EB2BCF">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La</w:t>
      </w:r>
      <w:r w:rsidR="00F5722B" w:rsidRPr="006A0747">
        <w:rPr>
          <w:rFonts w:ascii="Times New Roman" w:eastAsia="Calibri" w:hAnsi="Times New Roman" w:cs="Times New Roman"/>
          <w:color w:val="767171"/>
          <w:spacing w:val="20"/>
          <w:sz w:val="24"/>
          <w:szCs w:val="24"/>
        </w:rPr>
        <w:t xml:space="preserve"> Superintendencia de Bancos ha </w:t>
      </w:r>
      <w:r w:rsidR="004A6096" w:rsidRPr="006A0747">
        <w:rPr>
          <w:rFonts w:ascii="Times New Roman" w:eastAsia="Calibri" w:hAnsi="Times New Roman" w:cs="Times New Roman"/>
          <w:color w:val="767171"/>
          <w:spacing w:val="20"/>
          <w:sz w:val="24"/>
          <w:szCs w:val="24"/>
        </w:rPr>
        <w:t>logrado avances significativos</w:t>
      </w:r>
      <w:r w:rsidR="00F5722B" w:rsidRPr="006A0747">
        <w:rPr>
          <w:rFonts w:ascii="Times New Roman" w:eastAsia="Calibri" w:hAnsi="Times New Roman" w:cs="Times New Roman"/>
          <w:color w:val="767171"/>
          <w:spacing w:val="20"/>
          <w:sz w:val="24"/>
          <w:szCs w:val="24"/>
        </w:rPr>
        <w:t xml:space="preserve"> en la implementación de un enfoque integral para fortalecer </w:t>
      </w:r>
      <w:r w:rsidR="004A6096" w:rsidRPr="006A0747">
        <w:rPr>
          <w:rFonts w:ascii="Times New Roman" w:eastAsia="Calibri" w:hAnsi="Times New Roman" w:cs="Times New Roman"/>
          <w:color w:val="767171"/>
          <w:spacing w:val="20"/>
          <w:sz w:val="24"/>
          <w:szCs w:val="24"/>
        </w:rPr>
        <w:t xml:space="preserve">tanto </w:t>
      </w:r>
      <w:r w:rsidR="00F5722B" w:rsidRPr="006A0747">
        <w:rPr>
          <w:rFonts w:ascii="Times New Roman" w:eastAsia="Calibri" w:hAnsi="Times New Roman" w:cs="Times New Roman"/>
          <w:color w:val="767171"/>
          <w:spacing w:val="20"/>
          <w:sz w:val="24"/>
          <w:szCs w:val="24"/>
        </w:rPr>
        <w:t xml:space="preserve">su estructura interna </w:t>
      </w:r>
      <w:r w:rsidR="004A6096" w:rsidRPr="006A0747">
        <w:rPr>
          <w:rFonts w:ascii="Times New Roman" w:eastAsia="Calibri" w:hAnsi="Times New Roman" w:cs="Times New Roman"/>
          <w:color w:val="767171"/>
          <w:spacing w:val="20"/>
          <w:sz w:val="24"/>
          <w:szCs w:val="24"/>
        </w:rPr>
        <w:t>como</w:t>
      </w:r>
      <w:r w:rsidR="00F5722B" w:rsidRPr="006A0747">
        <w:rPr>
          <w:rFonts w:ascii="Times New Roman" w:eastAsia="Calibri" w:hAnsi="Times New Roman" w:cs="Times New Roman"/>
          <w:color w:val="767171"/>
          <w:spacing w:val="20"/>
          <w:sz w:val="24"/>
          <w:szCs w:val="24"/>
        </w:rPr>
        <w:t xml:space="preserve"> su capacidad de supervisión en el sector financiero. </w:t>
      </w:r>
      <w:r w:rsidR="004A6096" w:rsidRPr="006A0747">
        <w:rPr>
          <w:rFonts w:ascii="Times New Roman" w:eastAsia="Calibri" w:hAnsi="Times New Roman" w:cs="Times New Roman"/>
          <w:color w:val="767171"/>
          <w:spacing w:val="20"/>
          <w:sz w:val="24"/>
          <w:szCs w:val="24"/>
        </w:rPr>
        <w:t>Mediante</w:t>
      </w:r>
      <w:r w:rsidR="00F5722B" w:rsidRPr="006A0747">
        <w:rPr>
          <w:rFonts w:ascii="Times New Roman" w:eastAsia="Calibri" w:hAnsi="Times New Roman" w:cs="Times New Roman"/>
          <w:color w:val="767171"/>
          <w:spacing w:val="20"/>
          <w:sz w:val="24"/>
          <w:szCs w:val="24"/>
        </w:rPr>
        <w:t xml:space="preserve"> un proceso continuo de </w:t>
      </w:r>
      <w:r w:rsidR="003E090D" w:rsidRPr="006A0747">
        <w:rPr>
          <w:rFonts w:ascii="Times New Roman" w:eastAsia="Calibri" w:hAnsi="Times New Roman" w:cs="Times New Roman"/>
          <w:color w:val="767171"/>
          <w:spacing w:val="20"/>
          <w:sz w:val="24"/>
          <w:szCs w:val="24"/>
        </w:rPr>
        <w:t>d</w:t>
      </w:r>
      <w:r w:rsidR="00F5722B" w:rsidRPr="006A0747">
        <w:rPr>
          <w:rFonts w:ascii="Times New Roman" w:eastAsia="Calibri" w:hAnsi="Times New Roman" w:cs="Times New Roman"/>
          <w:color w:val="767171"/>
          <w:spacing w:val="20"/>
          <w:sz w:val="24"/>
          <w:szCs w:val="24"/>
        </w:rPr>
        <w:t xml:space="preserve">esarrollo </w:t>
      </w:r>
      <w:r w:rsidR="003E090D" w:rsidRPr="006A0747">
        <w:rPr>
          <w:rFonts w:ascii="Times New Roman" w:eastAsia="Calibri" w:hAnsi="Times New Roman" w:cs="Times New Roman"/>
          <w:color w:val="767171"/>
          <w:spacing w:val="20"/>
          <w:sz w:val="24"/>
          <w:szCs w:val="24"/>
        </w:rPr>
        <w:t>o</w:t>
      </w:r>
      <w:r w:rsidR="00F5722B" w:rsidRPr="006A0747">
        <w:rPr>
          <w:rFonts w:ascii="Times New Roman" w:eastAsia="Calibri" w:hAnsi="Times New Roman" w:cs="Times New Roman"/>
          <w:color w:val="767171"/>
          <w:spacing w:val="20"/>
          <w:sz w:val="24"/>
          <w:szCs w:val="24"/>
        </w:rPr>
        <w:t xml:space="preserve">rganizacional, se ha </w:t>
      </w:r>
      <w:r w:rsidR="004A6096" w:rsidRPr="006A0747">
        <w:rPr>
          <w:rFonts w:ascii="Times New Roman" w:eastAsia="Calibri" w:hAnsi="Times New Roman" w:cs="Times New Roman"/>
          <w:color w:val="767171"/>
          <w:spacing w:val="20"/>
          <w:sz w:val="24"/>
          <w:szCs w:val="24"/>
        </w:rPr>
        <w:t>impulsado</w:t>
      </w:r>
      <w:r w:rsidR="00F5722B" w:rsidRPr="006A0747">
        <w:rPr>
          <w:rFonts w:ascii="Times New Roman" w:eastAsia="Calibri" w:hAnsi="Times New Roman" w:cs="Times New Roman"/>
          <w:color w:val="767171"/>
          <w:spacing w:val="20"/>
          <w:sz w:val="24"/>
          <w:szCs w:val="24"/>
        </w:rPr>
        <w:t xml:space="preserve"> la mejora de sus procesos, la capacitación de su personal y la optimización de su cultura </w:t>
      </w:r>
      <w:r w:rsidR="00F5722B" w:rsidRPr="006A0747">
        <w:rPr>
          <w:rFonts w:ascii="Times New Roman" w:eastAsia="Calibri" w:hAnsi="Times New Roman" w:cs="Times New Roman"/>
          <w:color w:val="767171"/>
          <w:spacing w:val="20"/>
          <w:sz w:val="24"/>
          <w:szCs w:val="24"/>
        </w:rPr>
        <w:lastRenderedPageBreak/>
        <w:t xml:space="preserve">institucional, lo </w:t>
      </w:r>
      <w:r w:rsidR="00E62B8D" w:rsidRPr="006A0747">
        <w:rPr>
          <w:rFonts w:ascii="Times New Roman" w:eastAsia="Calibri" w:hAnsi="Times New Roman" w:cs="Times New Roman"/>
          <w:color w:val="767171"/>
          <w:spacing w:val="20"/>
          <w:sz w:val="24"/>
          <w:szCs w:val="24"/>
        </w:rPr>
        <w:t xml:space="preserve">que </w:t>
      </w:r>
      <w:r w:rsidR="004A6096" w:rsidRPr="006A0747">
        <w:rPr>
          <w:rFonts w:ascii="Times New Roman" w:eastAsia="Calibri" w:hAnsi="Times New Roman" w:cs="Times New Roman"/>
          <w:color w:val="767171"/>
          <w:spacing w:val="20"/>
          <w:sz w:val="24"/>
          <w:szCs w:val="24"/>
        </w:rPr>
        <w:t>ha resultado</w:t>
      </w:r>
      <w:r w:rsidR="00E62B8D" w:rsidRPr="006A0747">
        <w:rPr>
          <w:rFonts w:ascii="Times New Roman" w:eastAsia="Calibri" w:hAnsi="Times New Roman" w:cs="Times New Roman"/>
          <w:color w:val="767171"/>
          <w:spacing w:val="20"/>
          <w:sz w:val="24"/>
          <w:szCs w:val="24"/>
        </w:rPr>
        <w:t xml:space="preserve"> en</w:t>
      </w:r>
      <w:r w:rsidR="00F5722B" w:rsidRPr="006A0747">
        <w:rPr>
          <w:rFonts w:ascii="Times New Roman" w:eastAsia="Calibri" w:hAnsi="Times New Roman" w:cs="Times New Roman"/>
          <w:color w:val="767171"/>
          <w:spacing w:val="20"/>
          <w:sz w:val="24"/>
          <w:szCs w:val="24"/>
        </w:rPr>
        <w:t xml:space="preserve"> </w:t>
      </w:r>
      <w:r w:rsidR="004A6096" w:rsidRPr="006A0747">
        <w:rPr>
          <w:rFonts w:ascii="Times New Roman" w:eastAsia="Calibri" w:hAnsi="Times New Roman" w:cs="Times New Roman"/>
          <w:color w:val="767171"/>
          <w:spacing w:val="20"/>
          <w:sz w:val="24"/>
          <w:szCs w:val="24"/>
        </w:rPr>
        <w:t xml:space="preserve">una </w:t>
      </w:r>
      <w:r w:rsidR="00F5722B" w:rsidRPr="006A0747">
        <w:rPr>
          <w:rFonts w:ascii="Times New Roman" w:eastAsia="Calibri" w:hAnsi="Times New Roman" w:cs="Times New Roman"/>
          <w:color w:val="767171"/>
          <w:spacing w:val="20"/>
          <w:sz w:val="24"/>
          <w:szCs w:val="24"/>
        </w:rPr>
        <w:t xml:space="preserve">mayor eficiencia </w:t>
      </w:r>
      <w:r w:rsidR="004A6096" w:rsidRPr="006A0747">
        <w:rPr>
          <w:rFonts w:ascii="Times New Roman" w:eastAsia="Calibri" w:hAnsi="Times New Roman" w:cs="Times New Roman"/>
          <w:color w:val="767171"/>
          <w:spacing w:val="20"/>
          <w:sz w:val="24"/>
          <w:szCs w:val="24"/>
        </w:rPr>
        <w:t xml:space="preserve">en el desempeño de </w:t>
      </w:r>
      <w:r w:rsidR="00F5722B" w:rsidRPr="006A0747">
        <w:rPr>
          <w:rFonts w:ascii="Times New Roman" w:eastAsia="Calibri" w:hAnsi="Times New Roman" w:cs="Times New Roman"/>
          <w:color w:val="767171"/>
          <w:spacing w:val="20"/>
          <w:sz w:val="24"/>
          <w:szCs w:val="24"/>
        </w:rPr>
        <w:t xml:space="preserve">sus funciones. </w:t>
      </w:r>
    </w:p>
    <w:p w14:paraId="034D92D0" w14:textId="77777777" w:rsidR="00DF46C0" w:rsidRPr="006A0747" w:rsidRDefault="00EC7A74" w:rsidP="00FB7A68">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Para lograr lo anteriormente expuesto</w:t>
      </w:r>
      <w:r w:rsidR="00384DC9" w:rsidRPr="006A0747">
        <w:rPr>
          <w:rFonts w:ascii="Times New Roman" w:eastAsia="Calibri" w:hAnsi="Times New Roman" w:cs="Times New Roman"/>
          <w:color w:val="767171"/>
          <w:spacing w:val="20"/>
          <w:sz w:val="24"/>
          <w:szCs w:val="24"/>
        </w:rPr>
        <w:t xml:space="preserve">, </w:t>
      </w:r>
      <w:r w:rsidR="0048601C" w:rsidRPr="006A0747">
        <w:rPr>
          <w:rFonts w:ascii="Times New Roman" w:eastAsia="Calibri" w:hAnsi="Times New Roman" w:cs="Times New Roman"/>
          <w:color w:val="767171"/>
          <w:spacing w:val="20"/>
          <w:sz w:val="24"/>
          <w:szCs w:val="24"/>
        </w:rPr>
        <w:t xml:space="preserve">uno de los principales </w:t>
      </w:r>
      <w:r w:rsidR="008C4188" w:rsidRPr="006A0747">
        <w:rPr>
          <w:rFonts w:ascii="Times New Roman" w:eastAsia="Calibri" w:hAnsi="Times New Roman" w:cs="Times New Roman"/>
          <w:color w:val="767171"/>
          <w:spacing w:val="20"/>
          <w:sz w:val="24"/>
          <w:szCs w:val="24"/>
        </w:rPr>
        <w:t xml:space="preserve">enfoques </w:t>
      </w:r>
      <w:r w:rsidR="00E406DD" w:rsidRPr="006A0747">
        <w:rPr>
          <w:rFonts w:ascii="Times New Roman" w:eastAsia="Calibri" w:hAnsi="Times New Roman" w:cs="Times New Roman"/>
          <w:color w:val="767171"/>
          <w:spacing w:val="20"/>
          <w:sz w:val="24"/>
          <w:szCs w:val="24"/>
        </w:rPr>
        <w:t>institucionales</w:t>
      </w:r>
      <w:r w:rsidR="008C4188" w:rsidRPr="006A0747">
        <w:rPr>
          <w:rFonts w:ascii="Times New Roman" w:eastAsia="Calibri" w:hAnsi="Times New Roman" w:cs="Times New Roman"/>
          <w:color w:val="767171"/>
          <w:spacing w:val="20"/>
          <w:sz w:val="24"/>
          <w:szCs w:val="24"/>
        </w:rPr>
        <w:t xml:space="preserve"> ha sido </w:t>
      </w:r>
      <w:r w:rsidR="00020FF1" w:rsidRPr="006A0747">
        <w:rPr>
          <w:rFonts w:ascii="Times New Roman" w:eastAsia="Calibri" w:hAnsi="Times New Roman" w:cs="Times New Roman"/>
          <w:color w:val="767171"/>
          <w:spacing w:val="20"/>
          <w:sz w:val="24"/>
          <w:szCs w:val="24"/>
        </w:rPr>
        <w:t xml:space="preserve">el de </w:t>
      </w:r>
      <w:r w:rsidR="00186231" w:rsidRPr="006A0747">
        <w:rPr>
          <w:rFonts w:ascii="Times New Roman" w:eastAsia="Calibri" w:hAnsi="Times New Roman" w:cs="Times New Roman"/>
          <w:color w:val="767171"/>
          <w:spacing w:val="20"/>
          <w:sz w:val="24"/>
          <w:szCs w:val="24"/>
        </w:rPr>
        <w:t>la</w:t>
      </w:r>
      <w:r w:rsidR="00020FF1" w:rsidRPr="006A0747">
        <w:rPr>
          <w:rFonts w:ascii="Times New Roman" w:eastAsia="Calibri" w:hAnsi="Times New Roman" w:cs="Times New Roman"/>
          <w:color w:val="767171"/>
          <w:spacing w:val="20"/>
          <w:sz w:val="24"/>
          <w:szCs w:val="24"/>
        </w:rPr>
        <w:t xml:space="preserve"> </w:t>
      </w:r>
      <w:r w:rsidR="00681567" w:rsidRPr="006A0747">
        <w:rPr>
          <w:rFonts w:ascii="Times New Roman" w:eastAsia="Calibri" w:hAnsi="Times New Roman" w:cs="Times New Roman"/>
          <w:color w:val="767171"/>
          <w:spacing w:val="20"/>
          <w:sz w:val="24"/>
          <w:szCs w:val="24"/>
        </w:rPr>
        <w:t xml:space="preserve">implementación de un </w:t>
      </w:r>
      <w:r w:rsidR="00B339F1" w:rsidRPr="006A0747">
        <w:rPr>
          <w:rFonts w:ascii="Times New Roman" w:eastAsia="Calibri" w:hAnsi="Times New Roman" w:cs="Times New Roman"/>
          <w:color w:val="767171"/>
          <w:spacing w:val="20"/>
          <w:sz w:val="24"/>
          <w:szCs w:val="24"/>
        </w:rPr>
        <w:t>Sistema de Gestión Integrado (SGI)</w:t>
      </w:r>
      <w:r w:rsidR="00681567" w:rsidRPr="006A0747">
        <w:rPr>
          <w:rFonts w:ascii="Times New Roman" w:eastAsia="Calibri" w:hAnsi="Times New Roman" w:cs="Times New Roman"/>
          <w:color w:val="767171"/>
          <w:spacing w:val="20"/>
          <w:sz w:val="24"/>
          <w:szCs w:val="24"/>
        </w:rPr>
        <w:t xml:space="preserve"> de clase </w:t>
      </w:r>
      <w:r w:rsidR="004F12D9" w:rsidRPr="006A0747">
        <w:rPr>
          <w:rFonts w:ascii="Times New Roman" w:eastAsia="Calibri" w:hAnsi="Times New Roman" w:cs="Times New Roman"/>
          <w:color w:val="767171"/>
          <w:spacing w:val="20"/>
          <w:sz w:val="24"/>
          <w:szCs w:val="24"/>
        </w:rPr>
        <w:t xml:space="preserve">mundial, avalado </w:t>
      </w:r>
      <w:r w:rsidR="00C21784" w:rsidRPr="006A0747">
        <w:rPr>
          <w:rFonts w:ascii="Times New Roman" w:eastAsia="Calibri" w:hAnsi="Times New Roman" w:cs="Times New Roman"/>
          <w:color w:val="767171"/>
          <w:spacing w:val="20"/>
          <w:sz w:val="24"/>
          <w:szCs w:val="24"/>
        </w:rPr>
        <w:t>por su eficacia</w:t>
      </w:r>
      <w:r w:rsidR="00E04711" w:rsidRPr="006A0747">
        <w:rPr>
          <w:rFonts w:ascii="Times New Roman" w:eastAsia="Calibri" w:hAnsi="Times New Roman" w:cs="Times New Roman"/>
          <w:color w:val="767171"/>
          <w:spacing w:val="20"/>
          <w:sz w:val="24"/>
          <w:szCs w:val="24"/>
        </w:rPr>
        <w:t xml:space="preserve"> y conformidad</w:t>
      </w:r>
      <w:r w:rsidR="00AD038D" w:rsidRPr="006A0747">
        <w:rPr>
          <w:rFonts w:ascii="Times New Roman" w:eastAsia="Calibri" w:hAnsi="Times New Roman" w:cs="Times New Roman"/>
          <w:color w:val="767171"/>
          <w:spacing w:val="20"/>
          <w:sz w:val="24"/>
          <w:szCs w:val="24"/>
        </w:rPr>
        <w:t xml:space="preserve"> con</w:t>
      </w:r>
      <w:r w:rsidR="005510BC" w:rsidRPr="006A0747">
        <w:rPr>
          <w:rFonts w:ascii="Times New Roman" w:eastAsia="Calibri" w:hAnsi="Times New Roman" w:cs="Times New Roman"/>
          <w:color w:val="767171"/>
          <w:spacing w:val="20"/>
          <w:sz w:val="24"/>
          <w:szCs w:val="24"/>
        </w:rPr>
        <w:t xml:space="preserve"> estándares internacionales</w:t>
      </w:r>
      <w:r w:rsidR="004F583C" w:rsidRPr="006A0747">
        <w:rPr>
          <w:rFonts w:ascii="Times New Roman" w:eastAsia="Calibri" w:hAnsi="Times New Roman" w:cs="Times New Roman"/>
          <w:color w:val="767171"/>
          <w:spacing w:val="20"/>
          <w:sz w:val="24"/>
          <w:szCs w:val="24"/>
        </w:rPr>
        <w:t xml:space="preserve">. </w:t>
      </w:r>
      <w:r w:rsidR="006E2E9C" w:rsidRPr="006A0747">
        <w:rPr>
          <w:rFonts w:ascii="Times New Roman" w:eastAsia="Calibri" w:hAnsi="Times New Roman" w:cs="Times New Roman"/>
          <w:color w:val="767171"/>
          <w:spacing w:val="20"/>
          <w:sz w:val="24"/>
          <w:szCs w:val="24"/>
        </w:rPr>
        <w:t>Dentro de los principales logros en torno a SGI</w:t>
      </w:r>
      <w:r w:rsidR="00A47CC5" w:rsidRPr="006A0747">
        <w:rPr>
          <w:rFonts w:ascii="Times New Roman" w:eastAsia="Calibri" w:hAnsi="Times New Roman" w:cs="Times New Roman"/>
          <w:color w:val="767171"/>
          <w:spacing w:val="20"/>
          <w:sz w:val="24"/>
          <w:szCs w:val="24"/>
        </w:rPr>
        <w:t xml:space="preserve"> se encuentran</w:t>
      </w:r>
      <w:r w:rsidR="00DF46C0" w:rsidRPr="006A0747">
        <w:rPr>
          <w:rFonts w:ascii="Times New Roman" w:eastAsia="Calibri" w:hAnsi="Times New Roman" w:cs="Times New Roman"/>
          <w:color w:val="767171"/>
          <w:spacing w:val="20"/>
          <w:sz w:val="24"/>
          <w:szCs w:val="24"/>
        </w:rPr>
        <w:t>:</w:t>
      </w:r>
    </w:p>
    <w:p w14:paraId="341B8DB0" w14:textId="0C446488" w:rsidR="00741689" w:rsidRPr="006A0747" w:rsidRDefault="00DF46C0" w:rsidP="00FB7A68">
      <w:pPr>
        <w:pStyle w:val="Prrafodelista"/>
        <w:numPr>
          <w:ilvl w:val="0"/>
          <w:numId w:val="19"/>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L</w:t>
      </w:r>
      <w:r w:rsidR="0055643A" w:rsidRPr="006A0747">
        <w:rPr>
          <w:rFonts w:ascii="Times New Roman" w:eastAsia="Calibri" w:hAnsi="Times New Roman" w:cs="Times New Roman"/>
          <w:color w:val="767171"/>
          <w:spacing w:val="20"/>
          <w:sz w:val="24"/>
          <w:szCs w:val="24"/>
        </w:rPr>
        <w:t>a re</w:t>
      </w:r>
      <w:r w:rsidR="00AD194E" w:rsidRPr="006A0747">
        <w:rPr>
          <w:rFonts w:ascii="Times New Roman" w:eastAsia="Calibri" w:hAnsi="Times New Roman" w:cs="Times New Roman"/>
          <w:color w:val="767171"/>
          <w:spacing w:val="20"/>
          <w:sz w:val="24"/>
          <w:szCs w:val="24"/>
        </w:rPr>
        <w:t>certifica</w:t>
      </w:r>
      <w:r w:rsidR="0055643A" w:rsidRPr="006A0747">
        <w:rPr>
          <w:rFonts w:ascii="Times New Roman" w:eastAsia="Calibri" w:hAnsi="Times New Roman" w:cs="Times New Roman"/>
          <w:color w:val="767171"/>
          <w:spacing w:val="20"/>
          <w:sz w:val="24"/>
          <w:szCs w:val="24"/>
        </w:rPr>
        <w:t>ción</w:t>
      </w:r>
      <w:r w:rsidR="00AD194E" w:rsidRPr="006A0747">
        <w:rPr>
          <w:rFonts w:ascii="Times New Roman" w:eastAsia="Calibri" w:hAnsi="Times New Roman" w:cs="Times New Roman"/>
          <w:color w:val="767171"/>
          <w:spacing w:val="20"/>
          <w:sz w:val="24"/>
          <w:szCs w:val="24"/>
        </w:rPr>
        <w:t xml:space="preserve"> bajo </w:t>
      </w:r>
      <w:r w:rsidR="006B5F4F" w:rsidRPr="006A0747">
        <w:rPr>
          <w:rFonts w:ascii="Times New Roman" w:eastAsia="Calibri" w:hAnsi="Times New Roman" w:cs="Times New Roman"/>
          <w:color w:val="767171"/>
          <w:spacing w:val="20"/>
          <w:sz w:val="24"/>
          <w:szCs w:val="24"/>
        </w:rPr>
        <w:t xml:space="preserve">el estándar </w:t>
      </w:r>
      <w:r w:rsidR="006B5F4F" w:rsidRPr="006A0747">
        <w:rPr>
          <w:rFonts w:ascii="Times New Roman" w:eastAsia="Calibri" w:hAnsi="Times New Roman" w:cs="Times New Roman"/>
          <w:b/>
          <w:color w:val="767171"/>
          <w:spacing w:val="20"/>
          <w:sz w:val="24"/>
          <w:szCs w:val="24"/>
        </w:rPr>
        <w:t>ISO 9001: 2015</w:t>
      </w:r>
      <w:r w:rsidR="00313100" w:rsidRPr="006A0747">
        <w:rPr>
          <w:rFonts w:ascii="Times New Roman" w:eastAsia="Calibri" w:hAnsi="Times New Roman" w:cs="Times New Roman"/>
          <w:b/>
          <w:color w:val="767171"/>
          <w:spacing w:val="20"/>
          <w:sz w:val="24"/>
          <w:szCs w:val="24"/>
        </w:rPr>
        <w:t xml:space="preserve">, </w:t>
      </w:r>
      <w:r w:rsidR="00313100" w:rsidRPr="006A0747">
        <w:rPr>
          <w:rFonts w:ascii="Times New Roman" w:eastAsia="Calibri" w:hAnsi="Times New Roman" w:cs="Times New Roman"/>
          <w:bCs/>
          <w:color w:val="767171"/>
          <w:spacing w:val="20"/>
          <w:sz w:val="24"/>
          <w:szCs w:val="24"/>
        </w:rPr>
        <w:t xml:space="preserve">logro consagrado </w:t>
      </w:r>
      <w:r w:rsidR="00AD194E" w:rsidRPr="006A0747">
        <w:rPr>
          <w:rFonts w:ascii="Times New Roman" w:eastAsia="Calibri" w:hAnsi="Times New Roman" w:cs="Times New Roman"/>
          <w:color w:val="767171"/>
          <w:spacing w:val="20"/>
          <w:sz w:val="24"/>
          <w:szCs w:val="24"/>
        </w:rPr>
        <w:t>con 0 no conformidades detectadas a lo largo de este ciclo de 3 años</w:t>
      </w:r>
      <w:r w:rsidR="004E6AC4" w:rsidRPr="006A0747">
        <w:rPr>
          <w:rFonts w:ascii="Times New Roman" w:eastAsia="Calibri" w:hAnsi="Times New Roman" w:cs="Times New Roman"/>
          <w:color w:val="767171"/>
          <w:spacing w:val="20"/>
          <w:sz w:val="24"/>
          <w:szCs w:val="24"/>
        </w:rPr>
        <w:t xml:space="preserve">. </w:t>
      </w:r>
      <w:r w:rsidR="001B2C2B" w:rsidRPr="006A0747">
        <w:rPr>
          <w:rFonts w:ascii="Times New Roman" w:eastAsia="Calibri" w:hAnsi="Times New Roman" w:cs="Times New Roman"/>
          <w:color w:val="767171"/>
          <w:spacing w:val="20"/>
          <w:sz w:val="24"/>
          <w:szCs w:val="24"/>
        </w:rPr>
        <w:t>Por consiguiente</w:t>
      </w:r>
      <w:r w:rsidR="00F5783A" w:rsidRPr="006A0747">
        <w:rPr>
          <w:rFonts w:ascii="Times New Roman" w:eastAsia="Calibri" w:hAnsi="Times New Roman" w:cs="Times New Roman"/>
          <w:color w:val="767171"/>
          <w:spacing w:val="20"/>
          <w:sz w:val="24"/>
          <w:szCs w:val="24"/>
        </w:rPr>
        <w:t>, se r</w:t>
      </w:r>
      <w:r w:rsidR="00AD194E" w:rsidRPr="006A0747">
        <w:rPr>
          <w:rFonts w:ascii="Times New Roman" w:eastAsia="Calibri" w:hAnsi="Times New Roman" w:cs="Times New Roman"/>
          <w:color w:val="767171"/>
          <w:spacing w:val="20"/>
          <w:sz w:val="24"/>
          <w:szCs w:val="24"/>
        </w:rPr>
        <w:t>atifica</w:t>
      </w:r>
      <w:r w:rsidR="00F5783A" w:rsidRPr="006A0747">
        <w:rPr>
          <w:rFonts w:ascii="Times New Roman" w:eastAsia="Calibri" w:hAnsi="Times New Roman" w:cs="Times New Roman"/>
          <w:color w:val="767171"/>
          <w:spacing w:val="20"/>
          <w:sz w:val="24"/>
          <w:szCs w:val="24"/>
        </w:rPr>
        <w:t xml:space="preserve"> la</w:t>
      </w:r>
      <w:r w:rsidR="00AD194E" w:rsidRPr="006A0747">
        <w:rPr>
          <w:rFonts w:ascii="Times New Roman" w:eastAsia="Calibri" w:hAnsi="Times New Roman" w:cs="Times New Roman"/>
          <w:color w:val="767171"/>
          <w:spacing w:val="20"/>
          <w:sz w:val="24"/>
          <w:szCs w:val="24"/>
        </w:rPr>
        <w:t xml:space="preserve"> conformidad para los procesos </w:t>
      </w:r>
      <w:r w:rsidR="00786D11" w:rsidRPr="006A0747">
        <w:rPr>
          <w:rFonts w:ascii="Times New Roman" w:eastAsia="Calibri" w:hAnsi="Times New Roman" w:cs="Times New Roman"/>
          <w:color w:val="767171"/>
          <w:spacing w:val="20"/>
          <w:sz w:val="24"/>
          <w:szCs w:val="24"/>
        </w:rPr>
        <w:t xml:space="preserve">de </w:t>
      </w:r>
      <w:r w:rsidR="00AD194E" w:rsidRPr="006A0747">
        <w:rPr>
          <w:rFonts w:ascii="Times New Roman" w:eastAsia="Calibri" w:hAnsi="Times New Roman" w:cs="Times New Roman"/>
          <w:color w:val="767171"/>
          <w:spacing w:val="20"/>
          <w:sz w:val="24"/>
          <w:szCs w:val="24"/>
        </w:rPr>
        <w:t>R</w:t>
      </w:r>
      <w:r w:rsidR="000A3334" w:rsidRPr="006A0747">
        <w:rPr>
          <w:rFonts w:ascii="Times New Roman" w:eastAsia="Calibri" w:hAnsi="Times New Roman" w:cs="Times New Roman"/>
          <w:color w:val="767171"/>
          <w:spacing w:val="20"/>
          <w:sz w:val="24"/>
          <w:szCs w:val="24"/>
        </w:rPr>
        <w:t xml:space="preserve">egistros y </w:t>
      </w:r>
      <w:r w:rsidR="00AD194E" w:rsidRPr="006A0747">
        <w:rPr>
          <w:rFonts w:ascii="Times New Roman" w:eastAsia="Calibri" w:hAnsi="Times New Roman" w:cs="Times New Roman"/>
          <w:color w:val="767171"/>
          <w:spacing w:val="20"/>
          <w:sz w:val="24"/>
          <w:szCs w:val="24"/>
        </w:rPr>
        <w:t>A</w:t>
      </w:r>
      <w:r w:rsidR="000A3334" w:rsidRPr="006A0747">
        <w:rPr>
          <w:rFonts w:ascii="Times New Roman" w:eastAsia="Calibri" w:hAnsi="Times New Roman" w:cs="Times New Roman"/>
          <w:color w:val="767171"/>
          <w:spacing w:val="20"/>
          <w:sz w:val="24"/>
          <w:szCs w:val="24"/>
        </w:rPr>
        <w:t>utorizaciones</w:t>
      </w:r>
      <w:r w:rsidR="00786D11" w:rsidRPr="006A0747">
        <w:rPr>
          <w:rFonts w:ascii="Times New Roman" w:eastAsia="Calibri" w:hAnsi="Times New Roman" w:cs="Times New Roman"/>
          <w:color w:val="767171"/>
          <w:spacing w:val="20"/>
          <w:sz w:val="24"/>
          <w:szCs w:val="24"/>
        </w:rPr>
        <w:t xml:space="preserve">, </w:t>
      </w:r>
      <w:r w:rsidR="00AD194E" w:rsidRPr="006A0747">
        <w:rPr>
          <w:rFonts w:ascii="Times New Roman" w:eastAsia="Calibri" w:hAnsi="Times New Roman" w:cs="Times New Roman"/>
          <w:color w:val="767171"/>
          <w:spacing w:val="20"/>
          <w:sz w:val="24"/>
          <w:szCs w:val="24"/>
        </w:rPr>
        <w:t>P</w:t>
      </w:r>
      <w:r w:rsidR="00786D11" w:rsidRPr="006A0747">
        <w:rPr>
          <w:rFonts w:ascii="Times New Roman" w:eastAsia="Calibri" w:hAnsi="Times New Roman" w:cs="Times New Roman"/>
          <w:color w:val="767171"/>
          <w:spacing w:val="20"/>
          <w:sz w:val="24"/>
          <w:szCs w:val="24"/>
        </w:rPr>
        <w:t>ro</w:t>
      </w:r>
      <w:r w:rsidR="000A3334" w:rsidRPr="006A0747">
        <w:rPr>
          <w:rFonts w:ascii="Times New Roman" w:eastAsia="Calibri" w:hAnsi="Times New Roman" w:cs="Times New Roman"/>
          <w:color w:val="767171"/>
          <w:spacing w:val="20"/>
          <w:sz w:val="24"/>
          <w:szCs w:val="24"/>
        </w:rPr>
        <w:t>U</w:t>
      </w:r>
      <w:r w:rsidR="00786D11" w:rsidRPr="006A0747">
        <w:rPr>
          <w:rFonts w:ascii="Times New Roman" w:eastAsia="Calibri" w:hAnsi="Times New Roman" w:cs="Times New Roman"/>
          <w:color w:val="767171"/>
          <w:spacing w:val="20"/>
          <w:sz w:val="24"/>
          <w:szCs w:val="24"/>
        </w:rPr>
        <w:t xml:space="preserve">suario, </w:t>
      </w:r>
      <w:r w:rsidR="00AD194E" w:rsidRPr="006A0747">
        <w:rPr>
          <w:rFonts w:ascii="Times New Roman" w:eastAsia="Calibri" w:hAnsi="Times New Roman" w:cs="Times New Roman"/>
          <w:color w:val="767171"/>
          <w:spacing w:val="20"/>
          <w:sz w:val="24"/>
          <w:szCs w:val="24"/>
        </w:rPr>
        <w:t>PLAFT</w:t>
      </w:r>
      <w:r w:rsidR="00C640FA" w:rsidRPr="006A0747">
        <w:rPr>
          <w:rFonts w:ascii="Times New Roman" w:eastAsia="Calibri" w:hAnsi="Times New Roman" w:cs="Times New Roman"/>
          <w:color w:val="767171"/>
          <w:spacing w:val="20"/>
          <w:sz w:val="24"/>
          <w:szCs w:val="24"/>
        </w:rPr>
        <w:t xml:space="preserve"> </w:t>
      </w:r>
      <w:r w:rsidR="00786D11" w:rsidRPr="006A0747">
        <w:rPr>
          <w:rFonts w:ascii="Times New Roman" w:eastAsia="Calibri" w:hAnsi="Times New Roman" w:cs="Times New Roman"/>
          <w:color w:val="767171"/>
          <w:spacing w:val="20"/>
          <w:sz w:val="24"/>
          <w:szCs w:val="24"/>
        </w:rPr>
        <w:t xml:space="preserve">y </w:t>
      </w:r>
      <w:r w:rsidR="00AD194E" w:rsidRPr="006A0747">
        <w:rPr>
          <w:rFonts w:ascii="Times New Roman" w:eastAsia="Calibri" w:hAnsi="Times New Roman" w:cs="Times New Roman"/>
          <w:color w:val="767171"/>
          <w:spacing w:val="20"/>
          <w:sz w:val="24"/>
          <w:szCs w:val="24"/>
        </w:rPr>
        <w:t>S</w:t>
      </w:r>
      <w:r w:rsidR="000A3334" w:rsidRPr="006A0747">
        <w:rPr>
          <w:rFonts w:ascii="Times New Roman" w:eastAsia="Calibri" w:hAnsi="Times New Roman" w:cs="Times New Roman"/>
          <w:color w:val="767171"/>
          <w:spacing w:val="20"/>
          <w:sz w:val="24"/>
          <w:szCs w:val="24"/>
        </w:rPr>
        <w:t>anciones</w:t>
      </w:r>
      <w:r w:rsidR="00786D11" w:rsidRPr="006A0747">
        <w:rPr>
          <w:rFonts w:ascii="Times New Roman" w:eastAsia="Calibri" w:hAnsi="Times New Roman" w:cs="Times New Roman"/>
          <w:color w:val="767171"/>
          <w:spacing w:val="20"/>
          <w:sz w:val="24"/>
          <w:szCs w:val="24"/>
        </w:rPr>
        <w:t xml:space="preserve">. </w:t>
      </w:r>
      <w:r w:rsidR="0073037E" w:rsidRPr="006A0747">
        <w:rPr>
          <w:rFonts w:ascii="Times New Roman" w:eastAsia="Calibri" w:hAnsi="Times New Roman" w:cs="Times New Roman"/>
          <w:color w:val="767171"/>
          <w:spacing w:val="20"/>
          <w:sz w:val="24"/>
          <w:szCs w:val="24"/>
        </w:rPr>
        <w:t xml:space="preserve">De igual forma se </w:t>
      </w:r>
      <w:r w:rsidR="003A5D14" w:rsidRPr="006A0747">
        <w:rPr>
          <w:rFonts w:ascii="Times New Roman" w:eastAsia="Calibri" w:hAnsi="Times New Roman" w:cs="Times New Roman"/>
          <w:color w:val="767171"/>
          <w:spacing w:val="20"/>
          <w:sz w:val="24"/>
          <w:szCs w:val="24"/>
        </w:rPr>
        <w:t>amplió</w:t>
      </w:r>
      <w:r w:rsidR="0073037E" w:rsidRPr="006A0747">
        <w:rPr>
          <w:rFonts w:ascii="Times New Roman" w:eastAsia="Calibri" w:hAnsi="Times New Roman" w:cs="Times New Roman"/>
          <w:color w:val="767171"/>
          <w:spacing w:val="20"/>
          <w:sz w:val="24"/>
          <w:szCs w:val="24"/>
        </w:rPr>
        <w:t xml:space="preserve"> el</w:t>
      </w:r>
      <w:r w:rsidR="00AD194E" w:rsidRPr="006A0747">
        <w:rPr>
          <w:rFonts w:ascii="Times New Roman" w:eastAsia="Calibri" w:hAnsi="Times New Roman" w:cs="Times New Roman"/>
          <w:color w:val="767171"/>
          <w:spacing w:val="20"/>
          <w:sz w:val="24"/>
          <w:szCs w:val="24"/>
        </w:rPr>
        <w:t xml:space="preserve"> alcance </w:t>
      </w:r>
      <w:r w:rsidR="002141FB" w:rsidRPr="006A0747">
        <w:rPr>
          <w:rFonts w:ascii="Times New Roman" w:eastAsia="Calibri" w:hAnsi="Times New Roman" w:cs="Times New Roman"/>
          <w:color w:val="767171"/>
          <w:spacing w:val="20"/>
          <w:sz w:val="24"/>
          <w:szCs w:val="24"/>
        </w:rPr>
        <w:t>a</w:t>
      </w:r>
      <w:r w:rsidR="00554005" w:rsidRPr="006A0747">
        <w:rPr>
          <w:rFonts w:ascii="Times New Roman" w:eastAsia="Calibri" w:hAnsi="Times New Roman" w:cs="Times New Roman"/>
          <w:color w:val="767171"/>
          <w:spacing w:val="20"/>
          <w:sz w:val="24"/>
          <w:szCs w:val="24"/>
        </w:rPr>
        <w:t xml:space="preserve"> los </w:t>
      </w:r>
      <w:r w:rsidR="00AD194E" w:rsidRPr="006A0747">
        <w:rPr>
          <w:rFonts w:ascii="Times New Roman" w:eastAsia="Calibri" w:hAnsi="Times New Roman" w:cs="Times New Roman"/>
          <w:color w:val="767171"/>
          <w:spacing w:val="20"/>
          <w:sz w:val="24"/>
          <w:szCs w:val="24"/>
        </w:rPr>
        <w:t xml:space="preserve">procesos </w:t>
      </w:r>
      <w:r w:rsidR="002141FB" w:rsidRPr="006A0747">
        <w:rPr>
          <w:rFonts w:ascii="Times New Roman" w:eastAsia="Calibri" w:hAnsi="Times New Roman" w:cs="Times New Roman"/>
          <w:color w:val="767171"/>
          <w:spacing w:val="20"/>
          <w:sz w:val="24"/>
          <w:szCs w:val="24"/>
        </w:rPr>
        <w:t>de</w:t>
      </w:r>
      <w:r w:rsidR="00AD194E" w:rsidRPr="006A0747">
        <w:rPr>
          <w:rFonts w:ascii="Times New Roman" w:eastAsia="Calibri" w:hAnsi="Times New Roman" w:cs="Times New Roman"/>
          <w:color w:val="767171"/>
          <w:spacing w:val="20"/>
          <w:sz w:val="24"/>
          <w:szCs w:val="24"/>
        </w:rPr>
        <w:t xml:space="preserve"> Supervisión sobre la </w:t>
      </w:r>
      <w:r w:rsidR="00FB7A68" w:rsidRPr="006A0747">
        <w:rPr>
          <w:rFonts w:ascii="Times New Roman" w:eastAsia="Calibri" w:hAnsi="Times New Roman" w:cs="Times New Roman"/>
          <w:color w:val="767171"/>
          <w:spacing w:val="20"/>
          <w:sz w:val="24"/>
          <w:szCs w:val="24"/>
        </w:rPr>
        <w:t>G</w:t>
      </w:r>
      <w:r w:rsidR="00AD194E" w:rsidRPr="006A0747">
        <w:rPr>
          <w:rFonts w:ascii="Times New Roman" w:eastAsia="Calibri" w:hAnsi="Times New Roman" w:cs="Times New Roman"/>
          <w:color w:val="767171"/>
          <w:spacing w:val="20"/>
          <w:sz w:val="24"/>
          <w:szCs w:val="24"/>
        </w:rPr>
        <w:t xml:space="preserve">estión de </w:t>
      </w:r>
      <w:r w:rsidR="00FB7A68" w:rsidRPr="006A0747">
        <w:rPr>
          <w:rFonts w:ascii="Times New Roman" w:eastAsia="Calibri" w:hAnsi="Times New Roman" w:cs="Times New Roman"/>
          <w:color w:val="767171"/>
          <w:spacing w:val="20"/>
          <w:sz w:val="24"/>
          <w:szCs w:val="24"/>
        </w:rPr>
        <w:t>R</w:t>
      </w:r>
      <w:r w:rsidR="00AD194E" w:rsidRPr="006A0747">
        <w:rPr>
          <w:rFonts w:ascii="Times New Roman" w:eastAsia="Calibri" w:hAnsi="Times New Roman" w:cs="Times New Roman"/>
          <w:color w:val="767171"/>
          <w:spacing w:val="20"/>
          <w:sz w:val="24"/>
          <w:szCs w:val="24"/>
        </w:rPr>
        <w:t xml:space="preserve">iesgos de </w:t>
      </w:r>
      <w:r w:rsidR="00FB7A68" w:rsidRPr="006A0747">
        <w:rPr>
          <w:rFonts w:ascii="Times New Roman" w:eastAsia="Calibri" w:hAnsi="Times New Roman" w:cs="Times New Roman"/>
          <w:color w:val="767171"/>
          <w:spacing w:val="20"/>
          <w:sz w:val="24"/>
          <w:szCs w:val="24"/>
        </w:rPr>
        <w:t>Entidades,</w:t>
      </w:r>
      <w:r w:rsidR="00AD194E" w:rsidRPr="006A0747">
        <w:rPr>
          <w:rFonts w:ascii="Times New Roman" w:eastAsia="Calibri" w:hAnsi="Times New Roman" w:cs="Times New Roman"/>
          <w:color w:val="767171"/>
          <w:spacing w:val="20"/>
          <w:sz w:val="24"/>
          <w:szCs w:val="24"/>
        </w:rPr>
        <w:t xml:space="preserve"> </w:t>
      </w:r>
      <w:r w:rsidR="00FB7A68" w:rsidRPr="006A0747">
        <w:rPr>
          <w:rFonts w:ascii="Times New Roman" w:eastAsia="Calibri" w:hAnsi="Times New Roman" w:cs="Times New Roman"/>
          <w:color w:val="767171"/>
          <w:spacing w:val="20"/>
          <w:sz w:val="24"/>
          <w:szCs w:val="24"/>
        </w:rPr>
        <w:t xml:space="preserve">y </w:t>
      </w:r>
      <w:r w:rsidR="00AD194E" w:rsidRPr="006A0747">
        <w:rPr>
          <w:rFonts w:ascii="Times New Roman" w:eastAsia="Calibri" w:hAnsi="Times New Roman" w:cs="Times New Roman"/>
          <w:color w:val="767171"/>
          <w:spacing w:val="20"/>
          <w:sz w:val="24"/>
          <w:szCs w:val="24"/>
        </w:rPr>
        <w:t xml:space="preserve">Registro y </w:t>
      </w:r>
      <w:r w:rsidR="005D7EF6" w:rsidRPr="006A0747">
        <w:rPr>
          <w:rFonts w:ascii="Times New Roman" w:eastAsia="Calibri" w:hAnsi="Times New Roman" w:cs="Times New Roman"/>
          <w:color w:val="767171"/>
          <w:spacing w:val="20"/>
          <w:sz w:val="24"/>
          <w:szCs w:val="24"/>
        </w:rPr>
        <w:t>E</w:t>
      </w:r>
      <w:r w:rsidR="00AD194E" w:rsidRPr="006A0747">
        <w:rPr>
          <w:rFonts w:ascii="Times New Roman" w:eastAsia="Calibri" w:hAnsi="Times New Roman" w:cs="Times New Roman"/>
          <w:color w:val="767171"/>
          <w:spacing w:val="20"/>
          <w:sz w:val="24"/>
          <w:szCs w:val="24"/>
        </w:rPr>
        <w:t xml:space="preserve">valuación de </w:t>
      </w:r>
      <w:r w:rsidR="005D7EF6" w:rsidRPr="006A0747">
        <w:rPr>
          <w:rFonts w:ascii="Times New Roman" w:eastAsia="Calibri" w:hAnsi="Times New Roman" w:cs="Times New Roman"/>
          <w:color w:val="767171"/>
          <w:spacing w:val="20"/>
          <w:sz w:val="24"/>
          <w:szCs w:val="24"/>
        </w:rPr>
        <w:t>A</w:t>
      </w:r>
      <w:r w:rsidR="00AD194E" w:rsidRPr="006A0747">
        <w:rPr>
          <w:rFonts w:ascii="Times New Roman" w:eastAsia="Calibri" w:hAnsi="Times New Roman" w:cs="Times New Roman"/>
          <w:color w:val="767171"/>
          <w:spacing w:val="20"/>
          <w:sz w:val="24"/>
          <w:szCs w:val="24"/>
        </w:rPr>
        <w:t xml:space="preserve">uditores </w:t>
      </w:r>
      <w:r w:rsidR="005D7EF6" w:rsidRPr="006A0747">
        <w:rPr>
          <w:rFonts w:ascii="Times New Roman" w:eastAsia="Calibri" w:hAnsi="Times New Roman" w:cs="Times New Roman"/>
          <w:color w:val="767171"/>
          <w:spacing w:val="20"/>
          <w:sz w:val="24"/>
          <w:szCs w:val="24"/>
        </w:rPr>
        <w:t>E</w:t>
      </w:r>
      <w:r w:rsidR="00AD194E" w:rsidRPr="006A0747">
        <w:rPr>
          <w:rFonts w:ascii="Times New Roman" w:eastAsia="Calibri" w:hAnsi="Times New Roman" w:cs="Times New Roman"/>
          <w:color w:val="767171"/>
          <w:spacing w:val="20"/>
          <w:sz w:val="24"/>
          <w:szCs w:val="24"/>
        </w:rPr>
        <w:t xml:space="preserve">xternos </w:t>
      </w:r>
      <w:r w:rsidR="005D7EF6" w:rsidRPr="006A0747">
        <w:rPr>
          <w:rFonts w:ascii="Times New Roman" w:eastAsia="Calibri" w:hAnsi="Times New Roman" w:cs="Times New Roman"/>
          <w:color w:val="767171"/>
          <w:spacing w:val="20"/>
          <w:sz w:val="24"/>
          <w:szCs w:val="24"/>
        </w:rPr>
        <w:t>A</w:t>
      </w:r>
      <w:r w:rsidR="00AD194E" w:rsidRPr="006A0747">
        <w:rPr>
          <w:rFonts w:ascii="Times New Roman" w:eastAsia="Calibri" w:hAnsi="Times New Roman" w:cs="Times New Roman"/>
          <w:color w:val="767171"/>
          <w:spacing w:val="20"/>
          <w:sz w:val="24"/>
          <w:szCs w:val="24"/>
        </w:rPr>
        <w:t>utorizados</w:t>
      </w:r>
      <w:r w:rsidR="005D7EF6" w:rsidRPr="006A0747">
        <w:rPr>
          <w:rFonts w:ascii="Times New Roman" w:eastAsia="Calibri" w:hAnsi="Times New Roman" w:cs="Times New Roman"/>
          <w:color w:val="767171"/>
          <w:spacing w:val="20"/>
          <w:sz w:val="24"/>
          <w:szCs w:val="24"/>
        </w:rPr>
        <w:t>.</w:t>
      </w:r>
    </w:p>
    <w:p w14:paraId="6A933D73" w14:textId="02DE8492" w:rsidR="00CE4CF0" w:rsidRPr="006A0747" w:rsidRDefault="008A2A54" w:rsidP="0003211C">
      <w:pPr>
        <w:pStyle w:val="Prrafodelista"/>
        <w:numPr>
          <w:ilvl w:val="0"/>
          <w:numId w:val="19"/>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bCs/>
          <w:color w:val="767171"/>
          <w:spacing w:val="20"/>
          <w:sz w:val="24"/>
          <w:szCs w:val="24"/>
        </w:rPr>
        <w:t>La c</w:t>
      </w:r>
      <w:r w:rsidR="0003211C" w:rsidRPr="006A0747">
        <w:rPr>
          <w:rFonts w:ascii="Times New Roman" w:eastAsia="Calibri" w:hAnsi="Times New Roman" w:cs="Times New Roman"/>
          <w:bCs/>
          <w:color w:val="767171"/>
          <w:spacing w:val="20"/>
          <w:sz w:val="24"/>
          <w:szCs w:val="24"/>
        </w:rPr>
        <w:t>ertificación</w:t>
      </w:r>
      <w:r w:rsidR="003F210E" w:rsidRPr="006A0747">
        <w:rPr>
          <w:rFonts w:ascii="Times New Roman" w:eastAsia="Calibri" w:hAnsi="Times New Roman" w:cs="Times New Roman"/>
          <w:color w:val="767171"/>
          <w:spacing w:val="20"/>
          <w:sz w:val="24"/>
          <w:szCs w:val="24"/>
        </w:rPr>
        <w:t xml:space="preserve"> de conformidad con la</w:t>
      </w:r>
      <w:r w:rsidR="00D24A47" w:rsidRPr="006A0747">
        <w:rPr>
          <w:rFonts w:ascii="Times New Roman" w:eastAsia="Calibri" w:hAnsi="Times New Roman" w:cs="Times New Roman"/>
          <w:color w:val="767171"/>
          <w:spacing w:val="20"/>
          <w:sz w:val="24"/>
          <w:szCs w:val="24"/>
        </w:rPr>
        <w:t xml:space="preserve">s </w:t>
      </w:r>
      <w:r w:rsidR="00F51715" w:rsidRPr="006A0747">
        <w:rPr>
          <w:rFonts w:ascii="Times New Roman" w:eastAsia="Calibri" w:hAnsi="Times New Roman" w:cs="Times New Roman"/>
          <w:color w:val="767171"/>
          <w:spacing w:val="20"/>
          <w:sz w:val="24"/>
          <w:szCs w:val="24"/>
        </w:rPr>
        <w:t xml:space="preserve">normas </w:t>
      </w:r>
      <w:r w:rsidR="00D25E94" w:rsidRPr="006A0747">
        <w:rPr>
          <w:rFonts w:ascii="Times New Roman" w:eastAsia="Calibri" w:hAnsi="Times New Roman" w:cs="Times New Roman"/>
          <w:color w:val="767171"/>
          <w:spacing w:val="20"/>
          <w:sz w:val="24"/>
          <w:szCs w:val="24"/>
        </w:rPr>
        <w:t>de</w:t>
      </w:r>
      <w:r w:rsidR="00F51715" w:rsidRPr="006A0747">
        <w:rPr>
          <w:rFonts w:ascii="Times New Roman" w:eastAsia="Calibri" w:hAnsi="Times New Roman" w:cs="Times New Roman"/>
          <w:color w:val="767171"/>
          <w:spacing w:val="20"/>
          <w:sz w:val="24"/>
          <w:szCs w:val="24"/>
        </w:rPr>
        <w:t xml:space="preserve"> Gestión de Antisoborno</w:t>
      </w:r>
      <w:r w:rsidR="003F210E" w:rsidRPr="006A0747">
        <w:rPr>
          <w:rFonts w:ascii="Times New Roman" w:eastAsia="Calibri" w:hAnsi="Times New Roman" w:cs="Times New Roman"/>
          <w:color w:val="767171"/>
          <w:spacing w:val="20"/>
          <w:sz w:val="24"/>
          <w:szCs w:val="24"/>
        </w:rPr>
        <w:t xml:space="preserve"> ISO 37001:</w:t>
      </w:r>
      <w:r w:rsidR="00F51715" w:rsidRPr="006A0747">
        <w:rPr>
          <w:rFonts w:ascii="Times New Roman" w:eastAsia="Calibri" w:hAnsi="Times New Roman" w:cs="Times New Roman"/>
          <w:color w:val="767171"/>
          <w:spacing w:val="20"/>
          <w:sz w:val="24"/>
          <w:szCs w:val="24"/>
        </w:rPr>
        <w:t xml:space="preserve"> </w:t>
      </w:r>
      <w:r w:rsidR="003F210E" w:rsidRPr="006A0747">
        <w:rPr>
          <w:rFonts w:ascii="Times New Roman" w:eastAsia="Calibri" w:hAnsi="Times New Roman" w:cs="Times New Roman"/>
          <w:color w:val="767171"/>
          <w:spacing w:val="20"/>
          <w:sz w:val="24"/>
          <w:szCs w:val="24"/>
        </w:rPr>
        <w:t>2016</w:t>
      </w:r>
      <w:r w:rsidR="00F51715" w:rsidRPr="006A0747">
        <w:rPr>
          <w:rFonts w:ascii="Times New Roman" w:eastAsia="Calibri" w:hAnsi="Times New Roman" w:cs="Times New Roman"/>
          <w:color w:val="767171"/>
          <w:spacing w:val="20"/>
          <w:sz w:val="24"/>
          <w:szCs w:val="24"/>
        </w:rPr>
        <w:t xml:space="preserve"> y Cumplimiento ISO 37301:2021</w:t>
      </w:r>
      <w:r w:rsidR="00EA7822" w:rsidRPr="006A0747">
        <w:rPr>
          <w:rFonts w:ascii="Times New Roman" w:eastAsia="Calibri" w:hAnsi="Times New Roman" w:cs="Times New Roman"/>
          <w:color w:val="767171"/>
          <w:spacing w:val="20"/>
          <w:sz w:val="24"/>
          <w:szCs w:val="24"/>
        </w:rPr>
        <w:t xml:space="preserve"> para </w:t>
      </w:r>
      <w:r w:rsidR="00741689" w:rsidRPr="006A0747">
        <w:rPr>
          <w:rFonts w:ascii="Times New Roman" w:eastAsia="Calibri" w:hAnsi="Times New Roman" w:cs="Times New Roman"/>
          <w:color w:val="767171"/>
          <w:spacing w:val="20"/>
          <w:sz w:val="24"/>
          <w:szCs w:val="24"/>
        </w:rPr>
        <w:t>los</w:t>
      </w:r>
      <w:r w:rsidR="00EA7822" w:rsidRPr="006A0747">
        <w:rPr>
          <w:rFonts w:ascii="Times New Roman" w:eastAsia="Calibri" w:hAnsi="Times New Roman" w:cs="Times New Roman"/>
          <w:color w:val="767171"/>
          <w:spacing w:val="20"/>
          <w:sz w:val="24"/>
          <w:szCs w:val="24"/>
        </w:rPr>
        <w:t xml:space="preserve"> proceso</w:t>
      </w:r>
      <w:r w:rsidR="00741689" w:rsidRPr="006A0747">
        <w:rPr>
          <w:rFonts w:ascii="Times New Roman" w:eastAsia="Calibri" w:hAnsi="Times New Roman" w:cs="Times New Roman"/>
          <w:color w:val="767171"/>
          <w:spacing w:val="20"/>
          <w:sz w:val="24"/>
          <w:szCs w:val="24"/>
        </w:rPr>
        <w:t>s de Sanciones, PLAFT y Compras y Contrataciones</w:t>
      </w:r>
      <w:r w:rsidR="003F210E" w:rsidRPr="006A0747">
        <w:rPr>
          <w:rFonts w:ascii="Times New Roman" w:eastAsia="Calibri" w:hAnsi="Times New Roman" w:cs="Times New Roman"/>
          <w:color w:val="767171"/>
          <w:spacing w:val="20"/>
          <w:sz w:val="24"/>
          <w:szCs w:val="24"/>
        </w:rPr>
        <w:t>.</w:t>
      </w:r>
      <w:r w:rsidR="00F757E1" w:rsidRPr="006A0747">
        <w:rPr>
          <w:rFonts w:ascii="Times New Roman" w:eastAsia="Calibri" w:hAnsi="Times New Roman" w:cs="Times New Roman"/>
          <w:color w:val="767171"/>
          <w:spacing w:val="20"/>
          <w:sz w:val="24"/>
          <w:szCs w:val="24"/>
        </w:rPr>
        <w:t xml:space="preserve"> Otros</w:t>
      </w:r>
      <w:r w:rsidR="00CE4CF0" w:rsidRPr="006A0747">
        <w:rPr>
          <w:rFonts w:ascii="Times New Roman" w:eastAsia="Calibri" w:hAnsi="Times New Roman" w:cs="Times New Roman"/>
          <w:color w:val="767171"/>
          <w:spacing w:val="20"/>
          <w:sz w:val="24"/>
          <w:szCs w:val="24"/>
        </w:rPr>
        <w:t xml:space="preserve"> importantes logros en esta área</w:t>
      </w:r>
      <w:r w:rsidR="00D20C88" w:rsidRPr="006A0747">
        <w:rPr>
          <w:rFonts w:ascii="Times New Roman" w:eastAsia="Calibri" w:hAnsi="Times New Roman" w:cs="Times New Roman"/>
          <w:color w:val="767171"/>
          <w:spacing w:val="20"/>
          <w:sz w:val="24"/>
          <w:szCs w:val="24"/>
        </w:rPr>
        <w:t xml:space="preserve"> que</w:t>
      </w:r>
      <w:r w:rsidR="00F757E1" w:rsidRPr="006A0747">
        <w:rPr>
          <w:rFonts w:ascii="Times New Roman" w:eastAsia="Calibri" w:hAnsi="Times New Roman" w:cs="Times New Roman"/>
          <w:color w:val="767171"/>
          <w:spacing w:val="20"/>
          <w:sz w:val="24"/>
          <w:szCs w:val="24"/>
        </w:rPr>
        <w:t xml:space="preserve"> </w:t>
      </w:r>
      <w:r w:rsidR="00CE4CF0" w:rsidRPr="006A0747">
        <w:rPr>
          <w:rFonts w:ascii="Times New Roman" w:eastAsia="Calibri" w:hAnsi="Times New Roman" w:cs="Times New Roman"/>
          <w:color w:val="767171"/>
          <w:spacing w:val="20"/>
          <w:sz w:val="24"/>
          <w:szCs w:val="24"/>
        </w:rPr>
        <w:t>se destacan</w:t>
      </w:r>
      <w:r w:rsidR="00D20C88" w:rsidRPr="006A0747">
        <w:rPr>
          <w:rFonts w:ascii="Times New Roman" w:eastAsia="Calibri" w:hAnsi="Times New Roman" w:cs="Times New Roman"/>
          <w:color w:val="767171"/>
          <w:spacing w:val="20"/>
          <w:sz w:val="24"/>
          <w:szCs w:val="24"/>
        </w:rPr>
        <w:t xml:space="preserve"> son</w:t>
      </w:r>
      <w:r w:rsidR="00CE4CF0" w:rsidRPr="006A0747">
        <w:rPr>
          <w:rFonts w:ascii="Times New Roman" w:eastAsia="Calibri" w:hAnsi="Times New Roman" w:cs="Times New Roman"/>
          <w:color w:val="767171"/>
          <w:spacing w:val="20"/>
          <w:sz w:val="24"/>
          <w:szCs w:val="24"/>
        </w:rPr>
        <w:t xml:space="preserve"> la capacitación y promoción de una cultura de cumplimiento entre el personal</w:t>
      </w:r>
      <w:r w:rsidR="0003211C" w:rsidRPr="006A0747">
        <w:rPr>
          <w:rFonts w:ascii="Times New Roman" w:eastAsia="Calibri" w:hAnsi="Times New Roman" w:cs="Times New Roman"/>
          <w:color w:val="767171"/>
          <w:spacing w:val="20"/>
          <w:sz w:val="24"/>
          <w:szCs w:val="24"/>
        </w:rPr>
        <w:t>;</w:t>
      </w:r>
      <w:r w:rsidR="00CE4CF0" w:rsidRPr="006A0747">
        <w:rPr>
          <w:rFonts w:ascii="Times New Roman" w:eastAsia="Calibri" w:hAnsi="Times New Roman" w:cs="Times New Roman"/>
          <w:color w:val="767171"/>
          <w:spacing w:val="20"/>
          <w:sz w:val="24"/>
          <w:szCs w:val="24"/>
        </w:rPr>
        <w:t xml:space="preserve"> la elaboración y actualización de normativa interna</w:t>
      </w:r>
      <w:r w:rsidR="0003211C" w:rsidRPr="006A0747">
        <w:rPr>
          <w:rFonts w:ascii="Times New Roman" w:eastAsia="Calibri" w:hAnsi="Times New Roman" w:cs="Times New Roman"/>
          <w:color w:val="767171"/>
          <w:spacing w:val="20"/>
          <w:sz w:val="24"/>
          <w:szCs w:val="24"/>
        </w:rPr>
        <w:t>;</w:t>
      </w:r>
      <w:r w:rsidR="00CE4CF0" w:rsidRPr="006A0747">
        <w:rPr>
          <w:rFonts w:ascii="Times New Roman" w:eastAsia="Calibri" w:hAnsi="Times New Roman" w:cs="Times New Roman"/>
          <w:color w:val="767171"/>
          <w:spacing w:val="20"/>
          <w:sz w:val="24"/>
          <w:szCs w:val="24"/>
        </w:rPr>
        <w:t xml:space="preserve"> la creación de matrices de obligaciones de cumplimiento</w:t>
      </w:r>
      <w:r w:rsidR="0003211C" w:rsidRPr="006A0747">
        <w:rPr>
          <w:rFonts w:ascii="Times New Roman" w:eastAsia="Calibri" w:hAnsi="Times New Roman" w:cs="Times New Roman"/>
          <w:color w:val="767171"/>
          <w:spacing w:val="20"/>
          <w:sz w:val="24"/>
          <w:szCs w:val="24"/>
        </w:rPr>
        <w:t>;</w:t>
      </w:r>
      <w:r w:rsidR="00CE4CF0" w:rsidRPr="006A0747">
        <w:rPr>
          <w:rFonts w:ascii="Times New Roman" w:eastAsia="Calibri" w:hAnsi="Times New Roman" w:cs="Times New Roman"/>
          <w:color w:val="767171"/>
          <w:spacing w:val="20"/>
          <w:sz w:val="24"/>
          <w:szCs w:val="24"/>
        </w:rPr>
        <w:t xml:space="preserve"> la integración de sistemas de gestión antisoborno y cumplimiento en el manual de calidad</w:t>
      </w:r>
      <w:r w:rsidR="0003211C" w:rsidRPr="006A0747">
        <w:rPr>
          <w:rFonts w:ascii="Times New Roman" w:eastAsia="Calibri" w:hAnsi="Times New Roman" w:cs="Times New Roman"/>
          <w:color w:val="767171"/>
          <w:spacing w:val="20"/>
          <w:sz w:val="24"/>
          <w:szCs w:val="24"/>
        </w:rPr>
        <w:t>;</w:t>
      </w:r>
      <w:r w:rsidR="00CE4CF0" w:rsidRPr="006A0747">
        <w:rPr>
          <w:rFonts w:ascii="Times New Roman" w:eastAsia="Calibri" w:hAnsi="Times New Roman" w:cs="Times New Roman"/>
          <w:color w:val="767171"/>
          <w:spacing w:val="20"/>
          <w:sz w:val="24"/>
          <w:szCs w:val="24"/>
        </w:rPr>
        <w:t xml:space="preserve"> el establecimiento de canales de denuncia</w:t>
      </w:r>
      <w:r w:rsidR="0003211C" w:rsidRPr="006A0747">
        <w:rPr>
          <w:rFonts w:ascii="Times New Roman" w:eastAsia="Calibri" w:hAnsi="Times New Roman" w:cs="Times New Roman"/>
          <w:color w:val="767171"/>
          <w:spacing w:val="20"/>
          <w:sz w:val="24"/>
          <w:szCs w:val="24"/>
        </w:rPr>
        <w:t xml:space="preserve"> y</w:t>
      </w:r>
      <w:r w:rsidR="00CE4CF0" w:rsidRPr="006A0747">
        <w:rPr>
          <w:rFonts w:ascii="Times New Roman" w:eastAsia="Calibri" w:hAnsi="Times New Roman" w:cs="Times New Roman"/>
          <w:color w:val="767171"/>
          <w:spacing w:val="20"/>
          <w:sz w:val="24"/>
          <w:szCs w:val="24"/>
        </w:rPr>
        <w:t xml:space="preserve"> la gestión de conflictos de interés</w:t>
      </w:r>
      <w:r w:rsidR="0003211C" w:rsidRPr="006A0747">
        <w:rPr>
          <w:rFonts w:ascii="Times New Roman" w:eastAsia="Calibri" w:hAnsi="Times New Roman" w:cs="Times New Roman"/>
          <w:color w:val="767171"/>
          <w:spacing w:val="20"/>
          <w:sz w:val="24"/>
          <w:szCs w:val="24"/>
        </w:rPr>
        <w:t>.</w:t>
      </w:r>
    </w:p>
    <w:p w14:paraId="6CC94FEE" w14:textId="66CFAD16" w:rsidR="00D25E94" w:rsidRPr="006A0747" w:rsidRDefault="00D25E94" w:rsidP="0003211C">
      <w:pPr>
        <w:pStyle w:val="Prrafodelista"/>
        <w:numPr>
          <w:ilvl w:val="0"/>
          <w:numId w:val="19"/>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bCs/>
          <w:color w:val="767171"/>
          <w:spacing w:val="20"/>
          <w:sz w:val="24"/>
          <w:szCs w:val="24"/>
        </w:rPr>
        <w:t>La certificación</w:t>
      </w:r>
      <w:r w:rsidRPr="006A0747">
        <w:rPr>
          <w:rFonts w:ascii="Times New Roman" w:eastAsia="Calibri" w:hAnsi="Times New Roman" w:cs="Times New Roman"/>
          <w:color w:val="767171"/>
          <w:spacing w:val="20"/>
          <w:sz w:val="24"/>
          <w:szCs w:val="24"/>
        </w:rPr>
        <w:t xml:space="preserve"> de conformidad con las normas de Gestión de Seguridad de la Información ISO </w:t>
      </w:r>
      <w:r w:rsidR="008262B7" w:rsidRPr="006A0747">
        <w:rPr>
          <w:rFonts w:ascii="Times New Roman" w:eastAsia="Calibri" w:hAnsi="Times New Roman" w:cs="Times New Roman"/>
          <w:color w:val="767171"/>
          <w:spacing w:val="20"/>
          <w:sz w:val="24"/>
          <w:szCs w:val="24"/>
        </w:rPr>
        <w:t>–</w:t>
      </w:r>
      <w:r w:rsidRPr="006A0747">
        <w:rPr>
          <w:rFonts w:ascii="Times New Roman" w:eastAsia="Calibri" w:hAnsi="Times New Roman" w:cs="Times New Roman"/>
          <w:color w:val="767171"/>
          <w:spacing w:val="20"/>
          <w:sz w:val="24"/>
          <w:szCs w:val="24"/>
        </w:rPr>
        <w:t xml:space="preserve"> 27001</w:t>
      </w:r>
      <w:r w:rsidR="008262B7" w:rsidRPr="006A0747">
        <w:rPr>
          <w:rFonts w:ascii="Times New Roman" w:eastAsia="Calibri" w:hAnsi="Times New Roman" w:cs="Times New Roman"/>
          <w:color w:val="767171"/>
          <w:spacing w:val="20"/>
          <w:sz w:val="24"/>
          <w:szCs w:val="24"/>
        </w:rPr>
        <w:t>:2022</w:t>
      </w:r>
      <w:r w:rsidRPr="006A0747">
        <w:rPr>
          <w:rFonts w:ascii="Times New Roman" w:eastAsia="Calibri" w:hAnsi="Times New Roman" w:cs="Times New Roman"/>
          <w:color w:val="767171"/>
          <w:spacing w:val="20"/>
          <w:sz w:val="24"/>
          <w:szCs w:val="24"/>
        </w:rPr>
        <w:t xml:space="preserve">. </w:t>
      </w:r>
      <w:r w:rsidR="0080018A" w:rsidRPr="006A0747">
        <w:rPr>
          <w:rFonts w:ascii="Times New Roman" w:eastAsia="Calibri" w:hAnsi="Times New Roman" w:cs="Times New Roman"/>
          <w:color w:val="767171"/>
          <w:spacing w:val="20"/>
          <w:sz w:val="24"/>
          <w:szCs w:val="24"/>
        </w:rPr>
        <w:t xml:space="preserve">Esta certificación refleja compromiso de la institución con la protección de la información, garantizando la </w:t>
      </w:r>
      <w:r w:rsidR="0080018A" w:rsidRPr="006A0747">
        <w:rPr>
          <w:rFonts w:ascii="Times New Roman" w:eastAsia="Calibri" w:hAnsi="Times New Roman" w:cs="Times New Roman"/>
          <w:color w:val="767171"/>
          <w:spacing w:val="20"/>
          <w:sz w:val="24"/>
          <w:szCs w:val="24"/>
        </w:rPr>
        <w:lastRenderedPageBreak/>
        <w:t>confidencialidad, integridad y disponibilidad de los datos manejados.</w:t>
      </w:r>
    </w:p>
    <w:p w14:paraId="78130EE8" w14:textId="77777777" w:rsidR="00FB0490" w:rsidRPr="006A0747" w:rsidRDefault="00FB0490" w:rsidP="00CB356C">
      <w:pPr>
        <w:spacing w:line="360" w:lineRule="auto"/>
        <w:jc w:val="both"/>
        <w:rPr>
          <w:rFonts w:ascii="Times New Roman" w:eastAsia="Calibri" w:hAnsi="Times New Roman" w:cs="Times New Roman"/>
          <w:color w:val="767171"/>
          <w:spacing w:val="20"/>
          <w:sz w:val="24"/>
          <w:szCs w:val="24"/>
        </w:rPr>
      </w:pPr>
    </w:p>
    <w:p w14:paraId="74BDE0E1" w14:textId="77777777" w:rsidR="00D20C88" w:rsidRPr="006A0747" w:rsidRDefault="00D20C88" w:rsidP="00D20C88">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b/>
          <w:color w:val="767171"/>
          <w:spacing w:val="20"/>
          <w:sz w:val="24"/>
          <w:szCs w:val="24"/>
        </w:rPr>
        <w:t>Gestión Ambiental</w:t>
      </w:r>
    </w:p>
    <w:p w14:paraId="0D4305DB" w14:textId="77777777" w:rsidR="00E6119E" w:rsidRPr="006A0747" w:rsidRDefault="00D20C88" w:rsidP="00D20C88">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La Superintendencia de Bancos ha llevado a cabo una serie de iniciativas para promover una institución sostenible y ambientalmente responsable.</w:t>
      </w:r>
    </w:p>
    <w:p w14:paraId="502F935F" w14:textId="01C1BA21" w:rsidR="00D20C88" w:rsidRPr="006A0747" w:rsidRDefault="00E6119E" w:rsidP="00D20C88">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G</w:t>
      </w:r>
      <w:r w:rsidR="00D20C88" w:rsidRPr="006A0747">
        <w:rPr>
          <w:rFonts w:ascii="Times New Roman" w:eastAsia="Calibri" w:hAnsi="Times New Roman" w:cs="Times New Roman"/>
          <w:color w:val="767171"/>
          <w:spacing w:val="20"/>
          <w:sz w:val="24"/>
          <w:szCs w:val="24"/>
        </w:rPr>
        <w:t xml:space="preserve">racias a los avances obtenidos en materia de gestión ambiental, </w:t>
      </w:r>
      <w:r w:rsidR="00031084" w:rsidRPr="006A0747">
        <w:rPr>
          <w:rFonts w:ascii="Times New Roman" w:eastAsia="Calibri" w:hAnsi="Times New Roman" w:cs="Times New Roman"/>
          <w:color w:val="767171"/>
          <w:spacing w:val="20"/>
          <w:sz w:val="24"/>
          <w:szCs w:val="24"/>
        </w:rPr>
        <w:t>este año</w:t>
      </w:r>
      <w:r w:rsidR="004E3774" w:rsidRPr="006A0747">
        <w:rPr>
          <w:rFonts w:ascii="Times New Roman" w:eastAsia="Calibri" w:hAnsi="Times New Roman" w:cs="Times New Roman"/>
          <w:color w:val="767171"/>
          <w:spacing w:val="20"/>
          <w:sz w:val="24"/>
          <w:szCs w:val="24"/>
        </w:rPr>
        <w:t xml:space="preserve"> </w:t>
      </w:r>
      <w:r w:rsidR="00AE1E73" w:rsidRPr="006A0747">
        <w:rPr>
          <w:rFonts w:ascii="Times New Roman" w:eastAsia="Calibri" w:hAnsi="Times New Roman" w:cs="Times New Roman"/>
          <w:color w:val="767171"/>
          <w:spacing w:val="20"/>
          <w:sz w:val="24"/>
          <w:szCs w:val="24"/>
        </w:rPr>
        <w:t>logr</w:t>
      </w:r>
      <w:r w:rsidR="004E3774" w:rsidRPr="006A0747">
        <w:rPr>
          <w:rFonts w:ascii="Times New Roman" w:eastAsia="Calibri" w:hAnsi="Times New Roman" w:cs="Times New Roman"/>
          <w:color w:val="767171"/>
          <w:spacing w:val="20"/>
          <w:sz w:val="24"/>
          <w:szCs w:val="24"/>
        </w:rPr>
        <w:t>ó</w:t>
      </w:r>
      <w:r w:rsidR="00AE1E73" w:rsidRPr="006A0747">
        <w:rPr>
          <w:rFonts w:ascii="Times New Roman" w:eastAsia="Calibri" w:hAnsi="Times New Roman" w:cs="Times New Roman"/>
          <w:color w:val="767171"/>
          <w:spacing w:val="20"/>
          <w:sz w:val="24"/>
          <w:szCs w:val="24"/>
        </w:rPr>
        <w:t xml:space="preserve"> mantener</w:t>
      </w:r>
      <w:r w:rsidR="00D20C88" w:rsidRPr="006A0747">
        <w:rPr>
          <w:rFonts w:ascii="Times New Roman" w:eastAsia="Calibri" w:hAnsi="Times New Roman" w:cs="Times New Roman"/>
          <w:color w:val="767171"/>
          <w:spacing w:val="20"/>
          <w:sz w:val="24"/>
          <w:szCs w:val="24"/>
        </w:rPr>
        <w:t xml:space="preserve"> el grado oro en certificación en Sostenibilidad 3Rs.</w:t>
      </w:r>
      <w:r w:rsidR="00435824" w:rsidRPr="006A0747">
        <w:rPr>
          <w:rFonts w:ascii="Times New Roman" w:eastAsia="Calibri" w:hAnsi="Times New Roman" w:cs="Times New Roman"/>
          <w:color w:val="767171"/>
          <w:spacing w:val="20"/>
          <w:sz w:val="24"/>
          <w:szCs w:val="24"/>
        </w:rPr>
        <w:t xml:space="preserve"> </w:t>
      </w:r>
      <w:r w:rsidR="00D20C88" w:rsidRPr="006A0747">
        <w:rPr>
          <w:rFonts w:ascii="Times New Roman" w:eastAsia="Calibri" w:hAnsi="Times New Roman" w:cs="Times New Roman"/>
          <w:color w:val="767171"/>
          <w:spacing w:val="20"/>
          <w:sz w:val="24"/>
          <w:szCs w:val="24"/>
        </w:rPr>
        <w:t xml:space="preserve">A continuación, se enuncian demás </w:t>
      </w:r>
      <w:r w:rsidR="00031084" w:rsidRPr="006A0747">
        <w:rPr>
          <w:rFonts w:ascii="Times New Roman" w:eastAsia="Calibri" w:hAnsi="Times New Roman" w:cs="Times New Roman"/>
          <w:color w:val="767171"/>
          <w:spacing w:val="20"/>
          <w:sz w:val="24"/>
          <w:szCs w:val="24"/>
        </w:rPr>
        <w:t>logros</w:t>
      </w:r>
      <w:r w:rsidR="00D20C88" w:rsidRPr="006A0747">
        <w:rPr>
          <w:rFonts w:ascii="Times New Roman" w:eastAsia="Calibri" w:hAnsi="Times New Roman" w:cs="Times New Roman"/>
          <w:color w:val="767171"/>
          <w:spacing w:val="20"/>
          <w:sz w:val="24"/>
          <w:szCs w:val="24"/>
        </w:rPr>
        <w:t xml:space="preserve"> en materia de gestión ambiental y sostenibilidad:</w:t>
      </w:r>
    </w:p>
    <w:p w14:paraId="4C3573C2" w14:textId="388C84B6" w:rsidR="00D20C88" w:rsidRPr="006A0747" w:rsidRDefault="00D20C88">
      <w:pPr>
        <w:pStyle w:val="Prrafodelista"/>
        <w:numPr>
          <w:ilvl w:val="0"/>
          <w:numId w:val="6"/>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Reducción del </w:t>
      </w:r>
      <w:r w:rsidR="007C160B" w:rsidRPr="006A0747">
        <w:rPr>
          <w:rFonts w:ascii="Times New Roman" w:eastAsia="Calibri" w:hAnsi="Times New Roman" w:cs="Times New Roman"/>
          <w:color w:val="767171"/>
          <w:spacing w:val="20"/>
          <w:sz w:val="24"/>
          <w:szCs w:val="24"/>
        </w:rPr>
        <w:t>42</w:t>
      </w:r>
      <w:r w:rsidRPr="006A0747">
        <w:rPr>
          <w:rFonts w:ascii="Times New Roman" w:eastAsia="Calibri" w:hAnsi="Times New Roman" w:cs="Times New Roman"/>
          <w:color w:val="767171"/>
          <w:spacing w:val="20"/>
          <w:sz w:val="24"/>
          <w:szCs w:val="24"/>
        </w:rPr>
        <w:t>% en las impresiones comparado con el mismo periodo del año anterior</w:t>
      </w:r>
      <w:r w:rsidR="00C4784D" w:rsidRPr="006A0747">
        <w:rPr>
          <w:rFonts w:ascii="Times New Roman" w:eastAsia="Calibri" w:hAnsi="Times New Roman" w:cs="Times New Roman"/>
          <w:color w:val="767171"/>
          <w:spacing w:val="20"/>
          <w:sz w:val="24"/>
          <w:szCs w:val="24"/>
        </w:rPr>
        <w:t>.</w:t>
      </w:r>
    </w:p>
    <w:p w14:paraId="3C08E7E9" w14:textId="2BAC9CBF" w:rsidR="00250D78" w:rsidRPr="006A0747" w:rsidRDefault="00C4021A" w:rsidP="009F2757">
      <w:pPr>
        <w:pStyle w:val="Prrafodelista"/>
        <w:numPr>
          <w:ilvl w:val="0"/>
          <w:numId w:val="6"/>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Jornada de Reforestación 2024, </w:t>
      </w:r>
      <w:r w:rsidR="0005395A" w:rsidRPr="006A0747">
        <w:rPr>
          <w:rFonts w:ascii="Times New Roman" w:eastAsia="Calibri" w:hAnsi="Times New Roman" w:cs="Times New Roman"/>
          <w:color w:val="767171"/>
          <w:spacing w:val="20"/>
          <w:sz w:val="24"/>
          <w:szCs w:val="24"/>
        </w:rPr>
        <w:t xml:space="preserve">donde fueron plantados </w:t>
      </w:r>
      <w:r w:rsidR="00457008" w:rsidRPr="006A0747">
        <w:rPr>
          <w:rFonts w:ascii="Times New Roman" w:eastAsia="Calibri" w:hAnsi="Times New Roman" w:cs="Times New Roman"/>
          <w:color w:val="767171"/>
          <w:spacing w:val="20"/>
          <w:sz w:val="24"/>
          <w:szCs w:val="24"/>
        </w:rPr>
        <w:t>aproximadamente</w:t>
      </w:r>
      <w:r w:rsidRPr="006A0747">
        <w:rPr>
          <w:rFonts w:ascii="Times New Roman" w:eastAsia="Calibri" w:hAnsi="Times New Roman" w:cs="Times New Roman"/>
          <w:color w:val="767171"/>
          <w:spacing w:val="20"/>
          <w:sz w:val="24"/>
          <w:szCs w:val="24"/>
        </w:rPr>
        <w:t xml:space="preserve"> </w:t>
      </w:r>
      <w:r w:rsidR="00274C26" w:rsidRPr="006A0747">
        <w:rPr>
          <w:rFonts w:ascii="Times New Roman" w:eastAsia="Calibri" w:hAnsi="Times New Roman" w:cs="Times New Roman"/>
          <w:color w:val="767171"/>
          <w:spacing w:val="20"/>
          <w:sz w:val="24"/>
          <w:szCs w:val="24"/>
        </w:rPr>
        <w:t>300</w:t>
      </w:r>
      <w:r w:rsidRPr="006A0747">
        <w:rPr>
          <w:rFonts w:ascii="Times New Roman" w:eastAsia="Calibri" w:hAnsi="Times New Roman" w:cs="Times New Roman"/>
          <w:color w:val="767171"/>
          <w:spacing w:val="20"/>
          <w:sz w:val="24"/>
          <w:szCs w:val="24"/>
        </w:rPr>
        <w:t xml:space="preserve"> nuevos </w:t>
      </w:r>
      <w:r w:rsidR="00652F68" w:rsidRPr="006A0747">
        <w:rPr>
          <w:rFonts w:ascii="Times New Roman" w:eastAsia="Calibri" w:hAnsi="Times New Roman" w:cs="Times New Roman"/>
          <w:color w:val="767171"/>
          <w:spacing w:val="20"/>
          <w:sz w:val="24"/>
          <w:szCs w:val="24"/>
        </w:rPr>
        <w:t>á</w:t>
      </w:r>
      <w:r w:rsidRPr="006A0747">
        <w:rPr>
          <w:rFonts w:ascii="Times New Roman" w:eastAsia="Calibri" w:hAnsi="Times New Roman" w:cs="Times New Roman"/>
          <w:color w:val="767171"/>
          <w:spacing w:val="20"/>
          <w:sz w:val="24"/>
          <w:szCs w:val="24"/>
        </w:rPr>
        <w:t>rboles</w:t>
      </w:r>
      <w:r w:rsidR="00652F68" w:rsidRPr="006A0747">
        <w:rPr>
          <w:rFonts w:ascii="Times New Roman" w:eastAsia="Calibri" w:hAnsi="Times New Roman" w:cs="Times New Roman"/>
          <w:color w:val="767171"/>
          <w:spacing w:val="20"/>
          <w:sz w:val="24"/>
          <w:szCs w:val="24"/>
        </w:rPr>
        <w:t xml:space="preserve"> </w:t>
      </w:r>
      <w:r w:rsidRPr="006A0747">
        <w:rPr>
          <w:rFonts w:ascii="Times New Roman" w:eastAsia="Calibri" w:hAnsi="Times New Roman" w:cs="Times New Roman"/>
          <w:color w:val="767171"/>
          <w:spacing w:val="20"/>
          <w:sz w:val="24"/>
          <w:szCs w:val="24"/>
        </w:rPr>
        <w:t xml:space="preserve">para contribuir </w:t>
      </w:r>
      <w:r w:rsidR="00EB1AB6" w:rsidRPr="006A0747">
        <w:rPr>
          <w:rFonts w:ascii="Times New Roman" w:eastAsia="Calibri" w:hAnsi="Times New Roman" w:cs="Times New Roman"/>
          <w:color w:val="767171"/>
          <w:spacing w:val="20"/>
          <w:sz w:val="24"/>
          <w:szCs w:val="24"/>
        </w:rPr>
        <w:t xml:space="preserve">a </w:t>
      </w:r>
      <w:r w:rsidR="0005395A" w:rsidRPr="006A0747">
        <w:rPr>
          <w:rFonts w:ascii="Times New Roman" w:eastAsia="Calibri" w:hAnsi="Times New Roman" w:cs="Times New Roman"/>
          <w:color w:val="767171"/>
          <w:spacing w:val="20"/>
          <w:sz w:val="24"/>
          <w:szCs w:val="24"/>
        </w:rPr>
        <w:t>las metas</w:t>
      </w:r>
      <w:r w:rsidR="00EB1AB6" w:rsidRPr="006A0747">
        <w:rPr>
          <w:rFonts w:ascii="Times New Roman" w:eastAsia="Calibri" w:hAnsi="Times New Roman" w:cs="Times New Roman"/>
          <w:color w:val="767171"/>
          <w:spacing w:val="20"/>
          <w:sz w:val="24"/>
          <w:szCs w:val="24"/>
        </w:rPr>
        <w:t xml:space="preserve"> de </w:t>
      </w:r>
      <w:r w:rsidR="0005395A" w:rsidRPr="006A0747">
        <w:rPr>
          <w:rFonts w:ascii="Times New Roman" w:eastAsia="Calibri" w:hAnsi="Times New Roman" w:cs="Times New Roman"/>
          <w:color w:val="767171"/>
          <w:spacing w:val="20"/>
          <w:sz w:val="24"/>
          <w:szCs w:val="24"/>
        </w:rPr>
        <w:t xml:space="preserve">reforestación nacionales </w:t>
      </w:r>
      <w:r w:rsidR="00457008" w:rsidRPr="006A0747">
        <w:rPr>
          <w:rFonts w:ascii="Times New Roman" w:eastAsia="Calibri" w:hAnsi="Times New Roman" w:cs="Times New Roman"/>
          <w:color w:val="767171"/>
          <w:spacing w:val="20"/>
          <w:sz w:val="24"/>
          <w:szCs w:val="24"/>
        </w:rPr>
        <w:t>reducir</w:t>
      </w:r>
      <w:r w:rsidR="0005395A" w:rsidRPr="006A0747">
        <w:rPr>
          <w:rFonts w:ascii="Times New Roman" w:eastAsia="Calibri" w:hAnsi="Times New Roman" w:cs="Times New Roman"/>
          <w:color w:val="767171"/>
          <w:spacing w:val="20"/>
          <w:sz w:val="24"/>
          <w:szCs w:val="24"/>
        </w:rPr>
        <w:t xml:space="preserve"> </w:t>
      </w:r>
      <w:r w:rsidR="00EB1AB6" w:rsidRPr="006A0747">
        <w:rPr>
          <w:rFonts w:ascii="Times New Roman" w:eastAsia="Calibri" w:hAnsi="Times New Roman" w:cs="Times New Roman"/>
          <w:color w:val="767171"/>
          <w:spacing w:val="20"/>
          <w:sz w:val="24"/>
          <w:szCs w:val="24"/>
        </w:rPr>
        <w:t xml:space="preserve">la huella ambiental </w:t>
      </w:r>
      <w:r w:rsidR="0005395A" w:rsidRPr="006A0747">
        <w:rPr>
          <w:rFonts w:ascii="Times New Roman" w:eastAsia="Calibri" w:hAnsi="Times New Roman" w:cs="Times New Roman"/>
          <w:color w:val="767171"/>
          <w:spacing w:val="20"/>
          <w:sz w:val="24"/>
          <w:szCs w:val="24"/>
        </w:rPr>
        <w:t>institucional</w:t>
      </w:r>
      <w:r w:rsidRPr="006A0747">
        <w:rPr>
          <w:rFonts w:ascii="Times New Roman" w:eastAsia="Calibri" w:hAnsi="Times New Roman" w:cs="Times New Roman"/>
          <w:color w:val="767171"/>
          <w:spacing w:val="20"/>
          <w:sz w:val="24"/>
          <w:szCs w:val="24"/>
        </w:rPr>
        <w:t>.</w:t>
      </w:r>
    </w:p>
    <w:p w14:paraId="4B5145A8" w14:textId="24CDFEE0" w:rsidR="0017499A" w:rsidRPr="006A0747" w:rsidRDefault="00457008" w:rsidP="00430701">
      <w:pPr>
        <w:pStyle w:val="Prrafodelista"/>
        <w:numPr>
          <w:ilvl w:val="0"/>
          <w:numId w:val="6"/>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Actividad de l</w:t>
      </w:r>
      <w:r w:rsidR="0017499A" w:rsidRPr="006A0747">
        <w:rPr>
          <w:rFonts w:ascii="Times New Roman" w:eastAsia="Calibri" w:hAnsi="Times New Roman" w:cs="Times New Roman"/>
          <w:color w:val="767171"/>
          <w:spacing w:val="20"/>
          <w:sz w:val="24"/>
          <w:szCs w:val="24"/>
        </w:rPr>
        <w:t>impieza de playa; actividad llevada a cabo en el mes de septiembre, y cuyo objetivo es la recolección y clasificación de desechos sólidos de las playas, contribuyendo así a la modificación de hábitos y comportamientos que producen la contaminación. En esta actividad participaron un total de 96 colaboradores de diferentes áreas.</w:t>
      </w:r>
    </w:p>
    <w:p w14:paraId="1BF953F8" w14:textId="33FF499B" w:rsidR="00B80D25" w:rsidRPr="006A0747" w:rsidRDefault="00393962">
      <w:pPr>
        <w:pStyle w:val="Prrafodelista"/>
        <w:numPr>
          <w:ilvl w:val="0"/>
          <w:numId w:val="6"/>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Adecuado reciclaje de </w:t>
      </w:r>
      <w:r w:rsidR="009C7BF7" w:rsidRPr="006A0747">
        <w:rPr>
          <w:rFonts w:ascii="Times New Roman" w:eastAsia="Calibri" w:hAnsi="Times New Roman" w:cs="Times New Roman"/>
          <w:color w:val="767171"/>
          <w:spacing w:val="20"/>
          <w:sz w:val="24"/>
          <w:szCs w:val="24"/>
        </w:rPr>
        <w:t xml:space="preserve">residuos sólidos a través de </w:t>
      </w:r>
      <w:r w:rsidR="00E335A6" w:rsidRPr="006A0747">
        <w:rPr>
          <w:rFonts w:ascii="Times New Roman" w:eastAsia="Calibri" w:hAnsi="Times New Roman" w:cs="Times New Roman"/>
          <w:color w:val="767171"/>
          <w:spacing w:val="20"/>
          <w:sz w:val="24"/>
          <w:szCs w:val="24"/>
        </w:rPr>
        <w:t>l</w:t>
      </w:r>
      <w:r w:rsidR="00725CFA" w:rsidRPr="006A0747">
        <w:rPr>
          <w:rFonts w:ascii="Times New Roman" w:eastAsia="Calibri" w:hAnsi="Times New Roman" w:cs="Times New Roman"/>
          <w:color w:val="767171"/>
          <w:spacing w:val="20"/>
          <w:sz w:val="24"/>
          <w:szCs w:val="24"/>
        </w:rPr>
        <w:t>as zonas de acopio “Puntos Verdes” y de la campaña “Viernes de Reciclaje”</w:t>
      </w:r>
      <w:r w:rsidR="00E676C9" w:rsidRPr="006A0747">
        <w:rPr>
          <w:rFonts w:ascii="Times New Roman" w:eastAsia="Calibri" w:hAnsi="Times New Roman" w:cs="Times New Roman"/>
          <w:color w:val="767171"/>
          <w:spacing w:val="20"/>
          <w:sz w:val="24"/>
          <w:szCs w:val="24"/>
        </w:rPr>
        <w:t>. Las</w:t>
      </w:r>
      <w:r w:rsidR="00883F0A" w:rsidRPr="006A0747">
        <w:rPr>
          <w:rFonts w:ascii="Times New Roman" w:eastAsia="Calibri" w:hAnsi="Times New Roman" w:cs="Times New Roman"/>
          <w:color w:val="767171"/>
          <w:spacing w:val="20"/>
          <w:sz w:val="24"/>
          <w:szCs w:val="24"/>
        </w:rPr>
        <w:t xml:space="preserve"> cantidades </w:t>
      </w:r>
      <w:r w:rsidR="00E676C9" w:rsidRPr="006A0747">
        <w:rPr>
          <w:rFonts w:ascii="Times New Roman" w:eastAsia="Calibri" w:hAnsi="Times New Roman" w:cs="Times New Roman"/>
          <w:color w:val="767171"/>
          <w:spacing w:val="20"/>
          <w:sz w:val="24"/>
          <w:szCs w:val="24"/>
        </w:rPr>
        <w:t>recicladas se detallan a continuación.</w:t>
      </w:r>
    </w:p>
    <w:p w14:paraId="13C06C65" w14:textId="77777777" w:rsidR="00FB0490" w:rsidRPr="006A0747" w:rsidRDefault="00FB0490" w:rsidP="00FB0490">
      <w:pPr>
        <w:pStyle w:val="Prrafodelista"/>
        <w:spacing w:line="360" w:lineRule="auto"/>
        <w:jc w:val="both"/>
        <w:rPr>
          <w:rFonts w:ascii="Times New Roman" w:eastAsia="Calibri" w:hAnsi="Times New Roman" w:cs="Times New Roman"/>
          <w:color w:val="767171"/>
          <w:spacing w:val="20"/>
          <w:sz w:val="24"/>
          <w:szCs w:val="24"/>
        </w:rPr>
      </w:pPr>
    </w:p>
    <w:p w14:paraId="3ED37DE4" w14:textId="2389724E" w:rsidR="00103758" w:rsidRPr="006A0747" w:rsidRDefault="00103758" w:rsidP="00103758">
      <w:pPr>
        <w:spacing w:after="0"/>
        <w:jc w:val="center"/>
        <w:rPr>
          <w:rFonts w:ascii="Times New Roman" w:hAnsi="Times New Roman" w:cs="Times New Roman"/>
          <w:b/>
          <w:color w:val="767171"/>
          <w:spacing w:val="20"/>
          <w:sz w:val="24"/>
          <w:szCs w:val="24"/>
        </w:rPr>
      </w:pPr>
      <w:r w:rsidRPr="006A0747">
        <w:rPr>
          <w:rFonts w:ascii="Times New Roman" w:hAnsi="Times New Roman" w:cs="Times New Roman"/>
          <w:b/>
          <w:color w:val="767171"/>
          <w:spacing w:val="20"/>
          <w:sz w:val="24"/>
          <w:szCs w:val="24"/>
        </w:rPr>
        <w:lastRenderedPageBreak/>
        <w:t xml:space="preserve">Tabla 7. </w:t>
      </w:r>
      <w:r w:rsidR="005B0A2B" w:rsidRPr="006A0747">
        <w:rPr>
          <w:rFonts w:ascii="Times New Roman" w:hAnsi="Times New Roman" w:cs="Times New Roman"/>
          <w:b/>
          <w:color w:val="767171"/>
          <w:spacing w:val="20"/>
          <w:sz w:val="24"/>
          <w:szCs w:val="24"/>
        </w:rPr>
        <w:t xml:space="preserve">Cantidad de reciclaje por tipo </w:t>
      </w:r>
      <w:r w:rsidR="0063400A" w:rsidRPr="006A0747">
        <w:rPr>
          <w:rFonts w:ascii="Times New Roman" w:hAnsi="Times New Roman" w:cs="Times New Roman"/>
          <w:b/>
          <w:color w:val="767171"/>
          <w:spacing w:val="20"/>
          <w:sz w:val="24"/>
          <w:szCs w:val="24"/>
        </w:rPr>
        <w:t>-</w:t>
      </w:r>
      <w:r w:rsidR="005B0A2B" w:rsidRPr="006A0747">
        <w:rPr>
          <w:rFonts w:ascii="Times New Roman" w:hAnsi="Times New Roman" w:cs="Times New Roman"/>
          <w:b/>
          <w:color w:val="767171"/>
          <w:spacing w:val="20"/>
          <w:sz w:val="24"/>
          <w:szCs w:val="24"/>
        </w:rPr>
        <w:t xml:space="preserve"> en el</w:t>
      </w:r>
      <w:r w:rsidRPr="006A0747">
        <w:rPr>
          <w:rFonts w:ascii="Times New Roman" w:hAnsi="Times New Roman" w:cs="Times New Roman"/>
          <w:b/>
          <w:color w:val="767171"/>
          <w:spacing w:val="20"/>
          <w:sz w:val="24"/>
          <w:szCs w:val="24"/>
        </w:rPr>
        <w:t xml:space="preserve"> Año 202</w:t>
      </w:r>
      <w:r w:rsidR="005B0A2B" w:rsidRPr="006A0747">
        <w:rPr>
          <w:rFonts w:ascii="Times New Roman" w:hAnsi="Times New Roman" w:cs="Times New Roman"/>
          <w:b/>
          <w:color w:val="767171"/>
          <w:spacing w:val="20"/>
          <w:sz w:val="24"/>
          <w:szCs w:val="24"/>
        </w:rPr>
        <w:t>4.</w:t>
      </w:r>
    </w:p>
    <w:p w14:paraId="0054587E" w14:textId="77777777" w:rsidR="00103758" w:rsidRPr="006A0747" w:rsidRDefault="00103758" w:rsidP="00103758">
      <w:pPr>
        <w:pStyle w:val="Prrafodelista"/>
        <w:spacing w:line="360" w:lineRule="auto"/>
        <w:jc w:val="both"/>
        <w:rPr>
          <w:rFonts w:ascii="Times New Roman" w:eastAsia="Calibri" w:hAnsi="Times New Roman" w:cs="Times New Roman"/>
          <w:color w:val="767171"/>
          <w:spacing w:val="20"/>
          <w:sz w:val="24"/>
          <w:szCs w:val="24"/>
        </w:rPr>
      </w:pPr>
    </w:p>
    <w:tbl>
      <w:tblPr>
        <w:tblW w:w="7900" w:type="dxa"/>
        <w:jc w:val="center"/>
        <w:tblCellMar>
          <w:top w:w="15" w:type="dxa"/>
          <w:left w:w="70" w:type="dxa"/>
          <w:bottom w:w="15" w:type="dxa"/>
          <w:right w:w="70" w:type="dxa"/>
        </w:tblCellMar>
        <w:tblLook w:val="04A0" w:firstRow="1" w:lastRow="0" w:firstColumn="1" w:lastColumn="0" w:noHBand="0" w:noVBand="1"/>
      </w:tblPr>
      <w:tblGrid>
        <w:gridCol w:w="1401"/>
        <w:gridCol w:w="1559"/>
        <w:gridCol w:w="1528"/>
        <w:gridCol w:w="1803"/>
        <w:gridCol w:w="1609"/>
      </w:tblGrid>
      <w:tr w:rsidR="00C17946" w:rsidRPr="006A0747" w14:paraId="243E9B02" w14:textId="78A88964" w:rsidTr="000B3C27">
        <w:trPr>
          <w:trHeight w:val="816"/>
          <w:tblHeader/>
          <w:jc w:val="center"/>
        </w:trPr>
        <w:tc>
          <w:tcPr>
            <w:tcW w:w="1266" w:type="dxa"/>
            <w:tcBorders>
              <w:top w:val="single" w:sz="8" w:space="0" w:color="auto"/>
              <w:left w:val="single" w:sz="8" w:space="0" w:color="auto"/>
              <w:bottom w:val="single" w:sz="8" w:space="0" w:color="auto"/>
              <w:right w:val="single" w:sz="8" w:space="0" w:color="000000"/>
            </w:tcBorders>
            <w:shd w:val="clear" w:color="auto" w:fill="011C50"/>
            <w:noWrap/>
            <w:vAlign w:val="center"/>
          </w:tcPr>
          <w:p w14:paraId="50B89AD3" w14:textId="2953F976" w:rsidR="006B3A8C" w:rsidRPr="006A0747" w:rsidRDefault="00C17946" w:rsidP="000B3C27">
            <w:pPr>
              <w:spacing w:line="360" w:lineRule="auto"/>
              <w:jc w:val="center"/>
              <w:rPr>
                <w:rFonts w:ascii="Times New Roman" w:eastAsia="Calibri" w:hAnsi="Times New Roman" w:cs="Times New Roman"/>
                <w:b/>
                <w:color w:val="FFFFFF" w:themeColor="background1"/>
                <w:spacing w:val="20"/>
                <w:sz w:val="24"/>
                <w:szCs w:val="24"/>
              </w:rPr>
            </w:pPr>
            <w:r w:rsidRPr="006A0747">
              <w:rPr>
                <w:rFonts w:ascii="Times New Roman" w:eastAsia="Calibri" w:hAnsi="Times New Roman" w:cs="Times New Roman"/>
                <w:b/>
                <w:color w:val="FFFFFF" w:themeColor="background1"/>
                <w:spacing w:val="20"/>
                <w:sz w:val="24"/>
                <w:szCs w:val="24"/>
              </w:rPr>
              <w:t>PERIODO</w:t>
            </w:r>
          </w:p>
        </w:tc>
        <w:tc>
          <w:tcPr>
            <w:tcW w:w="1559" w:type="dxa"/>
            <w:tcBorders>
              <w:top w:val="single" w:sz="8" w:space="0" w:color="auto"/>
              <w:left w:val="single" w:sz="8" w:space="0" w:color="auto"/>
              <w:bottom w:val="single" w:sz="8" w:space="0" w:color="auto"/>
              <w:right w:val="single" w:sz="8" w:space="0" w:color="000000"/>
            </w:tcBorders>
            <w:shd w:val="clear" w:color="auto" w:fill="011C50"/>
            <w:noWrap/>
            <w:vAlign w:val="center"/>
          </w:tcPr>
          <w:p w14:paraId="55186745" w14:textId="2E2D729B" w:rsidR="006B3A8C" w:rsidRPr="006A0747" w:rsidRDefault="00C17946" w:rsidP="000B3C27">
            <w:pPr>
              <w:spacing w:line="360" w:lineRule="auto"/>
              <w:jc w:val="center"/>
              <w:rPr>
                <w:rFonts w:ascii="Times New Roman" w:eastAsia="Calibri" w:hAnsi="Times New Roman" w:cs="Times New Roman"/>
                <w:b/>
                <w:color w:val="FFFFFF" w:themeColor="background1"/>
                <w:spacing w:val="20"/>
                <w:sz w:val="24"/>
                <w:szCs w:val="24"/>
              </w:rPr>
            </w:pPr>
            <w:r w:rsidRPr="006A0747">
              <w:rPr>
                <w:rFonts w:ascii="Times New Roman" w:eastAsia="Calibri" w:hAnsi="Times New Roman" w:cs="Times New Roman"/>
                <w:b/>
                <w:color w:val="FFFFFF" w:themeColor="background1"/>
                <w:spacing w:val="20"/>
                <w:sz w:val="24"/>
                <w:szCs w:val="24"/>
              </w:rPr>
              <w:t>PAPEL KG</w:t>
            </w:r>
          </w:p>
        </w:tc>
        <w:tc>
          <w:tcPr>
            <w:tcW w:w="1560" w:type="dxa"/>
            <w:tcBorders>
              <w:top w:val="single" w:sz="8" w:space="0" w:color="auto"/>
              <w:left w:val="single" w:sz="8" w:space="0" w:color="auto"/>
              <w:bottom w:val="single" w:sz="8" w:space="0" w:color="auto"/>
              <w:right w:val="single" w:sz="8" w:space="0" w:color="000000"/>
            </w:tcBorders>
            <w:shd w:val="clear" w:color="auto" w:fill="011C50"/>
            <w:vAlign w:val="center"/>
          </w:tcPr>
          <w:p w14:paraId="10B84200" w14:textId="7BEE3223" w:rsidR="006B3A8C" w:rsidRPr="006A0747" w:rsidRDefault="00C17946" w:rsidP="000B3C27">
            <w:pPr>
              <w:spacing w:line="360" w:lineRule="auto"/>
              <w:jc w:val="center"/>
              <w:rPr>
                <w:rFonts w:ascii="Times New Roman" w:eastAsia="Calibri" w:hAnsi="Times New Roman" w:cs="Times New Roman"/>
                <w:b/>
                <w:color w:val="FFFFFF" w:themeColor="background1"/>
                <w:spacing w:val="20"/>
                <w:sz w:val="24"/>
                <w:szCs w:val="24"/>
              </w:rPr>
            </w:pPr>
            <w:r w:rsidRPr="006A0747">
              <w:rPr>
                <w:rFonts w:ascii="Times New Roman" w:eastAsia="Calibri" w:hAnsi="Times New Roman" w:cs="Times New Roman"/>
                <w:b/>
                <w:color w:val="FFFFFF" w:themeColor="background1"/>
                <w:spacing w:val="20"/>
                <w:sz w:val="24"/>
                <w:szCs w:val="24"/>
              </w:rPr>
              <w:t>CARTÓN KG</w:t>
            </w:r>
          </w:p>
        </w:tc>
        <w:tc>
          <w:tcPr>
            <w:tcW w:w="1842" w:type="dxa"/>
            <w:tcBorders>
              <w:top w:val="single" w:sz="8" w:space="0" w:color="auto"/>
              <w:left w:val="single" w:sz="8" w:space="0" w:color="auto"/>
              <w:bottom w:val="single" w:sz="8" w:space="0" w:color="auto"/>
              <w:right w:val="single" w:sz="8" w:space="0" w:color="000000"/>
            </w:tcBorders>
            <w:shd w:val="clear" w:color="auto" w:fill="011C50"/>
            <w:vAlign w:val="center"/>
          </w:tcPr>
          <w:p w14:paraId="52737678" w14:textId="17B2890F" w:rsidR="006B3A8C" w:rsidRPr="006A0747" w:rsidRDefault="00C17946" w:rsidP="000B3C27">
            <w:pPr>
              <w:spacing w:line="360" w:lineRule="auto"/>
              <w:jc w:val="center"/>
              <w:rPr>
                <w:rFonts w:ascii="Times New Roman" w:eastAsia="Calibri" w:hAnsi="Times New Roman" w:cs="Times New Roman"/>
                <w:b/>
                <w:color w:val="FFFFFF" w:themeColor="background1"/>
                <w:spacing w:val="20"/>
                <w:sz w:val="24"/>
                <w:szCs w:val="24"/>
              </w:rPr>
            </w:pPr>
            <w:r w:rsidRPr="006A0747">
              <w:rPr>
                <w:rFonts w:ascii="Times New Roman" w:eastAsia="Calibri" w:hAnsi="Times New Roman" w:cs="Times New Roman"/>
                <w:b/>
                <w:color w:val="FFFFFF" w:themeColor="background1"/>
                <w:spacing w:val="20"/>
                <w:sz w:val="24"/>
                <w:szCs w:val="24"/>
              </w:rPr>
              <w:t>PLÁSTICO KG</w:t>
            </w:r>
          </w:p>
        </w:tc>
        <w:tc>
          <w:tcPr>
            <w:tcW w:w="1673" w:type="dxa"/>
            <w:tcBorders>
              <w:top w:val="single" w:sz="8" w:space="0" w:color="auto"/>
              <w:left w:val="single" w:sz="8" w:space="0" w:color="auto"/>
              <w:bottom w:val="single" w:sz="8" w:space="0" w:color="auto"/>
              <w:right w:val="single" w:sz="8" w:space="0" w:color="000000"/>
            </w:tcBorders>
            <w:shd w:val="clear" w:color="auto" w:fill="011C50"/>
            <w:vAlign w:val="center"/>
          </w:tcPr>
          <w:p w14:paraId="74ABCB0B" w14:textId="4712E3AC" w:rsidR="006B3A8C" w:rsidRPr="006A0747" w:rsidRDefault="00C17946" w:rsidP="000B3C27">
            <w:pPr>
              <w:spacing w:line="360" w:lineRule="auto"/>
              <w:jc w:val="center"/>
              <w:rPr>
                <w:rFonts w:ascii="Times New Roman" w:eastAsia="Calibri" w:hAnsi="Times New Roman" w:cs="Times New Roman"/>
                <w:b/>
                <w:color w:val="FFFFFF" w:themeColor="background1"/>
                <w:spacing w:val="20"/>
                <w:sz w:val="24"/>
                <w:szCs w:val="24"/>
              </w:rPr>
            </w:pPr>
            <w:r w:rsidRPr="006A0747">
              <w:rPr>
                <w:rFonts w:ascii="Times New Roman" w:eastAsia="Calibri" w:hAnsi="Times New Roman" w:cs="Times New Roman"/>
                <w:b/>
                <w:color w:val="FFFFFF" w:themeColor="background1"/>
                <w:spacing w:val="20"/>
                <w:sz w:val="24"/>
                <w:szCs w:val="24"/>
              </w:rPr>
              <w:t>VIDRIO KG</w:t>
            </w:r>
          </w:p>
        </w:tc>
      </w:tr>
      <w:tr w:rsidR="00C17946" w:rsidRPr="006A0747" w14:paraId="2DD7C4B3" w14:textId="2F3DC0BC" w:rsidTr="006B3A8C">
        <w:trPr>
          <w:trHeight w:val="327"/>
          <w:jc w:val="center"/>
        </w:trPr>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CD6682" w14:textId="303BE97A" w:rsidR="006B3A8C" w:rsidRPr="006A0747" w:rsidRDefault="00C17946" w:rsidP="00C17946">
            <w:pPr>
              <w:spacing w:line="360" w:lineRule="auto"/>
              <w:jc w:val="center"/>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2024</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E24758" w14:textId="25DFD8AF" w:rsidR="006B3A8C" w:rsidRPr="006A0747" w:rsidRDefault="00C17946" w:rsidP="00C17946">
            <w:pPr>
              <w:spacing w:line="360" w:lineRule="auto"/>
              <w:jc w:val="center"/>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437</w:t>
            </w:r>
          </w:p>
        </w:tc>
        <w:tc>
          <w:tcPr>
            <w:tcW w:w="1560" w:type="dxa"/>
            <w:tcBorders>
              <w:top w:val="single" w:sz="4" w:space="0" w:color="auto"/>
              <w:left w:val="single" w:sz="4" w:space="0" w:color="auto"/>
              <w:bottom w:val="single" w:sz="4" w:space="0" w:color="auto"/>
              <w:right w:val="single" w:sz="4" w:space="0" w:color="auto"/>
            </w:tcBorders>
            <w:shd w:val="clear" w:color="000000" w:fill="FFFFFF"/>
          </w:tcPr>
          <w:p w14:paraId="340091E1" w14:textId="55D59DAE" w:rsidR="006B3A8C" w:rsidRPr="006A0747" w:rsidRDefault="00DA78ED" w:rsidP="00C17946">
            <w:pPr>
              <w:spacing w:line="360" w:lineRule="auto"/>
              <w:jc w:val="center"/>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375</w:t>
            </w:r>
          </w:p>
        </w:tc>
        <w:tc>
          <w:tcPr>
            <w:tcW w:w="1842" w:type="dxa"/>
            <w:tcBorders>
              <w:top w:val="single" w:sz="4" w:space="0" w:color="auto"/>
              <w:left w:val="single" w:sz="4" w:space="0" w:color="auto"/>
              <w:bottom w:val="single" w:sz="4" w:space="0" w:color="auto"/>
              <w:right w:val="single" w:sz="4" w:space="0" w:color="auto"/>
            </w:tcBorders>
            <w:shd w:val="clear" w:color="000000" w:fill="FFFFFF"/>
          </w:tcPr>
          <w:p w14:paraId="0A63FB4C" w14:textId="1C426545" w:rsidR="006B3A8C" w:rsidRPr="006A0747" w:rsidRDefault="00DA78ED" w:rsidP="00C17946">
            <w:pPr>
              <w:spacing w:line="360" w:lineRule="auto"/>
              <w:jc w:val="center"/>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141</w:t>
            </w:r>
          </w:p>
        </w:tc>
        <w:tc>
          <w:tcPr>
            <w:tcW w:w="1673" w:type="dxa"/>
            <w:tcBorders>
              <w:top w:val="single" w:sz="4" w:space="0" w:color="auto"/>
              <w:left w:val="single" w:sz="4" w:space="0" w:color="auto"/>
              <w:bottom w:val="single" w:sz="4" w:space="0" w:color="auto"/>
              <w:right w:val="single" w:sz="4" w:space="0" w:color="auto"/>
            </w:tcBorders>
            <w:shd w:val="clear" w:color="000000" w:fill="FFFFFF"/>
          </w:tcPr>
          <w:p w14:paraId="6F17C8D5" w14:textId="477DE7C6" w:rsidR="006B3A8C" w:rsidRPr="006A0747" w:rsidRDefault="00DA78ED" w:rsidP="00C17946">
            <w:pPr>
              <w:spacing w:line="360" w:lineRule="auto"/>
              <w:jc w:val="center"/>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81.70</w:t>
            </w:r>
          </w:p>
        </w:tc>
      </w:tr>
    </w:tbl>
    <w:p w14:paraId="48B7052C" w14:textId="72E26D55" w:rsidR="006B3A8C" w:rsidRPr="006A0747" w:rsidRDefault="006B3A8C" w:rsidP="0053660F">
      <w:pPr>
        <w:pStyle w:val="Prrafodelista"/>
        <w:spacing w:line="360" w:lineRule="auto"/>
        <w:jc w:val="center"/>
        <w:rPr>
          <w:rFonts w:ascii="Times New Roman" w:eastAsia="Calibri" w:hAnsi="Times New Roman" w:cs="Times New Roman"/>
          <w:i/>
          <w:color w:val="767171"/>
          <w:spacing w:val="20"/>
          <w:sz w:val="18"/>
          <w:szCs w:val="18"/>
        </w:rPr>
      </w:pPr>
      <w:r w:rsidRPr="006A0747">
        <w:rPr>
          <w:rFonts w:ascii="Times New Roman" w:eastAsia="Calibri" w:hAnsi="Times New Roman" w:cs="Times New Roman"/>
          <w:b/>
          <w:i/>
          <w:color w:val="767171"/>
          <w:spacing w:val="20"/>
          <w:sz w:val="18"/>
          <w:szCs w:val="18"/>
        </w:rPr>
        <w:t xml:space="preserve">Fuente: </w:t>
      </w:r>
      <w:r w:rsidRPr="006A0747">
        <w:rPr>
          <w:rFonts w:ascii="Times New Roman" w:eastAsia="Calibri" w:hAnsi="Times New Roman" w:cs="Times New Roman"/>
          <w:i/>
          <w:color w:val="767171"/>
          <w:spacing w:val="20"/>
          <w:sz w:val="18"/>
          <w:szCs w:val="18"/>
        </w:rPr>
        <w:t>D</w:t>
      </w:r>
      <w:r w:rsidR="0053660F" w:rsidRPr="006A0747">
        <w:rPr>
          <w:rFonts w:ascii="Times New Roman" w:eastAsia="Calibri" w:hAnsi="Times New Roman" w:cs="Times New Roman"/>
          <w:i/>
          <w:color w:val="767171"/>
          <w:spacing w:val="20"/>
          <w:sz w:val="18"/>
          <w:szCs w:val="18"/>
        </w:rPr>
        <w:t>ivisión de Prevención de Riesgos Laborales y Gestión Ambiental</w:t>
      </w:r>
      <w:r w:rsidRPr="006A0747">
        <w:rPr>
          <w:rFonts w:ascii="Times New Roman" w:eastAsia="Calibri" w:hAnsi="Times New Roman" w:cs="Times New Roman"/>
          <w:i/>
          <w:color w:val="767171"/>
          <w:spacing w:val="20"/>
          <w:sz w:val="18"/>
          <w:szCs w:val="18"/>
        </w:rPr>
        <w:t xml:space="preserve"> de la Superintendencia de Bancos de la República Dominicana.</w:t>
      </w:r>
    </w:p>
    <w:p w14:paraId="1A2AD375" w14:textId="77777777" w:rsidR="00FB0490" w:rsidRPr="006A0747" w:rsidRDefault="00FB0490" w:rsidP="00D20C88">
      <w:pPr>
        <w:spacing w:line="360" w:lineRule="auto"/>
        <w:jc w:val="both"/>
        <w:rPr>
          <w:rFonts w:ascii="Times New Roman" w:eastAsia="Calibri" w:hAnsi="Times New Roman" w:cs="Times New Roman"/>
          <w:color w:val="767171"/>
          <w:spacing w:val="20"/>
          <w:sz w:val="24"/>
          <w:szCs w:val="24"/>
        </w:rPr>
      </w:pPr>
    </w:p>
    <w:p w14:paraId="0CF9A54E" w14:textId="5260E426" w:rsidR="00D20C88" w:rsidRPr="006A0747" w:rsidRDefault="007E2FB6" w:rsidP="00D20C88">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Asimismo</w:t>
      </w:r>
      <w:r w:rsidR="00D20C88" w:rsidRPr="006A0747">
        <w:rPr>
          <w:rFonts w:ascii="Times New Roman" w:eastAsia="Calibri" w:hAnsi="Times New Roman" w:cs="Times New Roman"/>
          <w:color w:val="767171"/>
          <w:spacing w:val="20"/>
          <w:sz w:val="24"/>
          <w:szCs w:val="24"/>
        </w:rPr>
        <w:t>, la S</w:t>
      </w:r>
      <w:r w:rsidR="006B51ED" w:rsidRPr="006A0747">
        <w:rPr>
          <w:rFonts w:ascii="Times New Roman" w:eastAsia="Calibri" w:hAnsi="Times New Roman" w:cs="Times New Roman"/>
          <w:color w:val="767171"/>
          <w:spacing w:val="20"/>
          <w:sz w:val="24"/>
          <w:szCs w:val="24"/>
        </w:rPr>
        <w:t xml:space="preserve">uperintendencia de </w:t>
      </w:r>
      <w:r w:rsidR="00D20C88" w:rsidRPr="006A0747">
        <w:rPr>
          <w:rFonts w:ascii="Times New Roman" w:eastAsia="Calibri" w:hAnsi="Times New Roman" w:cs="Times New Roman"/>
          <w:color w:val="767171"/>
          <w:spacing w:val="20"/>
          <w:sz w:val="24"/>
          <w:szCs w:val="24"/>
        </w:rPr>
        <w:t>B</w:t>
      </w:r>
      <w:r w:rsidR="006B51ED" w:rsidRPr="006A0747">
        <w:rPr>
          <w:rFonts w:ascii="Times New Roman" w:eastAsia="Calibri" w:hAnsi="Times New Roman" w:cs="Times New Roman"/>
          <w:color w:val="767171"/>
          <w:spacing w:val="20"/>
          <w:sz w:val="24"/>
          <w:szCs w:val="24"/>
        </w:rPr>
        <w:t>ancos</w:t>
      </w:r>
      <w:r w:rsidR="00D20C88" w:rsidRPr="006A0747">
        <w:rPr>
          <w:rFonts w:ascii="Times New Roman" w:eastAsia="Calibri" w:hAnsi="Times New Roman" w:cs="Times New Roman"/>
          <w:color w:val="767171"/>
          <w:spacing w:val="20"/>
          <w:sz w:val="24"/>
          <w:szCs w:val="24"/>
        </w:rPr>
        <w:t xml:space="preserve"> adopt</w:t>
      </w:r>
      <w:r w:rsidRPr="006A0747">
        <w:rPr>
          <w:rFonts w:ascii="Times New Roman" w:eastAsia="Calibri" w:hAnsi="Times New Roman" w:cs="Times New Roman"/>
          <w:color w:val="767171"/>
          <w:spacing w:val="20"/>
          <w:sz w:val="24"/>
          <w:szCs w:val="24"/>
        </w:rPr>
        <w:t>ó las disposiciones</w:t>
      </w:r>
      <w:r w:rsidR="00D20C88" w:rsidRPr="006A0747">
        <w:rPr>
          <w:rFonts w:ascii="Times New Roman" w:eastAsia="Calibri" w:hAnsi="Times New Roman" w:cs="Times New Roman"/>
          <w:color w:val="767171"/>
          <w:spacing w:val="20"/>
          <w:sz w:val="24"/>
          <w:szCs w:val="24"/>
        </w:rPr>
        <w:t xml:space="preserve"> </w:t>
      </w:r>
      <w:r w:rsidRPr="006A0747">
        <w:rPr>
          <w:rFonts w:ascii="Times New Roman" w:eastAsia="Calibri" w:hAnsi="Times New Roman" w:cs="Times New Roman"/>
          <w:color w:val="767171"/>
          <w:spacing w:val="20"/>
          <w:sz w:val="24"/>
          <w:szCs w:val="24"/>
        </w:rPr>
        <w:t>d</w:t>
      </w:r>
      <w:r w:rsidR="00D20C88" w:rsidRPr="006A0747">
        <w:rPr>
          <w:rFonts w:ascii="Times New Roman" w:eastAsia="Calibri" w:hAnsi="Times New Roman" w:cs="Times New Roman"/>
          <w:color w:val="767171"/>
          <w:spacing w:val="20"/>
          <w:sz w:val="24"/>
          <w:szCs w:val="24"/>
        </w:rPr>
        <w:t>el decreto 617-22, que declara de interés nacional la promoción de compras públicas sostenibles e inclusivas</w:t>
      </w:r>
      <w:r w:rsidR="008635D7" w:rsidRPr="006A0747">
        <w:rPr>
          <w:rFonts w:ascii="Times New Roman" w:eastAsia="Calibri" w:hAnsi="Times New Roman" w:cs="Times New Roman"/>
          <w:color w:val="767171"/>
          <w:spacing w:val="20"/>
          <w:sz w:val="24"/>
          <w:szCs w:val="24"/>
        </w:rPr>
        <w:t xml:space="preserve">, </w:t>
      </w:r>
      <w:r w:rsidR="007644AD" w:rsidRPr="006A0747">
        <w:rPr>
          <w:rFonts w:ascii="Times New Roman" w:eastAsia="Calibri" w:hAnsi="Times New Roman" w:cs="Times New Roman"/>
          <w:color w:val="767171"/>
          <w:spacing w:val="20"/>
          <w:sz w:val="24"/>
          <w:szCs w:val="24"/>
        </w:rPr>
        <w:t xml:space="preserve">alcanzando hasta la fecha un 10% de los procesos de compras categorizados como </w:t>
      </w:r>
      <w:r w:rsidR="005A398D" w:rsidRPr="006A0747">
        <w:rPr>
          <w:rFonts w:ascii="Times New Roman" w:eastAsia="Calibri" w:hAnsi="Times New Roman" w:cs="Times New Roman"/>
          <w:color w:val="767171"/>
          <w:spacing w:val="20"/>
          <w:sz w:val="24"/>
          <w:szCs w:val="24"/>
        </w:rPr>
        <w:t>c</w:t>
      </w:r>
      <w:r w:rsidR="007644AD" w:rsidRPr="006A0747">
        <w:rPr>
          <w:rFonts w:ascii="Times New Roman" w:eastAsia="Calibri" w:hAnsi="Times New Roman" w:cs="Times New Roman"/>
          <w:color w:val="767171"/>
          <w:spacing w:val="20"/>
          <w:sz w:val="24"/>
          <w:szCs w:val="24"/>
        </w:rPr>
        <w:t xml:space="preserve">ompras </w:t>
      </w:r>
      <w:r w:rsidR="005A398D" w:rsidRPr="006A0747">
        <w:rPr>
          <w:rFonts w:ascii="Times New Roman" w:eastAsia="Calibri" w:hAnsi="Times New Roman" w:cs="Times New Roman"/>
          <w:color w:val="767171"/>
          <w:spacing w:val="20"/>
          <w:sz w:val="24"/>
          <w:szCs w:val="24"/>
        </w:rPr>
        <w:t>v</w:t>
      </w:r>
      <w:r w:rsidR="007644AD" w:rsidRPr="006A0747">
        <w:rPr>
          <w:rFonts w:ascii="Times New Roman" w:eastAsia="Calibri" w:hAnsi="Times New Roman" w:cs="Times New Roman"/>
          <w:color w:val="767171"/>
          <w:spacing w:val="20"/>
          <w:sz w:val="24"/>
          <w:szCs w:val="24"/>
        </w:rPr>
        <w:t>erdes</w:t>
      </w:r>
      <w:r w:rsidR="005A398D" w:rsidRPr="006A0747">
        <w:rPr>
          <w:rFonts w:ascii="Times New Roman" w:eastAsia="Calibri" w:hAnsi="Times New Roman" w:cs="Times New Roman"/>
          <w:color w:val="767171"/>
          <w:spacing w:val="20"/>
          <w:sz w:val="24"/>
          <w:szCs w:val="24"/>
        </w:rPr>
        <w:t>.</w:t>
      </w:r>
      <w:r w:rsidR="006C25E8" w:rsidRPr="006A0747">
        <w:rPr>
          <w:rFonts w:ascii="Times New Roman" w:eastAsia="Calibri" w:hAnsi="Times New Roman" w:cs="Times New Roman"/>
          <w:color w:val="767171"/>
          <w:spacing w:val="20"/>
          <w:sz w:val="24"/>
          <w:szCs w:val="24"/>
        </w:rPr>
        <w:t xml:space="preserve"> </w:t>
      </w:r>
      <w:r w:rsidR="005A398D" w:rsidRPr="006A0747">
        <w:rPr>
          <w:rFonts w:ascii="Times New Roman" w:eastAsia="Calibri" w:hAnsi="Times New Roman" w:cs="Times New Roman"/>
          <w:color w:val="767171"/>
          <w:spacing w:val="20"/>
          <w:sz w:val="24"/>
          <w:szCs w:val="24"/>
        </w:rPr>
        <w:t>E</w:t>
      </w:r>
      <w:r w:rsidR="006C25E8" w:rsidRPr="006A0747">
        <w:rPr>
          <w:rFonts w:ascii="Times New Roman" w:eastAsia="Calibri" w:hAnsi="Times New Roman" w:cs="Times New Roman"/>
          <w:color w:val="767171"/>
          <w:spacing w:val="20"/>
          <w:sz w:val="24"/>
          <w:szCs w:val="24"/>
        </w:rPr>
        <w:t xml:space="preserve">n ese mismo orden, </w:t>
      </w:r>
      <w:r w:rsidR="00515ECA" w:rsidRPr="006A0747">
        <w:rPr>
          <w:rFonts w:ascii="Times New Roman" w:eastAsia="Calibri" w:hAnsi="Times New Roman" w:cs="Times New Roman"/>
          <w:color w:val="767171"/>
          <w:spacing w:val="20"/>
          <w:sz w:val="24"/>
          <w:szCs w:val="24"/>
        </w:rPr>
        <w:t>en</w:t>
      </w:r>
      <w:r w:rsidR="001A6922" w:rsidRPr="006A0747">
        <w:rPr>
          <w:rFonts w:ascii="Times New Roman" w:eastAsia="Calibri" w:hAnsi="Times New Roman" w:cs="Times New Roman"/>
          <w:color w:val="767171"/>
          <w:spacing w:val="20"/>
          <w:sz w:val="24"/>
          <w:szCs w:val="24"/>
        </w:rPr>
        <w:t xml:space="preserve"> cumplimiento </w:t>
      </w:r>
      <w:r w:rsidR="009D2948" w:rsidRPr="006A0747">
        <w:rPr>
          <w:rFonts w:ascii="Times New Roman" w:eastAsia="Calibri" w:hAnsi="Times New Roman" w:cs="Times New Roman"/>
          <w:color w:val="767171"/>
          <w:spacing w:val="20"/>
          <w:sz w:val="24"/>
          <w:szCs w:val="24"/>
        </w:rPr>
        <w:t>de</w:t>
      </w:r>
      <w:r w:rsidR="006C25E8" w:rsidRPr="006A0747">
        <w:rPr>
          <w:rFonts w:ascii="Times New Roman" w:eastAsia="Calibri" w:hAnsi="Times New Roman" w:cs="Times New Roman"/>
          <w:color w:val="767171"/>
          <w:spacing w:val="20"/>
          <w:sz w:val="24"/>
          <w:szCs w:val="24"/>
        </w:rPr>
        <w:t>l decreto</w:t>
      </w:r>
      <w:r w:rsidR="00D20C88" w:rsidRPr="006A0747">
        <w:rPr>
          <w:rFonts w:ascii="Times New Roman" w:eastAsia="Calibri" w:hAnsi="Times New Roman" w:cs="Times New Roman"/>
          <w:color w:val="767171"/>
          <w:spacing w:val="20"/>
          <w:sz w:val="24"/>
          <w:szCs w:val="24"/>
        </w:rPr>
        <w:t xml:space="preserve"> 158-23</w:t>
      </w:r>
      <w:r w:rsidRPr="006A0747">
        <w:rPr>
          <w:rFonts w:ascii="Times New Roman" w:eastAsia="Calibri" w:hAnsi="Times New Roman" w:cs="Times New Roman"/>
          <w:color w:val="767171"/>
          <w:spacing w:val="20"/>
          <w:sz w:val="24"/>
          <w:szCs w:val="24"/>
        </w:rPr>
        <w:t>,</w:t>
      </w:r>
      <w:r w:rsidR="0072227C" w:rsidRPr="006A0747">
        <w:rPr>
          <w:rFonts w:ascii="Times New Roman" w:eastAsia="Calibri" w:hAnsi="Times New Roman" w:cs="Times New Roman"/>
          <w:color w:val="767171"/>
          <w:spacing w:val="20"/>
          <w:sz w:val="24"/>
          <w:szCs w:val="24"/>
        </w:rPr>
        <w:t xml:space="preserve"> sobre la implementación de políticas de ahorro y eficiencia energética</w:t>
      </w:r>
      <w:r w:rsidR="007F2F03" w:rsidRPr="006A0747">
        <w:rPr>
          <w:rFonts w:ascii="Times New Roman" w:eastAsia="Calibri" w:hAnsi="Times New Roman" w:cs="Times New Roman"/>
          <w:color w:val="767171"/>
          <w:spacing w:val="20"/>
          <w:sz w:val="24"/>
          <w:szCs w:val="24"/>
        </w:rPr>
        <w:t>,</w:t>
      </w:r>
      <w:r w:rsidR="0072227C" w:rsidRPr="006A0747">
        <w:rPr>
          <w:rFonts w:ascii="Times New Roman" w:eastAsia="Calibri" w:hAnsi="Times New Roman" w:cs="Times New Roman"/>
          <w:color w:val="767171"/>
          <w:spacing w:val="20"/>
          <w:sz w:val="24"/>
          <w:szCs w:val="24"/>
        </w:rPr>
        <w:t xml:space="preserve"> </w:t>
      </w:r>
      <w:r w:rsidR="001A6922" w:rsidRPr="006A0747">
        <w:rPr>
          <w:rFonts w:ascii="Times New Roman" w:eastAsia="Calibri" w:hAnsi="Times New Roman" w:cs="Times New Roman"/>
          <w:color w:val="767171"/>
          <w:spacing w:val="20"/>
          <w:sz w:val="24"/>
          <w:szCs w:val="24"/>
        </w:rPr>
        <w:t xml:space="preserve">se implementaron </w:t>
      </w:r>
      <w:r w:rsidR="00CC00FE" w:rsidRPr="006A0747">
        <w:rPr>
          <w:rFonts w:ascii="Times New Roman" w:eastAsia="Calibri" w:hAnsi="Times New Roman" w:cs="Times New Roman"/>
          <w:color w:val="767171"/>
          <w:spacing w:val="20"/>
          <w:sz w:val="24"/>
          <w:szCs w:val="24"/>
        </w:rPr>
        <w:t>las acciones recomendadas por el Ministerio de Energías y Minas a través del informe de auditoría energética realizado en febrero del 2023</w:t>
      </w:r>
      <w:r w:rsidR="007F2F03" w:rsidRPr="006A0747">
        <w:rPr>
          <w:rFonts w:ascii="Times New Roman" w:eastAsia="Calibri" w:hAnsi="Times New Roman" w:cs="Times New Roman"/>
          <w:color w:val="767171"/>
          <w:spacing w:val="20"/>
          <w:sz w:val="24"/>
          <w:szCs w:val="24"/>
        </w:rPr>
        <w:t>. Entre</w:t>
      </w:r>
      <w:r w:rsidR="0072227C" w:rsidRPr="006A0747">
        <w:rPr>
          <w:rFonts w:ascii="Times New Roman" w:eastAsia="Calibri" w:hAnsi="Times New Roman" w:cs="Times New Roman"/>
          <w:color w:val="767171"/>
          <w:spacing w:val="20"/>
          <w:sz w:val="24"/>
          <w:szCs w:val="24"/>
        </w:rPr>
        <w:t xml:space="preserve"> las </w:t>
      </w:r>
      <w:r w:rsidR="007F2F03" w:rsidRPr="006A0747">
        <w:rPr>
          <w:rFonts w:ascii="Times New Roman" w:eastAsia="Calibri" w:hAnsi="Times New Roman" w:cs="Times New Roman"/>
          <w:color w:val="767171"/>
          <w:spacing w:val="20"/>
          <w:sz w:val="24"/>
          <w:szCs w:val="24"/>
        </w:rPr>
        <w:t>medidas implementadas</w:t>
      </w:r>
      <w:r w:rsidR="008D6EF6" w:rsidRPr="006A0747">
        <w:rPr>
          <w:rFonts w:ascii="Times New Roman" w:eastAsia="Calibri" w:hAnsi="Times New Roman" w:cs="Times New Roman"/>
          <w:color w:val="767171"/>
          <w:spacing w:val="20"/>
          <w:sz w:val="24"/>
          <w:szCs w:val="24"/>
        </w:rPr>
        <w:t>,</w:t>
      </w:r>
      <w:r w:rsidR="0072227C" w:rsidRPr="006A0747">
        <w:rPr>
          <w:rFonts w:ascii="Times New Roman" w:eastAsia="Calibri" w:hAnsi="Times New Roman" w:cs="Times New Roman"/>
          <w:color w:val="767171"/>
          <w:spacing w:val="20"/>
          <w:sz w:val="24"/>
          <w:szCs w:val="24"/>
        </w:rPr>
        <w:t xml:space="preserve"> se pueden mencionar la sustitución del sistema de climatización y el cambio de las luminarias en todas las edificaciones</w:t>
      </w:r>
      <w:r w:rsidR="00493DED" w:rsidRPr="006A0747">
        <w:rPr>
          <w:rFonts w:ascii="Times New Roman" w:eastAsia="Calibri" w:hAnsi="Times New Roman" w:cs="Times New Roman"/>
          <w:color w:val="767171"/>
          <w:spacing w:val="20"/>
          <w:sz w:val="24"/>
          <w:szCs w:val="24"/>
        </w:rPr>
        <w:t>,</w:t>
      </w:r>
      <w:r w:rsidR="0072227C" w:rsidRPr="006A0747">
        <w:rPr>
          <w:rFonts w:ascii="Times New Roman" w:eastAsia="Calibri" w:hAnsi="Times New Roman" w:cs="Times New Roman"/>
          <w:color w:val="767171"/>
          <w:spacing w:val="20"/>
          <w:sz w:val="24"/>
          <w:szCs w:val="24"/>
        </w:rPr>
        <w:t xml:space="preserve"> en el marco del programa </w:t>
      </w:r>
      <w:r w:rsidR="00B303E4" w:rsidRPr="006A0747">
        <w:rPr>
          <w:rFonts w:ascii="Times New Roman" w:eastAsia="Calibri" w:hAnsi="Times New Roman" w:cs="Times New Roman"/>
          <w:color w:val="767171"/>
          <w:spacing w:val="20"/>
          <w:sz w:val="24"/>
          <w:szCs w:val="24"/>
        </w:rPr>
        <w:t xml:space="preserve">de readecuaciones físicas </w:t>
      </w:r>
      <w:r w:rsidR="009D52AB" w:rsidRPr="006A0747">
        <w:rPr>
          <w:rFonts w:ascii="Times New Roman" w:eastAsia="Calibri" w:hAnsi="Times New Roman" w:cs="Times New Roman"/>
          <w:color w:val="767171"/>
          <w:spacing w:val="20"/>
          <w:sz w:val="24"/>
          <w:szCs w:val="24"/>
        </w:rPr>
        <w:t>institucionales</w:t>
      </w:r>
      <w:r w:rsidR="00B303E4" w:rsidRPr="006A0747">
        <w:rPr>
          <w:rFonts w:ascii="Times New Roman" w:eastAsia="Calibri" w:hAnsi="Times New Roman" w:cs="Times New Roman"/>
          <w:color w:val="767171"/>
          <w:spacing w:val="20"/>
          <w:sz w:val="24"/>
          <w:szCs w:val="24"/>
        </w:rPr>
        <w:t>.</w:t>
      </w:r>
    </w:p>
    <w:p w14:paraId="43E156BB" w14:textId="77777777" w:rsidR="00B303E4" w:rsidRPr="006A0747" w:rsidRDefault="00B303E4" w:rsidP="00D20C88">
      <w:pPr>
        <w:spacing w:line="360" w:lineRule="auto"/>
        <w:jc w:val="both"/>
        <w:rPr>
          <w:rFonts w:ascii="Times New Roman" w:eastAsia="Calibri" w:hAnsi="Times New Roman" w:cs="Times New Roman"/>
          <w:b/>
          <w:color w:val="767171"/>
          <w:spacing w:val="20"/>
          <w:sz w:val="24"/>
          <w:szCs w:val="24"/>
        </w:rPr>
      </w:pPr>
    </w:p>
    <w:p w14:paraId="604760A6" w14:textId="77777777" w:rsidR="00D20C88" w:rsidRPr="006A0747" w:rsidRDefault="00D20C88" w:rsidP="00D20C88">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t>Prevención de Riesgos Laborales</w:t>
      </w:r>
      <w:r w:rsidRPr="006A0747">
        <w:rPr>
          <w:rFonts w:ascii="Times New Roman" w:eastAsia="Calibri" w:hAnsi="Times New Roman" w:cs="Times New Roman"/>
          <w:color w:val="767171"/>
          <w:spacing w:val="20"/>
          <w:sz w:val="24"/>
          <w:szCs w:val="24"/>
        </w:rPr>
        <w:t xml:space="preserve"> </w:t>
      </w:r>
    </w:p>
    <w:p w14:paraId="2D53ACCD" w14:textId="77777777" w:rsidR="00D20C88" w:rsidRPr="006A0747" w:rsidRDefault="00D20C88" w:rsidP="00D20C88">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En cuanto a la prevención de riesgos laborales, la institución ha logrado mantener la certificación sobre seguridad y prevención de riesgos laborales conforme al Reglamento 522-06 del Ministerio de Trabajo. Otros logros destacables al respecto son:</w:t>
      </w:r>
    </w:p>
    <w:p w14:paraId="7E190EE8" w14:textId="77777777" w:rsidR="00D20C88" w:rsidRPr="006A0747" w:rsidRDefault="00D20C88">
      <w:pPr>
        <w:numPr>
          <w:ilvl w:val="0"/>
          <w:numId w:val="3"/>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lastRenderedPageBreak/>
        <w:t xml:space="preserve">Creación del plan de emergencias de las dependencias de la Superintendencia de Bancos y actualización del plan de emergencias de la sede principal. </w:t>
      </w:r>
    </w:p>
    <w:p w14:paraId="06314488" w14:textId="77777777" w:rsidR="00D20C88" w:rsidRPr="006A0747" w:rsidRDefault="00D20C88">
      <w:pPr>
        <w:numPr>
          <w:ilvl w:val="0"/>
          <w:numId w:val="3"/>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Instalación de sistemas de supresión y detección de incendios en la sede principal y la oficina regional norte, en cumplimiento con el Reglamento R-032 de Seguridad y Protección contra incendios.</w:t>
      </w:r>
    </w:p>
    <w:p w14:paraId="0BCCB868" w14:textId="58D7BE23" w:rsidR="00016E71" w:rsidRPr="006A0747" w:rsidRDefault="00016E71">
      <w:pPr>
        <w:numPr>
          <w:ilvl w:val="0"/>
          <w:numId w:val="3"/>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Fortalecimiento de la documentación referente al Programa de Seguridad y Salud en el Trabajo de la Superintendencia de Bancos, dando cumplimiento a lo establecido en el Reglamento 522-06 de Seguridad y Salud en el Trabajo de la República Dominicana.</w:t>
      </w:r>
    </w:p>
    <w:p w14:paraId="1CA3DE02" w14:textId="77777777" w:rsidR="00FB0490" w:rsidRPr="006A0747" w:rsidRDefault="00FB0490" w:rsidP="001A2F16">
      <w:pPr>
        <w:spacing w:line="360" w:lineRule="auto"/>
        <w:jc w:val="both"/>
        <w:rPr>
          <w:rFonts w:ascii="Times New Roman" w:eastAsia="Calibri" w:hAnsi="Times New Roman" w:cs="Times New Roman"/>
          <w:color w:val="2E74B5" w:themeColor="accent5" w:themeShade="BF"/>
          <w:spacing w:val="20"/>
          <w:sz w:val="24"/>
          <w:szCs w:val="24"/>
        </w:rPr>
      </w:pPr>
    </w:p>
    <w:p w14:paraId="61A79D29" w14:textId="07D45CB4" w:rsidR="00642DCE" w:rsidRPr="006A0747" w:rsidRDefault="00642DCE" w:rsidP="00642DCE">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t xml:space="preserve">Relaciones </w:t>
      </w:r>
      <w:r w:rsidR="001C10FB" w:rsidRPr="006A0747">
        <w:rPr>
          <w:rFonts w:ascii="Times New Roman" w:eastAsia="Calibri" w:hAnsi="Times New Roman" w:cs="Times New Roman"/>
          <w:b/>
          <w:color w:val="767171"/>
          <w:spacing w:val="20"/>
          <w:sz w:val="24"/>
          <w:szCs w:val="24"/>
        </w:rPr>
        <w:t xml:space="preserve">Internacionales e </w:t>
      </w:r>
      <w:r w:rsidRPr="006A0747">
        <w:rPr>
          <w:rFonts w:ascii="Times New Roman" w:eastAsia="Calibri" w:hAnsi="Times New Roman" w:cs="Times New Roman"/>
          <w:b/>
          <w:color w:val="767171"/>
          <w:spacing w:val="20"/>
          <w:sz w:val="24"/>
          <w:szCs w:val="24"/>
        </w:rPr>
        <w:t>Interinstitucionales</w:t>
      </w:r>
    </w:p>
    <w:p w14:paraId="76451D29" w14:textId="216D0027" w:rsidR="00642DCE" w:rsidRPr="006A0747" w:rsidRDefault="007A7039" w:rsidP="00642DCE">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Como parte de </w:t>
      </w:r>
      <w:r w:rsidR="00E73142" w:rsidRPr="006A0747">
        <w:rPr>
          <w:rFonts w:ascii="Times New Roman" w:eastAsia="Calibri" w:hAnsi="Times New Roman" w:cs="Times New Roman"/>
          <w:color w:val="767171"/>
          <w:spacing w:val="20"/>
          <w:sz w:val="24"/>
          <w:szCs w:val="24"/>
        </w:rPr>
        <w:t>la</w:t>
      </w:r>
      <w:r w:rsidRPr="006A0747">
        <w:rPr>
          <w:rFonts w:ascii="Times New Roman" w:eastAsia="Calibri" w:hAnsi="Times New Roman" w:cs="Times New Roman"/>
          <w:color w:val="767171"/>
          <w:spacing w:val="20"/>
          <w:sz w:val="24"/>
          <w:szCs w:val="24"/>
        </w:rPr>
        <w:t xml:space="preserve"> estrategia </w:t>
      </w:r>
      <w:r w:rsidR="00DF7522" w:rsidRPr="006A0747">
        <w:rPr>
          <w:rFonts w:ascii="Times New Roman" w:eastAsia="Calibri" w:hAnsi="Times New Roman" w:cs="Times New Roman"/>
          <w:color w:val="767171"/>
          <w:spacing w:val="20"/>
          <w:sz w:val="24"/>
          <w:szCs w:val="24"/>
        </w:rPr>
        <w:t xml:space="preserve">de fortalecimiento institucional, </w:t>
      </w:r>
      <w:r w:rsidR="00CB141C" w:rsidRPr="006A0747">
        <w:rPr>
          <w:rFonts w:ascii="Times New Roman" w:eastAsia="Calibri" w:hAnsi="Times New Roman" w:cs="Times New Roman"/>
          <w:color w:val="767171"/>
          <w:spacing w:val="20"/>
          <w:sz w:val="24"/>
          <w:szCs w:val="24"/>
        </w:rPr>
        <w:t>l</w:t>
      </w:r>
      <w:r w:rsidR="00642DCE" w:rsidRPr="006A0747">
        <w:rPr>
          <w:rFonts w:ascii="Times New Roman" w:eastAsia="Calibri" w:hAnsi="Times New Roman" w:cs="Times New Roman"/>
          <w:color w:val="767171"/>
          <w:spacing w:val="20"/>
          <w:sz w:val="24"/>
          <w:szCs w:val="24"/>
        </w:rPr>
        <w:t xml:space="preserve">a SB </w:t>
      </w:r>
      <w:r w:rsidR="002B4CD5" w:rsidRPr="006A0747">
        <w:rPr>
          <w:rFonts w:ascii="Times New Roman" w:eastAsia="Calibri" w:hAnsi="Times New Roman" w:cs="Times New Roman"/>
          <w:color w:val="767171"/>
          <w:spacing w:val="20"/>
          <w:sz w:val="24"/>
          <w:szCs w:val="24"/>
        </w:rPr>
        <w:t xml:space="preserve">llevó a cabo </w:t>
      </w:r>
      <w:r w:rsidR="00A607BA" w:rsidRPr="006A0747">
        <w:rPr>
          <w:rFonts w:ascii="Times New Roman" w:eastAsia="Calibri" w:hAnsi="Times New Roman" w:cs="Times New Roman"/>
          <w:color w:val="767171"/>
          <w:spacing w:val="20"/>
          <w:sz w:val="24"/>
          <w:szCs w:val="24"/>
        </w:rPr>
        <w:t>iniciativas para fortalecer</w:t>
      </w:r>
      <w:r w:rsidR="00642DCE" w:rsidRPr="006A0747">
        <w:rPr>
          <w:rFonts w:ascii="Times New Roman" w:eastAsia="Calibri" w:hAnsi="Times New Roman" w:cs="Times New Roman"/>
          <w:color w:val="767171"/>
          <w:spacing w:val="20"/>
          <w:sz w:val="24"/>
          <w:szCs w:val="24"/>
        </w:rPr>
        <w:t xml:space="preserve"> sus relaciones con instituciones </w:t>
      </w:r>
      <w:r w:rsidR="00A607BA" w:rsidRPr="006A0747">
        <w:rPr>
          <w:rFonts w:ascii="Times New Roman" w:eastAsia="Calibri" w:hAnsi="Times New Roman" w:cs="Times New Roman"/>
          <w:color w:val="767171"/>
          <w:spacing w:val="20"/>
          <w:sz w:val="24"/>
          <w:szCs w:val="24"/>
        </w:rPr>
        <w:t>nacionales y</w:t>
      </w:r>
      <w:r w:rsidR="00642DCE" w:rsidRPr="006A0747">
        <w:rPr>
          <w:rFonts w:ascii="Times New Roman" w:eastAsia="Calibri" w:hAnsi="Times New Roman" w:cs="Times New Roman"/>
          <w:color w:val="767171"/>
          <w:spacing w:val="20"/>
          <w:sz w:val="24"/>
          <w:szCs w:val="24"/>
        </w:rPr>
        <w:t xml:space="preserve"> homólogas de la región, estrechando lazos de colaboración </w:t>
      </w:r>
      <w:r w:rsidR="00304E59" w:rsidRPr="006A0747">
        <w:rPr>
          <w:rFonts w:ascii="Times New Roman" w:eastAsia="Calibri" w:hAnsi="Times New Roman" w:cs="Times New Roman"/>
          <w:color w:val="767171"/>
          <w:spacing w:val="20"/>
          <w:sz w:val="24"/>
          <w:szCs w:val="24"/>
        </w:rPr>
        <w:t>e impulsando</w:t>
      </w:r>
      <w:r w:rsidR="00642DCE" w:rsidRPr="006A0747">
        <w:rPr>
          <w:rFonts w:ascii="Times New Roman" w:eastAsia="Calibri" w:hAnsi="Times New Roman" w:cs="Times New Roman"/>
          <w:color w:val="767171"/>
          <w:spacing w:val="20"/>
          <w:sz w:val="24"/>
          <w:szCs w:val="24"/>
        </w:rPr>
        <w:t xml:space="preserve"> una agenda de desarrollo común </w:t>
      </w:r>
      <w:r w:rsidR="007F42F4" w:rsidRPr="006A0747">
        <w:rPr>
          <w:rFonts w:ascii="Times New Roman" w:eastAsia="Calibri" w:hAnsi="Times New Roman" w:cs="Times New Roman"/>
          <w:color w:val="767171"/>
          <w:spacing w:val="20"/>
          <w:sz w:val="24"/>
          <w:szCs w:val="24"/>
        </w:rPr>
        <w:t xml:space="preserve">de </w:t>
      </w:r>
      <w:r w:rsidR="00D20C88" w:rsidRPr="006A0747">
        <w:rPr>
          <w:rFonts w:ascii="Times New Roman" w:eastAsia="Calibri" w:hAnsi="Times New Roman" w:cs="Times New Roman"/>
          <w:color w:val="767171"/>
          <w:spacing w:val="20"/>
          <w:sz w:val="24"/>
          <w:szCs w:val="24"/>
        </w:rPr>
        <w:t>fortalec</w:t>
      </w:r>
      <w:r w:rsidR="007F42F4" w:rsidRPr="006A0747">
        <w:rPr>
          <w:rFonts w:ascii="Times New Roman" w:eastAsia="Calibri" w:hAnsi="Times New Roman" w:cs="Times New Roman"/>
          <w:color w:val="767171"/>
          <w:spacing w:val="20"/>
          <w:sz w:val="24"/>
          <w:szCs w:val="24"/>
        </w:rPr>
        <w:t>imiento de</w:t>
      </w:r>
      <w:r w:rsidR="00D20C88" w:rsidRPr="006A0747">
        <w:rPr>
          <w:rFonts w:ascii="Times New Roman" w:eastAsia="Calibri" w:hAnsi="Times New Roman" w:cs="Times New Roman"/>
          <w:color w:val="767171"/>
          <w:spacing w:val="20"/>
          <w:sz w:val="24"/>
          <w:szCs w:val="24"/>
        </w:rPr>
        <w:t xml:space="preserve"> </w:t>
      </w:r>
      <w:r w:rsidR="00642DCE" w:rsidRPr="006A0747">
        <w:rPr>
          <w:rFonts w:ascii="Times New Roman" w:eastAsia="Calibri" w:hAnsi="Times New Roman" w:cs="Times New Roman"/>
          <w:color w:val="767171"/>
          <w:spacing w:val="20"/>
          <w:sz w:val="24"/>
          <w:szCs w:val="24"/>
        </w:rPr>
        <w:t>capacidades técnicas y</w:t>
      </w:r>
      <w:r w:rsidR="00D20C88" w:rsidRPr="006A0747">
        <w:rPr>
          <w:rFonts w:ascii="Times New Roman" w:eastAsia="Calibri" w:hAnsi="Times New Roman" w:cs="Times New Roman"/>
          <w:color w:val="767171"/>
          <w:spacing w:val="20"/>
          <w:sz w:val="24"/>
          <w:szCs w:val="24"/>
        </w:rPr>
        <w:t xml:space="preserve"> </w:t>
      </w:r>
      <w:r w:rsidR="007F42F4" w:rsidRPr="006A0747">
        <w:rPr>
          <w:rFonts w:ascii="Times New Roman" w:eastAsia="Calibri" w:hAnsi="Times New Roman" w:cs="Times New Roman"/>
          <w:color w:val="767171"/>
          <w:spacing w:val="20"/>
          <w:sz w:val="24"/>
          <w:szCs w:val="24"/>
        </w:rPr>
        <w:t>promoción</w:t>
      </w:r>
      <w:r w:rsidR="00B3696B" w:rsidRPr="006A0747">
        <w:rPr>
          <w:rFonts w:ascii="Times New Roman" w:eastAsia="Calibri" w:hAnsi="Times New Roman" w:cs="Times New Roman"/>
          <w:color w:val="767171"/>
          <w:spacing w:val="20"/>
          <w:sz w:val="24"/>
          <w:szCs w:val="24"/>
        </w:rPr>
        <w:t xml:space="preserve"> de</w:t>
      </w:r>
      <w:r w:rsidR="00642DCE" w:rsidRPr="006A0747">
        <w:rPr>
          <w:rFonts w:ascii="Times New Roman" w:eastAsia="Calibri" w:hAnsi="Times New Roman" w:cs="Times New Roman"/>
          <w:color w:val="767171"/>
          <w:spacing w:val="20"/>
          <w:sz w:val="24"/>
          <w:szCs w:val="24"/>
        </w:rPr>
        <w:t xml:space="preserve"> buenas prácticas </w:t>
      </w:r>
      <w:r w:rsidR="004C4551" w:rsidRPr="006A0747">
        <w:rPr>
          <w:rFonts w:ascii="Times New Roman" w:eastAsia="Calibri" w:hAnsi="Times New Roman" w:cs="Times New Roman"/>
          <w:color w:val="767171"/>
          <w:spacing w:val="20"/>
          <w:sz w:val="24"/>
          <w:szCs w:val="24"/>
        </w:rPr>
        <w:t>de</w:t>
      </w:r>
      <w:r w:rsidR="00642DCE" w:rsidRPr="006A0747">
        <w:rPr>
          <w:rFonts w:ascii="Times New Roman" w:eastAsia="Calibri" w:hAnsi="Times New Roman" w:cs="Times New Roman"/>
          <w:color w:val="767171"/>
          <w:spacing w:val="20"/>
          <w:sz w:val="24"/>
          <w:szCs w:val="24"/>
        </w:rPr>
        <w:t xml:space="preserve"> supervisión bancaria. </w:t>
      </w:r>
    </w:p>
    <w:p w14:paraId="547CA3FB" w14:textId="7451EAB1" w:rsidR="00642DCE" w:rsidRPr="006A0747" w:rsidRDefault="00642DCE" w:rsidP="00642DCE">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Durante el </w:t>
      </w:r>
      <w:r w:rsidR="00C13042" w:rsidRPr="006A0747">
        <w:rPr>
          <w:rFonts w:ascii="Times New Roman" w:eastAsia="Calibri" w:hAnsi="Times New Roman" w:cs="Times New Roman"/>
          <w:color w:val="767171"/>
          <w:spacing w:val="20"/>
          <w:sz w:val="24"/>
          <w:szCs w:val="24"/>
        </w:rPr>
        <w:t>año</w:t>
      </w:r>
      <w:r w:rsidR="00D20C88" w:rsidRPr="006A0747">
        <w:rPr>
          <w:rFonts w:ascii="Times New Roman" w:eastAsia="Calibri" w:hAnsi="Times New Roman" w:cs="Times New Roman"/>
          <w:color w:val="767171"/>
          <w:spacing w:val="20"/>
          <w:sz w:val="24"/>
          <w:szCs w:val="24"/>
        </w:rPr>
        <w:t xml:space="preserve"> </w:t>
      </w:r>
      <w:r w:rsidRPr="006A0747">
        <w:rPr>
          <w:rFonts w:ascii="Times New Roman" w:eastAsia="Calibri" w:hAnsi="Times New Roman" w:cs="Times New Roman"/>
          <w:color w:val="767171"/>
          <w:spacing w:val="20"/>
          <w:sz w:val="24"/>
          <w:szCs w:val="24"/>
        </w:rPr>
        <w:t xml:space="preserve">2024, la SB </w:t>
      </w:r>
      <w:r w:rsidR="00D20C88" w:rsidRPr="006A0747">
        <w:rPr>
          <w:rFonts w:ascii="Times New Roman" w:eastAsia="Calibri" w:hAnsi="Times New Roman" w:cs="Times New Roman"/>
          <w:color w:val="767171"/>
          <w:spacing w:val="20"/>
          <w:sz w:val="24"/>
          <w:szCs w:val="24"/>
        </w:rPr>
        <w:t xml:space="preserve">fue anfitrión de </w:t>
      </w:r>
      <w:r w:rsidRPr="006A0747">
        <w:rPr>
          <w:rFonts w:ascii="Times New Roman" w:eastAsia="Calibri" w:hAnsi="Times New Roman" w:cs="Times New Roman"/>
          <w:color w:val="767171"/>
          <w:spacing w:val="20"/>
          <w:sz w:val="24"/>
          <w:szCs w:val="24"/>
        </w:rPr>
        <w:t xml:space="preserve">comités y </w:t>
      </w:r>
      <w:r w:rsidR="00D20C88" w:rsidRPr="006A0747">
        <w:rPr>
          <w:rFonts w:ascii="Times New Roman" w:eastAsia="Calibri" w:hAnsi="Times New Roman" w:cs="Times New Roman"/>
          <w:color w:val="767171"/>
          <w:spacing w:val="20"/>
          <w:sz w:val="24"/>
          <w:szCs w:val="24"/>
        </w:rPr>
        <w:t>reuniones de alto nivel con</w:t>
      </w:r>
      <w:r w:rsidRPr="006A0747">
        <w:rPr>
          <w:rFonts w:ascii="Times New Roman" w:eastAsia="Calibri" w:hAnsi="Times New Roman" w:cs="Times New Roman"/>
          <w:color w:val="767171"/>
          <w:spacing w:val="20"/>
          <w:sz w:val="24"/>
          <w:szCs w:val="24"/>
        </w:rPr>
        <w:t xml:space="preserve"> organismos multilaterales </w:t>
      </w:r>
      <w:r w:rsidR="00534D8D" w:rsidRPr="006A0747">
        <w:rPr>
          <w:rFonts w:ascii="Times New Roman" w:eastAsia="Calibri" w:hAnsi="Times New Roman" w:cs="Times New Roman"/>
          <w:color w:val="767171"/>
          <w:spacing w:val="20"/>
          <w:sz w:val="24"/>
          <w:szCs w:val="24"/>
        </w:rPr>
        <w:t>que se detallan a continuación</w:t>
      </w:r>
      <w:r w:rsidRPr="006A0747">
        <w:rPr>
          <w:rFonts w:ascii="Times New Roman" w:eastAsia="Calibri" w:hAnsi="Times New Roman" w:cs="Times New Roman"/>
          <w:color w:val="767171"/>
          <w:spacing w:val="20"/>
          <w:sz w:val="24"/>
          <w:szCs w:val="24"/>
        </w:rPr>
        <w:t>:</w:t>
      </w:r>
    </w:p>
    <w:p w14:paraId="7C2B664D" w14:textId="58DC7C9E" w:rsidR="00D20C88" w:rsidRPr="006A0747" w:rsidRDefault="00D20C88">
      <w:pPr>
        <w:pStyle w:val="Prrafodelista"/>
        <w:numPr>
          <w:ilvl w:val="0"/>
          <w:numId w:val="5"/>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Comité de Prevención de Lavado de Activos y Financiamiento del Terrorismo, 7 y 8 de marzo del 2024, realizado en la Ciudad de Santo Domingo. Este contó con la participación de superintendencias de 8 países pertenecientes al </w:t>
      </w:r>
      <w:r w:rsidR="00435824" w:rsidRPr="006A0747">
        <w:rPr>
          <w:rFonts w:ascii="Times New Roman" w:eastAsia="Calibri" w:hAnsi="Times New Roman" w:cs="Times New Roman"/>
          <w:color w:val="767171"/>
          <w:spacing w:val="20"/>
          <w:sz w:val="24"/>
          <w:szCs w:val="24"/>
        </w:rPr>
        <w:t xml:space="preserve">Consejo Centroamericano de Superintendentes de Bancos, de Seguros y </w:t>
      </w:r>
      <w:r w:rsidR="00435824" w:rsidRPr="006A0747">
        <w:rPr>
          <w:rFonts w:ascii="Times New Roman" w:eastAsia="Calibri" w:hAnsi="Times New Roman" w:cs="Times New Roman"/>
          <w:color w:val="767171"/>
          <w:spacing w:val="20"/>
          <w:sz w:val="24"/>
          <w:szCs w:val="24"/>
        </w:rPr>
        <w:lastRenderedPageBreak/>
        <w:t>otras Instituciones Financieras (CCSBSO)</w:t>
      </w:r>
      <w:r w:rsidRPr="006A0747">
        <w:rPr>
          <w:rFonts w:ascii="Times New Roman" w:eastAsia="Calibri" w:hAnsi="Times New Roman" w:cs="Times New Roman"/>
          <w:color w:val="767171"/>
          <w:spacing w:val="20"/>
          <w:sz w:val="24"/>
          <w:szCs w:val="24"/>
        </w:rPr>
        <w:t xml:space="preserve">. Entre los temas que se discutieron se destacan: </w:t>
      </w:r>
    </w:p>
    <w:p w14:paraId="280083DF" w14:textId="77777777" w:rsidR="00D20C88" w:rsidRPr="006A0747" w:rsidRDefault="00D20C88">
      <w:pPr>
        <w:pStyle w:val="Prrafodelista"/>
        <w:numPr>
          <w:ilvl w:val="1"/>
          <w:numId w:val="5"/>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Avances sobre la Iniciativa 05-01 “Adecuar la normativa de la región a estándares internacionales en cuanto a la administración del Riesgo de LA/FT/FPADM.”</w:t>
      </w:r>
    </w:p>
    <w:p w14:paraId="36CFCB11" w14:textId="77777777" w:rsidR="00D20C88" w:rsidRPr="006A0747" w:rsidRDefault="00D20C88">
      <w:pPr>
        <w:pStyle w:val="Prrafodelista"/>
        <w:numPr>
          <w:ilvl w:val="1"/>
          <w:numId w:val="5"/>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Planeación Iniciativa 05-02 “Medición y monitoreo del riesgo residual de LA/FT/FPADM del sector bancario en la región” y Planeación Iniciativa 05-03 “Promover la mitigación del Riesgo de LA/FT/FPADM identificado a nivel regional”</w:t>
      </w:r>
    </w:p>
    <w:p w14:paraId="5CAE28D6" w14:textId="77777777" w:rsidR="00D20C88" w:rsidRPr="006A0747" w:rsidRDefault="00D20C88">
      <w:pPr>
        <w:pStyle w:val="Prrafodelista"/>
        <w:numPr>
          <w:ilvl w:val="1"/>
          <w:numId w:val="5"/>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Diseño e implementación de indicadores para el monitoreo y vigilancia continua de las entidades supervisadas</w:t>
      </w:r>
    </w:p>
    <w:p w14:paraId="20617588" w14:textId="77777777" w:rsidR="00D20C88" w:rsidRPr="006A0747" w:rsidRDefault="00D20C88">
      <w:pPr>
        <w:pStyle w:val="Prrafodelista"/>
        <w:numPr>
          <w:ilvl w:val="1"/>
          <w:numId w:val="5"/>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Proceso de automatización para el intercambio de información entre autoridades competentes y las entidades supervisadas</w:t>
      </w:r>
    </w:p>
    <w:p w14:paraId="1A8BB1A9" w14:textId="68824E92" w:rsidR="00D20C88" w:rsidRPr="006A0747" w:rsidRDefault="00D20C88">
      <w:pPr>
        <w:pStyle w:val="Prrafodelista"/>
        <w:numPr>
          <w:ilvl w:val="1"/>
          <w:numId w:val="5"/>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Foro de discusión sobre Activos Virtuales y Personas Jurídicas que ejercen actividades de intercambio o Exchange entre Criptoactivos y moneda de curso legal (PSAV).</w:t>
      </w:r>
    </w:p>
    <w:p w14:paraId="4CABB836" w14:textId="1360B918" w:rsidR="00642DCE" w:rsidRPr="006A0747" w:rsidRDefault="00642DCE">
      <w:pPr>
        <w:pStyle w:val="Prrafodelista"/>
        <w:numPr>
          <w:ilvl w:val="0"/>
          <w:numId w:val="5"/>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Encuentro conjunto con la Asociación de Supervisores Bancarios de las Américas (ASBA) y </w:t>
      </w:r>
      <w:r w:rsidR="00435824" w:rsidRPr="006A0747">
        <w:rPr>
          <w:rFonts w:ascii="Times New Roman" w:eastAsia="Calibri" w:hAnsi="Times New Roman" w:cs="Times New Roman"/>
          <w:color w:val="767171"/>
          <w:spacing w:val="20"/>
          <w:sz w:val="24"/>
          <w:szCs w:val="24"/>
        </w:rPr>
        <w:t xml:space="preserve">CCSBSO </w:t>
      </w:r>
      <w:r w:rsidRPr="006A0747">
        <w:rPr>
          <w:rFonts w:ascii="Times New Roman" w:eastAsia="Calibri" w:hAnsi="Times New Roman" w:cs="Times New Roman"/>
          <w:color w:val="767171"/>
          <w:spacing w:val="20"/>
          <w:sz w:val="24"/>
          <w:szCs w:val="24"/>
        </w:rPr>
        <w:t>celebrado del 16 al 18 de abril en Punta Cana en donde participaron representantes de supervisión financiera de 37 países; con el objetivo de fortalecer y actualizar las prácticas de regulación y supervisión de riesgos financieros, basándose en estándares internacionales y experiencias compartidas entre los países.</w:t>
      </w:r>
    </w:p>
    <w:p w14:paraId="72C6DC43" w14:textId="39D2EE14" w:rsidR="00642DCE" w:rsidRPr="006A0747" w:rsidRDefault="00642DCE">
      <w:pPr>
        <w:pStyle w:val="Prrafodelista"/>
        <w:numPr>
          <w:ilvl w:val="0"/>
          <w:numId w:val="5"/>
        </w:numPr>
        <w:spacing w:line="360" w:lineRule="auto"/>
        <w:jc w:val="both"/>
        <w:rPr>
          <w:rFonts w:ascii="Times New Roman" w:eastAsia="Calibri" w:hAnsi="Times New Roman" w:cs="Times New Roman"/>
          <w:color w:val="2E74B5" w:themeColor="accent5" w:themeShade="BF"/>
          <w:spacing w:val="20"/>
          <w:sz w:val="24"/>
          <w:szCs w:val="24"/>
        </w:rPr>
      </w:pPr>
      <w:r w:rsidRPr="006A0747">
        <w:rPr>
          <w:rFonts w:ascii="Times New Roman" w:eastAsia="Calibri" w:hAnsi="Times New Roman" w:cs="Times New Roman"/>
          <w:color w:val="767171"/>
          <w:spacing w:val="20"/>
          <w:sz w:val="24"/>
          <w:szCs w:val="24"/>
        </w:rPr>
        <w:t>Curso</w:t>
      </w:r>
      <w:r w:rsidR="00435824" w:rsidRPr="006A0747">
        <w:rPr>
          <w:rFonts w:ascii="Times New Roman" w:eastAsia="Calibri" w:hAnsi="Times New Roman" w:cs="Times New Roman"/>
          <w:color w:val="767171"/>
          <w:spacing w:val="20"/>
          <w:sz w:val="24"/>
          <w:szCs w:val="24"/>
        </w:rPr>
        <w:t xml:space="preserve"> internacional</w:t>
      </w:r>
      <w:r w:rsidRPr="006A0747">
        <w:rPr>
          <w:rFonts w:ascii="Times New Roman" w:eastAsia="Calibri" w:hAnsi="Times New Roman" w:cs="Times New Roman"/>
          <w:color w:val="767171"/>
          <w:spacing w:val="20"/>
          <w:sz w:val="24"/>
          <w:szCs w:val="24"/>
        </w:rPr>
        <w:t xml:space="preserve"> Supervisión Consolidada e Integración de Riesgos </w:t>
      </w:r>
      <w:r w:rsidR="00435824" w:rsidRPr="006A0747">
        <w:rPr>
          <w:rFonts w:ascii="Times New Roman" w:eastAsia="Calibri" w:hAnsi="Times New Roman" w:cs="Times New Roman"/>
          <w:color w:val="767171"/>
          <w:spacing w:val="20"/>
          <w:sz w:val="24"/>
          <w:szCs w:val="24"/>
        </w:rPr>
        <w:t xml:space="preserve">junto con </w:t>
      </w:r>
      <w:r w:rsidRPr="006A0747">
        <w:rPr>
          <w:rFonts w:ascii="Times New Roman" w:eastAsia="Calibri" w:hAnsi="Times New Roman" w:cs="Times New Roman"/>
          <w:color w:val="767171"/>
          <w:spacing w:val="20"/>
          <w:sz w:val="24"/>
          <w:szCs w:val="24"/>
        </w:rPr>
        <w:t>la ASBA, y la Reserva Federal</w:t>
      </w:r>
      <w:r w:rsidR="00435824" w:rsidRPr="006A0747">
        <w:rPr>
          <w:rFonts w:ascii="Times New Roman" w:eastAsia="Calibri" w:hAnsi="Times New Roman" w:cs="Times New Roman"/>
          <w:color w:val="767171"/>
          <w:spacing w:val="20"/>
          <w:sz w:val="24"/>
          <w:szCs w:val="24"/>
        </w:rPr>
        <w:t xml:space="preserve"> de los </w:t>
      </w:r>
      <w:proofErr w:type="gramStart"/>
      <w:r w:rsidR="00435824" w:rsidRPr="006A0747">
        <w:rPr>
          <w:rFonts w:ascii="Times New Roman" w:eastAsia="Calibri" w:hAnsi="Times New Roman" w:cs="Times New Roman"/>
          <w:color w:val="767171"/>
          <w:spacing w:val="20"/>
          <w:sz w:val="24"/>
          <w:szCs w:val="24"/>
        </w:rPr>
        <w:t>EEUU</w:t>
      </w:r>
      <w:proofErr w:type="gramEnd"/>
      <w:r w:rsidR="009E4900" w:rsidRPr="006A0747">
        <w:rPr>
          <w:rFonts w:ascii="Times New Roman" w:eastAsia="Calibri" w:hAnsi="Times New Roman" w:cs="Times New Roman"/>
          <w:color w:val="767171"/>
          <w:spacing w:val="20"/>
          <w:sz w:val="24"/>
          <w:szCs w:val="24"/>
        </w:rPr>
        <w:t>,</w:t>
      </w:r>
      <w:r w:rsidR="00435824" w:rsidRPr="006A0747">
        <w:rPr>
          <w:rFonts w:ascii="Times New Roman" w:eastAsia="Calibri" w:hAnsi="Times New Roman" w:cs="Times New Roman"/>
          <w:color w:val="767171"/>
          <w:spacing w:val="20"/>
          <w:sz w:val="24"/>
          <w:szCs w:val="24"/>
        </w:rPr>
        <w:t xml:space="preserve"> </w:t>
      </w:r>
      <w:r w:rsidRPr="006A0747">
        <w:rPr>
          <w:rFonts w:ascii="Times New Roman" w:eastAsia="Calibri" w:hAnsi="Times New Roman" w:cs="Times New Roman"/>
          <w:color w:val="767171"/>
          <w:spacing w:val="20"/>
          <w:sz w:val="24"/>
          <w:szCs w:val="24"/>
        </w:rPr>
        <w:t xml:space="preserve">desarrollado del 17 al 20 de junio en la </w:t>
      </w:r>
      <w:r w:rsidR="009E4900" w:rsidRPr="006A0747">
        <w:rPr>
          <w:rFonts w:ascii="Times New Roman" w:eastAsia="Calibri" w:hAnsi="Times New Roman" w:cs="Times New Roman"/>
          <w:color w:val="767171"/>
          <w:spacing w:val="20"/>
          <w:sz w:val="24"/>
          <w:szCs w:val="24"/>
        </w:rPr>
        <w:t>c</w:t>
      </w:r>
      <w:r w:rsidRPr="006A0747">
        <w:rPr>
          <w:rFonts w:ascii="Times New Roman" w:eastAsia="Calibri" w:hAnsi="Times New Roman" w:cs="Times New Roman"/>
          <w:color w:val="767171"/>
          <w:spacing w:val="20"/>
          <w:sz w:val="24"/>
          <w:szCs w:val="24"/>
        </w:rPr>
        <w:t xml:space="preserve">iudad de Santo </w:t>
      </w:r>
      <w:r w:rsidRPr="006A0747">
        <w:rPr>
          <w:rFonts w:ascii="Times New Roman" w:eastAsia="Calibri" w:hAnsi="Times New Roman" w:cs="Times New Roman"/>
          <w:color w:val="767171"/>
          <w:spacing w:val="20"/>
          <w:sz w:val="24"/>
          <w:szCs w:val="24"/>
        </w:rPr>
        <w:lastRenderedPageBreak/>
        <w:t>Domingo</w:t>
      </w:r>
      <w:r w:rsidR="00CA7E71" w:rsidRPr="006A0747">
        <w:rPr>
          <w:rFonts w:ascii="Times New Roman" w:eastAsia="Calibri" w:hAnsi="Times New Roman" w:cs="Times New Roman"/>
          <w:color w:val="767171"/>
          <w:spacing w:val="20"/>
          <w:sz w:val="24"/>
          <w:szCs w:val="24"/>
        </w:rPr>
        <w:t>.</w:t>
      </w:r>
      <w:r w:rsidRPr="006A0747">
        <w:rPr>
          <w:rFonts w:ascii="Times New Roman" w:eastAsia="Calibri" w:hAnsi="Times New Roman" w:cs="Times New Roman"/>
          <w:color w:val="767171"/>
          <w:spacing w:val="20"/>
          <w:sz w:val="24"/>
          <w:szCs w:val="24"/>
        </w:rPr>
        <w:t xml:space="preserve"> </w:t>
      </w:r>
      <w:r w:rsidR="00CA7E71" w:rsidRPr="006A0747">
        <w:rPr>
          <w:rFonts w:ascii="Times New Roman" w:eastAsia="Calibri" w:hAnsi="Times New Roman" w:cs="Times New Roman"/>
          <w:color w:val="767171"/>
          <w:spacing w:val="20"/>
          <w:sz w:val="24"/>
          <w:szCs w:val="24"/>
        </w:rPr>
        <w:t>C</w:t>
      </w:r>
      <w:r w:rsidRPr="006A0747">
        <w:rPr>
          <w:rFonts w:ascii="Times New Roman" w:eastAsia="Calibri" w:hAnsi="Times New Roman" w:cs="Times New Roman"/>
          <w:color w:val="767171"/>
          <w:spacing w:val="20"/>
          <w:sz w:val="24"/>
          <w:szCs w:val="24"/>
        </w:rPr>
        <w:t>ont</w:t>
      </w:r>
      <w:r w:rsidR="006B04E9" w:rsidRPr="006A0747">
        <w:rPr>
          <w:rFonts w:ascii="Times New Roman" w:eastAsia="Calibri" w:hAnsi="Times New Roman" w:cs="Times New Roman"/>
          <w:color w:val="767171"/>
          <w:spacing w:val="20"/>
          <w:sz w:val="24"/>
          <w:szCs w:val="24"/>
        </w:rPr>
        <w:t>ó</w:t>
      </w:r>
      <w:r w:rsidRPr="006A0747">
        <w:rPr>
          <w:rFonts w:ascii="Times New Roman" w:eastAsia="Calibri" w:hAnsi="Times New Roman" w:cs="Times New Roman"/>
          <w:color w:val="767171"/>
          <w:spacing w:val="20"/>
          <w:sz w:val="24"/>
          <w:szCs w:val="24"/>
        </w:rPr>
        <w:t xml:space="preserve"> con </w:t>
      </w:r>
      <w:r w:rsidR="002D7843" w:rsidRPr="006A0747">
        <w:rPr>
          <w:rFonts w:ascii="Times New Roman" w:eastAsia="Calibri" w:hAnsi="Times New Roman" w:cs="Times New Roman"/>
          <w:color w:val="767171"/>
          <w:spacing w:val="20"/>
          <w:sz w:val="24"/>
          <w:szCs w:val="24"/>
        </w:rPr>
        <w:t xml:space="preserve">la </w:t>
      </w:r>
      <w:r w:rsidRPr="006A0747">
        <w:rPr>
          <w:rFonts w:ascii="Times New Roman" w:eastAsia="Calibri" w:hAnsi="Times New Roman" w:cs="Times New Roman"/>
          <w:color w:val="767171"/>
          <w:spacing w:val="20"/>
          <w:sz w:val="24"/>
          <w:szCs w:val="24"/>
        </w:rPr>
        <w:t xml:space="preserve">representación de 11 países, </w:t>
      </w:r>
      <w:r w:rsidR="00955F05" w:rsidRPr="006A0747">
        <w:rPr>
          <w:rFonts w:ascii="Times New Roman" w:eastAsia="Calibri" w:hAnsi="Times New Roman" w:cs="Times New Roman"/>
          <w:color w:val="767171"/>
          <w:spacing w:val="20"/>
          <w:sz w:val="24"/>
          <w:szCs w:val="24"/>
        </w:rPr>
        <w:t>de</w:t>
      </w:r>
      <w:r w:rsidRPr="006A0747">
        <w:rPr>
          <w:rFonts w:ascii="Times New Roman" w:eastAsia="Calibri" w:hAnsi="Times New Roman" w:cs="Times New Roman"/>
          <w:color w:val="767171"/>
          <w:spacing w:val="20"/>
          <w:sz w:val="24"/>
          <w:szCs w:val="24"/>
        </w:rPr>
        <w:t xml:space="preserve"> </w:t>
      </w:r>
      <w:r w:rsidR="002D7843" w:rsidRPr="006A0747">
        <w:rPr>
          <w:rFonts w:ascii="Times New Roman" w:eastAsia="Calibri" w:hAnsi="Times New Roman" w:cs="Times New Roman"/>
          <w:color w:val="767171"/>
          <w:spacing w:val="20"/>
          <w:sz w:val="24"/>
          <w:szCs w:val="24"/>
        </w:rPr>
        <w:t>las</w:t>
      </w:r>
      <w:r w:rsidRPr="006A0747">
        <w:rPr>
          <w:rFonts w:ascii="Times New Roman" w:eastAsia="Calibri" w:hAnsi="Times New Roman" w:cs="Times New Roman"/>
          <w:color w:val="767171"/>
          <w:spacing w:val="20"/>
          <w:sz w:val="24"/>
          <w:szCs w:val="24"/>
        </w:rPr>
        <w:t xml:space="preserve"> Superintendencia</w:t>
      </w:r>
      <w:r w:rsidR="00E84307" w:rsidRPr="006A0747">
        <w:rPr>
          <w:rFonts w:ascii="Times New Roman" w:eastAsia="Calibri" w:hAnsi="Times New Roman" w:cs="Times New Roman"/>
          <w:color w:val="767171"/>
          <w:spacing w:val="20"/>
          <w:sz w:val="24"/>
          <w:szCs w:val="24"/>
        </w:rPr>
        <w:t>s</w:t>
      </w:r>
      <w:r w:rsidRPr="006A0747">
        <w:rPr>
          <w:rFonts w:ascii="Times New Roman" w:eastAsia="Calibri" w:hAnsi="Times New Roman" w:cs="Times New Roman"/>
          <w:color w:val="767171"/>
          <w:spacing w:val="20"/>
          <w:sz w:val="24"/>
          <w:szCs w:val="24"/>
        </w:rPr>
        <w:t xml:space="preserve"> de Pensiones, del Mercado de Valores, de Seguros y </w:t>
      </w:r>
      <w:r w:rsidR="00B77C7A" w:rsidRPr="006A0747">
        <w:rPr>
          <w:rFonts w:ascii="Times New Roman" w:eastAsia="Calibri" w:hAnsi="Times New Roman" w:cs="Times New Roman"/>
          <w:color w:val="767171"/>
          <w:spacing w:val="20"/>
          <w:sz w:val="24"/>
          <w:szCs w:val="24"/>
        </w:rPr>
        <w:t>d</w:t>
      </w:r>
      <w:r w:rsidRPr="006A0747">
        <w:rPr>
          <w:rFonts w:ascii="Times New Roman" w:eastAsia="Calibri" w:hAnsi="Times New Roman" w:cs="Times New Roman"/>
          <w:color w:val="767171"/>
          <w:spacing w:val="20"/>
          <w:sz w:val="24"/>
          <w:szCs w:val="24"/>
        </w:rPr>
        <w:t>el Banco Central.</w:t>
      </w:r>
    </w:p>
    <w:p w14:paraId="4EF52538" w14:textId="3B86E0F4" w:rsidR="00F259E2" w:rsidRPr="006A0747" w:rsidRDefault="00B95F3D" w:rsidP="00F259E2">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Por otro lado, la</w:t>
      </w:r>
      <w:r w:rsidR="00B850BB" w:rsidRPr="006A0747">
        <w:rPr>
          <w:rFonts w:ascii="Times New Roman" w:eastAsia="Calibri" w:hAnsi="Times New Roman" w:cs="Times New Roman"/>
          <w:color w:val="767171"/>
          <w:spacing w:val="20"/>
          <w:sz w:val="24"/>
          <w:szCs w:val="24"/>
        </w:rPr>
        <w:t xml:space="preserve"> institución se adhirió como miembro de la Organización Internacional de Protección al Consumidor Financiero (</w:t>
      </w:r>
      <w:proofErr w:type="spellStart"/>
      <w:r w:rsidR="00B850BB" w:rsidRPr="006A0747">
        <w:rPr>
          <w:rFonts w:ascii="Times New Roman" w:eastAsia="Calibri" w:hAnsi="Times New Roman" w:cs="Times New Roman"/>
          <w:color w:val="767171"/>
          <w:spacing w:val="20"/>
          <w:sz w:val="24"/>
          <w:szCs w:val="24"/>
        </w:rPr>
        <w:t>FinCoNet</w:t>
      </w:r>
      <w:proofErr w:type="spellEnd"/>
      <w:r w:rsidR="00B850BB" w:rsidRPr="006A0747">
        <w:rPr>
          <w:rFonts w:ascii="Times New Roman" w:eastAsia="Calibri" w:hAnsi="Times New Roman" w:cs="Times New Roman"/>
          <w:color w:val="767171"/>
          <w:spacing w:val="20"/>
          <w:sz w:val="24"/>
          <w:szCs w:val="24"/>
        </w:rPr>
        <w:t xml:space="preserve">, por sus siglas en inglés), </w:t>
      </w:r>
      <w:r w:rsidRPr="006A0747">
        <w:rPr>
          <w:rFonts w:ascii="Times New Roman" w:eastAsia="Calibri" w:hAnsi="Times New Roman" w:cs="Times New Roman"/>
          <w:color w:val="767171"/>
          <w:spacing w:val="20"/>
          <w:sz w:val="24"/>
          <w:szCs w:val="24"/>
        </w:rPr>
        <w:t xml:space="preserve">un </w:t>
      </w:r>
      <w:r w:rsidR="00B850BB" w:rsidRPr="006A0747">
        <w:rPr>
          <w:rFonts w:ascii="Times New Roman" w:eastAsia="Calibri" w:hAnsi="Times New Roman" w:cs="Times New Roman"/>
          <w:color w:val="767171"/>
          <w:spacing w:val="20"/>
          <w:sz w:val="24"/>
          <w:szCs w:val="24"/>
        </w:rPr>
        <w:t xml:space="preserve">hito que refuerza </w:t>
      </w:r>
      <w:r w:rsidRPr="006A0747">
        <w:rPr>
          <w:rFonts w:ascii="Times New Roman" w:eastAsia="Calibri" w:hAnsi="Times New Roman" w:cs="Times New Roman"/>
          <w:color w:val="767171"/>
          <w:spacing w:val="20"/>
          <w:sz w:val="24"/>
          <w:szCs w:val="24"/>
        </w:rPr>
        <w:t>su</w:t>
      </w:r>
      <w:r w:rsidR="00B850BB" w:rsidRPr="006A0747">
        <w:rPr>
          <w:rFonts w:ascii="Times New Roman" w:eastAsia="Calibri" w:hAnsi="Times New Roman" w:cs="Times New Roman"/>
          <w:color w:val="767171"/>
          <w:spacing w:val="20"/>
          <w:sz w:val="24"/>
          <w:szCs w:val="24"/>
        </w:rPr>
        <w:t xml:space="preserve"> compromiso con la protección de los usuarios</w:t>
      </w:r>
      <w:r w:rsidRPr="006A0747">
        <w:rPr>
          <w:rFonts w:ascii="Times New Roman" w:eastAsia="Calibri" w:hAnsi="Times New Roman" w:cs="Times New Roman"/>
          <w:color w:val="767171"/>
          <w:spacing w:val="20"/>
          <w:sz w:val="24"/>
          <w:szCs w:val="24"/>
        </w:rPr>
        <w:t>, al procurar</w:t>
      </w:r>
      <w:r w:rsidR="00B850BB" w:rsidRPr="006A0747">
        <w:rPr>
          <w:rFonts w:ascii="Times New Roman" w:eastAsia="Calibri" w:hAnsi="Times New Roman" w:cs="Times New Roman"/>
          <w:color w:val="767171"/>
          <w:spacing w:val="20"/>
          <w:sz w:val="24"/>
          <w:szCs w:val="24"/>
        </w:rPr>
        <w:t xml:space="preserve"> una supervisión eficiente y efectiva de la conducta del mercado financiero.</w:t>
      </w:r>
    </w:p>
    <w:p w14:paraId="0C511089" w14:textId="77777777" w:rsidR="00FB0490" w:rsidRPr="006A0747" w:rsidRDefault="00FB0490" w:rsidP="00F259E2">
      <w:pPr>
        <w:spacing w:line="360" w:lineRule="auto"/>
        <w:jc w:val="both"/>
        <w:rPr>
          <w:rFonts w:ascii="Times New Roman" w:eastAsia="Calibri" w:hAnsi="Times New Roman" w:cs="Times New Roman"/>
          <w:color w:val="767171"/>
          <w:spacing w:val="20"/>
          <w:sz w:val="24"/>
          <w:szCs w:val="24"/>
        </w:rPr>
      </w:pPr>
    </w:p>
    <w:p w14:paraId="07687D12" w14:textId="66A7D076" w:rsidR="00F259E2" w:rsidRPr="006A0747" w:rsidRDefault="00F259E2" w:rsidP="00F259E2">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t>Transversalización del enfoque de género</w:t>
      </w:r>
    </w:p>
    <w:p w14:paraId="4E92CCB1" w14:textId="6FF03B18" w:rsidR="00F259E2" w:rsidRPr="006A0747" w:rsidRDefault="00F259E2" w:rsidP="00F259E2">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Como parte de su compromiso </w:t>
      </w:r>
      <w:r w:rsidR="009160C5" w:rsidRPr="006A0747">
        <w:rPr>
          <w:rFonts w:ascii="Times New Roman" w:eastAsia="Calibri" w:hAnsi="Times New Roman" w:cs="Times New Roman"/>
          <w:color w:val="767171"/>
          <w:spacing w:val="20"/>
          <w:sz w:val="24"/>
          <w:szCs w:val="24"/>
        </w:rPr>
        <w:t xml:space="preserve">para </w:t>
      </w:r>
      <w:r w:rsidRPr="006A0747">
        <w:rPr>
          <w:rFonts w:ascii="Times New Roman" w:eastAsia="Calibri" w:hAnsi="Times New Roman" w:cs="Times New Roman"/>
          <w:color w:val="767171"/>
          <w:spacing w:val="20"/>
          <w:sz w:val="24"/>
          <w:szCs w:val="24"/>
        </w:rPr>
        <w:t xml:space="preserve">ser un referente de buenas prácticas </w:t>
      </w:r>
      <w:r w:rsidR="009160C5" w:rsidRPr="006A0747">
        <w:rPr>
          <w:rFonts w:ascii="Times New Roman" w:eastAsia="Calibri" w:hAnsi="Times New Roman" w:cs="Times New Roman"/>
          <w:color w:val="767171"/>
          <w:spacing w:val="20"/>
          <w:sz w:val="24"/>
          <w:szCs w:val="24"/>
        </w:rPr>
        <w:t xml:space="preserve">en responsabilidad social dentro del </w:t>
      </w:r>
      <w:r w:rsidRPr="006A0747">
        <w:rPr>
          <w:rFonts w:ascii="Times New Roman" w:eastAsia="Calibri" w:hAnsi="Times New Roman" w:cs="Times New Roman"/>
          <w:color w:val="767171"/>
          <w:spacing w:val="20"/>
          <w:sz w:val="24"/>
          <w:szCs w:val="24"/>
        </w:rPr>
        <w:t xml:space="preserve">sector que supervisa, la SB se </w:t>
      </w:r>
      <w:r w:rsidR="009160C5" w:rsidRPr="006A0747">
        <w:rPr>
          <w:rFonts w:ascii="Times New Roman" w:eastAsia="Calibri" w:hAnsi="Times New Roman" w:cs="Times New Roman"/>
          <w:color w:val="767171"/>
          <w:spacing w:val="20"/>
          <w:sz w:val="24"/>
          <w:szCs w:val="24"/>
        </w:rPr>
        <w:t>unió</w:t>
      </w:r>
      <w:r w:rsidRPr="006A0747">
        <w:rPr>
          <w:rFonts w:ascii="Times New Roman" w:eastAsia="Calibri" w:hAnsi="Times New Roman" w:cs="Times New Roman"/>
          <w:color w:val="767171"/>
          <w:spacing w:val="20"/>
          <w:sz w:val="24"/>
          <w:szCs w:val="24"/>
        </w:rPr>
        <w:t xml:space="preserve"> al programa Sello Igualando RD, </w:t>
      </w:r>
      <w:r w:rsidR="00096B34" w:rsidRPr="006A0747">
        <w:rPr>
          <w:rFonts w:ascii="Times New Roman" w:eastAsia="Calibri" w:hAnsi="Times New Roman" w:cs="Times New Roman"/>
          <w:color w:val="767171"/>
          <w:spacing w:val="20"/>
          <w:sz w:val="24"/>
          <w:szCs w:val="24"/>
        </w:rPr>
        <w:t>obten</w:t>
      </w:r>
      <w:r w:rsidR="00EB144C" w:rsidRPr="006A0747">
        <w:rPr>
          <w:rFonts w:ascii="Times New Roman" w:eastAsia="Calibri" w:hAnsi="Times New Roman" w:cs="Times New Roman"/>
          <w:color w:val="767171"/>
          <w:spacing w:val="20"/>
          <w:sz w:val="24"/>
          <w:szCs w:val="24"/>
        </w:rPr>
        <w:t>iendo</w:t>
      </w:r>
      <w:r w:rsidR="00096B34" w:rsidRPr="006A0747">
        <w:rPr>
          <w:rFonts w:ascii="Times New Roman" w:eastAsia="Calibri" w:hAnsi="Times New Roman" w:cs="Times New Roman"/>
          <w:color w:val="767171"/>
          <w:spacing w:val="20"/>
          <w:sz w:val="24"/>
          <w:szCs w:val="24"/>
        </w:rPr>
        <w:t xml:space="preserve"> </w:t>
      </w:r>
      <w:r w:rsidR="00EB144C" w:rsidRPr="006A0747">
        <w:rPr>
          <w:rFonts w:ascii="Times New Roman" w:eastAsia="Calibri" w:hAnsi="Times New Roman" w:cs="Times New Roman"/>
          <w:color w:val="767171"/>
          <w:spacing w:val="20"/>
          <w:sz w:val="24"/>
          <w:szCs w:val="24"/>
        </w:rPr>
        <w:t xml:space="preserve">la </w:t>
      </w:r>
      <w:r w:rsidR="00096B34" w:rsidRPr="006A0747">
        <w:rPr>
          <w:rFonts w:ascii="Times New Roman" w:eastAsia="Calibri" w:hAnsi="Times New Roman" w:cs="Times New Roman"/>
          <w:color w:val="767171"/>
          <w:spacing w:val="20"/>
          <w:sz w:val="24"/>
          <w:szCs w:val="24"/>
        </w:rPr>
        <w:t>categoría plata en abril del presente año</w:t>
      </w:r>
      <w:r w:rsidR="00EB144C" w:rsidRPr="006A0747">
        <w:rPr>
          <w:rFonts w:ascii="Times New Roman" w:eastAsia="Calibri" w:hAnsi="Times New Roman" w:cs="Times New Roman"/>
          <w:color w:val="767171"/>
          <w:spacing w:val="20"/>
          <w:sz w:val="24"/>
          <w:szCs w:val="24"/>
        </w:rPr>
        <w:t xml:space="preserve">. </w:t>
      </w:r>
      <w:r w:rsidR="0073584F" w:rsidRPr="006A0747">
        <w:rPr>
          <w:rFonts w:ascii="Times New Roman" w:eastAsia="Calibri" w:hAnsi="Times New Roman" w:cs="Times New Roman"/>
          <w:color w:val="767171"/>
          <w:spacing w:val="20"/>
          <w:sz w:val="24"/>
          <w:szCs w:val="24"/>
        </w:rPr>
        <w:t>Este programa,</w:t>
      </w:r>
      <w:r w:rsidR="009160C5" w:rsidRPr="006A0747">
        <w:rPr>
          <w:rFonts w:ascii="Times New Roman" w:eastAsia="Calibri" w:hAnsi="Times New Roman" w:cs="Times New Roman"/>
          <w:color w:val="767171"/>
          <w:spacing w:val="20"/>
          <w:sz w:val="24"/>
          <w:szCs w:val="24"/>
        </w:rPr>
        <w:t xml:space="preserve"> </w:t>
      </w:r>
      <w:r w:rsidRPr="006A0747">
        <w:rPr>
          <w:rFonts w:ascii="Times New Roman" w:eastAsia="Calibri" w:hAnsi="Times New Roman" w:cs="Times New Roman"/>
          <w:color w:val="767171"/>
          <w:spacing w:val="20"/>
          <w:sz w:val="24"/>
          <w:szCs w:val="24"/>
        </w:rPr>
        <w:t xml:space="preserve">implementado por el Ministerio de la Mujer con el </w:t>
      </w:r>
      <w:r w:rsidR="009160C5" w:rsidRPr="006A0747">
        <w:rPr>
          <w:rFonts w:ascii="Times New Roman" w:eastAsia="Calibri" w:hAnsi="Times New Roman" w:cs="Times New Roman"/>
          <w:color w:val="767171"/>
          <w:spacing w:val="20"/>
          <w:sz w:val="24"/>
          <w:szCs w:val="24"/>
        </w:rPr>
        <w:t>apoyo</w:t>
      </w:r>
      <w:r w:rsidRPr="006A0747">
        <w:rPr>
          <w:rFonts w:ascii="Times New Roman" w:eastAsia="Calibri" w:hAnsi="Times New Roman" w:cs="Times New Roman"/>
          <w:color w:val="767171"/>
          <w:spacing w:val="20"/>
          <w:sz w:val="24"/>
          <w:szCs w:val="24"/>
        </w:rPr>
        <w:t xml:space="preserve"> del PNUD</w:t>
      </w:r>
      <w:r w:rsidR="0073584F" w:rsidRPr="006A0747">
        <w:rPr>
          <w:rFonts w:ascii="Times New Roman" w:eastAsia="Calibri" w:hAnsi="Times New Roman" w:cs="Times New Roman"/>
          <w:color w:val="767171"/>
          <w:spacing w:val="20"/>
          <w:sz w:val="24"/>
          <w:szCs w:val="24"/>
        </w:rPr>
        <w:t xml:space="preserve">, </w:t>
      </w:r>
      <w:r w:rsidR="009160C5" w:rsidRPr="006A0747">
        <w:rPr>
          <w:rFonts w:ascii="Times New Roman" w:eastAsia="Calibri" w:hAnsi="Times New Roman" w:cs="Times New Roman"/>
          <w:color w:val="767171"/>
          <w:spacing w:val="20"/>
          <w:sz w:val="24"/>
          <w:szCs w:val="24"/>
        </w:rPr>
        <w:t>propone</w:t>
      </w:r>
      <w:r w:rsidRPr="006A0747">
        <w:rPr>
          <w:rFonts w:ascii="Times New Roman" w:eastAsia="Calibri" w:hAnsi="Times New Roman" w:cs="Times New Roman"/>
          <w:color w:val="767171"/>
          <w:spacing w:val="20"/>
          <w:sz w:val="24"/>
          <w:szCs w:val="24"/>
        </w:rPr>
        <w:t xml:space="preserve"> un modelo de gestión para la igualdad de género que busca universalizar las buenas prácticas organizacionales, eliminar barreras culturales y </w:t>
      </w:r>
      <w:r w:rsidR="009160C5" w:rsidRPr="006A0747">
        <w:rPr>
          <w:rFonts w:ascii="Times New Roman" w:eastAsia="Calibri" w:hAnsi="Times New Roman" w:cs="Times New Roman"/>
          <w:color w:val="767171"/>
          <w:spacing w:val="20"/>
          <w:sz w:val="24"/>
          <w:szCs w:val="24"/>
        </w:rPr>
        <w:t>estructurales</w:t>
      </w:r>
      <w:r w:rsidRPr="006A0747">
        <w:rPr>
          <w:rFonts w:ascii="Times New Roman" w:eastAsia="Calibri" w:hAnsi="Times New Roman" w:cs="Times New Roman"/>
          <w:color w:val="767171"/>
          <w:spacing w:val="20"/>
          <w:sz w:val="24"/>
          <w:szCs w:val="24"/>
        </w:rPr>
        <w:t xml:space="preserve">, garantizar la transversalización de género y </w:t>
      </w:r>
      <w:r w:rsidR="009160C5" w:rsidRPr="006A0747">
        <w:rPr>
          <w:rFonts w:ascii="Times New Roman" w:eastAsia="Calibri" w:hAnsi="Times New Roman" w:cs="Times New Roman"/>
          <w:color w:val="767171"/>
          <w:spacing w:val="20"/>
          <w:sz w:val="24"/>
          <w:szCs w:val="24"/>
        </w:rPr>
        <w:t>crear</w:t>
      </w:r>
      <w:r w:rsidRPr="006A0747">
        <w:rPr>
          <w:rFonts w:ascii="Times New Roman" w:eastAsia="Calibri" w:hAnsi="Times New Roman" w:cs="Times New Roman"/>
          <w:color w:val="767171"/>
          <w:spacing w:val="20"/>
          <w:sz w:val="24"/>
          <w:szCs w:val="24"/>
        </w:rPr>
        <w:t xml:space="preserve"> espacios laborales libres de violencia, entre otros objetivos. </w:t>
      </w:r>
      <w:r w:rsidR="0073584F" w:rsidRPr="006A0747">
        <w:rPr>
          <w:rFonts w:ascii="Times New Roman" w:eastAsia="Calibri" w:hAnsi="Times New Roman" w:cs="Times New Roman"/>
          <w:color w:val="767171"/>
          <w:spacing w:val="20"/>
          <w:sz w:val="24"/>
          <w:szCs w:val="24"/>
        </w:rPr>
        <w:t>El</w:t>
      </w:r>
      <w:r w:rsidRPr="006A0747">
        <w:rPr>
          <w:rFonts w:ascii="Times New Roman" w:eastAsia="Calibri" w:hAnsi="Times New Roman" w:cs="Times New Roman"/>
          <w:color w:val="767171"/>
          <w:spacing w:val="20"/>
          <w:sz w:val="24"/>
          <w:szCs w:val="24"/>
        </w:rPr>
        <w:t xml:space="preserve"> sello se acompaña de una certificación por el Instituto Dominicano de Calidad (INDOCAL), a través de la NORDOM 775.</w:t>
      </w:r>
    </w:p>
    <w:p w14:paraId="3CABC2FC" w14:textId="77777777" w:rsidR="00BD1F89" w:rsidRPr="006A0747" w:rsidRDefault="00BD1F89" w:rsidP="00F259E2">
      <w:pPr>
        <w:spacing w:line="360" w:lineRule="auto"/>
        <w:jc w:val="both"/>
        <w:rPr>
          <w:rFonts w:ascii="Times New Roman" w:eastAsia="Calibri" w:hAnsi="Times New Roman" w:cs="Times New Roman"/>
          <w:b/>
          <w:color w:val="767171"/>
          <w:spacing w:val="20"/>
          <w:sz w:val="24"/>
          <w:szCs w:val="24"/>
        </w:rPr>
      </w:pPr>
    </w:p>
    <w:p w14:paraId="2C4A29D4" w14:textId="38089793" w:rsidR="000A5B3C" w:rsidRPr="006A0747" w:rsidRDefault="000A5B3C" w:rsidP="000A5B3C">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t>Escuela de la Superintendencia de Bancos – Escuela SB</w:t>
      </w:r>
    </w:p>
    <w:p w14:paraId="314F5AA3" w14:textId="14F9629D" w:rsidR="000A5B3C" w:rsidRPr="006A0747" w:rsidRDefault="000A5B3C" w:rsidP="00CD6193">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E</w:t>
      </w:r>
      <w:r w:rsidR="00AA3039" w:rsidRPr="006A0747">
        <w:rPr>
          <w:rFonts w:ascii="Times New Roman" w:eastAsia="Calibri" w:hAnsi="Times New Roman" w:cs="Times New Roman"/>
          <w:color w:val="767171"/>
          <w:spacing w:val="20"/>
          <w:sz w:val="24"/>
          <w:szCs w:val="24"/>
        </w:rPr>
        <w:t>n el año</w:t>
      </w:r>
      <w:r w:rsidRPr="006A0747">
        <w:rPr>
          <w:rFonts w:ascii="Times New Roman" w:eastAsia="Calibri" w:hAnsi="Times New Roman" w:cs="Times New Roman"/>
          <w:color w:val="767171"/>
          <w:spacing w:val="20"/>
          <w:sz w:val="24"/>
          <w:szCs w:val="24"/>
        </w:rPr>
        <w:t xml:space="preserve"> 2024, se lanzó oficialmente la Escuela SB, un espacio académico que ofrece programación de acceso gratuito enfocado en el sector financiero dominicano. </w:t>
      </w:r>
      <w:r w:rsidR="003F0372" w:rsidRPr="006A0747">
        <w:rPr>
          <w:rFonts w:ascii="Times New Roman" w:eastAsia="Calibri" w:hAnsi="Times New Roman" w:cs="Times New Roman"/>
          <w:color w:val="767171"/>
          <w:spacing w:val="20"/>
          <w:sz w:val="24"/>
          <w:szCs w:val="24"/>
        </w:rPr>
        <w:t xml:space="preserve">Su objetivo es impactar positivamente en el cumplimiento de las normativas financieras </w:t>
      </w:r>
      <w:r w:rsidR="00E75D8F" w:rsidRPr="006A0747">
        <w:rPr>
          <w:rFonts w:ascii="Times New Roman" w:eastAsia="Calibri" w:hAnsi="Times New Roman" w:cs="Times New Roman"/>
          <w:color w:val="767171"/>
          <w:spacing w:val="20"/>
          <w:sz w:val="24"/>
          <w:szCs w:val="24"/>
        </w:rPr>
        <w:t xml:space="preserve">y en </w:t>
      </w:r>
      <w:r w:rsidR="00E75D8F" w:rsidRPr="006A0747">
        <w:rPr>
          <w:rFonts w:ascii="Times New Roman" w:eastAsia="Calibri" w:hAnsi="Times New Roman" w:cs="Times New Roman"/>
          <w:color w:val="767171"/>
          <w:spacing w:val="20"/>
          <w:sz w:val="24"/>
          <w:szCs w:val="24"/>
        </w:rPr>
        <w:lastRenderedPageBreak/>
        <w:t>la adopción de buenas y sanas prácticas prudenciales</w:t>
      </w:r>
      <w:r w:rsidR="008A15C9" w:rsidRPr="006A0747">
        <w:rPr>
          <w:rFonts w:ascii="Times New Roman" w:eastAsia="Calibri" w:hAnsi="Times New Roman" w:cs="Times New Roman"/>
          <w:color w:val="767171"/>
          <w:spacing w:val="20"/>
          <w:sz w:val="24"/>
          <w:szCs w:val="24"/>
        </w:rPr>
        <w:t xml:space="preserve"> </w:t>
      </w:r>
      <w:r w:rsidR="003F0372" w:rsidRPr="006A0747">
        <w:rPr>
          <w:rFonts w:ascii="Times New Roman" w:eastAsia="Calibri" w:hAnsi="Times New Roman" w:cs="Times New Roman"/>
          <w:color w:val="767171"/>
          <w:spacing w:val="20"/>
          <w:sz w:val="24"/>
          <w:szCs w:val="24"/>
        </w:rPr>
        <w:t>a través de la formación de todos los actores involucrados.</w:t>
      </w:r>
    </w:p>
    <w:p w14:paraId="5B58ECB7" w14:textId="072F97CF" w:rsidR="00B80D25" w:rsidRPr="006A0747" w:rsidRDefault="00B11960" w:rsidP="00FB0490">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Desde su lanzamiento,</w:t>
      </w:r>
      <w:r w:rsidR="00BD1F89" w:rsidRPr="006A0747">
        <w:rPr>
          <w:rFonts w:ascii="Times New Roman" w:eastAsia="Calibri" w:hAnsi="Times New Roman" w:cs="Times New Roman"/>
          <w:color w:val="767171"/>
          <w:spacing w:val="20"/>
          <w:sz w:val="24"/>
          <w:szCs w:val="24"/>
        </w:rPr>
        <w:t xml:space="preserve"> más de </w:t>
      </w:r>
      <w:r w:rsidR="00BE7956" w:rsidRPr="006A0747">
        <w:rPr>
          <w:rFonts w:ascii="Times New Roman" w:eastAsia="Calibri" w:hAnsi="Times New Roman" w:cs="Times New Roman"/>
          <w:color w:val="767171"/>
          <w:spacing w:val="20"/>
          <w:sz w:val="24"/>
          <w:szCs w:val="24"/>
        </w:rPr>
        <w:t>1,700 estu</w:t>
      </w:r>
      <w:r w:rsidR="001017DA" w:rsidRPr="006A0747">
        <w:rPr>
          <w:rFonts w:ascii="Times New Roman" w:eastAsia="Calibri" w:hAnsi="Times New Roman" w:cs="Times New Roman"/>
          <w:color w:val="767171"/>
          <w:spacing w:val="20"/>
          <w:sz w:val="24"/>
          <w:szCs w:val="24"/>
        </w:rPr>
        <w:t>diantes</w:t>
      </w:r>
      <w:r w:rsidR="008424EE" w:rsidRPr="006A0747">
        <w:rPr>
          <w:rFonts w:ascii="Times New Roman" w:eastAsia="Calibri" w:hAnsi="Times New Roman" w:cs="Times New Roman"/>
          <w:color w:val="767171"/>
          <w:spacing w:val="20"/>
          <w:sz w:val="24"/>
          <w:szCs w:val="24"/>
        </w:rPr>
        <w:t xml:space="preserve"> </w:t>
      </w:r>
      <w:r w:rsidR="008D290C" w:rsidRPr="006A0747">
        <w:rPr>
          <w:rFonts w:ascii="Times New Roman" w:eastAsia="Calibri" w:hAnsi="Times New Roman" w:cs="Times New Roman"/>
          <w:color w:val="767171"/>
          <w:spacing w:val="20"/>
          <w:sz w:val="24"/>
          <w:szCs w:val="24"/>
        </w:rPr>
        <w:t xml:space="preserve">han sido </w:t>
      </w:r>
      <w:r w:rsidR="008424EE" w:rsidRPr="006A0747">
        <w:rPr>
          <w:rFonts w:ascii="Times New Roman" w:eastAsia="Calibri" w:hAnsi="Times New Roman" w:cs="Times New Roman"/>
          <w:color w:val="767171"/>
          <w:spacing w:val="20"/>
          <w:sz w:val="24"/>
          <w:szCs w:val="24"/>
        </w:rPr>
        <w:t>capacitados</w:t>
      </w:r>
      <w:r w:rsidR="001017DA" w:rsidRPr="006A0747">
        <w:rPr>
          <w:rFonts w:ascii="Times New Roman" w:eastAsia="Calibri" w:hAnsi="Times New Roman" w:cs="Times New Roman"/>
          <w:color w:val="767171"/>
          <w:spacing w:val="20"/>
          <w:sz w:val="24"/>
          <w:szCs w:val="24"/>
        </w:rPr>
        <w:t xml:space="preserve"> </w:t>
      </w:r>
      <w:r w:rsidR="00BD1F89" w:rsidRPr="006A0747">
        <w:rPr>
          <w:rFonts w:ascii="Times New Roman" w:eastAsia="Calibri" w:hAnsi="Times New Roman" w:cs="Times New Roman"/>
          <w:color w:val="767171"/>
          <w:spacing w:val="20"/>
          <w:sz w:val="24"/>
          <w:szCs w:val="24"/>
        </w:rPr>
        <w:t xml:space="preserve">en cursos </w:t>
      </w:r>
      <w:r w:rsidR="00FD2CCF" w:rsidRPr="006A0747">
        <w:rPr>
          <w:rFonts w:ascii="Times New Roman" w:eastAsia="Calibri" w:hAnsi="Times New Roman" w:cs="Times New Roman"/>
          <w:color w:val="767171"/>
          <w:spacing w:val="20"/>
          <w:sz w:val="24"/>
          <w:szCs w:val="24"/>
        </w:rPr>
        <w:t>como</w:t>
      </w:r>
      <w:r w:rsidR="00B36F8F" w:rsidRPr="006A0747">
        <w:rPr>
          <w:rFonts w:ascii="Times New Roman" w:eastAsia="Calibri" w:hAnsi="Times New Roman" w:cs="Times New Roman"/>
          <w:color w:val="767171"/>
          <w:spacing w:val="20"/>
          <w:sz w:val="24"/>
          <w:szCs w:val="24"/>
        </w:rPr>
        <w:t>:</w:t>
      </w:r>
      <w:r w:rsidR="005076A1" w:rsidRPr="006A0747">
        <w:rPr>
          <w:rFonts w:ascii="Times New Roman" w:eastAsia="Calibri" w:hAnsi="Times New Roman" w:cs="Times New Roman"/>
          <w:color w:val="767171"/>
          <w:spacing w:val="20"/>
          <w:sz w:val="24"/>
          <w:szCs w:val="24"/>
        </w:rPr>
        <w:t xml:space="preserve"> Supervisión </w:t>
      </w:r>
      <w:r w:rsidR="00B36F8F" w:rsidRPr="006A0747">
        <w:rPr>
          <w:rFonts w:ascii="Times New Roman" w:eastAsia="Calibri" w:hAnsi="Times New Roman" w:cs="Times New Roman"/>
          <w:color w:val="767171"/>
          <w:spacing w:val="20"/>
          <w:sz w:val="24"/>
          <w:szCs w:val="24"/>
        </w:rPr>
        <w:t>Basada en Riesgos</w:t>
      </w:r>
      <w:r w:rsidR="00483E76" w:rsidRPr="006A0747">
        <w:rPr>
          <w:rFonts w:ascii="Times New Roman" w:eastAsia="Calibri" w:hAnsi="Times New Roman" w:cs="Times New Roman"/>
          <w:color w:val="767171"/>
          <w:spacing w:val="20"/>
          <w:sz w:val="24"/>
          <w:szCs w:val="24"/>
        </w:rPr>
        <w:t xml:space="preserve"> y Beneficios de la implementación</w:t>
      </w:r>
      <w:r w:rsidR="000321A5" w:rsidRPr="006A0747">
        <w:rPr>
          <w:rFonts w:ascii="Times New Roman" w:eastAsia="Calibri" w:hAnsi="Times New Roman" w:cs="Times New Roman"/>
          <w:color w:val="767171"/>
          <w:spacing w:val="20"/>
          <w:sz w:val="24"/>
          <w:szCs w:val="24"/>
        </w:rPr>
        <w:t>;</w:t>
      </w:r>
      <w:r w:rsidR="00483E76" w:rsidRPr="006A0747">
        <w:rPr>
          <w:rFonts w:ascii="Times New Roman" w:eastAsia="Calibri" w:hAnsi="Times New Roman" w:cs="Times New Roman"/>
          <w:color w:val="767171"/>
          <w:spacing w:val="20"/>
          <w:sz w:val="24"/>
          <w:szCs w:val="24"/>
        </w:rPr>
        <w:t xml:space="preserve"> </w:t>
      </w:r>
      <w:r w:rsidR="00D65367" w:rsidRPr="006A0747">
        <w:rPr>
          <w:rFonts w:ascii="Times New Roman" w:eastAsia="Calibri" w:hAnsi="Times New Roman" w:cs="Times New Roman"/>
          <w:color w:val="767171"/>
          <w:spacing w:val="20"/>
          <w:sz w:val="24"/>
          <w:szCs w:val="24"/>
        </w:rPr>
        <w:t>E</w:t>
      </w:r>
      <w:r w:rsidR="000321A5" w:rsidRPr="006A0747">
        <w:rPr>
          <w:rFonts w:ascii="Times New Roman" w:eastAsia="Calibri" w:hAnsi="Times New Roman" w:cs="Times New Roman"/>
          <w:color w:val="767171"/>
          <w:spacing w:val="20"/>
          <w:sz w:val="24"/>
          <w:szCs w:val="24"/>
        </w:rPr>
        <w:t>l</w:t>
      </w:r>
      <w:r w:rsidR="00D65367" w:rsidRPr="006A0747">
        <w:rPr>
          <w:rFonts w:ascii="Times New Roman" w:eastAsia="Calibri" w:hAnsi="Times New Roman" w:cs="Times New Roman"/>
          <w:color w:val="767171"/>
          <w:spacing w:val="20"/>
          <w:sz w:val="24"/>
          <w:szCs w:val="24"/>
        </w:rPr>
        <w:t xml:space="preserve"> Derecho Penal Económico: desde la teoría a la práctica</w:t>
      </w:r>
      <w:r w:rsidR="000321A5" w:rsidRPr="006A0747">
        <w:rPr>
          <w:rFonts w:ascii="Times New Roman" w:eastAsia="Calibri" w:hAnsi="Times New Roman" w:cs="Times New Roman"/>
          <w:color w:val="767171"/>
          <w:spacing w:val="20"/>
          <w:sz w:val="24"/>
          <w:szCs w:val="24"/>
        </w:rPr>
        <w:t>;</w:t>
      </w:r>
      <w:r w:rsidR="00D65367" w:rsidRPr="006A0747">
        <w:rPr>
          <w:rFonts w:ascii="Times New Roman" w:eastAsia="Calibri" w:hAnsi="Times New Roman" w:cs="Times New Roman"/>
          <w:color w:val="767171"/>
          <w:spacing w:val="20"/>
          <w:sz w:val="24"/>
          <w:szCs w:val="24"/>
        </w:rPr>
        <w:t xml:space="preserve"> </w:t>
      </w:r>
      <w:r w:rsidR="007B4318" w:rsidRPr="006A0747">
        <w:rPr>
          <w:rFonts w:ascii="Times New Roman" w:eastAsia="Calibri" w:hAnsi="Times New Roman" w:cs="Times New Roman"/>
          <w:color w:val="767171"/>
          <w:spacing w:val="20"/>
          <w:sz w:val="24"/>
          <w:szCs w:val="24"/>
        </w:rPr>
        <w:t>ASBA: Supervisión consolidada e integración de riesgos</w:t>
      </w:r>
      <w:r w:rsidR="000321A5" w:rsidRPr="006A0747">
        <w:rPr>
          <w:rFonts w:ascii="Times New Roman" w:eastAsia="Calibri" w:hAnsi="Times New Roman" w:cs="Times New Roman"/>
          <w:color w:val="767171"/>
          <w:spacing w:val="20"/>
          <w:sz w:val="24"/>
          <w:szCs w:val="24"/>
        </w:rPr>
        <w:t>;</w:t>
      </w:r>
      <w:r w:rsidR="007B4318" w:rsidRPr="006A0747">
        <w:rPr>
          <w:rFonts w:ascii="Times New Roman" w:eastAsia="Calibri" w:hAnsi="Times New Roman" w:cs="Times New Roman"/>
          <w:color w:val="767171"/>
          <w:spacing w:val="20"/>
          <w:sz w:val="24"/>
          <w:szCs w:val="24"/>
        </w:rPr>
        <w:t xml:space="preserve"> entre otros</w:t>
      </w:r>
      <w:r w:rsidR="00876E93" w:rsidRPr="006A0747">
        <w:rPr>
          <w:rFonts w:ascii="Times New Roman" w:eastAsia="Calibri" w:hAnsi="Times New Roman" w:cs="Times New Roman"/>
          <w:color w:val="767171"/>
          <w:spacing w:val="20"/>
          <w:sz w:val="24"/>
          <w:szCs w:val="24"/>
        </w:rPr>
        <w:t>.</w:t>
      </w:r>
    </w:p>
    <w:p w14:paraId="68735B35" w14:textId="77777777" w:rsidR="00B80D25" w:rsidRPr="006A0747" w:rsidRDefault="00B80D25" w:rsidP="00B912A9">
      <w:pPr>
        <w:pStyle w:val="Prrafodelista"/>
        <w:spacing w:line="360" w:lineRule="auto"/>
        <w:ind w:left="360"/>
        <w:jc w:val="both"/>
        <w:rPr>
          <w:rFonts w:ascii="Times New Roman" w:eastAsia="Calibri" w:hAnsi="Times New Roman" w:cs="Times New Roman"/>
          <w:color w:val="2E74B5" w:themeColor="accent5" w:themeShade="BF"/>
          <w:spacing w:val="20"/>
          <w:sz w:val="24"/>
          <w:szCs w:val="24"/>
        </w:rPr>
      </w:pPr>
    </w:p>
    <w:p w14:paraId="57DD17C9" w14:textId="583F8D6B" w:rsidR="00F94DB1" w:rsidRPr="006A0747" w:rsidRDefault="00F94DB1" w:rsidP="000813B9">
      <w:pPr>
        <w:pStyle w:val="Ttulo2"/>
        <w:numPr>
          <w:ilvl w:val="1"/>
          <w:numId w:val="17"/>
        </w:numPr>
        <w:rPr>
          <w:rFonts w:ascii="Times New Roman" w:eastAsia="Calibri" w:hAnsi="Times New Roman" w:cs="Times New Roman"/>
          <w:b/>
          <w:color w:val="5B9BD5" w:themeColor="accent5"/>
          <w:spacing w:val="20"/>
          <w:sz w:val="24"/>
          <w:szCs w:val="24"/>
        </w:rPr>
      </w:pPr>
      <w:bookmarkStart w:id="54" w:name="_Toc185275010"/>
      <w:r w:rsidRPr="006A0747">
        <w:rPr>
          <w:rFonts w:ascii="Times New Roman" w:eastAsia="Calibri" w:hAnsi="Times New Roman" w:cs="Times New Roman"/>
          <w:b/>
          <w:color w:val="767171"/>
          <w:spacing w:val="20"/>
          <w:sz w:val="24"/>
          <w:szCs w:val="24"/>
        </w:rPr>
        <w:t xml:space="preserve">Desempeño en Materia </w:t>
      </w:r>
      <w:r w:rsidR="006C2365" w:rsidRPr="006A0747">
        <w:rPr>
          <w:rFonts w:ascii="Times New Roman" w:eastAsia="Calibri" w:hAnsi="Times New Roman" w:cs="Times New Roman"/>
          <w:b/>
          <w:color w:val="767171"/>
          <w:spacing w:val="20"/>
          <w:sz w:val="24"/>
          <w:szCs w:val="24"/>
        </w:rPr>
        <w:t>Comunica</w:t>
      </w:r>
      <w:r w:rsidR="00155EF9" w:rsidRPr="006A0747">
        <w:rPr>
          <w:rFonts w:ascii="Times New Roman" w:eastAsia="Calibri" w:hAnsi="Times New Roman" w:cs="Times New Roman"/>
          <w:b/>
          <w:color w:val="767171"/>
          <w:spacing w:val="20"/>
          <w:sz w:val="24"/>
          <w:szCs w:val="24"/>
        </w:rPr>
        <w:t>cional</w:t>
      </w:r>
      <w:bookmarkEnd w:id="54"/>
    </w:p>
    <w:p w14:paraId="2CBA358B" w14:textId="77777777" w:rsidR="002A36B5" w:rsidRPr="006A0747" w:rsidRDefault="002A36B5" w:rsidP="009E3E98">
      <w:pPr>
        <w:spacing w:line="360" w:lineRule="auto"/>
        <w:jc w:val="both"/>
        <w:rPr>
          <w:rFonts w:ascii="Times New Roman" w:eastAsia="Calibri" w:hAnsi="Times New Roman" w:cs="Times New Roman"/>
          <w:color w:val="2E74B5" w:themeColor="accent5" w:themeShade="BF"/>
          <w:spacing w:val="20"/>
          <w:sz w:val="24"/>
          <w:szCs w:val="24"/>
        </w:rPr>
      </w:pPr>
    </w:p>
    <w:p w14:paraId="52D023C6" w14:textId="03560273" w:rsidR="0099360C" w:rsidRPr="006A0747" w:rsidRDefault="00821B1F" w:rsidP="0099360C">
      <w:pPr>
        <w:spacing w:line="360" w:lineRule="auto"/>
        <w:jc w:val="both"/>
        <w:rPr>
          <w:rFonts w:ascii="Times New Roman" w:eastAsia="Calibri" w:hAnsi="Times New Roman" w:cs="Times New Roman"/>
          <w:color w:val="767171"/>
          <w:spacing w:val="20"/>
          <w:sz w:val="24"/>
          <w:szCs w:val="24"/>
        </w:rPr>
      </w:pPr>
      <w:bookmarkStart w:id="55" w:name="_Hlk150764602"/>
      <w:r w:rsidRPr="006A0747">
        <w:rPr>
          <w:rFonts w:ascii="Times New Roman" w:eastAsia="Calibri" w:hAnsi="Times New Roman" w:cs="Times New Roman"/>
          <w:color w:val="767171"/>
          <w:spacing w:val="20"/>
          <w:sz w:val="24"/>
          <w:szCs w:val="24"/>
        </w:rPr>
        <w:t>E</w:t>
      </w:r>
      <w:r w:rsidR="00E579DF" w:rsidRPr="006A0747">
        <w:rPr>
          <w:rFonts w:ascii="Times New Roman" w:eastAsia="Calibri" w:hAnsi="Times New Roman" w:cs="Times New Roman"/>
          <w:color w:val="767171"/>
          <w:spacing w:val="20"/>
          <w:sz w:val="24"/>
          <w:szCs w:val="24"/>
        </w:rPr>
        <w:t>n materia</w:t>
      </w:r>
      <w:r w:rsidRPr="006A0747">
        <w:rPr>
          <w:rFonts w:ascii="Times New Roman" w:eastAsia="Calibri" w:hAnsi="Times New Roman" w:cs="Times New Roman"/>
          <w:color w:val="767171"/>
          <w:spacing w:val="20"/>
          <w:sz w:val="24"/>
          <w:szCs w:val="24"/>
        </w:rPr>
        <w:t xml:space="preserve"> </w:t>
      </w:r>
      <w:r w:rsidR="00E579DF" w:rsidRPr="006A0747">
        <w:rPr>
          <w:rFonts w:ascii="Times New Roman" w:eastAsia="Calibri" w:hAnsi="Times New Roman" w:cs="Times New Roman"/>
          <w:color w:val="767171"/>
          <w:spacing w:val="20"/>
          <w:sz w:val="24"/>
          <w:szCs w:val="24"/>
        </w:rPr>
        <w:t>comunicacional</w:t>
      </w:r>
      <w:r w:rsidR="00594369" w:rsidRPr="006A0747">
        <w:rPr>
          <w:rFonts w:ascii="Times New Roman" w:eastAsia="Calibri" w:hAnsi="Times New Roman" w:cs="Times New Roman"/>
          <w:color w:val="767171"/>
          <w:spacing w:val="20"/>
          <w:sz w:val="24"/>
          <w:szCs w:val="24"/>
        </w:rPr>
        <w:t xml:space="preserve">, </w:t>
      </w:r>
      <w:r w:rsidR="00E579DF" w:rsidRPr="006A0747">
        <w:rPr>
          <w:rFonts w:ascii="Times New Roman" w:eastAsia="Calibri" w:hAnsi="Times New Roman" w:cs="Times New Roman"/>
          <w:color w:val="767171"/>
          <w:spacing w:val="20"/>
          <w:sz w:val="24"/>
          <w:szCs w:val="24"/>
        </w:rPr>
        <w:t>se han impulsado diversas acciones orientadas a la transformación y consolidación de la institución</w:t>
      </w:r>
      <w:r w:rsidR="0099360C" w:rsidRPr="006A0747">
        <w:rPr>
          <w:rFonts w:ascii="Times New Roman" w:eastAsia="Calibri" w:hAnsi="Times New Roman" w:cs="Times New Roman"/>
          <w:color w:val="767171"/>
          <w:spacing w:val="20"/>
          <w:sz w:val="24"/>
          <w:szCs w:val="24"/>
        </w:rPr>
        <w:t xml:space="preserve">, esto a través de iniciativas diseñadas para fortalecer tanto la comunicación interna como externa. </w:t>
      </w:r>
    </w:p>
    <w:p w14:paraId="454DA534" w14:textId="77E3DBAC" w:rsidR="00E579DF" w:rsidRPr="006A0747" w:rsidRDefault="0099360C" w:rsidP="0099360C">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Las acciones impulsadas por la Superintendencia de Bancos han girado en torno a </w:t>
      </w:r>
      <w:r w:rsidR="00381E70" w:rsidRPr="006A0747">
        <w:rPr>
          <w:rFonts w:ascii="Times New Roman" w:eastAsia="Calibri" w:hAnsi="Times New Roman" w:cs="Times New Roman"/>
          <w:color w:val="767171"/>
          <w:spacing w:val="20"/>
          <w:sz w:val="24"/>
          <w:szCs w:val="24"/>
        </w:rPr>
        <w:t>implementar</w:t>
      </w:r>
      <w:r w:rsidRPr="006A0747">
        <w:rPr>
          <w:rFonts w:ascii="Times New Roman" w:eastAsia="Calibri" w:hAnsi="Times New Roman" w:cs="Times New Roman"/>
          <w:color w:val="767171"/>
          <w:spacing w:val="20"/>
          <w:sz w:val="24"/>
          <w:szCs w:val="24"/>
        </w:rPr>
        <w:t xml:space="preserve"> estrategias de comunicación para diversos proyectos</w:t>
      </w:r>
      <w:r w:rsidR="00003B51" w:rsidRPr="006A0747">
        <w:rPr>
          <w:rFonts w:ascii="Times New Roman" w:eastAsia="Calibri" w:hAnsi="Times New Roman" w:cs="Times New Roman"/>
          <w:color w:val="767171"/>
          <w:spacing w:val="20"/>
          <w:sz w:val="24"/>
          <w:szCs w:val="24"/>
        </w:rPr>
        <w:t xml:space="preserve">, </w:t>
      </w:r>
      <w:r w:rsidR="00381E70" w:rsidRPr="006A0747">
        <w:rPr>
          <w:rFonts w:ascii="Times New Roman" w:eastAsia="Calibri" w:hAnsi="Times New Roman" w:cs="Times New Roman"/>
          <w:color w:val="767171"/>
          <w:spacing w:val="20"/>
          <w:sz w:val="24"/>
          <w:szCs w:val="24"/>
        </w:rPr>
        <w:t>mantener</w:t>
      </w:r>
      <w:r w:rsidRPr="006A0747">
        <w:rPr>
          <w:rFonts w:ascii="Times New Roman" w:eastAsia="Calibri" w:hAnsi="Times New Roman" w:cs="Times New Roman"/>
          <w:color w:val="767171"/>
          <w:spacing w:val="20"/>
          <w:sz w:val="24"/>
          <w:szCs w:val="24"/>
        </w:rPr>
        <w:t xml:space="preserve"> un flujo adecuado de la información para los públicos internos y externos</w:t>
      </w:r>
      <w:r w:rsidR="00381E70" w:rsidRPr="006A0747">
        <w:rPr>
          <w:rFonts w:ascii="Times New Roman" w:eastAsia="Calibri" w:hAnsi="Times New Roman" w:cs="Times New Roman"/>
          <w:color w:val="767171"/>
          <w:spacing w:val="20"/>
          <w:sz w:val="24"/>
          <w:szCs w:val="24"/>
        </w:rPr>
        <w:t>, y robustecer</w:t>
      </w:r>
      <w:r w:rsidRPr="006A0747">
        <w:rPr>
          <w:rFonts w:ascii="Times New Roman" w:eastAsia="Calibri" w:hAnsi="Times New Roman" w:cs="Times New Roman"/>
          <w:color w:val="767171"/>
          <w:spacing w:val="20"/>
          <w:sz w:val="24"/>
          <w:szCs w:val="24"/>
        </w:rPr>
        <w:t xml:space="preserve"> la imagen institucional.</w:t>
      </w:r>
    </w:p>
    <w:p w14:paraId="4F0C5765" w14:textId="77777777" w:rsidR="0099360C" w:rsidRPr="006A0747" w:rsidRDefault="0099360C" w:rsidP="00594369">
      <w:pPr>
        <w:spacing w:line="360" w:lineRule="auto"/>
        <w:jc w:val="both"/>
        <w:rPr>
          <w:rFonts w:ascii="Times New Roman" w:eastAsia="Calibri" w:hAnsi="Times New Roman" w:cs="Times New Roman"/>
          <w:b/>
          <w:color w:val="767171"/>
          <w:spacing w:val="20"/>
          <w:sz w:val="24"/>
          <w:szCs w:val="24"/>
        </w:rPr>
      </w:pPr>
    </w:p>
    <w:p w14:paraId="0F2F94F1" w14:textId="07E09DA4" w:rsidR="00594369" w:rsidRPr="006A0747" w:rsidRDefault="00594369" w:rsidP="00594369">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t>Comunicación interna</w:t>
      </w:r>
    </w:p>
    <w:p w14:paraId="0D326FEA" w14:textId="53085FA3" w:rsidR="003C795C" w:rsidRPr="006A0747" w:rsidRDefault="00B45089" w:rsidP="0099360C">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Entre las iniciativas desarrolladas para apoyar el fortalecimiento institucional se encuentra la campaña del Sistema de Gestión Integrado (SGI), que incluye la sensibilización del personal sobre diversas certificaciones ISO.</w:t>
      </w:r>
      <w:r w:rsidR="00052144" w:rsidRPr="006A0747">
        <w:rPr>
          <w:rFonts w:ascii="Times New Roman" w:eastAsia="Calibri" w:hAnsi="Times New Roman" w:cs="Times New Roman"/>
          <w:color w:val="767171"/>
          <w:spacing w:val="20"/>
          <w:sz w:val="24"/>
          <w:szCs w:val="24"/>
        </w:rPr>
        <w:t xml:space="preserve"> </w:t>
      </w:r>
      <w:r w:rsidRPr="006A0747">
        <w:rPr>
          <w:rFonts w:ascii="Times New Roman" w:eastAsia="Calibri" w:hAnsi="Times New Roman" w:cs="Times New Roman"/>
          <w:color w:val="767171"/>
          <w:spacing w:val="20"/>
          <w:sz w:val="24"/>
          <w:szCs w:val="24"/>
        </w:rPr>
        <w:t>O</w:t>
      </w:r>
      <w:r w:rsidR="0099360C" w:rsidRPr="006A0747">
        <w:rPr>
          <w:rFonts w:ascii="Times New Roman" w:eastAsia="Calibri" w:hAnsi="Times New Roman" w:cs="Times New Roman"/>
          <w:color w:val="767171"/>
          <w:spacing w:val="20"/>
          <w:sz w:val="24"/>
          <w:szCs w:val="24"/>
        </w:rPr>
        <w:t>tras campañas</w:t>
      </w:r>
      <w:r w:rsidRPr="006A0747">
        <w:rPr>
          <w:rFonts w:ascii="Times New Roman" w:eastAsia="Calibri" w:hAnsi="Times New Roman" w:cs="Times New Roman"/>
          <w:color w:val="767171"/>
          <w:spacing w:val="20"/>
          <w:sz w:val="24"/>
          <w:szCs w:val="24"/>
        </w:rPr>
        <w:t xml:space="preserve"> de difusión llevadas a cabo incluyen:</w:t>
      </w:r>
      <w:r w:rsidR="0099360C" w:rsidRPr="006A0747">
        <w:rPr>
          <w:rFonts w:ascii="Times New Roman" w:eastAsia="Calibri" w:hAnsi="Times New Roman" w:cs="Times New Roman"/>
          <w:color w:val="767171"/>
          <w:spacing w:val="20"/>
          <w:sz w:val="24"/>
          <w:szCs w:val="24"/>
        </w:rPr>
        <w:t xml:space="preserve"> “Conoce tu rol”, “Cultura de servicio” y “</w:t>
      </w:r>
      <w:r w:rsidR="00CA1880" w:rsidRPr="006A0747">
        <w:rPr>
          <w:rFonts w:ascii="Times New Roman" w:eastAsia="Calibri" w:hAnsi="Times New Roman" w:cs="Times New Roman"/>
          <w:color w:val="767171"/>
          <w:spacing w:val="20"/>
          <w:sz w:val="24"/>
          <w:szCs w:val="24"/>
        </w:rPr>
        <w:t>P</w:t>
      </w:r>
      <w:r w:rsidR="0099360C" w:rsidRPr="006A0747">
        <w:rPr>
          <w:rFonts w:ascii="Times New Roman" w:eastAsia="Calibri" w:hAnsi="Times New Roman" w:cs="Times New Roman"/>
          <w:color w:val="767171"/>
          <w:spacing w:val="20"/>
          <w:sz w:val="24"/>
          <w:szCs w:val="24"/>
        </w:rPr>
        <w:t xml:space="preserve">lan de crisis”. </w:t>
      </w:r>
    </w:p>
    <w:p w14:paraId="75032652" w14:textId="112130DF" w:rsidR="00220AE0" w:rsidRPr="006A0747" w:rsidRDefault="003C795C" w:rsidP="00594369">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lastRenderedPageBreak/>
        <w:t>Asimismo, se dio continuación al</w:t>
      </w:r>
      <w:r w:rsidR="0099360C" w:rsidRPr="006A0747">
        <w:rPr>
          <w:rFonts w:ascii="Times New Roman" w:eastAsia="Calibri" w:hAnsi="Times New Roman" w:cs="Times New Roman"/>
          <w:color w:val="767171"/>
          <w:spacing w:val="20"/>
          <w:sz w:val="24"/>
          <w:szCs w:val="24"/>
        </w:rPr>
        <w:t xml:space="preserve"> desarroll</w:t>
      </w:r>
      <w:r w:rsidR="00052144" w:rsidRPr="006A0747">
        <w:rPr>
          <w:rFonts w:ascii="Times New Roman" w:eastAsia="Calibri" w:hAnsi="Times New Roman" w:cs="Times New Roman"/>
          <w:color w:val="767171"/>
          <w:spacing w:val="20"/>
          <w:sz w:val="24"/>
          <w:szCs w:val="24"/>
        </w:rPr>
        <w:t>o de</w:t>
      </w:r>
      <w:r w:rsidR="0099360C" w:rsidRPr="006A0747">
        <w:rPr>
          <w:rFonts w:ascii="Times New Roman" w:eastAsia="Calibri" w:hAnsi="Times New Roman" w:cs="Times New Roman"/>
          <w:color w:val="767171"/>
          <w:spacing w:val="20"/>
          <w:sz w:val="24"/>
          <w:szCs w:val="24"/>
        </w:rPr>
        <w:t xml:space="preserve"> la agenda de comunicación interna con diversos proyectos que apoyan la propagación de las iniciativas institucionales a todo el personal por diferentes canales, como </w:t>
      </w:r>
      <w:r w:rsidR="00052144" w:rsidRPr="006A0747">
        <w:rPr>
          <w:rFonts w:ascii="Times New Roman" w:eastAsia="Calibri" w:hAnsi="Times New Roman" w:cs="Times New Roman"/>
          <w:color w:val="767171"/>
          <w:spacing w:val="20"/>
          <w:sz w:val="24"/>
          <w:szCs w:val="24"/>
        </w:rPr>
        <w:t>la</w:t>
      </w:r>
      <w:r w:rsidR="0099360C" w:rsidRPr="006A0747">
        <w:rPr>
          <w:rFonts w:ascii="Times New Roman" w:eastAsia="Calibri" w:hAnsi="Times New Roman" w:cs="Times New Roman"/>
          <w:color w:val="767171"/>
          <w:spacing w:val="20"/>
          <w:sz w:val="24"/>
          <w:szCs w:val="24"/>
        </w:rPr>
        <w:t xml:space="preserve"> intranet</w:t>
      </w:r>
      <w:r w:rsidR="00052144" w:rsidRPr="006A0747">
        <w:rPr>
          <w:rFonts w:ascii="Times New Roman" w:eastAsia="Calibri" w:hAnsi="Times New Roman" w:cs="Times New Roman"/>
          <w:color w:val="767171"/>
          <w:spacing w:val="20"/>
          <w:sz w:val="24"/>
          <w:szCs w:val="24"/>
        </w:rPr>
        <w:t xml:space="preserve"> y</w:t>
      </w:r>
      <w:r w:rsidR="0099360C" w:rsidRPr="006A0747">
        <w:rPr>
          <w:rFonts w:ascii="Times New Roman" w:eastAsia="Calibri" w:hAnsi="Times New Roman" w:cs="Times New Roman"/>
          <w:color w:val="767171"/>
          <w:spacing w:val="20"/>
          <w:sz w:val="24"/>
          <w:szCs w:val="24"/>
        </w:rPr>
        <w:t xml:space="preserve"> correo electrónico. </w:t>
      </w:r>
    </w:p>
    <w:p w14:paraId="7BB318F9" w14:textId="77777777" w:rsidR="00B80D25" w:rsidRPr="006A0747" w:rsidRDefault="00B80D25" w:rsidP="00594369">
      <w:pPr>
        <w:spacing w:line="360" w:lineRule="auto"/>
        <w:jc w:val="both"/>
        <w:rPr>
          <w:rFonts w:ascii="Times New Roman" w:eastAsia="Calibri" w:hAnsi="Times New Roman" w:cs="Times New Roman"/>
          <w:color w:val="2E74B5" w:themeColor="accent5" w:themeShade="BF"/>
          <w:spacing w:val="20"/>
          <w:sz w:val="24"/>
          <w:szCs w:val="24"/>
        </w:rPr>
      </w:pPr>
    </w:p>
    <w:p w14:paraId="209353DB" w14:textId="000E9308" w:rsidR="00594369" w:rsidRPr="006A0747" w:rsidRDefault="005337EB" w:rsidP="00594369">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t>Comunicaciones</w:t>
      </w:r>
      <w:r w:rsidR="00594369" w:rsidRPr="006A0747">
        <w:rPr>
          <w:rFonts w:ascii="Times New Roman" w:eastAsia="Calibri" w:hAnsi="Times New Roman" w:cs="Times New Roman"/>
          <w:b/>
          <w:color w:val="767171"/>
          <w:spacing w:val="20"/>
          <w:sz w:val="24"/>
          <w:szCs w:val="24"/>
        </w:rPr>
        <w:t xml:space="preserve"> </w:t>
      </w:r>
      <w:r w:rsidR="001A0A2A" w:rsidRPr="006A0747">
        <w:rPr>
          <w:rFonts w:ascii="Times New Roman" w:eastAsia="Calibri" w:hAnsi="Times New Roman" w:cs="Times New Roman"/>
          <w:b/>
          <w:color w:val="767171"/>
          <w:spacing w:val="20"/>
          <w:sz w:val="24"/>
          <w:szCs w:val="24"/>
        </w:rPr>
        <w:t>externas</w:t>
      </w:r>
    </w:p>
    <w:p w14:paraId="728B8DD3" w14:textId="19C913FB" w:rsidR="00721962" w:rsidRPr="006A0747" w:rsidRDefault="00E566E4" w:rsidP="00CA6E90">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En materia de comunicación externa</w:t>
      </w:r>
      <w:r w:rsidR="0099360C" w:rsidRPr="006A0747">
        <w:rPr>
          <w:rFonts w:ascii="Times New Roman" w:eastAsia="Calibri" w:hAnsi="Times New Roman" w:cs="Times New Roman"/>
          <w:color w:val="767171"/>
          <w:spacing w:val="20"/>
          <w:sz w:val="24"/>
          <w:szCs w:val="24"/>
        </w:rPr>
        <w:t>, la S</w:t>
      </w:r>
      <w:r w:rsidRPr="006A0747">
        <w:rPr>
          <w:rFonts w:ascii="Times New Roman" w:eastAsia="Calibri" w:hAnsi="Times New Roman" w:cs="Times New Roman"/>
          <w:color w:val="767171"/>
          <w:spacing w:val="20"/>
          <w:sz w:val="24"/>
          <w:szCs w:val="24"/>
        </w:rPr>
        <w:t xml:space="preserve">uperintendencia de </w:t>
      </w:r>
      <w:r w:rsidR="0099360C" w:rsidRPr="006A0747">
        <w:rPr>
          <w:rFonts w:ascii="Times New Roman" w:eastAsia="Calibri" w:hAnsi="Times New Roman" w:cs="Times New Roman"/>
          <w:color w:val="767171"/>
          <w:spacing w:val="20"/>
          <w:sz w:val="24"/>
          <w:szCs w:val="24"/>
        </w:rPr>
        <w:t>B</w:t>
      </w:r>
      <w:r w:rsidRPr="006A0747">
        <w:rPr>
          <w:rFonts w:ascii="Times New Roman" w:eastAsia="Calibri" w:hAnsi="Times New Roman" w:cs="Times New Roman"/>
          <w:color w:val="767171"/>
          <w:spacing w:val="20"/>
          <w:sz w:val="24"/>
          <w:szCs w:val="24"/>
        </w:rPr>
        <w:t>ancos</w:t>
      </w:r>
      <w:r w:rsidR="0099360C" w:rsidRPr="006A0747">
        <w:rPr>
          <w:rFonts w:ascii="Times New Roman" w:eastAsia="Calibri" w:hAnsi="Times New Roman" w:cs="Times New Roman"/>
          <w:color w:val="767171"/>
          <w:spacing w:val="20"/>
          <w:sz w:val="24"/>
          <w:szCs w:val="24"/>
        </w:rPr>
        <w:t xml:space="preserve"> realizó varias</w:t>
      </w:r>
      <w:r w:rsidRPr="006A0747">
        <w:rPr>
          <w:rFonts w:ascii="Times New Roman" w:eastAsia="Calibri" w:hAnsi="Times New Roman" w:cs="Times New Roman"/>
          <w:color w:val="767171"/>
          <w:spacing w:val="20"/>
          <w:sz w:val="24"/>
          <w:szCs w:val="24"/>
        </w:rPr>
        <w:t xml:space="preserve"> campañas</w:t>
      </w:r>
      <w:r w:rsidR="00734627" w:rsidRPr="006A0747">
        <w:rPr>
          <w:rFonts w:ascii="Times New Roman" w:eastAsia="Calibri" w:hAnsi="Times New Roman" w:cs="Times New Roman"/>
          <w:color w:val="767171"/>
          <w:spacing w:val="20"/>
          <w:sz w:val="24"/>
          <w:szCs w:val="24"/>
        </w:rPr>
        <w:t xml:space="preserve"> </w:t>
      </w:r>
      <w:r w:rsidR="004B426B" w:rsidRPr="006A0747">
        <w:rPr>
          <w:rFonts w:ascii="Times New Roman" w:eastAsia="Calibri" w:hAnsi="Times New Roman" w:cs="Times New Roman"/>
          <w:color w:val="767171"/>
          <w:spacing w:val="20"/>
          <w:sz w:val="24"/>
          <w:szCs w:val="24"/>
        </w:rPr>
        <w:t>con el objetivo de apoyar el logro de los resultados institucionales. Entre</w:t>
      </w:r>
      <w:r w:rsidR="00F00C4B" w:rsidRPr="006A0747">
        <w:rPr>
          <w:rFonts w:ascii="Times New Roman" w:eastAsia="Calibri" w:hAnsi="Times New Roman" w:cs="Times New Roman"/>
          <w:color w:val="767171"/>
          <w:spacing w:val="20"/>
          <w:sz w:val="24"/>
          <w:szCs w:val="24"/>
        </w:rPr>
        <w:t xml:space="preserve"> estas, se destacan</w:t>
      </w:r>
      <w:r w:rsidR="004B426B" w:rsidRPr="006A0747">
        <w:rPr>
          <w:rFonts w:ascii="Times New Roman" w:eastAsia="Calibri" w:hAnsi="Times New Roman" w:cs="Times New Roman"/>
          <w:color w:val="767171"/>
          <w:spacing w:val="20"/>
          <w:sz w:val="24"/>
          <w:szCs w:val="24"/>
        </w:rPr>
        <w:t xml:space="preserve"> las campañas</w:t>
      </w:r>
      <w:r w:rsidR="00CA6E90" w:rsidRPr="006A0747">
        <w:rPr>
          <w:rFonts w:ascii="Times New Roman" w:eastAsia="Calibri" w:hAnsi="Times New Roman" w:cs="Times New Roman"/>
          <w:color w:val="767171"/>
          <w:spacing w:val="20"/>
          <w:sz w:val="24"/>
          <w:szCs w:val="24"/>
        </w:rPr>
        <w:t xml:space="preserve"> </w:t>
      </w:r>
      <w:r w:rsidR="008722B6" w:rsidRPr="006A0747">
        <w:rPr>
          <w:rFonts w:ascii="Times New Roman" w:eastAsia="Calibri" w:hAnsi="Times New Roman" w:cs="Times New Roman"/>
          <w:color w:val="767171"/>
          <w:spacing w:val="20"/>
          <w:sz w:val="24"/>
          <w:szCs w:val="24"/>
        </w:rPr>
        <w:t>realizadas</w:t>
      </w:r>
      <w:r w:rsidRPr="006A0747">
        <w:rPr>
          <w:rFonts w:ascii="Times New Roman" w:eastAsia="Calibri" w:hAnsi="Times New Roman" w:cs="Times New Roman"/>
          <w:color w:val="767171"/>
          <w:spacing w:val="20"/>
          <w:sz w:val="24"/>
          <w:szCs w:val="24"/>
        </w:rPr>
        <w:t xml:space="preserve"> </w:t>
      </w:r>
      <w:r w:rsidR="009E15A0" w:rsidRPr="006A0747">
        <w:rPr>
          <w:rFonts w:ascii="Times New Roman" w:eastAsia="Calibri" w:hAnsi="Times New Roman" w:cs="Times New Roman"/>
          <w:color w:val="767171"/>
          <w:spacing w:val="20"/>
          <w:sz w:val="24"/>
          <w:szCs w:val="24"/>
        </w:rPr>
        <w:t xml:space="preserve">para </w:t>
      </w:r>
      <w:r w:rsidR="00F346B7" w:rsidRPr="006A0747">
        <w:rPr>
          <w:rFonts w:ascii="Times New Roman" w:eastAsia="Calibri" w:hAnsi="Times New Roman" w:cs="Times New Roman"/>
          <w:color w:val="767171"/>
          <w:spacing w:val="20"/>
          <w:sz w:val="24"/>
          <w:szCs w:val="24"/>
        </w:rPr>
        <w:t>fomentar el</w:t>
      </w:r>
      <w:r w:rsidR="001F63EC" w:rsidRPr="006A0747">
        <w:rPr>
          <w:rFonts w:ascii="Times New Roman" w:eastAsia="Calibri" w:hAnsi="Times New Roman" w:cs="Times New Roman"/>
          <w:color w:val="767171"/>
          <w:spacing w:val="20"/>
          <w:sz w:val="24"/>
          <w:szCs w:val="24"/>
        </w:rPr>
        <w:t xml:space="preserve"> uso de</w:t>
      </w:r>
      <w:r w:rsidR="008D4005" w:rsidRPr="006A0747">
        <w:rPr>
          <w:rFonts w:ascii="Times New Roman" w:eastAsia="Calibri" w:hAnsi="Times New Roman" w:cs="Times New Roman"/>
          <w:color w:val="767171"/>
          <w:spacing w:val="20"/>
          <w:sz w:val="24"/>
          <w:szCs w:val="24"/>
        </w:rPr>
        <w:t xml:space="preserve"> los</w:t>
      </w:r>
      <w:r w:rsidR="00452247" w:rsidRPr="006A0747">
        <w:rPr>
          <w:rFonts w:ascii="Times New Roman" w:eastAsia="Calibri" w:hAnsi="Times New Roman" w:cs="Times New Roman"/>
          <w:color w:val="767171"/>
          <w:spacing w:val="20"/>
          <w:sz w:val="24"/>
          <w:szCs w:val="24"/>
        </w:rPr>
        <w:t xml:space="preserve"> </w:t>
      </w:r>
      <w:r w:rsidR="001F63EC" w:rsidRPr="006A0747">
        <w:rPr>
          <w:rFonts w:ascii="Times New Roman" w:eastAsia="Calibri" w:hAnsi="Times New Roman" w:cs="Times New Roman"/>
          <w:color w:val="767171"/>
          <w:spacing w:val="20"/>
          <w:sz w:val="24"/>
          <w:szCs w:val="24"/>
        </w:rPr>
        <w:t>servicios</w:t>
      </w:r>
      <w:r w:rsidR="008D4005" w:rsidRPr="006A0747">
        <w:rPr>
          <w:rFonts w:ascii="Times New Roman" w:eastAsia="Calibri" w:hAnsi="Times New Roman" w:cs="Times New Roman"/>
          <w:color w:val="767171"/>
          <w:spacing w:val="20"/>
          <w:sz w:val="24"/>
          <w:szCs w:val="24"/>
        </w:rPr>
        <w:t xml:space="preserve"> de ProUsuario</w:t>
      </w:r>
      <w:r w:rsidR="00452247" w:rsidRPr="006A0747">
        <w:rPr>
          <w:rFonts w:ascii="Times New Roman" w:eastAsia="Calibri" w:hAnsi="Times New Roman" w:cs="Times New Roman"/>
          <w:color w:val="767171"/>
          <w:spacing w:val="20"/>
          <w:sz w:val="24"/>
          <w:szCs w:val="24"/>
        </w:rPr>
        <w:t>, los cuales están</w:t>
      </w:r>
      <w:r w:rsidR="001F63EC" w:rsidRPr="006A0747">
        <w:rPr>
          <w:rFonts w:ascii="Times New Roman" w:eastAsia="Calibri" w:hAnsi="Times New Roman" w:cs="Times New Roman"/>
          <w:color w:val="767171"/>
          <w:spacing w:val="20"/>
          <w:sz w:val="24"/>
          <w:szCs w:val="24"/>
        </w:rPr>
        <w:t xml:space="preserve"> orientados a </w:t>
      </w:r>
      <w:r w:rsidR="004528B8" w:rsidRPr="006A0747">
        <w:rPr>
          <w:rFonts w:ascii="Times New Roman" w:eastAsia="Calibri" w:hAnsi="Times New Roman" w:cs="Times New Roman"/>
          <w:color w:val="767171"/>
          <w:spacing w:val="20"/>
          <w:sz w:val="24"/>
          <w:szCs w:val="24"/>
        </w:rPr>
        <w:t xml:space="preserve">aumentar </w:t>
      </w:r>
      <w:r w:rsidR="00E03569" w:rsidRPr="006A0747">
        <w:rPr>
          <w:rFonts w:ascii="Times New Roman" w:eastAsia="Calibri" w:hAnsi="Times New Roman" w:cs="Times New Roman"/>
          <w:color w:val="767171"/>
          <w:spacing w:val="20"/>
          <w:sz w:val="24"/>
          <w:szCs w:val="24"/>
        </w:rPr>
        <w:t>la salud</w:t>
      </w:r>
      <w:r w:rsidR="00B41231" w:rsidRPr="006A0747">
        <w:rPr>
          <w:rFonts w:ascii="Times New Roman" w:eastAsia="Calibri" w:hAnsi="Times New Roman" w:cs="Times New Roman"/>
          <w:color w:val="767171"/>
          <w:spacing w:val="20"/>
          <w:sz w:val="24"/>
          <w:szCs w:val="24"/>
        </w:rPr>
        <w:t xml:space="preserve"> y el bienestar</w:t>
      </w:r>
      <w:r w:rsidR="002B33BE" w:rsidRPr="006A0747">
        <w:rPr>
          <w:rFonts w:ascii="Times New Roman" w:eastAsia="Calibri" w:hAnsi="Times New Roman" w:cs="Times New Roman"/>
          <w:color w:val="767171"/>
          <w:spacing w:val="20"/>
          <w:sz w:val="24"/>
          <w:szCs w:val="24"/>
        </w:rPr>
        <w:t xml:space="preserve"> financier</w:t>
      </w:r>
      <w:r w:rsidR="00B41231" w:rsidRPr="006A0747">
        <w:rPr>
          <w:rFonts w:ascii="Times New Roman" w:eastAsia="Calibri" w:hAnsi="Times New Roman" w:cs="Times New Roman"/>
          <w:color w:val="767171"/>
          <w:spacing w:val="20"/>
          <w:sz w:val="24"/>
          <w:szCs w:val="24"/>
        </w:rPr>
        <w:t>o</w:t>
      </w:r>
      <w:r w:rsidR="002B33BE" w:rsidRPr="006A0747">
        <w:rPr>
          <w:rFonts w:ascii="Times New Roman" w:eastAsia="Calibri" w:hAnsi="Times New Roman" w:cs="Times New Roman"/>
          <w:color w:val="767171"/>
          <w:spacing w:val="20"/>
          <w:sz w:val="24"/>
          <w:szCs w:val="24"/>
        </w:rPr>
        <w:t xml:space="preserve"> </w:t>
      </w:r>
      <w:r w:rsidR="00452247" w:rsidRPr="006A0747">
        <w:rPr>
          <w:rFonts w:ascii="Times New Roman" w:eastAsia="Calibri" w:hAnsi="Times New Roman" w:cs="Times New Roman"/>
          <w:color w:val="767171"/>
          <w:spacing w:val="20"/>
          <w:sz w:val="24"/>
          <w:szCs w:val="24"/>
        </w:rPr>
        <w:t>de</w:t>
      </w:r>
      <w:r w:rsidR="002B33BE" w:rsidRPr="006A0747">
        <w:rPr>
          <w:rFonts w:ascii="Times New Roman" w:eastAsia="Calibri" w:hAnsi="Times New Roman" w:cs="Times New Roman"/>
          <w:color w:val="767171"/>
          <w:spacing w:val="20"/>
          <w:sz w:val="24"/>
          <w:szCs w:val="24"/>
        </w:rPr>
        <w:t xml:space="preserve"> los usuarios del sistema</w:t>
      </w:r>
      <w:r w:rsidR="003945EF" w:rsidRPr="006A0747">
        <w:rPr>
          <w:rFonts w:ascii="Times New Roman" w:eastAsia="Calibri" w:hAnsi="Times New Roman" w:cs="Times New Roman"/>
          <w:color w:val="767171"/>
          <w:spacing w:val="20"/>
          <w:sz w:val="24"/>
          <w:szCs w:val="24"/>
        </w:rPr>
        <w:t xml:space="preserve">. Entre </w:t>
      </w:r>
      <w:r w:rsidR="00510E4F" w:rsidRPr="006A0747">
        <w:rPr>
          <w:rFonts w:ascii="Times New Roman" w:eastAsia="Calibri" w:hAnsi="Times New Roman" w:cs="Times New Roman"/>
          <w:color w:val="767171"/>
          <w:spacing w:val="20"/>
          <w:sz w:val="24"/>
          <w:szCs w:val="24"/>
        </w:rPr>
        <w:t xml:space="preserve">los servicios </w:t>
      </w:r>
      <w:r w:rsidR="007D3069" w:rsidRPr="006A0747">
        <w:rPr>
          <w:rFonts w:ascii="Times New Roman" w:eastAsia="Calibri" w:hAnsi="Times New Roman" w:cs="Times New Roman"/>
          <w:color w:val="767171"/>
          <w:spacing w:val="20"/>
          <w:sz w:val="24"/>
          <w:szCs w:val="24"/>
        </w:rPr>
        <w:t>promovidas se encuentran</w:t>
      </w:r>
      <w:r w:rsidR="008D0C80" w:rsidRPr="006A0747">
        <w:rPr>
          <w:rFonts w:ascii="Times New Roman" w:eastAsia="Calibri" w:hAnsi="Times New Roman" w:cs="Times New Roman"/>
          <w:color w:val="767171"/>
          <w:spacing w:val="20"/>
          <w:sz w:val="24"/>
          <w:szCs w:val="24"/>
        </w:rPr>
        <w:t>:</w:t>
      </w:r>
    </w:p>
    <w:p w14:paraId="2A561A32" w14:textId="6518CFF2" w:rsidR="00C6141F" w:rsidRPr="006A0747" w:rsidRDefault="007517F7" w:rsidP="008D0C80">
      <w:pPr>
        <w:pStyle w:val="Prrafodelista"/>
        <w:numPr>
          <w:ilvl w:val="0"/>
          <w:numId w:val="20"/>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La aplicación</w:t>
      </w:r>
      <w:r w:rsidR="005413E8" w:rsidRPr="006A0747">
        <w:rPr>
          <w:rFonts w:ascii="Times New Roman" w:eastAsia="Calibri" w:hAnsi="Times New Roman" w:cs="Times New Roman"/>
          <w:color w:val="767171"/>
          <w:spacing w:val="20"/>
          <w:sz w:val="24"/>
          <w:szCs w:val="24"/>
        </w:rPr>
        <w:t xml:space="preserve"> ProUsuario, que </w:t>
      </w:r>
      <w:r w:rsidR="002A2ED8" w:rsidRPr="006A0747">
        <w:rPr>
          <w:rFonts w:ascii="Times New Roman" w:eastAsia="Calibri" w:hAnsi="Times New Roman" w:cs="Times New Roman"/>
          <w:color w:val="767171"/>
          <w:spacing w:val="20"/>
          <w:sz w:val="24"/>
          <w:szCs w:val="24"/>
        </w:rPr>
        <w:t xml:space="preserve">a noviembre de este año </w:t>
      </w:r>
      <w:r w:rsidR="005413E8" w:rsidRPr="006A0747">
        <w:rPr>
          <w:rFonts w:ascii="Times New Roman" w:eastAsia="Calibri" w:hAnsi="Times New Roman" w:cs="Times New Roman"/>
          <w:color w:val="767171"/>
          <w:spacing w:val="20"/>
          <w:sz w:val="24"/>
          <w:szCs w:val="24"/>
        </w:rPr>
        <w:t>ya ha superado las 340,000 descargas.</w:t>
      </w:r>
    </w:p>
    <w:p w14:paraId="49499159" w14:textId="4056BC54" w:rsidR="00C25087" w:rsidRPr="006A0747" w:rsidRDefault="0001311D" w:rsidP="008D0C80">
      <w:pPr>
        <w:pStyle w:val="Prrafodelista"/>
        <w:numPr>
          <w:ilvl w:val="0"/>
          <w:numId w:val="20"/>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La nueva</w:t>
      </w:r>
      <w:r w:rsidR="00721962" w:rsidRPr="006A0747">
        <w:rPr>
          <w:rFonts w:ascii="Times New Roman" w:eastAsia="Calibri" w:hAnsi="Times New Roman" w:cs="Times New Roman"/>
          <w:color w:val="767171"/>
          <w:spacing w:val="20"/>
          <w:sz w:val="24"/>
          <w:szCs w:val="24"/>
        </w:rPr>
        <w:t xml:space="preserve"> </w:t>
      </w:r>
      <w:r w:rsidR="0099360C" w:rsidRPr="006A0747">
        <w:rPr>
          <w:rFonts w:ascii="Times New Roman" w:eastAsia="Calibri" w:hAnsi="Times New Roman" w:cs="Times New Roman"/>
          <w:color w:val="767171"/>
          <w:spacing w:val="20"/>
          <w:sz w:val="24"/>
          <w:szCs w:val="24"/>
        </w:rPr>
        <w:t>“plantilla de presupuesto”</w:t>
      </w:r>
      <w:r w:rsidR="00E72E90" w:rsidRPr="006A0747">
        <w:rPr>
          <w:rFonts w:ascii="Times New Roman" w:eastAsia="Calibri" w:hAnsi="Times New Roman" w:cs="Times New Roman"/>
          <w:color w:val="767171"/>
          <w:spacing w:val="20"/>
          <w:sz w:val="24"/>
          <w:szCs w:val="24"/>
        </w:rPr>
        <w:t xml:space="preserve"> colgada en </w:t>
      </w:r>
      <w:r w:rsidR="002A1C79" w:rsidRPr="006A0747">
        <w:rPr>
          <w:rFonts w:ascii="Times New Roman" w:eastAsia="Calibri" w:hAnsi="Times New Roman" w:cs="Times New Roman"/>
          <w:color w:val="767171"/>
          <w:spacing w:val="20"/>
          <w:sz w:val="24"/>
          <w:szCs w:val="24"/>
        </w:rPr>
        <w:t>la aplicación</w:t>
      </w:r>
      <w:r w:rsidR="00E72E90" w:rsidRPr="006A0747">
        <w:rPr>
          <w:rFonts w:ascii="Times New Roman" w:eastAsia="Calibri" w:hAnsi="Times New Roman" w:cs="Times New Roman"/>
          <w:color w:val="767171"/>
          <w:spacing w:val="20"/>
          <w:sz w:val="24"/>
          <w:szCs w:val="24"/>
        </w:rPr>
        <w:t xml:space="preserve"> ProUsuario y en el portal web. Esta plantilla está</w:t>
      </w:r>
      <w:r w:rsidRPr="006A0747">
        <w:rPr>
          <w:rFonts w:ascii="Times New Roman" w:eastAsia="Calibri" w:hAnsi="Times New Roman" w:cs="Times New Roman"/>
          <w:color w:val="767171"/>
          <w:spacing w:val="20"/>
          <w:sz w:val="24"/>
          <w:szCs w:val="24"/>
        </w:rPr>
        <w:t xml:space="preserve"> diseñada para ayudar a sus usuarios a elaborar </w:t>
      </w:r>
      <w:r w:rsidR="00B91E59" w:rsidRPr="006A0747">
        <w:rPr>
          <w:rFonts w:ascii="Times New Roman" w:eastAsia="Calibri" w:hAnsi="Times New Roman" w:cs="Times New Roman"/>
          <w:color w:val="767171"/>
          <w:spacing w:val="20"/>
          <w:sz w:val="24"/>
          <w:szCs w:val="24"/>
        </w:rPr>
        <w:t>presupuestos personales de gasto.</w:t>
      </w:r>
    </w:p>
    <w:p w14:paraId="4C2CCE23" w14:textId="130D4E20" w:rsidR="00C25087" w:rsidRPr="006A0747" w:rsidRDefault="00C25087" w:rsidP="008D0C80">
      <w:pPr>
        <w:pStyle w:val="Prrafodelista"/>
        <w:numPr>
          <w:ilvl w:val="0"/>
          <w:numId w:val="20"/>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Nueva funcionalidad de</w:t>
      </w:r>
      <w:r w:rsidR="00B432B8" w:rsidRPr="006A0747">
        <w:rPr>
          <w:rFonts w:ascii="Times New Roman" w:eastAsia="Calibri" w:hAnsi="Times New Roman" w:cs="Times New Roman"/>
          <w:color w:val="767171"/>
          <w:spacing w:val="20"/>
          <w:sz w:val="24"/>
          <w:szCs w:val="24"/>
        </w:rPr>
        <w:t xml:space="preserve"> la aplicación</w:t>
      </w:r>
      <w:r w:rsidRPr="006A0747">
        <w:rPr>
          <w:rFonts w:ascii="Times New Roman" w:eastAsia="Calibri" w:hAnsi="Times New Roman" w:cs="Times New Roman"/>
          <w:color w:val="767171"/>
          <w:spacing w:val="20"/>
          <w:sz w:val="24"/>
          <w:szCs w:val="24"/>
        </w:rPr>
        <w:t xml:space="preserve"> </w:t>
      </w:r>
      <w:r w:rsidR="0099360C" w:rsidRPr="006A0747">
        <w:rPr>
          <w:rFonts w:ascii="Times New Roman" w:eastAsia="Calibri" w:hAnsi="Times New Roman" w:cs="Times New Roman"/>
          <w:color w:val="767171"/>
          <w:spacing w:val="20"/>
          <w:sz w:val="24"/>
          <w:szCs w:val="24"/>
        </w:rPr>
        <w:t xml:space="preserve">“llamadas no deseadas”, que facilita a </w:t>
      </w:r>
      <w:proofErr w:type="gramStart"/>
      <w:r w:rsidR="0099360C" w:rsidRPr="006A0747">
        <w:rPr>
          <w:rFonts w:ascii="Times New Roman" w:eastAsia="Calibri" w:hAnsi="Times New Roman" w:cs="Times New Roman"/>
          <w:color w:val="767171"/>
          <w:spacing w:val="20"/>
          <w:sz w:val="24"/>
          <w:szCs w:val="24"/>
        </w:rPr>
        <w:t>los usuarios y las usuarias</w:t>
      </w:r>
      <w:proofErr w:type="gramEnd"/>
      <w:r w:rsidR="0099360C" w:rsidRPr="006A0747">
        <w:rPr>
          <w:rFonts w:ascii="Times New Roman" w:eastAsia="Calibri" w:hAnsi="Times New Roman" w:cs="Times New Roman"/>
          <w:color w:val="767171"/>
          <w:spacing w:val="20"/>
          <w:sz w:val="24"/>
          <w:szCs w:val="24"/>
        </w:rPr>
        <w:t xml:space="preserve"> la posibilidad de solicitar a las entidades que les eliminen de sus listas de promoción de productos</w:t>
      </w:r>
    </w:p>
    <w:p w14:paraId="2EE22302" w14:textId="0D833D5A" w:rsidR="004A2F2C" w:rsidRPr="006A0747" w:rsidRDefault="00C25087" w:rsidP="008D0C80">
      <w:pPr>
        <w:pStyle w:val="Prrafodelista"/>
        <w:numPr>
          <w:ilvl w:val="0"/>
          <w:numId w:val="20"/>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Nueva funcionalidad</w:t>
      </w:r>
      <w:r w:rsidR="00912FE3" w:rsidRPr="006A0747">
        <w:rPr>
          <w:rFonts w:ascii="Times New Roman" w:eastAsia="Calibri" w:hAnsi="Times New Roman" w:cs="Times New Roman"/>
          <w:color w:val="767171"/>
          <w:spacing w:val="20"/>
          <w:sz w:val="24"/>
          <w:szCs w:val="24"/>
        </w:rPr>
        <w:t xml:space="preserve"> de</w:t>
      </w:r>
      <w:r w:rsidRPr="006A0747">
        <w:rPr>
          <w:rFonts w:ascii="Times New Roman" w:eastAsia="Calibri" w:hAnsi="Times New Roman" w:cs="Times New Roman"/>
          <w:color w:val="767171"/>
          <w:spacing w:val="20"/>
          <w:sz w:val="24"/>
          <w:szCs w:val="24"/>
        </w:rPr>
        <w:t xml:space="preserve"> </w:t>
      </w:r>
      <w:r w:rsidR="00B432B8" w:rsidRPr="006A0747">
        <w:rPr>
          <w:rFonts w:ascii="Times New Roman" w:eastAsia="Calibri" w:hAnsi="Times New Roman" w:cs="Times New Roman"/>
          <w:color w:val="767171"/>
          <w:spacing w:val="20"/>
          <w:sz w:val="24"/>
          <w:szCs w:val="24"/>
        </w:rPr>
        <w:t>la aplicación</w:t>
      </w:r>
      <w:r w:rsidRPr="006A0747">
        <w:rPr>
          <w:rFonts w:ascii="Times New Roman" w:eastAsia="Calibri" w:hAnsi="Times New Roman" w:cs="Times New Roman"/>
          <w:color w:val="767171"/>
          <w:spacing w:val="20"/>
          <w:sz w:val="24"/>
          <w:szCs w:val="24"/>
        </w:rPr>
        <w:t xml:space="preserve"> </w:t>
      </w:r>
      <w:r w:rsidR="008722B6" w:rsidRPr="006A0747">
        <w:rPr>
          <w:rFonts w:ascii="Times New Roman" w:eastAsia="Calibri" w:hAnsi="Times New Roman" w:cs="Times New Roman"/>
          <w:color w:val="767171"/>
          <w:spacing w:val="20"/>
          <w:sz w:val="24"/>
          <w:szCs w:val="24"/>
        </w:rPr>
        <w:t>“M</w:t>
      </w:r>
      <w:r w:rsidR="0099360C" w:rsidRPr="006A0747">
        <w:rPr>
          <w:rFonts w:ascii="Times New Roman" w:eastAsia="Calibri" w:hAnsi="Times New Roman" w:cs="Times New Roman"/>
          <w:color w:val="767171"/>
          <w:spacing w:val="20"/>
          <w:sz w:val="24"/>
          <w:szCs w:val="24"/>
        </w:rPr>
        <w:t xml:space="preserve">apa </w:t>
      </w:r>
      <w:r w:rsidR="008722B6" w:rsidRPr="006A0747">
        <w:rPr>
          <w:rFonts w:ascii="Times New Roman" w:eastAsia="Calibri" w:hAnsi="Times New Roman" w:cs="Times New Roman"/>
          <w:color w:val="767171"/>
          <w:spacing w:val="20"/>
          <w:sz w:val="24"/>
          <w:szCs w:val="24"/>
        </w:rPr>
        <w:t>B</w:t>
      </w:r>
      <w:r w:rsidR="0099360C" w:rsidRPr="006A0747">
        <w:rPr>
          <w:rFonts w:ascii="Times New Roman" w:eastAsia="Calibri" w:hAnsi="Times New Roman" w:cs="Times New Roman"/>
          <w:color w:val="767171"/>
          <w:spacing w:val="20"/>
          <w:sz w:val="24"/>
          <w:szCs w:val="24"/>
        </w:rPr>
        <w:t>ancario</w:t>
      </w:r>
      <w:r w:rsidR="008722B6" w:rsidRPr="006A0747">
        <w:rPr>
          <w:rFonts w:ascii="Times New Roman" w:eastAsia="Calibri" w:hAnsi="Times New Roman" w:cs="Times New Roman"/>
          <w:color w:val="767171"/>
          <w:spacing w:val="20"/>
          <w:sz w:val="24"/>
          <w:szCs w:val="24"/>
        </w:rPr>
        <w:t>”</w:t>
      </w:r>
      <w:r w:rsidR="0099360C" w:rsidRPr="006A0747">
        <w:rPr>
          <w:rFonts w:ascii="Times New Roman" w:eastAsia="Calibri" w:hAnsi="Times New Roman" w:cs="Times New Roman"/>
          <w:color w:val="767171"/>
          <w:spacing w:val="20"/>
          <w:sz w:val="24"/>
          <w:szCs w:val="24"/>
        </w:rPr>
        <w:t>, que geolocaliza todas las sucursales, cajeros y subagentes en el territorio nacional.</w:t>
      </w:r>
    </w:p>
    <w:p w14:paraId="69BD5475" w14:textId="50BF8A3A" w:rsidR="00F81E3B" w:rsidRPr="006A0747" w:rsidRDefault="0078775B" w:rsidP="008D0C80">
      <w:pPr>
        <w:pStyle w:val="Prrafodelista"/>
        <w:numPr>
          <w:ilvl w:val="0"/>
          <w:numId w:val="20"/>
        </w:num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Servicios legales </w:t>
      </w:r>
      <w:r w:rsidR="00475BA3" w:rsidRPr="006A0747">
        <w:rPr>
          <w:rFonts w:ascii="Times New Roman" w:eastAsia="Calibri" w:hAnsi="Times New Roman" w:cs="Times New Roman"/>
          <w:color w:val="767171"/>
          <w:spacing w:val="20"/>
          <w:sz w:val="24"/>
          <w:szCs w:val="24"/>
        </w:rPr>
        <w:t>gratuitos y virtuales</w:t>
      </w:r>
      <w:r w:rsidR="00912FE3" w:rsidRPr="006A0747">
        <w:rPr>
          <w:rFonts w:ascii="Times New Roman" w:eastAsia="Calibri" w:hAnsi="Times New Roman" w:cs="Times New Roman"/>
          <w:color w:val="767171"/>
          <w:spacing w:val="20"/>
          <w:sz w:val="24"/>
          <w:szCs w:val="24"/>
        </w:rPr>
        <w:t>.</w:t>
      </w:r>
      <w:r w:rsidR="0099360C" w:rsidRPr="006A0747">
        <w:rPr>
          <w:rFonts w:ascii="Times New Roman" w:eastAsia="Calibri" w:hAnsi="Times New Roman" w:cs="Times New Roman"/>
          <w:color w:val="767171"/>
          <w:spacing w:val="20"/>
          <w:sz w:val="24"/>
          <w:szCs w:val="24"/>
        </w:rPr>
        <w:t xml:space="preserve"> </w:t>
      </w:r>
    </w:p>
    <w:p w14:paraId="7F37B704" w14:textId="59C806E5" w:rsidR="0099360C" w:rsidRPr="006A0747" w:rsidRDefault="000D5C23" w:rsidP="0099360C">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lastRenderedPageBreak/>
        <w:t xml:space="preserve">Así mismo, la institución </w:t>
      </w:r>
      <w:r w:rsidR="0099360C" w:rsidRPr="006A0747">
        <w:rPr>
          <w:rFonts w:ascii="Times New Roman" w:eastAsia="Calibri" w:hAnsi="Times New Roman" w:cs="Times New Roman"/>
          <w:color w:val="767171"/>
          <w:spacing w:val="20"/>
          <w:sz w:val="24"/>
          <w:szCs w:val="24"/>
        </w:rPr>
        <w:t>también se mantiene publicando artículos especializados a través de su blog institucional alojado en el portal web. En este se analizan temas relacionados con la legislación bancaria, los derechos y deberes de los usuarios, el rol de la institución y su estrategia de supervisión, entre otros tópicos.</w:t>
      </w:r>
    </w:p>
    <w:p w14:paraId="0807D573" w14:textId="0D347E04" w:rsidR="0099360C" w:rsidRPr="006A0747" w:rsidRDefault="00E72E90" w:rsidP="0099360C">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Concomitantemente</w:t>
      </w:r>
      <w:r w:rsidR="002F06AC" w:rsidRPr="006A0747">
        <w:rPr>
          <w:rFonts w:ascii="Times New Roman" w:eastAsia="Calibri" w:hAnsi="Times New Roman" w:cs="Times New Roman"/>
          <w:color w:val="767171"/>
          <w:spacing w:val="20"/>
          <w:sz w:val="24"/>
          <w:szCs w:val="24"/>
        </w:rPr>
        <w:t>, l</w:t>
      </w:r>
      <w:r w:rsidR="0099360C" w:rsidRPr="006A0747">
        <w:rPr>
          <w:rFonts w:ascii="Times New Roman" w:eastAsia="Calibri" w:hAnsi="Times New Roman" w:cs="Times New Roman"/>
          <w:color w:val="767171"/>
          <w:spacing w:val="20"/>
          <w:sz w:val="24"/>
          <w:szCs w:val="24"/>
        </w:rPr>
        <w:t xml:space="preserve">a Superintendencia de Bancos también mantiene una comunicación fluida con los medios de comunicación masivos, a los cuales ha servido en promedio cuatro notas de prensa por mes en este </w:t>
      </w:r>
      <w:r w:rsidR="001A6350" w:rsidRPr="006A0747">
        <w:rPr>
          <w:rFonts w:ascii="Times New Roman" w:eastAsia="Calibri" w:hAnsi="Times New Roman" w:cs="Times New Roman"/>
          <w:color w:val="767171"/>
          <w:spacing w:val="20"/>
          <w:sz w:val="24"/>
          <w:szCs w:val="24"/>
        </w:rPr>
        <w:t>año</w:t>
      </w:r>
      <w:r w:rsidR="001D7BF7" w:rsidRPr="006A0747">
        <w:rPr>
          <w:rFonts w:ascii="Times New Roman" w:eastAsia="Calibri" w:hAnsi="Times New Roman" w:cs="Times New Roman"/>
          <w:color w:val="767171"/>
          <w:spacing w:val="20"/>
          <w:sz w:val="24"/>
          <w:szCs w:val="24"/>
        </w:rPr>
        <w:t>.</w:t>
      </w:r>
      <w:r w:rsidR="0099360C" w:rsidRPr="006A0747">
        <w:rPr>
          <w:rFonts w:ascii="Times New Roman" w:eastAsia="Calibri" w:hAnsi="Times New Roman" w:cs="Times New Roman"/>
          <w:color w:val="767171"/>
          <w:spacing w:val="20"/>
          <w:sz w:val="24"/>
          <w:szCs w:val="24"/>
        </w:rPr>
        <w:t xml:space="preserve"> Gracias a estas activaciones de prensa y a informaciones generadas por iniciativa de los mismos medios, la SB acumuló 2,000 menciones en medios impresos y digitales, radio y televisión. Las menciones positivas o neutrales sumaron un promedio de 96% hasta </w:t>
      </w:r>
      <w:r w:rsidR="002F06AC" w:rsidRPr="006A0747">
        <w:rPr>
          <w:rFonts w:ascii="Times New Roman" w:eastAsia="Calibri" w:hAnsi="Times New Roman" w:cs="Times New Roman"/>
          <w:color w:val="767171"/>
          <w:spacing w:val="20"/>
          <w:sz w:val="24"/>
          <w:szCs w:val="24"/>
        </w:rPr>
        <w:t>mes de</w:t>
      </w:r>
      <w:r w:rsidR="0099360C" w:rsidRPr="006A0747">
        <w:rPr>
          <w:rFonts w:ascii="Times New Roman" w:eastAsia="Calibri" w:hAnsi="Times New Roman" w:cs="Times New Roman"/>
          <w:color w:val="767171"/>
          <w:spacing w:val="20"/>
          <w:sz w:val="24"/>
          <w:szCs w:val="24"/>
        </w:rPr>
        <w:t xml:space="preserve"> octubre. </w:t>
      </w:r>
    </w:p>
    <w:p w14:paraId="2F944D1C" w14:textId="2C37248A" w:rsidR="00220AE0" w:rsidRPr="006A0747" w:rsidRDefault="00B3310C" w:rsidP="00594369">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Por otro lado, c</w:t>
      </w:r>
      <w:r w:rsidR="0099360C" w:rsidRPr="006A0747">
        <w:rPr>
          <w:rFonts w:ascii="Times New Roman" w:eastAsia="Calibri" w:hAnsi="Times New Roman" w:cs="Times New Roman"/>
          <w:color w:val="767171"/>
          <w:spacing w:val="20"/>
          <w:sz w:val="24"/>
          <w:szCs w:val="24"/>
        </w:rPr>
        <w:t xml:space="preserve">omo parte de </w:t>
      </w:r>
      <w:r w:rsidR="000D5C23" w:rsidRPr="006A0747">
        <w:rPr>
          <w:rFonts w:ascii="Times New Roman" w:eastAsia="Calibri" w:hAnsi="Times New Roman" w:cs="Times New Roman"/>
          <w:color w:val="767171"/>
          <w:spacing w:val="20"/>
          <w:sz w:val="24"/>
          <w:szCs w:val="24"/>
        </w:rPr>
        <w:t>las</w:t>
      </w:r>
      <w:r w:rsidR="0099360C" w:rsidRPr="006A0747">
        <w:rPr>
          <w:rFonts w:ascii="Times New Roman" w:eastAsia="Calibri" w:hAnsi="Times New Roman" w:cs="Times New Roman"/>
          <w:color w:val="767171"/>
          <w:spacing w:val="20"/>
          <w:sz w:val="24"/>
          <w:szCs w:val="24"/>
        </w:rPr>
        <w:t xml:space="preserve"> acciones de rendición de cuentas, la S</w:t>
      </w:r>
      <w:r w:rsidR="000D5C23" w:rsidRPr="006A0747">
        <w:rPr>
          <w:rFonts w:ascii="Times New Roman" w:eastAsia="Calibri" w:hAnsi="Times New Roman" w:cs="Times New Roman"/>
          <w:color w:val="767171"/>
          <w:spacing w:val="20"/>
          <w:sz w:val="24"/>
          <w:szCs w:val="24"/>
        </w:rPr>
        <w:t xml:space="preserve">uperintendencia de </w:t>
      </w:r>
      <w:r w:rsidR="0099360C" w:rsidRPr="006A0747">
        <w:rPr>
          <w:rFonts w:ascii="Times New Roman" w:eastAsia="Calibri" w:hAnsi="Times New Roman" w:cs="Times New Roman"/>
          <w:color w:val="767171"/>
          <w:spacing w:val="20"/>
          <w:sz w:val="24"/>
          <w:szCs w:val="24"/>
        </w:rPr>
        <w:t>B</w:t>
      </w:r>
      <w:r w:rsidR="000D5C23" w:rsidRPr="006A0747">
        <w:rPr>
          <w:rFonts w:ascii="Times New Roman" w:eastAsia="Calibri" w:hAnsi="Times New Roman" w:cs="Times New Roman"/>
          <w:color w:val="767171"/>
          <w:spacing w:val="20"/>
          <w:sz w:val="24"/>
          <w:szCs w:val="24"/>
        </w:rPr>
        <w:t>ancos</w:t>
      </w:r>
      <w:r w:rsidR="0099360C" w:rsidRPr="006A0747">
        <w:rPr>
          <w:rFonts w:ascii="Times New Roman" w:eastAsia="Calibri" w:hAnsi="Times New Roman" w:cs="Times New Roman"/>
          <w:color w:val="767171"/>
          <w:spacing w:val="20"/>
          <w:sz w:val="24"/>
          <w:szCs w:val="24"/>
        </w:rPr>
        <w:t xml:space="preserve"> elaboró un informe de gestión, el cual</w:t>
      </w:r>
      <w:r w:rsidR="000D5C23" w:rsidRPr="006A0747">
        <w:rPr>
          <w:rFonts w:ascii="Times New Roman" w:eastAsia="Calibri" w:hAnsi="Times New Roman" w:cs="Times New Roman"/>
          <w:color w:val="767171"/>
          <w:spacing w:val="20"/>
          <w:sz w:val="24"/>
          <w:szCs w:val="24"/>
        </w:rPr>
        <w:t xml:space="preserve"> presenta los principales logros de </w:t>
      </w:r>
      <w:r w:rsidR="007601CF" w:rsidRPr="006A0747">
        <w:rPr>
          <w:rFonts w:ascii="Times New Roman" w:eastAsia="Calibri" w:hAnsi="Times New Roman" w:cs="Times New Roman"/>
          <w:color w:val="767171"/>
          <w:spacing w:val="20"/>
          <w:sz w:val="24"/>
          <w:szCs w:val="24"/>
        </w:rPr>
        <w:t>la gestión</w:t>
      </w:r>
      <w:r w:rsidR="000D5C23" w:rsidRPr="006A0747">
        <w:rPr>
          <w:rFonts w:ascii="Times New Roman" w:eastAsia="Calibri" w:hAnsi="Times New Roman" w:cs="Times New Roman"/>
          <w:color w:val="767171"/>
          <w:spacing w:val="20"/>
          <w:sz w:val="24"/>
          <w:szCs w:val="24"/>
        </w:rPr>
        <w:t xml:space="preserve"> desde 2020 hasta Julio 2024</w:t>
      </w:r>
      <w:r w:rsidR="0099360C" w:rsidRPr="006A0747">
        <w:rPr>
          <w:rFonts w:ascii="Times New Roman" w:eastAsia="Calibri" w:hAnsi="Times New Roman" w:cs="Times New Roman"/>
          <w:color w:val="767171"/>
          <w:spacing w:val="20"/>
          <w:sz w:val="24"/>
          <w:szCs w:val="24"/>
        </w:rPr>
        <w:t>. Este informe de gestión fue presentado en un acto encabezado por el presidente de la República, Luis Abinader Corona, en la sede de la SB, el pasado 17 de julio</w:t>
      </w:r>
      <w:r w:rsidR="0039471F" w:rsidRPr="006A0747">
        <w:rPr>
          <w:rFonts w:ascii="Times New Roman" w:eastAsia="Calibri" w:hAnsi="Times New Roman" w:cs="Times New Roman"/>
          <w:color w:val="767171"/>
          <w:spacing w:val="20"/>
          <w:sz w:val="24"/>
          <w:szCs w:val="24"/>
        </w:rPr>
        <w:t xml:space="preserve"> del 2024</w:t>
      </w:r>
      <w:r w:rsidR="0099360C" w:rsidRPr="006A0747">
        <w:rPr>
          <w:rFonts w:ascii="Times New Roman" w:eastAsia="Calibri" w:hAnsi="Times New Roman" w:cs="Times New Roman"/>
          <w:color w:val="767171"/>
          <w:spacing w:val="20"/>
          <w:sz w:val="24"/>
          <w:szCs w:val="24"/>
        </w:rPr>
        <w:t>.</w:t>
      </w:r>
    </w:p>
    <w:p w14:paraId="675EE4B7" w14:textId="77777777" w:rsidR="000D5C23" w:rsidRPr="006A0747" w:rsidRDefault="000D5C23" w:rsidP="00594369">
      <w:pPr>
        <w:spacing w:line="360" w:lineRule="auto"/>
        <w:jc w:val="both"/>
        <w:rPr>
          <w:rFonts w:ascii="Times New Roman" w:eastAsia="Calibri" w:hAnsi="Times New Roman" w:cs="Times New Roman"/>
          <w:color w:val="767171"/>
          <w:spacing w:val="20"/>
          <w:sz w:val="24"/>
          <w:szCs w:val="24"/>
        </w:rPr>
      </w:pPr>
    </w:p>
    <w:p w14:paraId="3E792D80" w14:textId="77777777" w:rsidR="00594369" w:rsidRPr="006A0747" w:rsidRDefault="009134A3" w:rsidP="00594369">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t>Interacciones en las redes sociales</w:t>
      </w:r>
    </w:p>
    <w:bookmarkEnd w:id="55"/>
    <w:p w14:paraId="49D36C5A" w14:textId="77777777" w:rsidR="00DE0C9B" w:rsidRPr="006A0747" w:rsidRDefault="00DE0C9B" w:rsidP="00DE0C9B">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En cuanto a las interacciones en redes sociales, la Superintendencia de Bancos ha trabajado para mantener una presencia activa en las plataformas X, Facebook, Instagram, YouTube y LinkedIn. A través de estas plataformas, ha logrado construir una comunidad de 144,702 seguidores, distribuidos de la siguiente manera: 56,562 en Instagram, 11,000 en Facebook, 25,400 en X y 50,000 en LinkedIn. Durante el año 2024, se publicaron 213 contenidos en X, 180 en Facebook, 216 en Instagram y 58 en LinkedIn.</w:t>
      </w:r>
    </w:p>
    <w:p w14:paraId="4EF0A544" w14:textId="77777777" w:rsidR="00DE0C9B" w:rsidRPr="006A0747" w:rsidRDefault="00DE0C9B" w:rsidP="00DE0C9B">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lastRenderedPageBreak/>
        <w:t>De igual manera, las redes sociales de ProUsuario continúa posicionándose como medio de comunicación y de interacción con los usuarios de los servicios financieros, acumulando un total de 81,961 seguidores, distribuidos de la siguiente manera: 14,261 en X; 2,400 en Facebook; 60,020 en Instagram, y 5,280 en YouTube. Desde ProUsuario se registraron un total de 1,192 publicaciones y 678 consultas e inquietudes que fueron atendidas en el año 2024.</w:t>
      </w:r>
    </w:p>
    <w:p w14:paraId="3D356782" w14:textId="77777777" w:rsidR="005F330E" w:rsidRPr="006A0747" w:rsidRDefault="005F330E" w:rsidP="00594369">
      <w:pPr>
        <w:spacing w:line="360" w:lineRule="auto"/>
        <w:jc w:val="both"/>
        <w:rPr>
          <w:rFonts w:ascii="Times New Roman" w:eastAsia="Calibri" w:hAnsi="Times New Roman" w:cs="Times New Roman"/>
          <w:color w:val="2E74B5" w:themeColor="accent5" w:themeShade="BF"/>
          <w:spacing w:val="20"/>
          <w:sz w:val="24"/>
          <w:szCs w:val="24"/>
        </w:rPr>
      </w:pPr>
    </w:p>
    <w:p w14:paraId="43BF33B3" w14:textId="29A94B5C" w:rsidR="00C759FD" w:rsidRPr="006A0747" w:rsidRDefault="00737FF1" w:rsidP="000813B9">
      <w:pPr>
        <w:pStyle w:val="Ttulo2"/>
        <w:numPr>
          <w:ilvl w:val="1"/>
          <w:numId w:val="17"/>
        </w:numPr>
        <w:rPr>
          <w:rFonts w:ascii="Times New Roman" w:eastAsia="Calibri" w:hAnsi="Times New Roman" w:cs="Times New Roman"/>
          <w:b/>
          <w:color w:val="767171"/>
          <w:spacing w:val="20"/>
          <w:sz w:val="24"/>
          <w:szCs w:val="24"/>
        </w:rPr>
      </w:pPr>
      <w:bookmarkStart w:id="56" w:name="_Toc185275011"/>
      <w:r w:rsidRPr="006A0747">
        <w:rPr>
          <w:rFonts w:ascii="Times New Roman" w:eastAsia="Calibri" w:hAnsi="Times New Roman" w:cs="Times New Roman"/>
          <w:b/>
          <w:color w:val="767171"/>
          <w:spacing w:val="20"/>
          <w:sz w:val="24"/>
          <w:szCs w:val="24"/>
        </w:rPr>
        <w:t>Infraestructura Física</w:t>
      </w:r>
      <w:bookmarkEnd w:id="56"/>
    </w:p>
    <w:p w14:paraId="399D0EEF" w14:textId="77777777" w:rsidR="00C759FD" w:rsidRPr="006A0747" w:rsidRDefault="00C759FD" w:rsidP="00C759FD">
      <w:pPr>
        <w:rPr>
          <w:color w:val="767171"/>
        </w:rPr>
      </w:pPr>
    </w:p>
    <w:p w14:paraId="0DE2ACF1" w14:textId="05A6D2CB" w:rsidR="004757AA" w:rsidRPr="006A0747" w:rsidRDefault="004757AA" w:rsidP="004757AA">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Durante este período, la Superintendencia de Bancos completó una transformación profunda, integral y extensa de sus instalaciones físicas, un proceso que había comenzado más de un año atrás. Desde hacía décadas, las instalaciones necesitaban ser renovadas para cumplir con las normativas vigentes, optimizar el uso del espacio para las operaciones diarias y garantizar un entorno más seguro para todos sus colaboradores.</w:t>
      </w:r>
    </w:p>
    <w:p w14:paraId="1D5D8A5C" w14:textId="6CF879AF" w:rsidR="004757AA" w:rsidRPr="006A0747" w:rsidRDefault="004757AA" w:rsidP="004757AA">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Los proyectos incluyeron la renovación del edificio central, la Oficina Regional Norte en Santiago, y las oficinas de ProUsuario e IFIL en Santo Domingo. Además, se habilitó una sede secundaria, conocida como SB2, para albergar las operaciones de los departamentos Administrativo y Financiero, y Gestión Humana.</w:t>
      </w:r>
    </w:p>
    <w:p w14:paraId="760DE946" w14:textId="0F5AB042" w:rsidR="004757AA" w:rsidRPr="006A0747" w:rsidRDefault="004757AA" w:rsidP="004757AA">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En la sede principal, se realizaron diversas modificaciones, entre ellas, el fortalecimiento estructural del edificio anexo de Supervisión. Estas mejoras han contribuido a la mitigación de riesgos y garantizan el cumplimiento de las normativas sísmicas vigentes en el país. </w:t>
      </w:r>
      <w:r w:rsidR="00053FAB" w:rsidRPr="006A0747">
        <w:rPr>
          <w:rFonts w:ascii="Times New Roman" w:eastAsia="Calibri" w:hAnsi="Times New Roman" w:cs="Times New Roman"/>
          <w:color w:val="767171"/>
          <w:spacing w:val="20"/>
          <w:sz w:val="24"/>
          <w:szCs w:val="24"/>
        </w:rPr>
        <w:t>Además, se llevó a cabo u</w:t>
      </w:r>
      <w:r w:rsidRPr="006A0747">
        <w:rPr>
          <w:rFonts w:ascii="Times New Roman" w:eastAsia="Calibri" w:hAnsi="Times New Roman" w:cs="Times New Roman"/>
          <w:color w:val="767171"/>
          <w:spacing w:val="20"/>
          <w:sz w:val="24"/>
          <w:szCs w:val="24"/>
        </w:rPr>
        <w:t>na de las principales actualizaciones para mejorar los estándares de salud y seguridad en la institución</w:t>
      </w:r>
      <w:r w:rsidR="00B221BD" w:rsidRPr="006A0747">
        <w:rPr>
          <w:rFonts w:ascii="Times New Roman" w:eastAsia="Calibri" w:hAnsi="Times New Roman" w:cs="Times New Roman"/>
          <w:color w:val="767171"/>
          <w:spacing w:val="20"/>
          <w:sz w:val="24"/>
          <w:szCs w:val="24"/>
        </w:rPr>
        <w:t>,</w:t>
      </w:r>
      <w:r w:rsidRPr="006A0747">
        <w:rPr>
          <w:rFonts w:ascii="Times New Roman" w:eastAsia="Calibri" w:hAnsi="Times New Roman" w:cs="Times New Roman"/>
          <w:color w:val="767171"/>
          <w:spacing w:val="20"/>
          <w:sz w:val="24"/>
          <w:szCs w:val="24"/>
        </w:rPr>
        <w:t xml:space="preserve"> la implementación de un sistema de protección contra </w:t>
      </w:r>
      <w:r w:rsidRPr="006A0747">
        <w:rPr>
          <w:rFonts w:ascii="Times New Roman" w:eastAsia="Calibri" w:hAnsi="Times New Roman" w:cs="Times New Roman"/>
          <w:color w:val="767171"/>
          <w:spacing w:val="20"/>
          <w:sz w:val="24"/>
          <w:szCs w:val="24"/>
        </w:rPr>
        <w:lastRenderedPageBreak/>
        <w:t>incendios de última generación, que cubre todos los pisos del edificio.</w:t>
      </w:r>
    </w:p>
    <w:p w14:paraId="3C716F7F" w14:textId="7B747E00" w:rsidR="004757AA" w:rsidRPr="006A0747" w:rsidRDefault="00B221BD" w:rsidP="004757AA">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Asimismo</w:t>
      </w:r>
      <w:r w:rsidR="004757AA" w:rsidRPr="006A0747">
        <w:rPr>
          <w:rFonts w:ascii="Times New Roman" w:eastAsia="Calibri" w:hAnsi="Times New Roman" w:cs="Times New Roman"/>
          <w:color w:val="767171"/>
          <w:spacing w:val="20"/>
          <w:sz w:val="24"/>
          <w:szCs w:val="24"/>
        </w:rPr>
        <w:t>, se reordenaron los espacios de oficinas, salas de reuniones y áreas comunes, incorporando tecnología de vanguardia para mejorar la eficiencia y productividad del personal. También se han creado áreas de trabajo colaborativo que fomentan la comunicación y el rendimiento en equipo.</w:t>
      </w:r>
    </w:p>
    <w:p w14:paraId="33D76786" w14:textId="375F5121" w:rsidR="004757AA" w:rsidRPr="006A0747" w:rsidRDefault="004757AA" w:rsidP="004757AA">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El cumplimiento con la normativa urbana vigente se refleja en la adaptación de los jardines y explanadas que rodean el edificio, los cuales han sido diseñados para facilitar el acceso a personas con movilidad reducida. Esta mejora resalta el compromiso de la institución con la inclusión desde el primer contacto con sus instalaciones físicas.</w:t>
      </w:r>
    </w:p>
    <w:p w14:paraId="693143F3" w14:textId="0D1C94CE" w:rsidR="00B80D25" w:rsidRPr="006A0747" w:rsidRDefault="004757AA" w:rsidP="004757AA">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Por último, la</w:t>
      </w:r>
      <w:r w:rsidR="00C759FD" w:rsidRPr="006A0747">
        <w:rPr>
          <w:rFonts w:ascii="Times New Roman" w:eastAsia="Calibri" w:hAnsi="Times New Roman" w:cs="Times New Roman"/>
          <w:color w:val="767171"/>
          <w:spacing w:val="20"/>
          <w:sz w:val="24"/>
          <w:szCs w:val="24"/>
        </w:rPr>
        <w:t xml:space="preserve"> restauración del edificio diseñado por el arquitecto Gay Vega en 1969 no solo revitaliza un legado cultural y arquitectónico, sino que también </w:t>
      </w:r>
      <w:r w:rsidRPr="006A0747">
        <w:rPr>
          <w:rFonts w:ascii="Times New Roman" w:eastAsia="Calibri" w:hAnsi="Times New Roman" w:cs="Times New Roman"/>
          <w:color w:val="767171"/>
          <w:spacing w:val="20"/>
          <w:sz w:val="24"/>
          <w:szCs w:val="24"/>
        </w:rPr>
        <w:t xml:space="preserve">optimiza </w:t>
      </w:r>
      <w:r w:rsidR="00C759FD" w:rsidRPr="006A0747">
        <w:rPr>
          <w:rFonts w:ascii="Times New Roman" w:eastAsia="Calibri" w:hAnsi="Times New Roman" w:cs="Times New Roman"/>
          <w:color w:val="767171"/>
          <w:spacing w:val="20"/>
          <w:sz w:val="24"/>
          <w:szCs w:val="24"/>
        </w:rPr>
        <w:t xml:space="preserve">la eficiencia energética y la ventilación interna. Esta combinación de preservación histórica y adaptación </w:t>
      </w:r>
      <w:r w:rsidRPr="006A0747">
        <w:rPr>
          <w:rFonts w:ascii="Times New Roman" w:eastAsia="Calibri" w:hAnsi="Times New Roman" w:cs="Times New Roman"/>
          <w:color w:val="767171"/>
          <w:spacing w:val="20"/>
          <w:sz w:val="24"/>
          <w:szCs w:val="24"/>
        </w:rPr>
        <w:t>a las necesidades contemporáneas</w:t>
      </w:r>
      <w:r w:rsidR="00C759FD" w:rsidRPr="006A0747">
        <w:rPr>
          <w:rFonts w:ascii="Times New Roman" w:eastAsia="Calibri" w:hAnsi="Times New Roman" w:cs="Times New Roman"/>
          <w:color w:val="767171"/>
          <w:spacing w:val="20"/>
          <w:sz w:val="24"/>
          <w:szCs w:val="24"/>
        </w:rPr>
        <w:t xml:space="preserve"> posiciona a la Superintendencia de Bancos como un símbolo de progreso</w:t>
      </w:r>
      <w:r w:rsidRPr="006A0747">
        <w:rPr>
          <w:rFonts w:ascii="Times New Roman" w:eastAsia="Calibri" w:hAnsi="Times New Roman" w:cs="Times New Roman"/>
          <w:color w:val="767171"/>
          <w:spacing w:val="20"/>
          <w:sz w:val="24"/>
          <w:szCs w:val="24"/>
        </w:rPr>
        <w:t>,</w:t>
      </w:r>
      <w:r w:rsidR="00C759FD" w:rsidRPr="006A0747">
        <w:rPr>
          <w:rFonts w:ascii="Times New Roman" w:eastAsia="Calibri" w:hAnsi="Times New Roman" w:cs="Times New Roman"/>
          <w:color w:val="767171"/>
          <w:spacing w:val="20"/>
          <w:sz w:val="24"/>
          <w:szCs w:val="24"/>
        </w:rPr>
        <w:t xml:space="preserve"> que honra </w:t>
      </w:r>
      <w:r w:rsidRPr="006A0747">
        <w:rPr>
          <w:rFonts w:ascii="Times New Roman" w:eastAsia="Calibri" w:hAnsi="Times New Roman" w:cs="Times New Roman"/>
          <w:color w:val="767171"/>
          <w:spacing w:val="20"/>
          <w:sz w:val="24"/>
          <w:szCs w:val="24"/>
        </w:rPr>
        <w:t>su legado</w:t>
      </w:r>
      <w:r w:rsidR="00C759FD" w:rsidRPr="006A0747">
        <w:rPr>
          <w:rFonts w:ascii="Times New Roman" w:eastAsia="Calibri" w:hAnsi="Times New Roman" w:cs="Times New Roman"/>
          <w:color w:val="767171"/>
          <w:spacing w:val="20"/>
          <w:sz w:val="24"/>
          <w:szCs w:val="24"/>
        </w:rPr>
        <w:t xml:space="preserve"> mientras se proyecta hacia el futuro.</w:t>
      </w:r>
    </w:p>
    <w:p w14:paraId="41DA11E8" w14:textId="77777777" w:rsidR="00FB0490" w:rsidRPr="006A0747" w:rsidRDefault="00FB0490" w:rsidP="004757AA">
      <w:pPr>
        <w:spacing w:line="360" w:lineRule="auto"/>
        <w:jc w:val="both"/>
        <w:rPr>
          <w:rFonts w:ascii="Times New Roman" w:eastAsia="Calibri" w:hAnsi="Times New Roman" w:cs="Times New Roman"/>
          <w:color w:val="767171"/>
          <w:spacing w:val="20"/>
          <w:sz w:val="24"/>
          <w:szCs w:val="24"/>
        </w:rPr>
      </w:pPr>
    </w:p>
    <w:p w14:paraId="2F44DEBB" w14:textId="77777777" w:rsidR="006A0747" w:rsidRPr="006A0747" w:rsidRDefault="006A0747" w:rsidP="004757AA">
      <w:pPr>
        <w:spacing w:line="360" w:lineRule="auto"/>
        <w:jc w:val="both"/>
        <w:rPr>
          <w:rFonts w:ascii="Times New Roman" w:eastAsia="Calibri" w:hAnsi="Times New Roman" w:cs="Times New Roman"/>
          <w:color w:val="767171"/>
          <w:spacing w:val="20"/>
          <w:sz w:val="24"/>
          <w:szCs w:val="24"/>
        </w:rPr>
      </w:pPr>
    </w:p>
    <w:p w14:paraId="1F66A201" w14:textId="77777777" w:rsidR="006A0747" w:rsidRPr="006A0747" w:rsidRDefault="006A0747" w:rsidP="004757AA">
      <w:pPr>
        <w:spacing w:line="360" w:lineRule="auto"/>
        <w:jc w:val="both"/>
        <w:rPr>
          <w:rFonts w:ascii="Times New Roman" w:eastAsia="Calibri" w:hAnsi="Times New Roman" w:cs="Times New Roman"/>
          <w:color w:val="767171"/>
          <w:spacing w:val="20"/>
          <w:sz w:val="24"/>
          <w:szCs w:val="24"/>
        </w:rPr>
      </w:pPr>
    </w:p>
    <w:p w14:paraId="0EBB8859" w14:textId="77777777" w:rsidR="006A0747" w:rsidRPr="006A0747" w:rsidRDefault="006A0747" w:rsidP="004757AA">
      <w:pPr>
        <w:spacing w:line="360" w:lineRule="auto"/>
        <w:jc w:val="both"/>
        <w:rPr>
          <w:rFonts w:ascii="Times New Roman" w:eastAsia="Calibri" w:hAnsi="Times New Roman" w:cs="Times New Roman"/>
          <w:color w:val="767171"/>
          <w:spacing w:val="20"/>
          <w:sz w:val="24"/>
          <w:szCs w:val="24"/>
        </w:rPr>
      </w:pPr>
    </w:p>
    <w:p w14:paraId="10BB2732" w14:textId="77777777" w:rsidR="006A0747" w:rsidRPr="006A0747" w:rsidRDefault="006A0747" w:rsidP="004757AA">
      <w:pPr>
        <w:spacing w:line="360" w:lineRule="auto"/>
        <w:jc w:val="both"/>
        <w:rPr>
          <w:rFonts w:ascii="Times New Roman" w:eastAsia="Calibri" w:hAnsi="Times New Roman" w:cs="Times New Roman"/>
          <w:color w:val="767171"/>
          <w:spacing w:val="20"/>
          <w:sz w:val="24"/>
          <w:szCs w:val="24"/>
        </w:rPr>
      </w:pPr>
    </w:p>
    <w:p w14:paraId="3CD6BA5F" w14:textId="2102F614" w:rsidR="00A41996" w:rsidRPr="006A0747" w:rsidRDefault="00A41996" w:rsidP="000813B9">
      <w:pPr>
        <w:pStyle w:val="Ttulo1"/>
        <w:numPr>
          <w:ilvl w:val="0"/>
          <w:numId w:val="17"/>
        </w:numPr>
        <w:tabs>
          <w:tab w:val="left" w:pos="709"/>
        </w:tabs>
        <w:ind w:left="709" w:hanging="709"/>
        <w:jc w:val="center"/>
        <w:rPr>
          <w:rFonts w:cs="Times New Roman"/>
          <w:b/>
          <w:color w:val="767171"/>
        </w:rPr>
      </w:pPr>
      <w:bookmarkStart w:id="57" w:name="_Toc117160675"/>
      <w:bookmarkStart w:id="58" w:name="_Toc134102404"/>
      <w:bookmarkStart w:id="59" w:name="_Toc134102958"/>
      <w:bookmarkStart w:id="60" w:name="_Toc185275012"/>
      <w:r w:rsidRPr="006A0747">
        <w:rPr>
          <w:rFonts w:cs="Times New Roman"/>
          <w:b/>
          <w:color w:val="767171"/>
        </w:rPr>
        <w:lastRenderedPageBreak/>
        <w:t>SERVICIO AL CIUDADANO Y TRANSPARENCIA INSTITUCIONAL</w:t>
      </w:r>
      <w:bookmarkEnd w:id="57"/>
      <w:bookmarkEnd w:id="58"/>
      <w:bookmarkEnd w:id="59"/>
      <w:bookmarkEnd w:id="60"/>
    </w:p>
    <w:p w14:paraId="14B8A8F4" w14:textId="77777777" w:rsidR="00A41996" w:rsidRPr="006A0747" w:rsidRDefault="00A41996" w:rsidP="00A41996">
      <w:pPr>
        <w:jc w:val="center"/>
        <w:rPr>
          <w:rFonts w:ascii="Times New Roman" w:eastAsia="Calibri" w:hAnsi="Times New Roman" w:cs="Times New Roman"/>
          <w:color w:val="2E74B5" w:themeColor="accent5" w:themeShade="BF"/>
          <w:sz w:val="18"/>
        </w:rPr>
      </w:pPr>
      <w:r w:rsidRPr="006A0747">
        <w:rPr>
          <w:rFonts w:ascii="Times New Roman" w:hAnsi="Times New Roman" w:cs="Times New Roman"/>
          <w:noProof/>
          <w:color w:val="2E74B5" w:themeColor="accent5" w:themeShade="BF"/>
          <w:lang w:eastAsia="es-DO"/>
        </w:rPr>
        <mc:AlternateContent>
          <mc:Choice Requires="wps">
            <w:drawing>
              <wp:anchor distT="4294967295" distB="4294967295" distL="114300" distR="114300" simplePos="0" relativeHeight="251658253" behindDoc="0" locked="0" layoutInCell="1" allowOverlap="1" wp14:anchorId="064964B0" wp14:editId="15FA3C71">
                <wp:simplePos x="0" y="0"/>
                <wp:positionH relativeFrom="margin">
                  <wp:align>center</wp:align>
                </wp:positionH>
                <wp:positionV relativeFrom="paragraph">
                  <wp:posOffset>100329</wp:posOffset>
                </wp:positionV>
                <wp:extent cx="463550" cy="0"/>
                <wp:effectExtent l="0" t="19050" r="317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51775F4" id="Straight Connector 7" o:spid="_x0000_s1026" style="position:absolute;z-index:251658253;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7.9pt" to="3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" strokecolor="#ee2a24" strokeweight="2.25pt">
                <v:stroke joinstyle="miter"/>
                <w10:wrap anchorx="margin"/>
              </v:line>
            </w:pict>
          </mc:Fallback>
        </mc:AlternateContent>
      </w:r>
    </w:p>
    <w:p w14:paraId="5A2E6AA1" w14:textId="20B4FB17" w:rsidR="00703A55" w:rsidRPr="006A0747" w:rsidRDefault="00B81043" w:rsidP="00703A55">
      <w:pPr>
        <w:spacing w:after="0"/>
        <w:jc w:val="center"/>
        <w:rPr>
          <w:rFonts w:ascii="Times New Roman" w:hAnsi="Times New Roman" w:cs="Times New Roman"/>
          <w:color w:val="767171"/>
          <w:spacing w:val="20"/>
          <w:sz w:val="24"/>
          <w:szCs w:val="24"/>
        </w:rPr>
      </w:pPr>
      <w:r w:rsidRPr="006A0747">
        <w:rPr>
          <w:rFonts w:ascii="Times New Roman" w:hAnsi="Times New Roman" w:cs="Times New Roman"/>
          <w:color w:val="767171"/>
          <w:spacing w:val="20"/>
          <w:sz w:val="24"/>
          <w:szCs w:val="24"/>
        </w:rPr>
        <w:t>Memoria Institucional 2024</w:t>
      </w:r>
    </w:p>
    <w:p w14:paraId="3E747CAA" w14:textId="77777777" w:rsidR="00A41996" w:rsidRPr="006A0747" w:rsidRDefault="00A41996" w:rsidP="00A41996">
      <w:pPr>
        <w:jc w:val="center"/>
        <w:rPr>
          <w:rFonts w:ascii="Times New Roman" w:hAnsi="Times New Roman" w:cs="Times New Roman"/>
          <w:color w:val="2E74B5" w:themeColor="accent5" w:themeShade="BF"/>
          <w:spacing w:val="20"/>
          <w:szCs w:val="36"/>
        </w:rPr>
      </w:pPr>
    </w:p>
    <w:p w14:paraId="29F8AB13" w14:textId="4DD54931" w:rsidR="006A16FA" w:rsidRPr="006A0747" w:rsidRDefault="002925C5" w:rsidP="000813B9">
      <w:pPr>
        <w:pStyle w:val="Ttulo2"/>
        <w:numPr>
          <w:ilvl w:val="1"/>
          <w:numId w:val="17"/>
        </w:numPr>
        <w:rPr>
          <w:rFonts w:ascii="Times New Roman" w:eastAsia="Calibri" w:hAnsi="Times New Roman" w:cs="Times New Roman"/>
          <w:b/>
          <w:color w:val="767171"/>
          <w:spacing w:val="20"/>
          <w:sz w:val="24"/>
          <w:szCs w:val="24"/>
        </w:rPr>
      </w:pPr>
      <w:bookmarkStart w:id="61" w:name="_Toc185275013"/>
      <w:r w:rsidRPr="006A0747">
        <w:rPr>
          <w:rFonts w:ascii="Times New Roman" w:eastAsia="Calibri" w:hAnsi="Times New Roman" w:cs="Times New Roman"/>
          <w:b/>
          <w:color w:val="767171"/>
          <w:spacing w:val="20"/>
          <w:sz w:val="24"/>
          <w:szCs w:val="24"/>
        </w:rPr>
        <w:t xml:space="preserve">Nivel de cumplimiento </w:t>
      </w:r>
      <w:r w:rsidR="009A7E16" w:rsidRPr="006A0747">
        <w:rPr>
          <w:rFonts w:ascii="Times New Roman" w:eastAsia="Calibri" w:hAnsi="Times New Roman" w:cs="Times New Roman"/>
          <w:b/>
          <w:color w:val="767171"/>
          <w:spacing w:val="20"/>
          <w:sz w:val="24"/>
          <w:szCs w:val="24"/>
        </w:rPr>
        <w:t>A</w:t>
      </w:r>
      <w:r w:rsidR="00424354" w:rsidRPr="006A0747">
        <w:rPr>
          <w:rFonts w:ascii="Times New Roman" w:eastAsia="Calibri" w:hAnsi="Times New Roman" w:cs="Times New Roman"/>
          <w:b/>
          <w:color w:val="767171"/>
          <w:spacing w:val="20"/>
          <w:sz w:val="24"/>
          <w:szCs w:val="24"/>
        </w:rPr>
        <w:t>cceso a</w:t>
      </w:r>
      <w:r w:rsidRPr="006A0747">
        <w:rPr>
          <w:rFonts w:ascii="Times New Roman" w:eastAsia="Calibri" w:hAnsi="Times New Roman" w:cs="Times New Roman"/>
          <w:b/>
          <w:color w:val="767171"/>
          <w:spacing w:val="20"/>
          <w:sz w:val="24"/>
          <w:szCs w:val="24"/>
        </w:rPr>
        <w:t xml:space="preserve"> la </w:t>
      </w:r>
      <w:r w:rsidR="009A7E16" w:rsidRPr="006A0747">
        <w:rPr>
          <w:rFonts w:ascii="Times New Roman" w:eastAsia="Calibri" w:hAnsi="Times New Roman" w:cs="Times New Roman"/>
          <w:b/>
          <w:color w:val="767171"/>
          <w:spacing w:val="20"/>
          <w:sz w:val="24"/>
          <w:szCs w:val="24"/>
        </w:rPr>
        <w:t>I</w:t>
      </w:r>
      <w:r w:rsidRPr="006A0747">
        <w:rPr>
          <w:rFonts w:ascii="Times New Roman" w:eastAsia="Calibri" w:hAnsi="Times New Roman" w:cs="Times New Roman"/>
          <w:b/>
          <w:color w:val="767171"/>
          <w:spacing w:val="20"/>
          <w:sz w:val="24"/>
          <w:szCs w:val="24"/>
        </w:rPr>
        <w:t>nformación</w:t>
      </w:r>
      <w:bookmarkEnd w:id="61"/>
    </w:p>
    <w:p w14:paraId="16D4405D" w14:textId="77777777" w:rsidR="002A36B5" w:rsidRPr="006A0747" w:rsidRDefault="002A36B5" w:rsidP="002A36B5">
      <w:pPr>
        <w:rPr>
          <w:rFonts w:ascii="Times New Roman" w:hAnsi="Times New Roman" w:cs="Times New Roman"/>
          <w:color w:val="767171"/>
        </w:rPr>
      </w:pPr>
    </w:p>
    <w:p w14:paraId="494F2254" w14:textId="45E96BB7" w:rsidR="002A36B5" w:rsidRPr="006A0747" w:rsidRDefault="009A7E16" w:rsidP="007C7484">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La Superintendencia de Bancos, al corte de noviembre de 2024, a través de la Oficina de Acceso a la Información (OAI), atendió un total de ochenta y nueve (89) solicitudes de información y orientación, sobre temas relacionados con la institución.</w:t>
      </w:r>
    </w:p>
    <w:p w14:paraId="325A430B" w14:textId="77777777" w:rsidR="002C3C20" w:rsidRPr="006A0747" w:rsidRDefault="002C3C20" w:rsidP="002C3C20">
      <w:pPr>
        <w:rPr>
          <w:rFonts w:ascii="Times New Roman" w:hAnsi="Times New Roman" w:cs="Times New Roman"/>
          <w:color w:val="2E74B5" w:themeColor="accent5" w:themeShade="BF"/>
        </w:rPr>
      </w:pPr>
    </w:p>
    <w:p w14:paraId="11B0C988" w14:textId="5D528148" w:rsidR="006A16FA" w:rsidRPr="006A0747" w:rsidRDefault="002925C5" w:rsidP="000813B9">
      <w:pPr>
        <w:pStyle w:val="Ttulo2"/>
        <w:numPr>
          <w:ilvl w:val="1"/>
          <w:numId w:val="17"/>
        </w:numPr>
        <w:rPr>
          <w:rFonts w:ascii="Times New Roman" w:eastAsia="Calibri" w:hAnsi="Times New Roman" w:cs="Times New Roman"/>
          <w:b/>
          <w:color w:val="767171"/>
          <w:spacing w:val="20"/>
          <w:sz w:val="24"/>
          <w:szCs w:val="24"/>
        </w:rPr>
      </w:pPr>
      <w:bookmarkStart w:id="62" w:name="_Toc185275014"/>
      <w:r w:rsidRPr="006A0747">
        <w:rPr>
          <w:rFonts w:ascii="Times New Roman" w:eastAsia="Calibri" w:hAnsi="Times New Roman" w:cs="Times New Roman"/>
          <w:b/>
          <w:color w:val="767171"/>
          <w:spacing w:val="20"/>
          <w:sz w:val="24"/>
          <w:szCs w:val="24"/>
        </w:rPr>
        <w:t>Resultados de Si</w:t>
      </w:r>
      <w:r w:rsidR="00371DB4" w:rsidRPr="006A0747">
        <w:rPr>
          <w:rFonts w:ascii="Times New Roman" w:eastAsia="Calibri" w:hAnsi="Times New Roman" w:cs="Times New Roman"/>
          <w:b/>
          <w:color w:val="767171"/>
          <w:spacing w:val="20"/>
          <w:sz w:val="24"/>
          <w:szCs w:val="24"/>
        </w:rPr>
        <w:t>stema de Quejas, Reclamos y sugerencias</w:t>
      </w:r>
      <w:bookmarkEnd w:id="62"/>
    </w:p>
    <w:p w14:paraId="3F9FA242" w14:textId="77777777" w:rsidR="002A36B5" w:rsidRPr="006A0747" w:rsidRDefault="002A36B5" w:rsidP="002A36B5">
      <w:pPr>
        <w:rPr>
          <w:rFonts w:ascii="Times New Roman" w:hAnsi="Times New Roman" w:cs="Times New Roman"/>
          <w:color w:val="767171"/>
        </w:rPr>
      </w:pPr>
    </w:p>
    <w:p w14:paraId="7C3123D7" w14:textId="17A32248" w:rsidR="002A36B5" w:rsidRPr="006A0747" w:rsidRDefault="009A7E16" w:rsidP="00424354">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En el período enero-noviembre 2024, se recibieron y atendieron</w:t>
      </w:r>
      <w:r w:rsidR="004A504F" w:rsidRPr="006A0747">
        <w:rPr>
          <w:rFonts w:ascii="Times New Roman" w:eastAsia="Calibri" w:hAnsi="Times New Roman" w:cs="Times New Roman"/>
          <w:color w:val="767171"/>
          <w:spacing w:val="20"/>
          <w:sz w:val="24"/>
          <w:szCs w:val="24"/>
        </w:rPr>
        <w:t>,</w:t>
      </w:r>
      <w:r w:rsidRPr="006A0747">
        <w:rPr>
          <w:rFonts w:ascii="Times New Roman" w:eastAsia="Calibri" w:hAnsi="Times New Roman" w:cs="Times New Roman"/>
          <w:color w:val="767171"/>
          <w:spacing w:val="20"/>
          <w:sz w:val="24"/>
          <w:szCs w:val="24"/>
        </w:rPr>
        <w:t xml:space="preserve"> de manera oportuna y satisfactoria</w:t>
      </w:r>
      <w:r w:rsidR="004A504F" w:rsidRPr="006A0747">
        <w:rPr>
          <w:rFonts w:ascii="Times New Roman" w:eastAsia="Calibri" w:hAnsi="Times New Roman" w:cs="Times New Roman"/>
          <w:color w:val="767171"/>
          <w:spacing w:val="20"/>
          <w:sz w:val="24"/>
          <w:szCs w:val="24"/>
        </w:rPr>
        <w:t>,</w:t>
      </w:r>
      <w:r w:rsidRPr="006A0747">
        <w:rPr>
          <w:rFonts w:ascii="Times New Roman" w:eastAsia="Calibri" w:hAnsi="Times New Roman" w:cs="Times New Roman"/>
          <w:color w:val="767171"/>
          <w:spacing w:val="20"/>
          <w:sz w:val="24"/>
          <w:szCs w:val="24"/>
        </w:rPr>
        <w:t xml:space="preserve"> un total de setenta y siete (77) casos, de los cuales cinco (5) correspondieron a la categoría de reclamaciones, cinco (5) a la categoría de quejas y cinco (5) a la categoría de sugerencias. Sesenta y dos (62) de los casos fueron declinados debido a que no pertenecían a la institución. Se promedia que se recibirán y atenderán un total de 2 casos de manera mensual, correspondientes a las categorías anteriormente mencionadas para los meses faltantes.</w:t>
      </w:r>
    </w:p>
    <w:p w14:paraId="6774B4F7" w14:textId="77777777" w:rsidR="002C3C20" w:rsidRPr="006A0747" w:rsidRDefault="002C3C20" w:rsidP="002C3C20">
      <w:pPr>
        <w:rPr>
          <w:rFonts w:ascii="Times New Roman" w:hAnsi="Times New Roman" w:cs="Times New Roman"/>
          <w:color w:val="2E74B5" w:themeColor="accent5" w:themeShade="BF"/>
        </w:rPr>
      </w:pPr>
    </w:p>
    <w:p w14:paraId="79CAFCD9" w14:textId="2FF74915" w:rsidR="006A16FA" w:rsidRPr="006A0747" w:rsidRDefault="00371DB4" w:rsidP="000813B9">
      <w:pPr>
        <w:pStyle w:val="Ttulo2"/>
        <w:numPr>
          <w:ilvl w:val="1"/>
          <w:numId w:val="17"/>
        </w:numPr>
        <w:rPr>
          <w:rFonts w:ascii="Times New Roman" w:eastAsia="Calibri" w:hAnsi="Times New Roman" w:cs="Times New Roman"/>
          <w:b/>
          <w:color w:val="767171"/>
          <w:spacing w:val="20"/>
          <w:sz w:val="24"/>
          <w:szCs w:val="24"/>
        </w:rPr>
      </w:pPr>
      <w:bookmarkStart w:id="63" w:name="_Toc185275015"/>
      <w:r w:rsidRPr="006A0747">
        <w:rPr>
          <w:rFonts w:ascii="Times New Roman" w:eastAsia="Calibri" w:hAnsi="Times New Roman" w:cs="Times New Roman"/>
          <w:b/>
          <w:color w:val="767171"/>
          <w:spacing w:val="20"/>
          <w:sz w:val="24"/>
          <w:szCs w:val="24"/>
        </w:rPr>
        <w:t>Resultados de mediciones del Portal de transparencia</w:t>
      </w:r>
      <w:bookmarkEnd w:id="63"/>
    </w:p>
    <w:p w14:paraId="6C045627" w14:textId="60A3312B" w:rsidR="002C198F" w:rsidRPr="006A0747" w:rsidRDefault="002C198F" w:rsidP="002C198F">
      <w:pPr>
        <w:spacing w:line="360" w:lineRule="auto"/>
        <w:jc w:val="both"/>
        <w:rPr>
          <w:rFonts w:ascii="Times New Roman" w:eastAsia="Calibri" w:hAnsi="Times New Roman" w:cs="Times New Roman"/>
          <w:b/>
          <w:color w:val="767171"/>
          <w:spacing w:val="20"/>
          <w:sz w:val="24"/>
          <w:szCs w:val="24"/>
        </w:rPr>
      </w:pPr>
    </w:p>
    <w:p w14:paraId="196A8692" w14:textId="3DB16B03" w:rsidR="005F330E" w:rsidRPr="006A0747" w:rsidRDefault="00C77588" w:rsidP="0039236F">
      <w:pPr>
        <w:spacing w:line="360" w:lineRule="auto"/>
        <w:jc w:val="both"/>
        <w:rPr>
          <w:rFonts w:ascii="Times New Roman" w:eastAsia="Calibri" w:hAnsi="Times New Roman" w:cs="Times New Roman"/>
          <w:color w:val="2E74B5" w:themeColor="accent5" w:themeShade="BF"/>
          <w:spacing w:val="20"/>
          <w:sz w:val="24"/>
          <w:szCs w:val="24"/>
        </w:rPr>
      </w:pPr>
      <w:r w:rsidRPr="006A0747">
        <w:rPr>
          <w:rFonts w:ascii="Times New Roman" w:eastAsia="Calibri" w:hAnsi="Times New Roman" w:cs="Times New Roman"/>
          <w:color w:val="767171"/>
          <w:spacing w:val="20"/>
          <w:sz w:val="24"/>
          <w:szCs w:val="24"/>
        </w:rPr>
        <w:t xml:space="preserve">En cuanto a los resultados </w:t>
      </w:r>
      <w:r w:rsidR="00287B9C" w:rsidRPr="006A0747">
        <w:rPr>
          <w:rFonts w:ascii="Times New Roman" w:eastAsia="Calibri" w:hAnsi="Times New Roman" w:cs="Times New Roman"/>
          <w:color w:val="767171"/>
          <w:spacing w:val="20"/>
          <w:sz w:val="24"/>
          <w:szCs w:val="24"/>
        </w:rPr>
        <w:t xml:space="preserve">de medición del </w:t>
      </w:r>
      <w:r w:rsidR="009009A6" w:rsidRPr="006A0747">
        <w:rPr>
          <w:rFonts w:ascii="Times New Roman" w:eastAsia="Calibri" w:hAnsi="Times New Roman" w:cs="Times New Roman"/>
          <w:color w:val="767171"/>
          <w:spacing w:val="20"/>
          <w:sz w:val="24"/>
          <w:szCs w:val="24"/>
        </w:rPr>
        <w:t>Po</w:t>
      </w:r>
      <w:r w:rsidR="002C198F" w:rsidRPr="006A0747">
        <w:rPr>
          <w:rFonts w:ascii="Times New Roman" w:eastAsia="Calibri" w:hAnsi="Times New Roman" w:cs="Times New Roman"/>
          <w:color w:val="767171"/>
          <w:spacing w:val="20"/>
          <w:sz w:val="24"/>
          <w:szCs w:val="24"/>
        </w:rPr>
        <w:t xml:space="preserve">rtal de </w:t>
      </w:r>
      <w:r w:rsidR="009009A6" w:rsidRPr="006A0747">
        <w:rPr>
          <w:rFonts w:ascii="Times New Roman" w:eastAsia="Calibri" w:hAnsi="Times New Roman" w:cs="Times New Roman"/>
          <w:color w:val="767171"/>
          <w:spacing w:val="20"/>
          <w:sz w:val="24"/>
          <w:szCs w:val="24"/>
        </w:rPr>
        <w:t>T</w:t>
      </w:r>
      <w:r w:rsidR="002C198F" w:rsidRPr="006A0747">
        <w:rPr>
          <w:rFonts w:ascii="Times New Roman" w:eastAsia="Calibri" w:hAnsi="Times New Roman" w:cs="Times New Roman"/>
          <w:color w:val="767171"/>
          <w:spacing w:val="20"/>
          <w:sz w:val="24"/>
          <w:szCs w:val="24"/>
        </w:rPr>
        <w:t>ransparencia</w:t>
      </w:r>
      <w:r w:rsidR="00287B9C" w:rsidRPr="006A0747">
        <w:rPr>
          <w:rFonts w:ascii="Times New Roman" w:eastAsia="Calibri" w:hAnsi="Times New Roman" w:cs="Times New Roman"/>
          <w:color w:val="767171"/>
          <w:spacing w:val="20"/>
          <w:sz w:val="24"/>
          <w:szCs w:val="24"/>
        </w:rPr>
        <w:t>,</w:t>
      </w:r>
      <w:r w:rsidR="002C198F" w:rsidRPr="006A0747">
        <w:rPr>
          <w:rFonts w:ascii="Times New Roman" w:eastAsia="Calibri" w:hAnsi="Times New Roman" w:cs="Times New Roman"/>
          <w:color w:val="767171"/>
          <w:spacing w:val="20"/>
          <w:sz w:val="24"/>
          <w:szCs w:val="24"/>
        </w:rPr>
        <w:t xml:space="preserve"> la S</w:t>
      </w:r>
      <w:r w:rsidR="009009A6" w:rsidRPr="006A0747">
        <w:rPr>
          <w:rFonts w:ascii="Times New Roman" w:eastAsia="Calibri" w:hAnsi="Times New Roman" w:cs="Times New Roman"/>
          <w:color w:val="767171"/>
          <w:spacing w:val="20"/>
          <w:sz w:val="24"/>
          <w:szCs w:val="24"/>
        </w:rPr>
        <w:t xml:space="preserve">uperintendencia de </w:t>
      </w:r>
      <w:r w:rsidR="002C198F" w:rsidRPr="006A0747">
        <w:rPr>
          <w:rFonts w:ascii="Times New Roman" w:eastAsia="Calibri" w:hAnsi="Times New Roman" w:cs="Times New Roman"/>
          <w:color w:val="767171"/>
          <w:spacing w:val="20"/>
          <w:sz w:val="24"/>
          <w:szCs w:val="24"/>
        </w:rPr>
        <w:t>B</w:t>
      </w:r>
      <w:r w:rsidR="009009A6" w:rsidRPr="006A0747">
        <w:rPr>
          <w:rFonts w:ascii="Times New Roman" w:eastAsia="Calibri" w:hAnsi="Times New Roman" w:cs="Times New Roman"/>
          <w:color w:val="767171"/>
          <w:spacing w:val="20"/>
          <w:sz w:val="24"/>
          <w:szCs w:val="24"/>
        </w:rPr>
        <w:t>ancos</w:t>
      </w:r>
      <w:r w:rsidR="002C198F" w:rsidRPr="006A0747">
        <w:rPr>
          <w:rFonts w:ascii="Times New Roman" w:eastAsia="Calibri" w:hAnsi="Times New Roman" w:cs="Times New Roman"/>
          <w:color w:val="767171"/>
          <w:spacing w:val="20"/>
          <w:sz w:val="24"/>
          <w:szCs w:val="24"/>
        </w:rPr>
        <w:t xml:space="preserve"> </w:t>
      </w:r>
      <w:r w:rsidR="009009A6" w:rsidRPr="006A0747">
        <w:rPr>
          <w:rFonts w:ascii="Times New Roman" w:eastAsia="Calibri" w:hAnsi="Times New Roman" w:cs="Times New Roman"/>
          <w:color w:val="767171"/>
          <w:spacing w:val="20"/>
          <w:sz w:val="24"/>
          <w:szCs w:val="24"/>
        </w:rPr>
        <w:t xml:space="preserve">ha mantenido una calificación promedio </w:t>
      </w:r>
      <w:r w:rsidRPr="006A0747">
        <w:rPr>
          <w:rFonts w:ascii="Times New Roman" w:eastAsia="Calibri" w:hAnsi="Times New Roman" w:cs="Times New Roman"/>
          <w:color w:val="767171"/>
          <w:spacing w:val="20"/>
          <w:sz w:val="24"/>
          <w:szCs w:val="24"/>
        </w:rPr>
        <w:t xml:space="preserve">durante el año 2024, </w:t>
      </w:r>
      <w:r w:rsidR="009009A6" w:rsidRPr="006A0747">
        <w:rPr>
          <w:rFonts w:ascii="Times New Roman" w:eastAsia="Calibri" w:hAnsi="Times New Roman" w:cs="Times New Roman"/>
          <w:color w:val="767171"/>
          <w:spacing w:val="20"/>
          <w:sz w:val="24"/>
          <w:szCs w:val="24"/>
        </w:rPr>
        <w:t>de 99% de parte de la Dirección General de Ética e Integridad Gubernamental (DIGEIG).</w:t>
      </w:r>
    </w:p>
    <w:p w14:paraId="1B9C7CCB" w14:textId="7E84AFBE" w:rsidR="00245908" w:rsidRPr="006A0747" w:rsidRDefault="00245908" w:rsidP="00DA6B3A">
      <w:pPr>
        <w:spacing w:line="360" w:lineRule="auto"/>
        <w:jc w:val="both"/>
        <w:rPr>
          <w:rFonts w:ascii="Times New Roman" w:eastAsia="Calibri" w:hAnsi="Times New Roman" w:cs="Times New Roman"/>
          <w:b/>
          <w:color w:val="767171"/>
          <w:spacing w:val="20"/>
          <w:sz w:val="24"/>
          <w:szCs w:val="24"/>
        </w:rPr>
      </w:pPr>
      <w:r w:rsidRPr="006A0747">
        <w:rPr>
          <w:rFonts w:ascii="Times New Roman" w:eastAsia="Calibri" w:hAnsi="Times New Roman" w:cs="Times New Roman"/>
          <w:b/>
          <w:color w:val="767171"/>
          <w:spacing w:val="20"/>
          <w:sz w:val="24"/>
          <w:szCs w:val="24"/>
        </w:rPr>
        <w:lastRenderedPageBreak/>
        <w:t>Principales logros e hitos de la organización en materia de materia ética y cumplimiento normativo</w:t>
      </w:r>
    </w:p>
    <w:p w14:paraId="15DC4CA6" w14:textId="1BF78A31" w:rsidR="00F04682" w:rsidRDefault="00F04682" w:rsidP="001E5590">
      <w:pPr>
        <w:spacing w:line="360" w:lineRule="auto"/>
        <w:jc w:val="both"/>
        <w:rPr>
          <w:rFonts w:ascii="Times New Roman" w:eastAsia="Calibri" w:hAnsi="Times New Roman" w:cs="Times New Roman"/>
          <w:color w:val="767171"/>
          <w:spacing w:val="20"/>
          <w:sz w:val="24"/>
          <w:szCs w:val="24"/>
        </w:rPr>
      </w:pPr>
      <w:r>
        <w:rPr>
          <w:rFonts w:ascii="Times New Roman" w:eastAsia="Calibri" w:hAnsi="Times New Roman" w:cs="Times New Roman"/>
          <w:color w:val="767171"/>
          <w:spacing w:val="20"/>
          <w:sz w:val="24"/>
          <w:szCs w:val="24"/>
        </w:rPr>
        <w:t xml:space="preserve">Como se mencionó en </w:t>
      </w:r>
      <w:r w:rsidR="00206542">
        <w:rPr>
          <w:rFonts w:ascii="Times New Roman" w:eastAsia="Calibri" w:hAnsi="Times New Roman" w:cs="Times New Roman"/>
          <w:color w:val="767171"/>
          <w:spacing w:val="20"/>
          <w:sz w:val="24"/>
          <w:szCs w:val="24"/>
        </w:rPr>
        <w:t xml:space="preserve">secciones anteriores, </w:t>
      </w:r>
      <w:r w:rsidR="00303556">
        <w:rPr>
          <w:rFonts w:ascii="Times New Roman" w:eastAsia="Calibri" w:hAnsi="Times New Roman" w:cs="Times New Roman"/>
          <w:color w:val="767171"/>
          <w:spacing w:val="20"/>
          <w:sz w:val="24"/>
          <w:szCs w:val="24"/>
        </w:rPr>
        <w:t>en el mes de marzo, l</w:t>
      </w:r>
      <w:r w:rsidR="00B55F0B" w:rsidRPr="00B55F0B">
        <w:rPr>
          <w:rFonts w:ascii="Times New Roman" w:eastAsia="Calibri" w:hAnsi="Times New Roman" w:cs="Times New Roman"/>
          <w:color w:val="767171"/>
          <w:spacing w:val="20"/>
          <w:sz w:val="24"/>
          <w:szCs w:val="24"/>
        </w:rPr>
        <w:t xml:space="preserve">a </w:t>
      </w:r>
      <w:r w:rsidR="00722B20">
        <w:rPr>
          <w:rFonts w:ascii="Times New Roman" w:eastAsia="Calibri" w:hAnsi="Times New Roman" w:cs="Times New Roman"/>
          <w:color w:val="767171"/>
          <w:spacing w:val="20"/>
          <w:sz w:val="24"/>
          <w:szCs w:val="24"/>
        </w:rPr>
        <w:t>SB</w:t>
      </w:r>
      <w:r w:rsidR="006224E8">
        <w:rPr>
          <w:rFonts w:ascii="Times New Roman" w:eastAsia="Calibri" w:hAnsi="Times New Roman" w:cs="Times New Roman"/>
          <w:color w:val="767171"/>
          <w:spacing w:val="20"/>
          <w:sz w:val="24"/>
          <w:szCs w:val="24"/>
        </w:rPr>
        <w:t xml:space="preserve"> </w:t>
      </w:r>
      <w:r w:rsidR="00B55F0B" w:rsidRPr="00B55F0B">
        <w:rPr>
          <w:rFonts w:ascii="Times New Roman" w:eastAsia="Calibri" w:hAnsi="Times New Roman" w:cs="Times New Roman"/>
          <w:color w:val="767171"/>
          <w:spacing w:val="20"/>
          <w:sz w:val="24"/>
          <w:szCs w:val="24"/>
        </w:rPr>
        <w:t>recibió la certificación ISO 37001:2016 Sistema de Gestión Antisoborno, que valida los mecanismos internos para prevenir, detectar y gestionar riesgos de prácticas de soborno.</w:t>
      </w:r>
      <w:r w:rsidR="00852096" w:rsidRPr="00852096">
        <w:rPr>
          <w:rFonts w:ascii="Times New Roman" w:eastAsia="Calibri" w:hAnsi="Times New Roman" w:cs="Times New Roman"/>
          <w:color w:val="767171"/>
          <w:spacing w:val="20"/>
          <w:sz w:val="24"/>
          <w:szCs w:val="24"/>
        </w:rPr>
        <w:t xml:space="preserve"> </w:t>
      </w:r>
      <w:r w:rsidR="00852096">
        <w:rPr>
          <w:rFonts w:ascii="Times New Roman" w:eastAsia="Calibri" w:hAnsi="Times New Roman" w:cs="Times New Roman"/>
          <w:color w:val="767171"/>
          <w:spacing w:val="20"/>
          <w:sz w:val="24"/>
          <w:szCs w:val="24"/>
        </w:rPr>
        <w:t>Esta</w:t>
      </w:r>
      <w:r w:rsidR="00852096" w:rsidRPr="00852096">
        <w:rPr>
          <w:rFonts w:ascii="Times New Roman" w:eastAsia="Calibri" w:hAnsi="Times New Roman" w:cs="Times New Roman"/>
          <w:color w:val="767171"/>
          <w:spacing w:val="20"/>
          <w:sz w:val="24"/>
          <w:szCs w:val="24"/>
        </w:rPr>
        <w:t xml:space="preserve"> t</w:t>
      </w:r>
      <w:r w:rsidR="00852096">
        <w:rPr>
          <w:rFonts w:ascii="Times New Roman" w:eastAsia="Calibri" w:hAnsi="Times New Roman" w:cs="Times New Roman"/>
          <w:color w:val="767171"/>
          <w:spacing w:val="20"/>
          <w:sz w:val="24"/>
          <w:szCs w:val="24"/>
        </w:rPr>
        <w:t xml:space="preserve">uvo </w:t>
      </w:r>
      <w:r w:rsidR="00852096" w:rsidRPr="00852096">
        <w:rPr>
          <w:rFonts w:ascii="Times New Roman" w:eastAsia="Calibri" w:hAnsi="Times New Roman" w:cs="Times New Roman"/>
          <w:color w:val="767171"/>
          <w:spacing w:val="20"/>
          <w:sz w:val="24"/>
          <w:szCs w:val="24"/>
        </w:rPr>
        <w:t>un alcance sobre los procedimientos de los departamentos de Sanciones, Compras y Supervisión para la Prevención del Lavado de Activos</w:t>
      </w:r>
      <w:r w:rsidR="00E63A4B">
        <w:rPr>
          <w:rFonts w:ascii="Times New Roman" w:eastAsia="Calibri" w:hAnsi="Times New Roman" w:cs="Times New Roman"/>
          <w:color w:val="767171"/>
          <w:spacing w:val="20"/>
          <w:sz w:val="24"/>
          <w:szCs w:val="24"/>
        </w:rPr>
        <w:t>.</w:t>
      </w:r>
    </w:p>
    <w:p w14:paraId="446AF10F" w14:textId="13BE58A9" w:rsidR="001E5590" w:rsidRPr="006A0747" w:rsidRDefault="00240A07" w:rsidP="001E5590">
      <w:pPr>
        <w:spacing w:line="360" w:lineRule="auto"/>
        <w:jc w:val="both"/>
        <w:rPr>
          <w:rFonts w:ascii="Times New Roman" w:eastAsia="Calibri" w:hAnsi="Times New Roman" w:cs="Times New Roman"/>
          <w:color w:val="767171"/>
          <w:spacing w:val="20"/>
          <w:sz w:val="24"/>
          <w:szCs w:val="24"/>
        </w:rPr>
      </w:pPr>
      <w:r>
        <w:rPr>
          <w:rFonts w:ascii="Times New Roman" w:eastAsia="Calibri" w:hAnsi="Times New Roman" w:cs="Times New Roman"/>
          <w:color w:val="767171"/>
          <w:spacing w:val="20"/>
          <w:sz w:val="24"/>
          <w:szCs w:val="24"/>
        </w:rPr>
        <w:t>Por otra parte, e</w:t>
      </w:r>
      <w:r w:rsidR="00A23B33">
        <w:rPr>
          <w:rFonts w:ascii="Times New Roman" w:eastAsia="Calibri" w:hAnsi="Times New Roman" w:cs="Times New Roman"/>
          <w:color w:val="767171"/>
          <w:spacing w:val="20"/>
          <w:sz w:val="24"/>
          <w:szCs w:val="24"/>
        </w:rPr>
        <w:t xml:space="preserve">n el mes de abril </w:t>
      </w:r>
      <w:r w:rsidR="004A3D8B">
        <w:rPr>
          <w:rFonts w:ascii="Times New Roman" w:eastAsia="Calibri" w:hAnsi="Times New Roman" w:cs="Times New Roman"/>
          <w:color w:val="767171"/>
          <w:spacing w:val="20"/>
          <w:sz w:val="24"/>
          <w:szCs w:val="24"/>
        </w:rPr>
        <w:t>se</w:t>
      </w:r>
      <w:r w:rsidR="00A23B33">
        <w:rPr>
          <w:rFonts w:ascii="Times New Roman" w:eastAsia="Calibri" w:hAnsi="Times New Roman" w:cs="Times New Roman"/>
          <w:color w:val="767171"/>
          <w:spacing w:val="20"/>
          <w:sz w:val="24"/>
          <w:szCs w:val="24"/>
        </w:rPr>
        <w:t xml:space="preserve"> conmemoró la semana de la Ética.</w:t>
      </w:r>
      <w:r w:rsidR="001E5590" w:rsidRPr="006A0747">
        <w:rPr>
          <w:rFonts w:ascii="Times New Roman" w:eastAsia="Calibri" w:hAnsi="Times New Roman" w:cs="Times New Roman"/>
          <w:color w:val="767171"/>
          <w:spacing w:val="20"/>
          <w:sz w:val="24"/>
          <w:szCs w:val="24"/>
        </w:rPr>
        <w:t xml:space="preserve"> </w:t>
      </w:r>
      <w:r w:rsidR="00A23B33">
        <w:rPr>
          <w:rFonts w:ascii="Times New Roman" w:eastAsia="Calibri" w:hAnsi="Times New Roman" w:cs="Times New Roman"/>
          <w:color w:val="767171"/>
          <w:spacing w:val="20"/>
          <w:sz w:val="24"/>
          <w:szCs w:val="24"/>
        </w:rPr>
        <w:t>En esta,</w:t>
      </w:r>
      <w:r w:rsidR="001E5590" w:rsidRPr="006A0747">
        <w:rPr>
          <w:rFonts w:ascii="Times New Roman" w:eastAsia="Calibri" w:hAnsi="Times New Roman" w:cs="Times New Roman"/>
          <w:color w:val="767171"/>
          <w:spacing w:val="20"/>
          <w:sz w:val="24"/>
          <w:szCs w:val="24"/>
        </w:rPr>
        <w:t xml:space="preserve"> se compartió</w:t>
      </w:r>
      <w:r w:rsidR="00A23B33">
        <w:rPr>
          <w:rFonts w:ascii="Times New Roman" w:eastAsia="Calibri" w:hAnsi="Times New Roman" w:cs="Times New Roman"/>
          <w:color w:val="767171"/>
          <w:spacing w:val="20"/>
          <w:sz w:val="24"/>
          <w:szCs w:val="24"/>
        </w:rPr>
        <w:t xml:space="preserve"> con toda la institución</w:t>
      </w:r>
      <w:r w:rsidR="001E5590" w:rsidRPr="006A0747">
        <w:rPr>
          <w:rFonts w:ascii="Times New Roman" w:eastAsia="Calibri" w:hAnsi="Times New Roman" w:cs="Times New Roman"/>
          <w:color w:val="767171"/>
          <w:spacing w:val="20"/>
          <w:sz w:val="24"/>
          <w:szCs w:val="24"/>
        </w:rPr>
        <w:t xml:space="preserve"> la rendición de cuentas </w:t>
      </w:r>
      <w:r w:rsidR="00A23B33">
        <w:rPr>
          <w:rFonts w:ascii="Times New Roman" w:eastAsia="Calibri" w:hAnsi="Times New Roman" w:cs="Times New Roman"/>
          <w:color w:val="767171"/>
          <w:spacing w:val="20"/>
          <w:sz w:val="24"/>
          <w:szCs w:val="24"/>
        </w:rPr>
        <w:t xml:space="preserve">de la </w:t>
      </w:r>
      <w:r w:rsidR="00CC0D63">
        <w:rPr>
          <w:rFonts w:ascii="Times New Roman" w:eastAsia="Calibri" w:hAnsi="Times New Roman" w:cs="Times New Roman"/>
          <w:color w:val="767171"/>
          <w:spacing w:val="20"/>
          <w:sz w:val="24"/>
          <w:szCs w:val="24"/>
        </w:rPr>
        <w:t>Comisión de</w:t>
      </w:r>
      <w:r w:rsidR="00A23B33">
        <w:rPr>
          <w:rFonts w:ascii="Times New Roman" w:eastAsia="Calibri" w:hAnsi="Times New Roman" w:cs="Times New Roman"/>
          <w:color w:val="767171"/>
          <w:spacing w:val="20"/>
          <w:sz w:val="24"/>
          <w:szCs w:val="24"/>
        </w:rPr>
        <w:t xml:space="preserve"> Integridad y Cumplimiento Normativo (CIGN) </w:t>
      </w:r>
      <w:r w:rsidR="001E5590" w:rsidRPr="006A0747">
        <w:rPr>
          <w:rFonts w:ascii="Times New Roman" w:eastAsia="Calibri" w:hAnsi="Times New Roman" w:cs="Times New Roman"/>
          <w:color w:val="767171"/>
          <w:spacing w:val="20"/>
          <w:sz w:val="24"/>
          <w:szCs w:val="24"/>
        </w:rPr>
        <w:t>y se lanzó la nueva versión del Código de Ética e Integridad</w:t>
      </w:r>
      <w:r w:rsidR="00287B9C" w:rsidRPr="006A0747">
        <w:rPr>
          <w:rFonts w:ascii="Times New Roman" w:eastAsia="Calibri" w:hAnsi="Times New Roman" w:cs="Times New Roman"/>
          <w:color w:val="767171"/>
          <w:spacing w:val="20"/>
          <w:sz w:val="24"/>
          <w:szCs w:val="24"/>
        </w:rPr>
        <w:t xml:space="preserve"> 2024.</w:t>
      </w:r>
      <w:r w:rsidR="00FE4C3F">
        <w:rPr>
          <w:rFonts w:ascii="Times New Roman" w:eastAsia="Calibri" w:hAnsi="Times New Roman" w:cs="Times New Roman"/>
          <w:color w:val="767171"/>
          <w:spacing w:val="20"/>
          <w:sz w:val="24"/>
          <w:szCs w:val="24"/>
        </w:rPr>
        <w:t xml:space="preserve"> </w:t>
      </w:r>
      <w:r w:rsidR="00287B9C" w:rsidRPr="006A0747">
        <w:rPr>
          <w:rFonts w:ascii="Times New Roman" w:eastAsia="Calibri" w:hAnsi="Times New Roman" w:cs="Times New Roman"/>
          <w:color w:val="767171"/>
          <w:spacing w:val="20"/>
          <w:sz w:val="24"/>
          <w:szCs w:val="24"/>
        </w:rPr>
        <w:t>Asimismo</w:t>
      </w:r>
      <w:r w:rsidR="001E5590" w:rsidRPr="006A0747">
        <w:rPr>
          <w:rFonts w:ascii="Times New Roman" w:eastAsia="Calibri" w:hAnsi="Times New Roman" w:cs="Times New Roman"/>
          <w:color w:val="767171"/>
          <w:spacing w:val="20"/>
          <w:sz w:val="24"/>
          <w:szCs w:val="24"/>
        </w:rPr>
        <w:t xml:space="preserve">, se llevó a cabo un panel titulado "El rol de la función de cumplimiento y su impacto en la integridad gubernamental", el cual contó con la participación de destacados exponentes. </w:t>
      </w:r>
    </w:p>
    <w:p w14:paraId="11F8A56A" w14:textId="4DE50A07" w:rsidR="007F1BC4" w:rsidRPr="006A0747" w:rsidRDefault="00BD2640" w:rsidP="002B2171">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Por último, en el</w:t>
      </w:r>
      <w:r w:rsidR="002B2171" w:rsidRPr="002B2171">
        <w:rPr>
          <w:rFonts w:ascii="Times New Roman" w:eastAsia="Calibri" w:hAnsi="Times New Roman" w:cs="Times New Roman"/>
          <w:color w:val="767171"/>
          <w:spacing w:val="20"/>
          <w:sz w:val="24"/>
          <w:szCs w:val="24"/>
        </w:rPr>
        <w:t xml:space="preserve"> </w:t>
      </w:r>
      <w:proofErr w:type="spellStart"/>
      <w:r w:rsidR="002B2171" w:rsidRPr="002B2171">
        <w:rPr>
          <w:rFonts w:ascii="Times New Roman" w:eastAsia="Calibri" w:hAnsi="Times New Roman" w:cs="Times New Roman"/>
          <w:color w:val="767171"/>
          <w:spacing w:val="20"/>
          <w:sz w:val="24"/>
          <w:szCs w:val="24"/>
        </w:rPr>
        <w:t>el</w:t>
      </w:r>
      <w:proofErr w:type="spellEnd"/>
      <w:r w:rsidR="002B2171" w:rsidRPr="002B2171">
        <w:rPr>
          <w:rFonts w:ascii="Times New Roman" w:eastAsia="Calibri" w:hAnsi="Times New Roman" w:cs="Times New Roman"/>
          <w:color w:val="767171"/>
          <w:spacing w:val="20"/>
          <w:sz w:val="24"/>
          <w:szCs w:val="24"/>
        </w:rPr>
        <w:t xml:space="preserve"> marco del Día Internacional de la Lucha </w:t>
      </w:r>
      <w:r w:rsidR="004E7B51">
        <w:rPr>
          <w:rFonts w:ascii="Times New Roman" w:eastAsia="Calibri" w:hAnsi="Times New Roman" w:cs="Times New Roman"/>
          <w:color w:val="767171"/>
          <w:spacing w:val="20"/>
          <w:sz w:val="24"/>
          <w:szCs w:val="24"/>
        </w:rPr>
        <w:t>C</w:t>
      </w:r>
      <w:r w:rsidR="002B2171" w:rsidRPr="002B2171">
        <w:rPr>
          <w:rFonts w:ascii="Times New Roman" w:eastAsia="Calibri" w:hAnsi="Times New Roman" w:cs="Times New Roman"/>
          <w:color w:val="767171"/>
          <w:spacing w:val="20"/>
          <w:sz w:val="24"/>
          <w:szCs w:val="24"/>
        </w:rPr>
        <w:t xml:space="preserve">ontra la Corrupción, </w:t>
      </w:r>
      <w:r w:rsidR="004E7B51">
        <w:rPr>
          <w:rFonts w:ascii="Times New Roman" w:eastAsia="Calibri" w:hAnsi="Times New Roman" w:cs="Times New Roman"/>
          <w:color w:val="767171"/>
          <w:spacing w:val="20"/>
          <w:sz w:val="24"/>
          <w:szCs w:val="24"/>
        </w:rPr>
        <w:t xml:space="preserve">el 09 de </w:t>
      </w:r>
      <w:r w:rsidR="00976F31">
        <w:rPr>
          <w:rFonts w:ascii="Times New Roman" w:eastAsia="Calibri" w:hAnsi="Times New Roman" w:cs="Times New Roman"/>
          <w:color w:val="767171"/>
          <w:spacing w:val="20"/>
          <w:sz w:val="24"/>
          <w:szCs w:val="24"/>
        </w:rPr>
        <w:t>diciembre, la SB llevó</w:t>
      </w:r>
      <w:r w:rsidR="002B2171" w:rsidRPr="002B2171">
        <w:rPr>
          <w:rFonts w:ascii="Times New Roman" w:eastAsia="Calibri" w:hAnsi="Times New Roman" w:cs="Times New Roman"/>
          <w:color w:val="767171"/>
          <w:spacing w:val="20"/>
          <w:sz w:val="24"/>
          <w:szCs w:val="24"/>
        </w:rPr>
        <w:t xml:space="preserve"> a cabo un panel sobre la prevención de la corrupción en las contrataciones públicas. Este espacio contó con la intervención de: Carlos Pimentel, </w:t>
      </w:r>
      <w:r w:rsidR="00301577" w:rsidRPr="002B2171">
        <w:rPr>
          <w:rFonts w:ascii="Times New Roman" w:eastAsia="Calibri" w:hAnsi="Times New Roman" w:cs="Times New Roman"/>
          <w:color w:val="767171"/>
          <w:spacing w:val="20"/>
          <w:sz w:val="24"/>
          <w:szCs w:val="24"/>
        </w:rPr>
        <w:t>director general</w:t>
      </w:r>
      <w:r w:rsidR="002B2171" w:rsidRPr="002B2171">
        <w:rPr>
          <w:rFonts w:ascii="Times New Roman" w:eastAsia="Calibri" w:hAnsi="Times New Roman" w:cs="Times New Roman"/>
          <w:color w:val="767171"/>
          <w:spacing w:val="20"/>
          <w:sz w:val="24"/>
          <w:szCs w:val="24"/>
        </w:rPr>
        <w:t xml:space="preserve"> de Contrataciones Públicas; Wilson Camacho, </w:t>
      </w:r>
      <w:r w:rsidR="00301577">
        <w:rPr>
          <w:rFonts w:ascii="Times New Roman" w:eastAsia="Calibri" w:hAnsi="Times New Roman" w:cs="Times New Roman"/>
          <w:color w:val="767171"/>
          <w:spacing w:val="20"/>
          <w:sz w:val="24"/>
          <w:szCs w:val="24"/>
        </w:rPr>
        <w:t>t</w:t>
      </w:r>
      <w:r w:rsidR="002B2171" w:rsidRPr="002B2171">
        <w:rPr>
          <w:rFonts w:ascii="Times New Roman" w:eastAsia="Calibri" w:hAnsi="Times New Roman" w:cs="Times New Roman"/>
          <w:color w:val="767171"/>
          <w:spacing w:val="20"/>
          <w:sz w:val="24"/>
          <w:szCs w:val="24"/>
        </w:rPr>
        <w:t xml:space="preserve">itular de la </w:t>
      </w:r>
      <w:r w:rsidR="00EB37B1">
        <w:rPr>
          <w:rFonts w:ascii="Times New Roman" w:eastAsia="Calibri" w:hAnsi="Times New Roman" w:cs="Times New Roman"/>
          <w:color w:val="767171"/>
          <w:spacing w:val="20"/>
          <w:sz w:val="24"/>
          <w:szCs w:val="24"/>
        </w:rPr>
        <w:t xml:space="preserve">Procuraduría Especializada </w:t>
      </w:r>
      <w:r w:rsidR="00301577">
        <w:rPr>
          <w:rFonts w:ascii="Times New Roman" w:eastAsia="Calibri" w:hAnsi="Times New Roman" w:cs="Times New Roman"/>
          <w:color w:val="767171"/>
          <w:spacing w:val="20"/>
          <w:sz w:val="24"/>
          <w:szCs w:val="24"/>
        </w:rPr>
        <w:t>de</w:t>
      </w:r>
      <w:r w:rsidR="0087124C">
        <w:rPr>
          <w:rFonts w:ascii="Times New Roman" w:eastAsia="Calibri" w:hAnsi="Times New Roman" w:cs="Times New Roman"/>
          <w:color w:val="767171"/>
          <w:spacing w:val="20"/>
          <w:sz w:val="24"/>
          <w:szCs w:val="24"/>
        </w:rPr>
        <w:t xml:space="preserve"> </w:t>
      </w:r>
      <w:r w:rsidR="00301577">
        <w:rPr>
          <w:rFonts w:ascii="Times New Roman" w:eastAsia="Calibri" w:hAnsi="Times New Roman" w:cs="Times New Roman"/>
          <w:color w:val="767171"/>
          <w:spacing w:val="20"/>
          <w:sz w:val="24"/>
          <w:szCs w:val="24"/>
        </w:rPr>
        <w:t xml:space="preserve">la </w:t>
      </w:r>
      <w:r w:rsidR="0087124C">
        <w:rPr>
          <w:rFonts w:ascii="Times New Roman" w:eastAsia="Calibri" w:hAnsi="Times New Roman" w:cs="Times New Roman"/>
          <w:color w:val="767171"/>
          <w:spacing w:val="20"/>
          <w:sz w:val="24"/>
          <w:szCs w:val="24"/>
        </w:rPr>
        <w:t>Persecución de la Corrupción Administrativa (P</w:t>
      </w:r>
      <w:r w:rsidR="002B2171" w:rsidRPr="002B2171">
        <w:rPr>
          <w:rFonts w:ascii="Times New Roman" w:eastAsia="Calibri" w:hAnsi="Times New Roman" w:cs="Times New Roman"/>
          <w:color w:val="767171"/>
          <w:spacing w:val="20"/>
          <w:sz w:val="24"/>
          <w:szCs w:val="24"/>
        </w:rPr>
        <w:t>EPCA</w:t>
      </w:r>
      <w:r w:rsidR="00665FFA">
        <w:rPr>
          <w:rFonts w:ascii="Times New Roman" w:eastAsia="Calibri" w:hAnsi="Times New Roman" w:cs="Times New Roman"/>
          <w:color w:val="767171"/>
          <w:spacing w:val="20"/>
          <w:sz w:val="24"/>
          <w:szCs w:val="24"/>
        </w:rPr>
        <w:t>)</w:t>
      </w:r>
      <w:r w:rsidR="002B2171" w:rsidRPr="002B2171">
        <w:rPr>
          <w:rFonts w:ascii="Times New Roman" w:eastAsia="Calibri" w:hAnsi="Times New Roman" w:cs="Times New Roman"/>
          <w:color w:val="767171"/>
          <w:spacing w:val="20"/>
          <w:sz w:val="24"/>
          <w:szCs w:val="24"/>
        </w:rPr>
        <w:t xml:space="preserve">; y Rafael Dickson, </w:t>
      </w:r>
      <w:r w:rsidR="0087124C">
        <w:rPr>
          <w:rFonts w:ascii="Times New Roman" w:eastAsia="Calibri" w:hAnsi="Times New Roman" w:cs="Times New Roman"/>
          <w:color w:val="767171"/>
          <w:spacing w:val="20"/>
          <w:sz w:val="24"/>
          <w:szCs w:val="24"/>
        </w:rPr>
        <w:t>abogado especialista en Derecho Público</w:t>
      </w:r>
      <w:r w:rsidR="002B2171" w:rsidRPr="002B2171">
        <w:rPr>
          <w:rFonts w:ascii="Times New Roman" w:eastAsia="Calibri" w:hAnsi="Times New Roman" w:cs="Times New Roman"/>
          <w:color w:val="767171"/>
          <w:spacing w:val="20"/>
          <w:sz w:val="24"/>
          <w:szCs w:val="24"/>
        </w:rPr>
        <w:t>.</w:t>
      </w:r>
      <w:r w:rsidR="00301577">
        <w:rPr>
          <w:rFonts w:ascii="Times New Roman" w:eastAsia="Calibri" w:hAnsi="Times New Roman" w:cs="Times New Roman"/>
          <w:color w:val="767171"/>
          <w:spacing w:val="20"/>
          <w:sz w:val="24"/>
          <w:szCs w:val="24"/>
        </w:rPr>
        <w:t xml:space="preserve"> </w:t>
      </w:r>
      <w:r w:rsidR="002B2171" w:rsidRPr="002B2171">
        <w:rPr>
          <w:rFonts w:ascii="Times New Roman" w:eastAsia="Calibri" w:hAnsi="Times New Roman" w:cs="Times New Roman"/>
          <w:color w:val="767171"/>
          <w:spacing w:val="20"/>
          <w:sz w:val="24"/>
          <w:szCs w:val="24"/>
        </w:rPr>
        <w:t>Durante e</w:t>
      </w:r>
      <w:r w:rsidR="00301577">
        <w:rPr>
          <w:rFonts w:ascii="Times New Roman" w:eastAsia="Calibri" w:hAnsi="Times New Roman" w:cs="Times New Roman"/>
          <w:color w:val="767171"/>
          <w:spacing w:val="20"/>
          <w:sz w:val="24"/>
          <w:szCs w:val="24"/>
        </w:rPr>
        <w:t>ste</w:t>
      </w:r>
      <w:r w:rsidR="002B2171" w:rsidRPr="002B2171">
        <w:rPr>
          <w:rFonts w:ascii="Times New Roman" w:eastAsia="Calibri" w:hAnsi="Times New Roman" w:cs="Times New Roman"/>
          <w:color w:val="767171"/>
          <w:spacing w:val="20"/>
          <w:sz w:val="24"/>
          <w:szCs w:val="24"/>
        </w:rPr>
        <w:t xml:space="preserve"> evento, también </w:t>
      </w:r>
      <w:r w:rsidR="00301577">
        <w:rPr>
          <w:rFonts w:ascii="Times New Roman" w:eastAsia="Calibri" w:hAnsi="Times New Roman" w:cs="Times New Roman"/>
          <w:color w:val="767171"/>
          <w:spacing w:val="20"/>
          <w:sz w:val="24"/>
          <w:szCs w:val="24"/>
        </w:rPr>
        <w:t>se hizo un reconocimiento a</w:t>
      </w:r>
      <w:r w:rsidR="002B2171" w:rsidRPr="002B2171">
        <w:rPr>
          <w:rFonts w:ascii="Times New Roman" w:eastAsia="Calibri" w:hAnsi="Times New Roman" w:cs="Times New Roman"/>
          <w:color w:val="767171"/>
          <w:spacing w:val="20"/>
          <w:sz w:val="24"/>
          <w:szCs w:val="24"/>
        </w:rPr>
        <w:t xml:space="preserve"> colaboradores que promueven los principios de la SB, por sus valores de integridad y transparencia</w:t>
      </w:r>
    </w:p>
    <w:p w14:paraId="5460E591" w14:textId="77777777" w:rsidR="00E05779" w:rsidRPr="006A0747" w:rsidRDefault="00E05779" w:rsidP="001E5590">
      <w:pPr>
        <w:spacing w:line="360" w:lineRule="auto"/>
        <w:jc w:val="both"/>
        <w:rPr>
          <w:rFonts w:ascii="Times New Roman" w:eastAsia="Calibri" w:hAnsi="Times New Roman" w:cs="Times New Roman"/>
          <w:color w:val="2E74B5" w:themeColor="accent5" w:themeShade="BF"/>
          <w:spacing w:val="20"/>
          <w:sz w:val="24"/>
          <w:szCs w:val="24"/>
        </w:rPr>
      </w:pPr>
    </w:p>
    <w:p w14:paraId="45487F00" w14:textId="77777777" w:rsidR="00BD33FB" w:rsidRDefault="00BD33FB" w:rsidP="001E5590">
      <w:pPr>
        <w:spacing w:line="360" w:lineRule="auto"/>
        <w:jc w:val="both"/>
        <w:rPr>
          <w:rFonts w:ascii="Times New Roman" w:eastAsia="Calibri" w:hAnsi="Times New Roman" w:cs="Times New Roman"/>
          <w:color w:val="2E74B5" w:themeColor="accent5" w:themeShade="BF"/>
          <w:spacing w:val="20"/>
          <w:sz w:val="24"/>
          <w:szCs w:val="24"/>
        </w:rPr>
      </w:pPr>
    </w:p>
    <w:p w14:paraId="558C1043" w14:textId="77777777" w:rsidR="00F509DB" w:rsidRPr="006A0747" w:rsidRDefault="00F509DB" w:rsidP="001E5590">
      <w:pPr>
        <w:spacing w:line="360" w:lineRule="auto"/>
        <w:jc w:val="both"/>
        <w:rPr>
          <w:rFonts w:ascii="Times New Roman" w:eastAsia="Calibri" w:hAnsi="Times New Roman" w:cs="Times New Roman"/>
          <w:color w:val="2E74B5" w:themeColor="accent5" w:themeShade="BF"/>
          <w:spacing w:val="20"/>
          <w:sz w:val="24"/>
          <w:szCs w:val="24"/>
        </w:rPr>
      </w:pPr>
    </w:p>
    <w:p w14:paraId="6BB2B1EB" w14:textId="7F04BF2F" w:rsidR="00B81043" w:rsidRPr="006A0747" w:rsidRDefault="00B81043" w:rsidP="00B81043">
      <w:pPr>
        <w:pStyle w:val="Ttulo1"/>
        <w:numPr>
          <w:ilvl w:val="0"/>
          <w:numId w:val="17"/>
        </w:numPr>
        <w:tabs>
          <w:tab w:val="left" w:pos="709"/>
        </w:tabs>
        <w:ind w:left="709" w:hanging="709"/>
        <w:jc w:val="center"/>
        <w:rPr>
          <w:rFonts w:cs="Times New Roman"/>
          <w:b/>
          <w:color w:val="767171"/>
        </w:rPr>
      </w:pPr>
      <w:bookmarkStart w:id="64" w:name="_Toc185275016"/>
      <w:r w:rsidRPr="006A0747">
        <w:rPr>
          <w:rFonts w:cs="Times New Roman"/>
          <w:b/>
          <w:color w:val="767171"/>
        </w:rPr>
        <w:lastRenderedPageBreak/>
        <w:t>PROYECCIONES AL PRÓXIMO AÑO</w:t>
      </w:r>
      <w:bookmarkEnd w:id="64"/>
    </w:p>
    <w:p w14:paraId="41607D88" w14:textId="77777777" w:rsidR="00B81043" w:rsidRPr="006A0747" w:rsidRDefault="00B81043" w:rsidP="00B81043">
      <w:pPr>
        <w:jc w:val="center"/>
        <w:rPr>
          <w:rFonts w:ascii="Times New Roman" w:eastAsia="Calibri" w:hAnsi="Times New Roman" w:cs="Times New Roman"/>
          <w:color w:val="2E74B5" w:themeColor="accent5" w:themeShade="BF"/>
          <w:sz w:val="18"/>
        </w:rPr>
      </w:pPr>
      <w:r w:rsidRPr="006A0747">
        <w:rPr>
          <w:rFonts w:ascii="Times New Roman" w:hAnsi="Times New Roman" w:cs="Times New Roman"/>
          <w:noProof/>
          <w:color w:val="2E74B5" w:themeColor="accent5" w:themeShade="BF"/>
          <w:lang w:eastAsia="es-DO"/>
        </w:rPr>
        <mc:AlternateContent>
          <mc:Choice Requires="wps">
            <w:drawing>
              <wp:anchor distT="4294967295" distB="4294967295" distL="114300" distR="114300" simplePos="0" relativeHeight="251658262" behindDoc="0" locked="0" layoutInCell="1" allowOverlap="1" wp14:anchorId="151E1EFE" wp14:editId="3F97ABD9">
                <wp:simplePos x="0" y="0"/>
                <wp:positionH relativeFrom="margin">
                  <wp:align>center</wp:align>
                </wp:positionH>
                <wp:positionV relativeFrom="paragraph">
                  <wp:posOffset>100329</wp:posOffset>
                </wp:positionV>
                <wp:extent cx="463550" cy="0"/>
                <wp:effectExtent l="0" t="19050" r="31750" b="19050"/>
                <wp:wrapNone/>
                <wp:docPr id="36083309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486C0D8" id="Straight Connector 7" o:spid="_x0000_s1026" style="position:absolute;z-index:25165826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7.9pt" to="3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" strokecolor="#ee2a24" strokeweight="2.25pt">
                <v:stroke joinstyle="miter"/>
                <w10:wrap anchorx="margin"/>
              </v:line>
            </w:pict>
          </mc:Fallback>
        </mc:AlternateContent>
      </w:r>
    </w:p>
    <w:p w14:paraId="2DBC994F" w14:textId="52F922FD" w:rsidR="00B81043" w:rsidRPr="006A0747" w:rsidRDefault="00B81043" w:rsidP="00B81043">
      <w:pPr>
        <w:spacing w:after="0"/>
        <w:jc w:val="center"/>
        <w:rPr>
          <w:rFonts w:ascii="Times New Roman" w:hAnsi="Times New Roman" w:cs="Times New Roman"/>
          <w:color w:val="767171"/>
          <w:spacing w:val="20"/>
          <w:sz w:val="24"/>
          <w:szCs w:val="24"/>
        </w:rPr>
      </w:pPr>
      <w:r w:rsidRPr="006A0747">
        <w:rPr>
          <w:rFonts w:ascii="Times New Roman" w:hAnsi="Times New Roman" w:cs="Times New Roman"/>
          <w:color w:val="767171"/>
          <w:spacing w:val="20"/>
          <w:sz w:val="24"/>
          <w:szCs w:val="24"/>
        </w:rPr>
        <w:t>Memoria Institucional 2024</w:t>
      </w:r>
    </w:p>
    <w:p w14:paraId="37522971" w14:textId="77777777" w:rsidR="00B81043" w:rsidRPr="006A0747" w:rsidRDefault="00B81043" w:rsidP="00B81043">
      <w:pPr>
        <w:jc w:val="center"/>
        <w:rPr>
          <w:rFonts w:ascii="Times New Roman" w:hAnsi="Times New Roman" w:cs="Times New Roman"/>
          <w:color w:val="2E74B5" w:themeColor="accent5" w:themeShade="BF"/>
          <w:spacing w:val="20"/>
          <w:szCs w:val="36"/>
        </w:rPr>
      </w:pPr>
    </w:p>
    <w:p w14:paraId="660CA14D" w14:textId="531DB040" w:rsidR="00B81043" w:rsidRPr="006A0747" w:rsidRDefault="00723AF7" w:rsidP="00B81043">
      <w:pPr>
        <w:pStyle w:val="Ttulo2"/>
        <w:numPr>
          <w:ilvl w:val="1"/>
          <w:numId w:val="17"/>
        </w:numPr>
        <w:rPr>
          <w:rFonts w:ascii="Times New Roman" w:eastAsia="Calibri" w:hAnsi="Times New Roman" w:cs="Times New Roman"/>
          <w:b/>
          <w:color w:val="767171"/>
          <w:spacing w:val="20"/>
          <w:sz w:val="24"/>
          <w:szCs w:val="24"/>
        </w:rPr>
      </w:pPr>
      <w:bookmarkStart w:id="65" w:name="_Toc185275017"/>
      <w:r w:rsidRPr="006A0747">
        <w:rPr>
          <w:rFonts w:ascii="Times New Roman" w:eastAsia="Calibri" w:hAnsi="Times New Roman" w:cs="Times New Roman"/>
          <w:b/>
          <w:color w:val="767171"/>
          <w:spacing w:val="20"/>
          <w:sz w:val="24"/>
          <w:szCs w:val="24"/>
        </w:rPr>
        <w:t>Proyecciones de programas y proyectos para el 2025</w:t>
      </w:r>
      <w:bookmarkEnd w:id="65"/>
    </w:p>
    <w:p w14:paraId="0D94EB3B" w14:textId="77777777" w:rsidR="00B81043" w:rsidRPr="006A0747" w:rsidRDefault="00B81043" w:rsidP="00B81043">
      <w:pPr>
        <w:rPr>
          <w:rFonts w:ascii="Times New Roman" w:hAnsi="Times New Roman" w:cs="Times New Roman"/>
          <w:color w:val="767171"/>
        </w:rPr>
      </w:pPr>
    </w:p>
    <w:p w14:paraId="7290D48B" w14:textId="5FFA129E" w:rsidR="009147A3" w:rsidRPr="006A0747" w:rsidRDefault="001D0A76" w:rsidP="00740F89">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C</w:t>
      </w:r>
      <w:r w:rsidR="00965DEA" w:rsidRPr="006A0747">
        <w:rPr>
          <w:rFonts w:ascii="Times New Roman" w:eastAsia="Calibri" w:hAnsi="Times New Roman" w:cs="Times New Roman"/>
          <w:color w:val="767171"/>
          <w:spacing w:val="20"/>
          <w:sz w:val="24"/>
          <w:szCs w:val="24"/>
        </w:rPr>
        <w:t xml:space="preserve">on el </w:t>
      </w:r>
      <w:r w:rsidR="00DF5163" w:rsidRPr="006A0747">
        <w:rPr>
          <w:rFonts w:ascii="Times New Roman" w:eastAsia="Calibri" w:hAnsi="Times New Roman" w:cs="Times New Roman"/>
          <w:color w:val="767171"/>
          <w:spacing w:val="20"/>
          <w:sz w:val="24"/>
          <w:szCs w:val="24"/>
        </w:rPr>
        <w:t>propósito</w:t>
      </w:r>
      <w:r w:rsidR="00965DEA" w:rsidRPr="006A0747">
        <w:rPr>
          <w:rFonts w:ascii="Times New Roman" w:eastAsia="Calibri" w:hAnsi="Times New Roman" w:cs="Times New Roman"/>
          <w:color w:val="767171"/>
          <w:spacing w:val="20"/>
          <w:sz w:val="24"/>
          <w:szCs w:val="24"/>
        </w:rPr>
        <w:t xml:space="preserve"> de continuar fortaleciendo </w:t>
      </w:r>
      <w:r w:rsidR="00227F93" w:rsidRPr="006A0747">
        <w:rPr>
          <w:rFonts w:ascii="Times New Roman" w:eastAsia="Calibri" w:hAnsi="Times New Roman" w:cs="Times New Roman"/>
          <w:color w:val="767171"/>
          <w:spacing w:val="20"/>
          <w:sz w:val="24"/>
          <w:szCs w:val="24"/>
        </w:rPr>
        <w:t>los</w:t>
      </w:r>
      <w:r w:rsidR="00965DEA" w:rsidRPr="006A0747">
        <w:rPr>
          <w:rFonts w:ascii="Times New Roman" w:eastAsia="Calibri" w:hAnsi="Times New Roman" w:cs="Times New Roman"/>
          <w:color w:val="767171"/>
          <w:spacing w:val="20"/>
          <w:sz w:val="24"/>
          <w:szCs w:val="24"/>
        </w:rPr>
        <w:t xml:space="preserve"> procesos internos y externo</w:t>
      </w:r>
      <w:r w:rsidR="00227F93" w:rsidRPr="006A0747">
        <w:rPr>
          <w:rFonts w:ascii="Times New Roman" w:eastAsia="Calibri" w:hAnsi="Times New Roman" w:cs="Times New Roman"/>
          <w:color w:val="767171"/>
          <w:spacing w:val="20"/>
          <w:sz w:val="24"/>
          <w:szCs w:val="24"/>
        </w:rPr>
        <w:t>s en la</w:t>
      </w:r>
      <w:r w:rsidRPr="006A0747">
        <w:rPr>
          <w:rFonts w:ascii="Times New Roman" w:eastAsia="Calibri" w:hAnsi="Times New Roman" w:cs="Times New Roman"/>
          <w:color w:val="767171"/>
          <w:spacing w:val="20"/>
          <w:sz w:val="24"/>
          <w:szCs w:val="24"/>
        </w:rPr>
        <w:t xml:space="preserve"> Superintendencia de Bancos</w:t>
      </w:r>
      <w:r w:rsidR="00227F93" w:rsidRPr="006A0747">
        <w:rPr>
          <w:rFonts w:ascii="Times New Roman" w:eastAsia="Calibri" w:hAnsi="Times New Roman" w:cs="Times New Roman"/>
          <w:color w:val="767171"/>
          <w:spacing w:val="20"/>
          <w:sz w:val="24"/>
          <w:szCs w:val="24"/>
        </w:rPr>
        <w:t xml:space="preserve">, </w:t>
      </w:r>
      <w:r w:rsidR="00341E9E">
        <w:rPr>
          <w:rFonts w:ascii="Times New Roman" w:eastAsia="Calibri" w:hAnsi="Times New Roman" w:cs="Times New Roman"/>
          <w:color w:val="767171"/>
          <w:spacing w:val="20"/>
          <w:sz w:val="24"/>
          <w:szCs w:val="24"/>
        </w:rPr>
        <w:t>la SB proyecta lanzar el próximo año su P</w:t>
      </w:r>
      <w:r w:rsidRPr="006A0747">
        <w:rPr>
          <w:rFonts w:ascii="Times New Roman" w:eastAsia="Calibri" w:hAnsi="Times New Roman" w:cs="Times New Roman"/>
          <w:color w:val="767171"/>
          <w:spacing w:val="20"/>
          <w:sz w:val="24"/>
          <w:szCs w:val="24"/>
        </w:rPr>
        <w:t xml:space="preserve">lan Estratégico Institucional (PEI) 2025-2028, el cual guiará las acciones y prioridades </w:t>
      </w:r>
      <w:r w:rsidR="00BC3849">
        <w:rPr>
          <w:rFonts w:ascii="Times New Roman" w:eastAsia="Calibri" w:hAnsi="Times New Roman" w:cs="Times New Roman"/>
          <w:color w:val="767171"/>
          <w:spacing w:val="20"/>
          <w:sz w:val="24"/>
          <w:szCs w:val="24"/>
        </w:rPr>
        <w:t xml:space="preserve">de mediano y largo plazo. </w:t>
      </w:r>
      <w:r w:rsidRPr="006A0747">
        <w:rPr>
          <w:rFonts w:ascii="Times New Roman" w:eastAsia="Calibri" w:hAnsi="Times New Roman" w:cs="Times New Roman"/>
          <w:color w:val="767171"/>
          <w:spacing w:val="20"/>
          <w:sz w:val="24"/>
          <w:szCs w:val="24"/>
        </w:rPr>
        <w:t xml:space="preserve">Este plan </w:t>
      </w:r>
      <w:r w:rsidR="00D26429">
        <w:rPr>
          <w:rFonts w:ascii="Times New Roman" w:eastAsia="Calibri" w:hAnsi="Times New Roman" w:cs="Times New Roman"/>
          <w:color w:val="767171"/>
          <w:spacing w:val="20"/>
          <w:sz w:val="24"/>
          <w:szCs w:val="24"/>
        </w:rPr>
        <w:t>que se encuentra en etapa de formulación</w:t>
      </w:r>
      <w:r w:rsidR="006F1570">
        <w:rPr>
          <w:rFonts w:ascii="Times New Roman" w:eastAsia="Calibri" w:hAnsi="Times New Roman" w:cs="Times New Roman"/>
          <w:color w:val="767171"/>
          <w:spacing w:val="20"/>
          <w:sz w:val="24"/>
          <w:szCs w:val="24"/>
        </w:rPr>
        <w:t xml:space="preserve"> </w:t>
      </w:r>
      <w:r w:rsidR="00D26429">
        <w:rPr>
          <w:rFonts w:ascii="Times New Roman" w:eastAsia="Calibri" w:hAnsi="Times New Roman" w:cs="Times New Roman"/>
          <w:color w:val="767171"/>
          <w:spacing w:val="20"/>
          <w:sz w:val="24"/>
          <w:szCs w:val="24"/>
        </w:rPr>
        <w:t xml:space="preserve">buscará el fortalecimiento de </w:t>
      </w:r>
      <w:r w:rsidRPr="006A0747">
        <w:rPr>
          <w:rFonts w:ascii="Times New Roman" w:eastAsia="Calibri" w:hAnsi="Times New Roman" w:cs="Times New Roman"/>
          <w:color w:val="767171"/>
          <w:spacing w:val="20"/>
          <w:sz w:val="24"/>
          <w:szCs w:val="24"/>
        </w:rPr>
        <w:t xml:space="preserve">los procesos operativos, </w:t>
      </w:r>
      <w:r w:rsidR="00F94F71">
        <w:rPr>
          <w:rFonts w:ascii="Times New Roman" w:eastAsia="Calibri" w:hAnsi="Times New Roman" w:cs="Times New Roman"/>
          <w:color w:val="767171"/>
          <w:spacing w:val="20"/>
          <w:sz w:val="24"/>
          <w:szCs w:val="24"/>
        </w:rPr>
        <w:t>la actualizaci</w:t>
      </w:r>
      <w:r w:rsidR="002B5C2A">
        <w:rPr>
          <w:rFonts w:ascii="Times New Roman" w:eastAsia="Calibri" w:hAnsi="Times New Roman" w:cs="Times New Roman"/>
          <w:color w:val="767171"/>
          <w:spacing w:val="20"/>
          <w:sz w:val="24"/>
          <w:szCs w:val="24"/>
        </w:rPr>
        <w:t xml:space="preserve">ón del marco </w:t>
      </w:r>
      <w:r w:rsidRPr="006A0747">
        <w:rPr>
          <w:rFonts w:ascii="Times New Roman" w:eastAsia="Calibri" w:hAnsi="Times New Roman" w:cs="Times New Roman"/>
          <w:color w:val="767171"/>
          <w:spacing w:val="20"/>
          <w:sz w:val="24"/>
          <w:szCs w:val="24"/>
        </w:rPr>
        <w:t>regulatorio</w:t>
      </w:r>
      <w:r w:rsidR="00CA1B29" w:rsidRPr="006A0747">
        <w:rPr>
          <w:rFonts w:ascii="Times New Roman" w:eastAsia="Calibri" w:hAnsi="Times New Roman" w:cs="Times New Roman"/>
          <w:color w:val="767171"/>
          <w:spacing w:val="20"/>
          <w:sz w:val="24"/>
          <w:szCs w:val="24"/>
        </w:rPr>
        <w:t xml:space="preserve">, </w:t>
      </w:r>
      <w:r w:rsidR="00C93F79">
        <w:rPr>
          <w:rFonts w:ascii="Times New Roman" w:eastAsia="Calibri" w:hAnsi="Times New Roman" w:cs="Times New Roman"/>
          <w:color w:val="767171"/>
          <w:spacing w:val="20"/>
          <w:sz w:val="24"/>
          <w:szCs w:val="24"/>
        </w:rPr>
        <w:t xml:space="preserve">la promoción de la </w:t>
      </w:r>
      <w:r w:rsidR="00CA1B29" w:rsidRPr="006A0747">
        <w:rPr>
          <w:rFonts w:ascii="Times New Roman" w:eastAsia="Calibri" w:hAnsi="Times New Roman" w:cs="Times New Roman"/>
          <w:color w:val="767171"/>
          <w:spacing w:val="20"/>
          <w:sz w:val="24"/>
          <w:szCs w:val="24"/>
        </w:rPr>
        <w:t>innovación</w:t>
      </w:r>
      <w:r w:rsidRPr="006A0747">
        <w:rPr>
          <w:rFonts w:ascii="Times New Roman" w:eastAsia="Calibri" w:hAnsi="Times New Roman" w:cs="Times New Roman"/>
          <w:color w:val="767171"/>
          <w:spacing w:val="20"/>
          <w:sz w:val="24"/>
          <w:szCs w:val="24"/>
        </w:rPr>
        <w:t xml:space="preserve"> y </w:t>
      </w:r>
      <w:r w:rsidR="006F1570">
        <w:rPr>
          <w:rFonts w:ascii="Times New Roman" w:eastAsia="Calibri" w:hAnsi="Times New Roman" w:cs="Times New Roman"/>
          <w:color w:val="767171"/>
          <w:spacing w:val="20"/>
          <w:sz w:val="24"/>
          <w:szCs w:val="24"/>
        </w:rPr>
        <w:t xml:space="preserve">una mayor eficacia de la </w:t>
      </w:r>
      <w:r w:rsidRPr="006A0747">
        <w:rPr>
          <w:rFonts w:ascii="Times New Roman" w:eastAsia="Calibri" w:hAnsi="Times New Roman" w:cs="Times New Roman"/>
          <w:color w:val="767171"/>
          <w:spacing w:val="20"/>
          <w:sz w:val="24"/>
          <w:szCs w:val="24"/>
        </w:rPr>
        <w:t>supervisión</w:t>
      </w:r>
      <w:r w:rsidR="006F1570">
        <w:rPr>
          <w:rFonts w:ascii="Times New Roman" w:eastAsia="Calibri" w:hAnsi="Times New Roman" w:cs="Times New Roman"/>
          <w:color w:val="767171"/>
          <w:spacing w:val="20"/>
          <w:sz w:val="24"/>
          <w:szCs w:val="24"/>
        </w:rPr>
        <w:t>. Con ello se procura</w:t>
      </w:r>
      <w:r w:rsidRPr="006A0747">
        <w:rPr>
          <w:rFonts w:ascii="Times New Roman" w:eastAsia="Calibri" w:hAnsi="Times New Roman" w:cs="Times New Roman"/>
          <w:color w:val="767171"/>
          <w:spacing w:val="20"/>
          <w:sz w:val="24"/>
          <w:szCs w:val="24"/>
        </w:rPr>
        <w:t xml:space="preserve"> asegur</w:t>
      </w:r>
      <w:r w:rsidR="006F1570">
        <w:rPr>
          <w:rFonts w:ascii="Times New Roman" w:eastAsia="Calibri" w:hAnsi="Times New Roman" w:cs="Times New Roman"/>
          <w:color w:val="767171"/>
          <w:spacing w:val="20"/>
          <w:sz w:val="24"/>
          <w:szCs w:val="24"/>
        </w:rPr>
        <w:t>ar</w:t>
      </w:r>
      <w:r w:rsidRPr="006A0747">
        <w:rPr>
          <w:rFonts w:ascii="Times New Roman" w:eastAsia="Calibri" w:hAnsi="Times New Roman" w:cs="Times New Roman"/>
          <w:color w:val="767171"/>
          <w:spacing w:val="20"/>
          <w:sz w:val="24"/>
          <w:szCs w:val="24"/>
        </w:rPr>
        <w:t xml:space="preserve"> que la institución se adapte a las demandas y desafíos del sector financiero</w:t>
      </w:r>
      <w:r w:rsidR="00DC3637" w:rsidRPr="006A0747">
        <w:rPr>
          <w:rFonts w:ascii="Times New Roman" w:eastAsia="Calibri" w:hAnsi="Times New Roman" w:cs="Times New Roman"/>
          <w:color w:val="767171"/>
          <w:spacing w:val="20"/>
          <w:sz w:val="24"/>
          <w:szCs w:val="24"/>
        </w:rPr>
        <w:t>.</w:t>
      </w:r>
      <w:r w:rsidRPr="006A0747">
        <w:rPr>
          <w:rFonts w:ascii="Times New Roman" w:eastAsia="Calibri" w:hAnsi="Times New Roman" w:cs="Times New Roman"/>
          <w:color w:val="767171"/>
          <w:spacing w:val="20"/>
          <w:sz w:val="24"/>
          <w:szCs w:val="24"/>
        </w:rPr>
        <w:t xml:space="preserve"> </w:t>
      </w:r>
      <w:r w:rsidR="00DC3637" w:rsidRPr="006A0747">
        <w:rPr>
          <w:rFonts w:ascii="Times New Roman" w:eastAsia="Calibri" w:hAnsi="Times New Roman" w:cs="Times New Roman"/>
          <w:color w:val="767171"/>
          <w:spacing w:val="20"/>
          <w:sz w:val="24"/>
          <w:szCs w:val="24"/>
        </w:rPr>
        <w:t>A</w:t>
      </w:r>
      <w:r w:rsidRPr="006A0747">
        <w:rPr>
          <w:rFonts w:ascii="Times New Roman" w:eastAsia="Calibri" w:hAnsi="Times New Roman" w:cs="Times New Roman"/>
          <w:color w:val="767171"/>
          <w:spacing w:val="20"/>
          <w:sz w:val="24"/>
          <w:szCs w:val="24"/>
        </w:rPr>
        <w:t>simismo,</w:t>
      </w:r>
      <w:r w:rsidR="00CD6937" w:rsidRPr="006A0747">
        <w:rPr>
          <w:rFonts w:ascii="Times New Roman" w:eastAsia="Calibri" w:hAnsi="Times New Roman" w:cs="Times New Roman"/>
          <w:color w:val="767171"/>
          <w:spacing w:val="20"/>
          <w:sz w:val="24"/>
          <w:szCs w:val="24"/>
        </w:rPr>
        <w:t xml:space="preserve"> se</w:t>
      </w:r>
      <w:r w:rsidRPr="006A0747">
        <w:rPr>
          <w:rFonts w:ascii="Times New Roman" w:eastAsia="Calibri" w:hAnsi="Times New Roman" w:cs="Times New Roman"/>
          <w:color w:val="767171"/>
          <w:spacing w:val="20"/>
          <w:sz w:val="24"/>
          <w:szCs w:val="24"/>
        </w:rPr>
        <w:t xml:space="preserve"> </w:t>
      </w:r>
      <w:r w:rsidR="00965DEA" w:rsidRPr="006A0747">
        <w:rPr>
          <w:rFonts w:ascii="Times New Roman" w:eastAsia="Calibri" w:hAnsi="Times New Roman" w:cs="Times New Roman"/>
          <w:color w:val="767171"/>
          <w:spacing w:val="20"/>
          <w:sz w:val="24"/>
          <w:szCs w:val="24"/>
        </w:rPr>
        <w:t>implementará</w:t>
      </w:r>
      <w:r w:rsidR="00DC3637" w:rsidRPr="006A0747">
        <w:rPr>
          <w:rFonts w:ascii="Times New Roman" w:eastAsia="Calibri" w:hAnsi="Times New Roman" w:cs="Times New Roman"/>
          <w:color w:val="767171"/>
          <w:spacing w:val="20"/>
          <w:sz w:val="24"/>
          <w:szCs w:val="24"/>
        </w:rPr>
        <w:t>n</w:t>
      </w:r>
      <w:r w:rsidR="00965DEA" w:rsidRPr="006A0747">
        <w:rPr>
          <w:rFonts w:ascii="Times New Roman" w:eastAsia="Calibri" w:hAnsi="Times New Roman" w:cs="Times New Roman"/>
          <w:color w:val="767171"/>
          <w:spacing w:val="20"/>
          <w:sz w:val="24"/>
          <w:szCs w:val="24"/>
        </w:rPr>
        <w:t xml:space="preserve"> nuevos programas y proyectos estratégicos orientados a responder a las dinámicas cambiantes del sector. Se prevé la creación de iniciativas que faciliten el acceso a productos financieros para sectores excluidos, así como la promoción de políticas que fomenten una mayor transparencia </w:t>
      </w:r>
      <w:r w:rsidR="006F1570">
        <w:rPr>
          <w:rFonts w:ascii="Times New Roman" w:eastAsia="Calibri" w:hAnsi="Times New Roman" w:cs="Times New Roman"/>
          <w:color w:val="767171"/>
          <w:spacing w:val="20"/>
          <w:sz w:val="24"/>
          <w:szCs w:val="24"/>
        </w:rPr>
        <w:t xml:space="preserve">en </w:t>
      </w:r>
      <w:r w:rsidR="00965DEA" w:rsidRPr="006A0747">
        <w:rPr>
          <w:rFonts w:ascii="Times New Roman" w:eastAsia="Calibri" w:hAnsi="Times New Roman" w:cs="Times New Roman"/>
          <w:color w:val="767171"/>
          <w:spacing w:val="20"/>
          <w:sz w:val="24"/>
          <w:szCs w:val="24"/>
        </w:rPr>
        <w:t xml:space="preserve">las entidades </w:t>
      </w:r>
      <w:r w:rsidRPr="006A0747">
        <w:rPr>
          <w:rFonts w:ascii="Times New Roman" w:eastAsia="Calibri" w:hAnsi="Times New Roman" w:cs="Times New Roman"/>
          <w:color w:val="767171"/>
          <w:spacing w:val="20"/>
          <w:sz w:val="24"/>
          <w:szCs w:val="24"/>
        </w:rPr>
        <w:t>supervisadas</w:t>
      </w:r>
      <w:r w:rsidR="00965DEA" w:rsidRPr="006A0747">
        <w:rPr>
          <w:rFonts w:ascii="Times New Roman" w:eastAsia="Calibri" w:hAnsi="Times New Roman" w:cs="Times New Roman"/>
          <w:color w:val="767171"/>
          <w:spacing w:val="20"/>
          <w:sz w:val="24"/>
          <w:szCs w:val="24"/>
        </w:rPr>
        <w:t>. A continuación, se detallan algunas de estas iniciativas</w:t>
      </w:r>
      <w:r w:rsidR="006F1570">
        <w:rPr>
          <w:rFonts w:ascii="Times New Roman" w:eastAsia="Calibri" w:hAnsi="Times New Roman" w:cs="Times New Roman"/>
          <w:color w:val="767171"/>
          <w:spacing w:val="20"/>
          <w:sz w:val="24"/>
          <w:szCs w:val="24"/>
        </w:rPr>
        <w:t xml:space="preserve"> para el 2025</w:t>
      </w:r>
      <w:r w:rsidR="00965DEA" w:rsidRPr="006A0747">
        <w:rPr>
          <w:rFonts w:ascii="Times New Roman" w:eastAsia="Calibri" w:hAnsi="Times New Roman" w:cs="Times New Roman"/>
          <w:color w:val="767171"/>
          <w:spacing w:val="20"/>
          <w:sz w:val="24"/>
          <w:szCs w:val="24"/>
        </w:rPr>
        <w:t>:</w:t>
      </w:r>
    </w:p>
    <w:p w14:paraId="44B5ECC1" w14:textId="4C3B899B" w:rsidR="006F5807" w:rsidRPr="006A0747" w:rsidRDefault="008376B6" w:rsidP="00740F89">
      <w:pPr>
        <w:spacing w:line="360" w:lineRule="auto"/>
        <w:jc w:val="both"/>
        <w:rPr>
          <w:rFonts w:ascii="Times New Roman" w:eastAsia="Calibri" w:hAnsi="Times New Roman" w:cs="Times New Roman"/>
          <w:color w:val="767171"/>
          <w:spacing w:val="20"/>
          <w:sz w:val="24"/>
          <w:szCs w:val="24"/>
        </w:rPr>
      </w:pPr>
      <w:r>
        <w:rPr>
          <w:rFonts w:ascii="Times New Roman" w:eastAsia="Calibri" w:hAnsi="Times New Roman" w:cs="Times New Roman"/>
          <w:color w:val="767171"/>
          <w:spacing w:val="20"/>
          <w:sz w:val="24"/>
          <w:szCs w:val="24"/>
        </w:rPr>
        <w:t xml:space="preserve">La </w:t>
      </w:r>
      <w:r w:rsidR="006F5807" w:rsidRPr="006A0747">
        <w:rPr>
          <w:rFonts w:ascii="Times New Roman" w:eastAsia="Calibri" w:hAnsi="Times New Roman" w:cs="Times New Roman"/>
          <w:color w:val="767171"/>
          <w:spacing w:val="20"/>
          <w:sz w:val="24"/>
          <w:szCs w:val="24"/>
        </w:rPr>
        <w:t xml:space="preserve">Superintendencia de Bancos </w:t>
      </w:r>
      <w:r w:rsidR="001D0A76" w:rsidRPr="006A0747">
        <w:rPr>
          <w:rFonts w:ascii="Times New Roman" w:eastAsia="Calibri" w:hAnsi="Times New Roman" w:cs="Times New Roman"/>
          <w:color w:val="767171"/>
          <w:spacing w:val="20"/>
          <w:sz w:val="24"/>
          <w:szCs w:val="24"/>
        </w:rPr>
        <w:t>proyecta elaborar</w:t>
      </w:r>
      <w:r w:rsidR="005017F4">
        <w:rPr>
          <w:rFonts w:ascii="Times New Roman" w:eastAsia="Calibri" w:hAnsi="Times New Roman" w:cs="Times New Roman"/>
          <w:color w:val="767171"/>
          <w:spacing w:val="20"/>
          <w:sz w:val="24"/>
          <w:szCs w:val="24"/>
        </w:rPr>
        <w:t>, junto con la Autoridad Monetaria y Financiera,</w:t>
      </w:r>
      <w:r w:rsidR="001D0A76" w:rsidRPr="006A0747">
        <w:rPr>
          <w:rFonts w:ascii="Times New Roman" w:eastAsia="Calibri" w:hAnsi="Times New Roman" w:cs="Times New Roman"/>
          <w:color w:val="767171"/>
          <w:spacing w:val="20"/>
          <w:sz w:val="24"/>
          <w:szCs w:val="24"/>
        </w:rPr>
        <w:t xml:space="preserve"> </w:t>
      </w:r>
      <w:r w:rsidR="006F5807" w:rsidRPr="006A0747">
        <w:rPr>
          <w:rFonts w:ascii="Times New Roman" w:eastAsia="Calibri" w:hAnsi="Times New Roman" w:cs="Times New Roman"/>
          <w:color w:val="767171"/>
          <w:spacing w:val="20"/>
          <w:sz w:val="24"/>
          <w:szCs w:val="24"/>
        </w:rPr>
        <w:t>el Reglamento de Riesgo de Liquidez</w:t>
      </w:r>
      <w:r w:rsidR="001D0A76" w:rsidRPr="006A0747">
        <w:rPr>
          <w:rFonts w:ascii="Times New Roman" w:eastAsia="Calibri" w:hAnsi="Times New Roman" w:cs="Times New Roman"/>
          <w:color w:val="767171"/>
          <w:spacing w:val="20"/>
          <w:sz w:val="24"/>
          <w:szCs w:val="24"/>
        </w:rPr>
        <w:t>;</w:t>
      </w:r>
      <w:r w:rsidR="00FC491A" w:rsidRPr="006A0747">
        <w:rPr>
          <w:rFonts w:ascii="Times New Roman" w:eastAsia="Calibri" w:hAnsi="Times New Roman" w:cs="Times New Roman"/>
          <w:color w:val="767171"/>
          <w:spacing w:val="20"/>
          <w:sz w:val="24"/>
          <w:szCs w:val="24"/>
        </w:rPr>
        <w:t xml:space="preserve"> </w:t>
      </w:r>
      <w:r w:rsidR="001B04C3" w:rsidRPr="006A0747">
        <w:rPr>
          <w:rFonts w:ascii="Times New Roman" w:eastAsia="Calibri" w:hAnsi="Times New Roman" w:cs="Times New Roman"/>
          <w:color w:val="767171"/>
          <w:spacing w:val="20"/>
          <w:sz w:val="24"/>
          <w:szCs w:val="24"/>
        </w:rPr>
        <w:t>de igual manera</w:t>
      </w:r>
      <w:r w:rsidR="00FC491A" w:rsidRPr="006A0747">
        <w:rPr>
          <w:rFonts w:ascii="Times New Roman" w:eastAsia="Calibri" w:hAnsi="Times New Roman" w:cs="Times New Roman"/>
          <w:color w:val="767171"/>
          <w:spacing w:val="20"/>
          <w:sz w:val="24"/>
          <w:szCs w:val="24"/>
        </w:rPr>
        <w:t>, el r</w:t>
      </w:r>
      <w:r w:rsidR="006F5807" w:rsidRPr="006A0747">
        <w:rPr>
          <w:rFonts w:ascii="Times New Roman" w:eastAsia="Calibri" w:hAnsi="Times New Roman" w:cs="Times New Roman"/>
          <w:color w:val="767171"/>
          <w:spacing w:val="20"/>
          <w:sz w:val="24"/>
          <w:szCs w:val="24"/>
        </w:rPr>
        <w:t>eglamento de Riesgo de Mercado</w:t>
      </w:r>
      <w:r w:rsidR="00FC491A" w:rsidRPr="006A0747">
        <w:rPr>
          <w:rFonts w:ascii="Times New Roman" w:eastAsia="Calibri" w:hAnsi="Times New Roman" w:cs="Times New Roman"/>
          <w:color w:val="767171"/>
          <w:spacing w:val="20"/>
          <w:sz w:val="24"/>
          <w:szCs w:val="24"/>
        </w:rPr>
        <w:t>,</w:t>
      </w:r>
      <w:r w:rsidR="00A1461F" w:rsidRPr="006A0747">
        <w:rPr>
          <w:rFonts w:ascii="Times New Roman" w:eastAsia="Calibri" w:hAnsi="Times New Roman" w:cs="Times New Roman"/>
          <w:color w:val="767171"/>
          <w:spacing w:val="20"/>
          <w:sz w:val="24"/>
          <w:szCs w:val="24"/>
        </w:rPr>
        <w:t xml:space="preserve"> el</w:t>
      </w:r>
      <w:r w:rsidR="006F5807" w:rsidRPr="006A0747">
        <w:rPr>
          <w:rFonts w:ascii="Times New Roman" w:eastAsia="Calibri" w:hAnsi="Times New Roman" w:cs="Times New Roman"/>
          <w:color w:val="767171"/>
          <w:spacing w:val="20"/>
          <w:sz w:val="24"/>
          <w:szCs w:val="24"/>
        </w:rPr>
        <w:t xml:space="preserve"> reglamento sobre el Riesgo de Tasa de Interés en el Libro Bancario (IRRB</w:t>
      </w:r>
      <w:r w:rsidR="00A005EC" w:rsidRPr="006A0747">
        <w:rPr>
          <w:rFonts w:ascii="Times New Roman" w:eastAsia="Calibri" w:hAnsi="Times New Roman" w:cs="Times New Roman"/>
          <w:color w:val="767171"/>
          <w:spacing w:val="20"/>
          <w:sz w:val="24"/>
          <w:szCs w:val="24"/>
        </w:rPr>
        <w:t>B),</w:t>
      </w:r>
      <w:r w:rsidR="005017F4">
        <w:rPr>
          <w:rFonts w:ascii="Times New Roman" w:eastAsia="Calibri" w:hAnsi="Times New Roman" w:cs="Times New Roman"/>
          <w:color w:val="767171"/>
          <w:spacing w:val="20"/>
          <w:sz w:val="24"/>
          <w:szCs w:val="24"/>
        </w:rPr>
        <w:t xml:space="preserve"> la actualización del</w:t>
      </w:r>
      <w:r w:rsidR="00A1461F" w:rsidRPr="006A0747">
        <w:rPr>
          <w:rFonts w:ascii="Times New Roman" w:eastAsia="Calibri" w:hAnsi="Times New Roman" w:cs="Times New Roman"/>
          <w:color w:val="767171"/>
          <w:spacing w:val="20"/>
          <w:sz w:val="24"/>
          <w:szCs w:val="24"/>
        </w:rPr>
        <w:t xml:space="preserve"> </w:t>
      </w:r>
      <w:r w:rsidR="00740F89" w:rsidRPr="006A0747">
        <w:rPr>
          <w:rFonts w:ascii="Times New Roman" w:eastAsia="Calibri" w:hAnsi="Times New Roman" w:cs="Times New Roman"/>
          <w:color w:val="767171"/>
          <w:spacing w:val="20"/>
          <w:sz w:val="24"/>
          <w:szCs w:val="24"/>
        </w:rPr>
        <w:t>r</w:t>
      </w:r>
      <w:r w:rsidR="006F5807" w:rsidRPr="006A0747">
        <w:rPr>
          <w:rFonts w:ascii="Times New Roman" w:eastAsia="Calibri" w:hAnsi="Times New Roman" w:cs="Times New Roman"/>
          <w:color w:val="767171"/>
          <w:spacing w:val="20"/>
          <w:sz w:val="24"/>
          <w:szCs w:val="24"/>
        </w:rPr>
        <w:t>eglamento de Sanciones</w:t>
      </w:r>
      <w:r w:rsidR="001D0A76" w:rsidRPr="006A0747">
        <w:rPr>
          <w:rFonts w:ascii="Times New Roman" w:eastAsia="Calibri" w:hAnsi="Times New Roman" w:cs="Times New Roman"/>
          <w:color w:val="767171"/>
          <w:spacing w:val="20"/>
          <w:sz w:val="24"/>
          <w:szCs w:val="24"/>
        </w:rPr>
        <w:t xml:space="preserve"> y el </w:t>
      </w:r>
      <w:r w:rsidR="00740F89" w:rsidRPr="006A0747">
        <w:rPr>
          <w:rFonts w:ascii="Times New Roman" w:eastAsia="Calibri" w:hAnsi="Times New Roman" w:cs="Times New Roman"/>
          <w:color w:val="767171"/>
          <w:spacing w:val="20"/>
          <w:sz w:val="24"/>
          <w:szCs w:val="24"/>
        </w:rPr>
        <w:t>r</w:t>
      </w:r>
      <w:r w:rsidR="006F5807" w:rsidRPr="006A0747">
        <w:rPr>
          <w:rFonts w:ascii="Times New Roman" w:eastAsia="Calibri" w:hAnsi="Times New Roman" w:cs="Times New Roman"/>
          <w:color w:val="767171"/>
          <w:spacing w:val="20"/>
          <w:sz w:val="24"/>
          <w:szCs w:val="24"/>
        </w:rPr>
        <w:t>eglamento de ProUsuario</w:t>
      </w:r>
      <w:r w:rsidR="005017F4">
        <w:rPr>
          <w:rFonts w:ascii="Times New Roman" w:eastAsia="Calibri" w:hAnsi="Times New Roman" w:cs="Times New Roman"/>
          <w:color w:val="767171"/>
          <w:spacing w:val="20"/>
          <w:sz w:val="24"/>
          <w:szCs w:val="24"/>
        </w:rPr>
        <w:t>.</w:t>
      </w:r>
    </w:p>
    <w:p w14:paraId="710BDE16" w14:textId="683A3F31" w:rsidR="006F5807" w:rsidRPr="006A0747" w:rsidRDefault="00A73F11" w:rsidP="006F5807">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Para regular de manera clara las operaciones y funciones de los Subagentes Bancarios, se proyecta desarrollar </w:t>
      </w:r>
      <w:r w:rsidR="006F5807" w:rsidRPr="006A0747">
        <w:rPr>
          <w:rFonts w:ascii="Times New Roman" w:eastAsia="Calibri" w:hAnsi="Times New Roman" w:cs="Times New Roman"/>
          <w:color w:val="767171"/>
          <w:spacing w:val="20"/>
          <w:sz w:val="24"/>
          <w:szCs w:val="24"/>
        </w:rPr>
        <w:t xml:space="preserve">e implementar un </w:t>
      </w:r>
      <w:r w:rsidR="006F5807" w:rsidRPr="006A0747">
        <w:rPr>
          <w:rFonts w:ascii="Times New Roman" w:eastAsia="Calibri" w:hAnsi="Times New Roman" w:cs="Times New Roman"/>
          <w:color w:val="767171"/>
          <w:spacing w:val="20"/>
          <w:sz w:val="24"/>
          <w:szCs w:val="24"/>
        </w:rPr>
        <w:lastRenderedPageBreak/>
        <w:t xml:space="preserve">instructivo de Subagentes Bancarios y de Cambio, </w:t>
      </w:r>
      <w:r w:rsidR="00574BE1" w:rsidRPr="006A0747">
        <w:rPr>
          <w:rFonts w:ascii="Times New Roman" w:eastAsia="Calibri" w:hAnsi="Times New Roman" w:cs="Times New Roman"/>
          <w:color w:val="767171"/>
          <w:spacing w:val="20"/>
          <w:sz w:val="24"/>
          <w:szCs w:val="24"/>
        </w:rPr>
        <w:t xml:space="preserve">el cual promoverá </w:t>
      </w:r>
      <w:r w:rsidR="006F5807" w:rsidRPr="006A0747">
        <w:rPr>
          <w:rFonts w:ascii="Times New Roman" w:eastAsia="Calibri" w:hAnsi="Times New Roman" w:cs="Times New Roman"/>
          <w:color w:val="767171"/>
          <w:spacing w:val="20"/>
          <w:sz w:val="24"/>
          <w:szCs w:val="24"/>
        </w:rPr>
        <w:t xml:space="preserve">la eficiencia y el cumplimiento normativo </w:t>
      </w:r>
      <w:r w:rsidR="000D6C61">
        <w:rPr>
          <w:rFonts w:ascii="Times New Roman" w:eastAsia="Calibri" w:hAnsi="Times New Roman" w:cs="Times New Roman"/>
          <w:color w:val="767171"/>
          <w:spacing w:val="20"/>
          <w:sz w:val="24"/>
          <w:szCs w:val="24"/>
        </w:rPr>
        <w:t>de estas entidades.</w:t>
      </w:r>
    </w:p>
    <w:p w14:paraId="3D321C18" w14:textId="58DFAB5C" w:rsidR="006F5807" w:rsidRPr="006A0747" w:rsidRDefault="0020389B" w:rsidP="006F5807">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En otro orden, también </w:t>
      </w:r>
      <w:r w:rsidR="00564CE7">
        <w:rPr>
          <w:rFonts w:ascii="Times New Roman" w:eastAsia="Calibri" w:hAnsi="Times New Roman" w:cs="Times New Roman"/>
          <w:color w:val="767171"/>
          <w:spacing w:val="20"/>
          <w:sz w:val="24"/>
          <w:szCs w:val="24"/>
        </w:rPr>
        <w:t>se dará continuación a</w:t>
      </w:r>
      <w:r w:rsidRPr="006A0747">
        <w:rPr>
          <w:rFonts w:ascii="Times New Roman" w:eastAsia="Calibri" w:hAnsi="Times New Roman" w:cs="Times New Roman"/>
          <w:color w:val="767171"/>
          <w:spacing w:val="20"/>
          <w:sz w:val="24"/>
          <w:szCs w:val="24"/>
        </w:rPr>
        <w:t>l</w:t>
      </w:r>
      <w:r w:rsidR="006F5807" w:rsidRPr="006A0747">
        <w:rPr>
          <w:rFonts w:ascii="Times New Roman" w:eastAsia="Calibri" w:hAnsi="Times New Roman" w:cs="Times New Roman"/>
          <w:color w:val="767171"/>
          <w:spacing w:val="20"/>
          <w:sz w:val="24"/>
          <w:szCs w:val="24"/>
        </w:rPr>
        <w:t xml:space="preserve"> Programa de Gobierno de Datos</w:t>
      </w:r>
      <w:r w:rsidRPr="006A0747">
        <w:rPr>
          <w:rFonts w:ascii="Times New Roman" w:eastAsia="Calibri" w:hAnsi="Times New Roman" w:cs="Times New Roman"/>
          <w:color w:val="767171"/>
          <w:spacing w:val="20"/>
          <w:sz w:val="24"/>
          <w:szCs w:val="24"/>
        </w:rPr>
        <w:t>, el cual</w:t>
      </w:r>
      <w:r w:rsidR="006F5807" w:rsidRPr="006A0747">
        <w:rPr>
          <w:rFonts w:ascii="Times New Roman" w:eastAsia="Calibri" w:hAnsi="Times New Roman" w:cs="Times New Roman"/>
          <w:color w:val="767171"/>
          <w:spacing w:val="20"/>
          <w:sz w:val="24"/>
          <w:szCs w:val="24"/>
        </w:rPr>
        <w:t xml:space="preserve"> tendrá un enfoque integral en la mejora de la calidad de los datos. </w:t>
      </w:r>
    </w:p>
    <w:p w14:paraId="414C6BD9" w14:textId="0738449F" w:rsidR="006F5807" w:rsidRPr="006A0747" w:rsidRDefault="00AF11F2" w:rsidP="006F5807">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Para la optimizando los procesos internos y la accesibilidad a la información relevante </w:t>
      </w:r>
      <w:r w:rsidR="0054518A">
        <w:rPr>
          <w:rFonts w:ascii="Times New Roman" w:eastAsia="Calibri" w:hAnsi="Times New Roman" w:cs="Times New Roman"/>
          <w:color w:val="767171"/>
          <w:spacing w:val="20"/>
          <w:sz w:val="24"/>
          <w:szCs w:val="24"/>
        </w:rPr>
        <w:t>se proyecta</w:t>
      </w:r>
      <w:r w:rsidRPr="006A0747">
        <w:rPr>
          <w:rFonts w:ascii="Times New Roman" w:eastAsia="Calibri" w:hAnsi="Times New Roman" w:cs="Times New Roman"/>
          <w:color w:val="767171"/>
          <w:spacing w:val="20"/>
          <w:sz w:val="24"/>
          <w:szCs w:val="24"/>
        </w:rPr>
        <w:t xml:space="preserve"> la</w:t>
      </w:r>
      <w:r w:rsidR="006F5807" w:rsidRPr="006A0747">
        <w:rPr>
          <w:rFonts w:ascii="Times New Roman" w:eastAsia="Calibri" w:hAnsi="Times New Roman" w:cs="Times New Roman"/>
          <w:color w:val="767171"/>
          <w:spacing w:val="20"/>
          <w:sz w:val="24"/>
          <w:szCs w:val="24"/>
        </w:rPr>
        <w:t xml:space="preserve"> implementación de la </w:t>
      </w:r>
      <w:r w:rsidR="00802F0B">
        <w:rPr>
          <w:rFonts w:ascii="Times New Roman" w:eastAsia="Calibri" w:hAnsi="Times New Roman" w:cs="Times New Roman"/>
          <w:color w:val="767171"/>
          <w:spacing w:val="20"/>
          <w:sz w:val="24"/>
          <w:szCs w:val="24"/>
        </w:rPr>
        <w:t>segunda fase d</w:t>
      </w:r>
      <w:r w:rsidR="00091EA9">
        <w:rPr>
          <w:rFonts w:ascii="Times New Roman" w:eastAsia="Calibri" w:hAnsi="Times New Roman" w:cs="Times New Roman"/>
          <w:color w:val="767171"/>
          <w:spacing w:val="20"/>
          <w:sz w:val="24"/>
          <w:szCs w:val="24"/>
        </w:rPr>
        <w:t>e</w:t>
      </w:r>
      <w:r w:rsidR="008304F4">
        <w:rPr>
          <w:rFonts w:ascii="Times New Roman" w:eastAsia="Calibri" w:hAnsi="Times New Roman" w:cs="Times New Roman"/>
          <w:color w:val="767171"/>
          <w:spacing w:val="20"/>
          <w:sz w:val="24"/>
          <w:szCs w:val="24"/>
        </w:rPr>
        <w:t xml:space="preserve"> un </w:t>
      </w:r>
      <w:r w:rsidR="006F5807" w:rsidRPr="006A0747">
        <w:rPr>
          <w:rFonts w:ascii="Times New Roman" w:eastAsia="Calibri" w:hAnsi="Times New Roman" w:cs="Times New Roman"/>
          <w:color w:val="767171"/>
          <w:spacing w:val="20"/>
          <w:sz w:val="24"/>
          <w:szCs w:val="24"/>
        </w:rPr>
        <w:t xml:space="preserve">Sistema de Gestión Documental, lo que permitirá mejorar la gestión de la documentación crítica dentro de la </w:t>
      </w:r>
      <w:r w:rsidR="008304F4">
        <w:rPr>
          <w:rFonts w:ascii="Times New Roman" w:eastAsia="Calibri" w:hAnsi="Times New Roman" w:cs="Times New Roman"/>
          <w:color w:val="767171"/>
          <w:spacing w:val="20"/>
          <w:sz w:val="24"/>
          <w:szCs w:val="24"/>
        </w:rPr>
        <w:t>SB.</w:t>
      </w:r>
    </w:p>
    <w:p w14:paraId="1DC851CF" w14:textId="1D4750F8" w:rsidR="006F5807" w:rsidRPr="006A0747" w:rsidRDefault="002E252A" w:rsidP="006F5807">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 xml:space="preserve">Para </w:t>
      </w:r>
      <w:r w:rsidR="00617CDC" w:rsidRPr="006A0747">
        <w:rPr>
          <w:rFonts w:ascii="Times New Roman" w:eastAsia="Calibri" w:hAnsi="Times New Roman" w:cs="Times New Roman"/>
          <w:color w:val="767171"/>
          <w:spacing w:val="20"/>
          <w:sz w:val="24"/>
          <w:szCs w:val="24"/>
        </w:rPr>
        <w:t>la mejora de</w:t>
      </w:r>
      <w:r w:rsidR="006F5807" w:rsidRPr="006A0747">
        <w:rPr>
          <w:rFonts w:ascii="Times New Roman" w:eastAsia="Calibri" w:hAnsi="Times New Roman" w:cs="Times New Roman"/>
          <w:color w:val="767171"/>
          <w:spacing w:val="20"/>
          <w:sz w:val="24"/>
          <w:szCs w:val="24"/>
        </w:rPr>
        <w:t xml:space="preserve"> la atención a los usuarios</w:t>
      </w:r>
      <w:r w:rsidR="00617CDC" w:rsidRPr="006A0747">
        <w:rPr>
          <w:rFonts w:ascii="Times New Roman" w:eastAsia="Calibri" w:hAnsi="Times New Roman" w:cs="Times New Roman"/>
          <w:color w:val="767171"/>
          <w:spacing w:val="20"/>
          <w:sz w:val="24"/>
          <w:szCs w:val="24"/>
        </w:rPr>
        <w:t xml:space="preserve"> se llevará a cabo una </w:t>
      </w:r>
      <w:r w:rsidR="006F5807" w:rsidRPr="006A0747">
        <w:rPr>
          <w:rFonts w:ascii="Times New Roman" w:eastAsia="Calibri" w:hAnsi="Times New Roman" w:cs="Times New Roman"/>
          <w:color w:val="767171"/>
          <w:spacing w:val="20"/>
          <w:sz w:val="24"/>
          <w:szCs w:val="24"/>
        </w:rPr>
        <w:t>optimización de los procesos de ProUsuario</w:t>
      </w:r>
      <w:r w:rsidR="00617CDC" w:rsidRPr="006A0747">
        <w:rPr>
          <w:rFonts w:ascii="Times New Roman" w:eastAsia="Calibri" w:hAnsi="Times New Roman" w:cs="Times New Roman"/>
          <w:color w:val="767171"/>
          <w:spacing w:val="20"/>
          <w:sz w:val="24"/>
          <w:szCs w:val="24"/>
        </w:rPr>
        <w:t xml:space="preserve"> (</w:t>
      </w:r>
      <w:proofErr w:type="spellStart"/>
      <w:r w:rsidR="00027F4A">
        <w:rPr>
          <w:rFonts w:ascii="Times New Roman" w:eastAsia="Calibri" w:hAnsi="Times New Roman" w:cs="Times New Roman"/>
          <w:color w:val="767171"/>
          <w:spacing w:val="20"/>
          <w:sz w:val="24"/>
          <w:szCs w:val="24"/>
        </w:rPr>
        <w:t>C</w:t>
      </w:r>
      <w:r w:rsidR="00617CDC" w:rsidRPr="006A0747">
        <w:rPr>
          <w:rFonts w:ascii="Times New Roman" w:eastAsia="Calibri" w:hAnsi="Times New Roman" w:cs="Times New Roman"/>
          <w:color w:val="767171"/>
          <w:spacing w:val="20"/>
          <w:sz w:val="24"/>
          <w:szCs w:val="24"/>
        </w:rPr>
        <w:t>hatbot</w:t>
      </w:r>
      <w:proofErr w:type="spellEnd"/>
      <w:r w:rsidR="003743BD">
        <w:rPr>
          <w:rFonts w:ascii="Times New Roman" w:eastAsia="Calibri" w:hAnsi="Times New Roman" w:cs="Times New Roman"/>
          <w:color w:val="767171"/>
          <w:spacing w:val="20"/>
          <w:sz w:val="24"/>
          <w:szCs w:val="24"/>
        </w:rPr>
        <w:t xml:space="preserve"> con inteligencia artificial</w:t>
      </w:r>
      <w:r w:rsidR="00617CDC" w:rsidRPr="006A0747">
        <w:rPr>
          <w:rFonts w:ascii="Times New Roman" w:eastAsia="Calibri" w:hAnsi="Times New Roman" w:cs="Times New Roman"/>
          <w:color w:val="767171"/>
          <w:spacing w:val="20"/>
          <w:sz w:val="24"/>
          <w:szCs w:val="24"/>
        </w:rPr>
        <w:t xml:space="preserve">, </w:t>
      </w:r>
      <w:r w:rsidR="003743BD">
        <w:rPr>
          <w:rFonts w:ascii="Times New Roman" w:eastAsia="Calibri" w:hAnsi="Times New Roman" w:cs="Times New Roman"/>
          <w:color w:val="767171"/>
          <w:spacing w:val="20"/>
          <w:sz w:val="24"/>
          <w:szCs w:val="24"/>
        </w:rPr>
        <w:t>m</w:t>
      </w:r>
      <w:r w:rsidR="00C65D24">
        <w:rPr>
          <w:rFonts w:ascii="Times New Roman" w:eastAsia="Calibri" w:hAnsi="Times New Roman" w:cs="Times New Roman"/>
          <w:color w:val="767171"/>
          <w:spacing w:val="20"/>
          <w:sz w:val="24"/>
          <w:szCs w:val="24"/>
        </w:rPr>
        <w:t>otor de pro</w:t>
      </w:r>
      <w:r w:rsidR="003743BD">
        <w:rPr>
          <w:rFonts w:ascii="Times New Roman" w:eastAsia="Calibri" w:hAnsi="Times New Roman" w:cs="Times New Roman"/>
          <w:color w:val="767171"/>
          <w:spacing w:val="20"/>
          <w:sz w:val="24"/>
          <w:szCs w:val="24"/>
        </w:rPr>
        <w:t>cesos [</w:t>
      </w:r>
      <w:r w:rsidR="00617CDC" w:rsidRPr="006A0747">
        <w:rPr>
          <w:rFonts w:ascii="Times New Roman" w:eastAsia="Calibri" w:hAnsi="Times New Roman" w:cs="Times New Roman"/>
          <w:color w:val="767171"/>
          <w:spacing w:val="20"/>
          <w:sz w:val="24"/>
          <w:szCs w:val="24"/>
        </w:rPr>
        <w:t>BPM</w:t>
      </w:r>
      <w:r w:rsidR="003743BD">
        <w:rPr>
          <w:rFonts w:ascii="Times New Roman" w:eastAsia="Calibri" w:hAnsi="Times New Roman" w:cs="Times New Roman"/>
          <w:color w:val="767171"/>
          <w:spacing w:val="20"/>
          <w:sz w:val="24"/>
          <w:szCs w:val="24"/>
        </w:rPr>
        <w:t xml:space="preserve"> por sus siglas en ingles]</w:t>
      </w:r>
      <w:r w:rsidR="00617CDC" w:rsidRPr="006A0747">
        <w:rPr>
          <w:rFonts w:ascii="Times New Roman" w:eastAsia="Calibri" w:hAnsi="Times New Roman" w:cs="Times New Roman"/>
          <w:color w:val="767171"/>
          <w:spacing w:val="20"/>
          <w:sz w:val="24"/>
          <w:szCs w:val="24"/>
        </w:rPr>
        <w:t xml:space="preserve">, </w:t>
      </w:r>
      <w:r w:rsidR="003743BD">
        <w:rPr>
          <w:rFonts w:ascii="Times New Roman" w:eastAsia="Calibri" w:hAnsi="Times New Roman" w:cs="Times New Roman"/>
          <w:color w:val="767171"/>
          <w:spacing w:val="20"/>
          <w:sz w:val="24"/>
          <w:szCs w:val="24"/>
        </w:rPr>
        <w:t>aplicativo para la a</w:t>
      </w:r>
      <w:r w:rsidR="00617CDC" w:rsidRPr="006A0747">
        <w:rPr>
          <w:rFonts w:ascii="Times New Roman" w:eastAsia="Calibri" w:hAnsi="Times New Roman" w:cs="Times New Roman"/>
          <w:color w:val="767171"/>
          <w:spacing w:val="20"/>
          <w:sz w:val="24"/>
          <w:szCs w:val="24"/>
        </w:rPr>
        <w:t xml:space="preserve">utomatización de </w:t>
      </w:r>
      <w:r w:rsidR="003743BD">
        <w:rPr>
          <w:rFonts w:ascii="Times New Roman" w:eastAsia="Calibri" w:hAnsi="Times New Roman" w:cs="Times New Roman"/>
          <w:color w:val="767171"/>
          <w:spacing w:val="20"/>
          <w:sz w:val="24"/>
          <w:szCs w:val="24"/>
        </w:rPr>
        <w:t>r</w:t>
      </w:r>
      <w:r w:rsidR="00617CDC" w:rsidRPr="006A0747">
        <w:rPr>
          <w:rFonts w:ascii="Times New Roman" w:eastAsia="Calibri" w:hAnsi="Times New Roman" w:cs="Times New Roman"/>
          <w:color w:val="767171"/>
          <w:spacing w:val="20"/>
          <w:sz w:val="24"/>
          <w:szCs w:val="24"/>
        </w:rPr>
        <w:t>eclamaciones</w:t>
      </w:r>
      <w:r w:rsidR="003743BD">
        <w:rPr>
          <w:rFonts w:ascii="Times New Roman" w:eastAsia="Calibri" w:hAnsi="Times New Roman" w:cs="Times New Roman"/>
          <w:color w:val="767171"/>
          <w:spacing w:val="20"/>
          <w:sz w:val="24"/>
          <w:szCs w:val="24"/>
        </w:rPr>
        <w:t>, entre otras iniciativas</w:t>
      </w:r>
      <w:r w:rsidR="00617CDC" w:rsidRPr="006A0747">
        <w:rPr>
          <w:rFonts w:ascii="Times New Roman" w:eastAsia="Calibri" w:hAnsi="Times New Roman" w:cs="Times New Roman"/>
          <w:color w:val="767171"/>
          <w:spacing w:val="20"/>
          <w:sz w:val="24"/>
          <w:szCs w:val="24"/>
        </w:rPr>
        <w:t>)</w:t>
      </w:r>
      <w:r w:rsidR="009F0B33" w:rsidRPr="006A0747">
        <w:rPr>
          <w:rFonts w:ascii="Times New Roman" w:eastAsia="Calibri" w:hAnsi="Times New Roman" w:cs="Times New Roman"/>
          <w:color w:val="767171"/>
          <w:spacing w:val="20"/>
          <w:sz w:val="24"/>
          <w:szCs w:val="24"/>
        </w:rPr>
        <w:t>.</w:t>
      </w:r>
    </w:p>
    <w:p w14:paraId="2E22EB50" w14:textId="2891B0B4" w:rsidR="006F5807" w:rsidRPr="006A0747" w:rsidRDefault="006F5807" w:rsidP="006F5807">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Se dará continuidad al</w:t>
      </w:r>
      <w:r w:rsidR="00767B48">
        <w:rPr>
          <w:rFonts w:ascii="Times New Roman" w:eastAsia="Calibri" w:hAnsi="Times New Roman" w:cs="Times New Roman"/>
          <w:color w:val="767171"/>
          <w:spacing w:val="20"/>
          <w:sz w:val="24"/>
          <w:szCs w:val="24"/>
        </w:rPr>
        <w:t xml:space="preserve"> programa de</w:t>
      </w:r>
      <w:r w:rsidRPr="006A0747">
        <w:rPr>
          <w:rFonts w:ascii="Times New Roman" w:eastAsia="Calibri" w:hAnsi="Times New Roman" w:cs="Times New Roman"/>
          <w:color w:val="767171"/>
          <w:spacing w:val="20"/>
          <w:sz w:val="24"/>
          <w:szCs w:val="24"/>
        </w:rPr>
        <w:t xml:space="preserve"> Plan de Carrera y Ruta de Desarrollo</w:t>
      </w:r>
      <w:r w:rsidR="00F35F71">
        <w:rPr>
          <w:rFonts w:ascii="Times New Roman" w:eastAsia="Calibri" w:hAnsi="Times New Roman" w:cs="Times New Roman"/>
          <w:color w:val="767171"/>
          <w:spacing w:val="20"/>
          <w:sz w:val="24"/>
          <w:szCs w:val="24"/>
        </w:rPr>
        <w:t xml:space="preserve">, </w:t>
      </w:r>
      <w:r w:rsidRPr="006A0747">
        <w:rPr>
          <w:rFonts w:ascii="Times New Roman" w:eastAsia="Calibri" w:hAnsi="Times New Roman" w:cs="Times New Roman"/>
          <w:color w:val="767171"/>
          <w:spacing w:val="20"/>
          <w:sz w:val="24"/>
          <w:szCs w:val="24"/>
        </w:rPr>
        <w:t xml:space="preserve">un proyecto estratégico para el desarrollo profesional y el fortalecimiento de capacidades dentro de la </w:t>
      </w:r>
      <w:r w:rsidR="009D7254" w:rsidRPr="006A0747">
        <w:rPr>
          <w:rFonts w:ascii="Times New Roman" w:eastAsia="Calibri" w:hAnsi="Times New Roman" w:cs="Times New Roman"/>
          <w:color w:val="767171"/>
          <w:spacing w:val="20"/>
          <w:sz w:val="24"/>
          <w:szCs w:val="24"/>
        </w:rPr>
        <w:t>institución</w:t>
      </w:r>
      <w:r w:rsidRPr="006A0747">
        <w:rPr>
          <w:rFonts w:ascii="Times New Roman" w:eastAsia="Calibri" w:hAnsi="Times New Roman" w:cs="Times New Roman"/>
          <w:color w:val="767171"/>
          <w:spacing w:val="20"/>
          <w:sz w:val="24"/>
          <w:szCs w:val="24"/>
        </w:rPr>
        <w:t xml:space="preserve">, brindando nuevas oportunidades de capacitación y crecimiento a los </w:t>
      </w:r>
      <w:r w:rsidR="009D7254" w:rsidRPr="006A0747">
        <w:rPr>
          <w:rFonts w:ascii="Times New Roman" w:eastAsia="Calibri" w:hAnsi="Times New Roman" w:cs="Times New Roman"/>
          <w:color w:val="767171"/>
          <w:spacing w:val="20"/>
          <w:sz w:val="24"/>
          <w:szCs w:val="24"/>
        </w:rPr>
        <w:t>colaboradores</w:t>
      </w:r>
      <w:r w:rsidRPr="006A0747">
        <w:rPr>
          <w:rFonts w:ascii="Times New Roman" w:eastAsia="Calibri" w:hAnsi="Times New Roman" w:cs="Times New Roman"/>
          <w:color w:val="767171"/>
          <w:spacing w:val="20"/>
          <w:sz w:val="24"/>
          <w:szCs w:val="24"/>
        </w:rPr>
        <w:t>.</w:t>
      </w:r>
    </w:p>
    <w:p w14:paraId="669E149B" w14:textId="19A73804" w:rsidR="00965DEA" w:rsidRPr="006A0747" w:rsidRDefault="006F5807" w:rsidP="006F5807">
      <w:pPr>
        <w:spacing w:line="360" w:lineRule="auto"/>
        <w:jc w:val="both"/>
        <w:rPr>
          <w:rFonts w:ascii="Times New Roman" w:eastAsia="Calibri" w:hAnsi="Times New Roman" w:cs="Times New Roman"/>
          <w:color w:val="767171"/>
          <w:spacing w:val="20"/>
          <w:sz w:val="24"/>
          <w:szCs w:val="24"/>
        </w:rPr>
      </w:pPr>
      <w:r w:rsidRPr="006A0747">
        <w:rPr>
          <w:rFonts w:ascii="Times New Roman" w:eastAsia="Calibri" w:hAnsi="Times New Roman" w:cs="Times New Roman"/>
          <w:color w:val="767171"/>
          <w:spacing w:val="20"/>
          <w:sz w:val="24"/>
          <w:szCs w:val="24"/>
        </w:rPr>
        <w:t>Estos proyectos y programas</w:t>
      </w:r>
      <w:r w:rsidR="009D7254" w:rsidRPr="006A0747">
        <w:rPr>
          <w:rFonts w:ascii="Times New Roman" w:eastAsia="Calibri" w:hAnsi="Times New Roman" w:cs="Times New Roman"/>
          <w:color w:val="767171"/>
          <w:spacing w:val="20"/>
          <w:sz w:val="24"/>
          <w:szCs w:val="24"/>
        </w:rPr>
        <w:t xml:space="preserve"> son una muestra</w:t>
      </w:r>
      <w:r w:rsidR="002A00FB" w:rsidRPr="006A0747">
        <w:rPr>
          <w:rFonts w:ascii="Times New Roman" w:eastAsia="Calibri" w:hAnsi="Times New Roman" w:cs="Times New Roman"/>
          <w:color w:val="767171"/>
          <w:spacing w:val="20"/>
          <w:sz w:val="24"/>
          <w:szCs w:val="24"/>
        </w:rPr>
        <w:t xml:space="preserve"> del enfoque y orientación a</w:t>
      </w:r>
      <w:r w:rsidRPr="006A0747">
        <w:rPr>
          <w:rFonts w:ascii="Times New Roman" w:eastAsia="Calibri" w:hAnsi="Times New Roman" w:cs="Times New Roman"/>
          <w:color w:val="767171"/>
          <w:spacing w:val="20"/>
          <w:sz w:val="24"/>
          <w:szCs w:val="24"/>
        </w:rPr>
        <w:t xml:space="preserve"> consolidar un sistema financiero más robusto, eficiente, transparente y ético, adaptado a las necesidades cambiantes del entorno económico y regulatorio, y a fortalecer la capacidad institucional de la Superintendencia de Bancos</w:t>
      </w:r>
      <w:r w:rsidR="00881213">
        <w:rPr>
          <w:rFonts w:ascii="Times New Roman" w:eastAsia="Calibri" w:hAnsi="Times New Roman" w:cs="Times New Roman"/>
          <w:color w:val="767171"/>
          <w:spacing w:val="20"/>
          <w:sz w:val="24"/>
          <w:szCs w:val="24"/>
        </w:rPr>
        <w:t>.</w:t>
      </w:r>
    </w:p>
    <w:p w14:paraId="64D33022" w14:textId="1A6DFC30" w:rsidR="009B34BA" w:rsidRDefault="009B34BA" w:rsidP="00347EF5">
      <w:pPr>
        <w:spacing w:line="360" w:lineRule="auto"/>
        <w:jc w:val="both"/>
        <w:rPr>
          <w:rFonts w:ascii="Times New Roman" w:eastAsia="Calibri" w:hAnsi="Times New Roman" w:cs="Times New Roman"/>
          <w:color w:val="2E74B5" w:themeColor="accent5" w:themeShade="BF"/>
          <w:spacing w:val="20"/>
          <w:sz w:val="24"/>
          <w:szCs w:val="24"/>
        </w:rPr>
      </w:pPr>
    </w:p>
    <w:p w14:paraId="603D896C" w14:textId="77777777" w:rsidR="00BC3E7B" w:rsidRPr="006A0747" w:rsidRDefault="00BC3E7B" w:rsidP="00347EF5">
      <w:pPr>
        <w:spacing w:line="360" w:lineRule="auto"/>
        <w:jc w:val="both"/>
        <w:rPr>
          <w:rFonts w:ascii="Times New Roman" w:eastAsia="Calibri" w:hAnsi="Times New Roman" w:cs="Times New Roman"/>
          <w:color w:val="2E74B5" w:themeColor="accent5" w:themeShade="BF"/>
          <w:spacing w:val="20"/>
          <w:sz w:val="24"/>
          <w:szCs w:val="24"/>
        </w:rPr>
      </w:pPr>
    </w:p>
    <w:p w14:paraId="75B16BBD" w14:textId="77777777" w:rsidR="00BD669A" w:rsidRPr="006A0747" w:rsidRDefault="00BD669A" w:rsidP="00347EF5">
      <w:pPr>
        <w:spacing w:line="360" w:lineRule="auto"/>
        <w:jc w:val="both"/>
        <w:rPr>
          <w:rFonts w:ascii="Times New Roman" w:eastAsia="Calibri" w:hAnsi="Times New Roman" w:cs="Times New Roman"/>
          <w:color w:val="2E74B5" w:themeColor="accent5" w:themeShade="BF"/>
          <w:spacing w:val="20"/>
          <w:sz w:val="24"/>
          <w:szCs w:val="24"/>
        </w:rPr>
      </w:pPr>
    </w:p>
    <w:p w14:paraId="3A777A59" w14:textId="0ED9C1C3" w:rsidR="7F8A7A54" w:rsidRDefault="7F8A7A54" w:rsidP="7F8A7A54">
      <w:pPr>
        <w:spacing w:line="360" w:lineRule="auto"/>
        <w:jc w:val="both"/>
        <w:rPr>
          <w:rFonts w:ascii="Times New Roman" w:eastAsia="Calibri" w:hAnsi="Times New Roman" w:cs="Times New Roman"/>
          <w:color w:val="2E74B5" w:themeColor="accent5" w:themeShade="BF"/>
          <w:sz w:val="24"/>
          <w:szCs w:val="24"/>
        </w:rPr>
      </w:pPr>
    </w:p>
    <w:p w14:paraId="35138BC2" w14:textId="1D9634B5" w:rsidR="443C5BE7" w:rsidRDefault="443C5BE7" w:rsidP="443C5BE7">
      <w:pPr>
        <w:spacing w:line="360" w:lineRule="auto"/>
        <w:jc w:val="both"/>
        <w:rPr>
          <w:rFonts w:ascii="Times New Roman" w:eastAsia="Calibri" w:hAnsi="Times New Roman" w:cs="Times New Roman"/>
          <w:color w:val="2E74B5" w:themeColor="accent5" w:themeShade="BF"/>
          <w:sz w:val="24"/>
          <w:szCs w:val="24"/>
        </w:rPr>
      </w:pPr>
    </w:p>
    <w:p w14:paraId="78E07586" w14:textId="7EA055CB" w:rsidR="443C5BE7" w:rsidRDefault="443C5BE7" w:rsidP="443C5BE7">
      <w:pPr>
        <w:spacing w:line="360" w:lineRule="auto"/>
        <w:jc w:val="both"/>
        <w:rPr>
          <w:rFonts w:ascii="Times New Roman" w:eastAsia="Calibri" w:hAnsi="Times New Roman" w:cs="Times New Roman"/>
          <w:color w:val="2E74B5" w:themeColor="accent5" w:themeShade="BF"/>
          <w:sz w:val="24"/>
          <w:szCs w:val="24"/>
        </w:rPr>
      </w:pPr>
    </w:p>
    <w:p w14:paraId="7686CFEC" w14:textId="72A6311C" w:rsidR="443C5BE7" w:rsidRDefault="443C5BE7" w:rsidP="443C5BE7">
      <w:pPr>
        <w:spacing w:line="360" w:lineRule="auto"/>
        <w:jc w:val="both"/>
        <w:rPr>
          <w:rFonts w:ascii="Times New Roman" w:eastAsia="Calibri" w:hAnsi="Times New Roman" w:cs="Times New Roman"/>
          <w:color w:val="2E74B5" w:themeColor="accent5" w:themeShade="BF"/>
          <w:sz w:val="24"/>
          <w:szCs w:val="24"/>
        </w:rPr>
      </w:pPr>
    </w:p>
    <w:p w14:paraId="7A5B71F7" w14:textId="045069DD" w:rsidR="443C5BE7" w:rsidRDefault="443C5BE7" w:rsidP="443C5BE7">
      <w:pPr>
        <w:spacing w:line="360" w:lineRule="auto"/>
        <w:jc w:val="both"/>
        <w:rPr>
          <w:rFonts w:ascii="Times New Roman" w:eastAsia="Calibri" w:hAnsi="Times New Roman" w:cs="Times New Roman"/>
          <w:color w:val="2E74B5" w:themeColor="accent5" w:themeShade="BF"/>
          <w:sz w:val="24"/>
          <w:szCs w:val="24"/>
        </w:rPr>
      </w:pPr>
    </w:p>
    <w:p w14:paraId="567D268E" w14:textId="1F7F94DF" w:rsidR="443C5BE7" w:rsidRDefault="443C5BE7" w:rsidP="443C5BE7">
      <w:pPr>
        <w:spacing w:line="360" w:lineRule="auto"/>
        <w:jc w:val="both"/>
        <w:rPr>
          <w:rFonts w:ascii="Times New Roman" w:eastAsia="Calibri" w:hAnsi="Times New Roman" w:cs="Times New Roman"/>
          <w:color w:val="2E74B5" w:themeColor="accent5" w:themeShade="BF"/>
          <w:sz w:val="24"/>
          <w:szCs w:val="24"/>
        </w:rPr>
      </w:pPr>
    </w:p>
    <w:p w14:paraId="2CF62E26" w14:textId="7C9B72F2" w:rsidR="443C5BE7" w:rsidRDefault="443C5BE7" w:rsidP="443C5BE7">
      <w:pPr>
        <w:spacing w:line="360" w:lineRule="auto"/>
        <w:jc w:val="both"/>
        <w:rPr>
          <w:rFonts w:ascii="Times New Roman" w:eastAsia="Calibri" w:hAnsi="Times New Roman" w:cs="Times New Roman"/>
          <w:color w:val="2E74B5" w:themeColor="accent5" w:themeShade="BF"/>
          <w:sz w:val="24"/>
          <w:szCs w:val="24"/>
        </w:rPr>
      </w:pPr>
    </w:p>
    <w:p w14:paraId="2A244E6A" w14:textId="4BB8AEAC" w:rsidR="443C5BE7" w:rsidRDefault="443C5BE7" w:rsidP="443C5BE7">
      <w:pPr>
        <w:spacing w:line="360" w:lineRule="auto"/>
        <w:jc w:val="both"/>
        <w:rPr>
          <w:rFonts w:ascii="Times New Roman" w:eastAsia="Calibri" w:hAnsi="Times New Roman" w:cs="Times New Roman"/>
          <w:color w:val="2E74B5" w:themeColor="accent5" w:themeShade="BF"/>
          <w:sz w:val="24"/>
          <w:szCs w:val="24"/>
        </w:rPr>
      </w:pPr>
    </w:p>
    <w:p w14:paraId="701A2F07" w14:textId="47F50523" w:rsidR="443C5BE7" w:rsidRDefault="443C5BE7" w:rsidP="443C5BE7">
      <w:pPr>
        <w:spacing w:line="360" w:lineRule="auto"/>
        <w:jc w:val="both"/>
        <w:rPr>
          <w:rFonts w:ascii="Times New Roman" w:eastAsia="Calibri" w:hAnsi="Times New Roman" w:cs="Times New Roman"/>
          <w:color w:val="2E74B5" w:themeColor="accent5" w:themeShade="BF"/>
          <w:sz w:val="24"/>
          <w:szCs w:val="24"/>
        </w:rPr>
      </w:pPr>
    </w:p>
    <w:p w14:paraId="7FF9BE52" w14:textId="2B24CFE1" w:rsidR="443C5BE7" w:rsidRDefault="443C5BE7" w:rsidP="443C5BE7">
      <w:pPr>
        <w:spacing w:line="360" w:lineRule="auto"/>
        <w:jc w:val="both"/>
        <w:rPr>
          <w:rFonts w:ascii="Times New Roman" w:eastAsia="Calibri" w:hAnsi="Times New Roman" w:cs="Times New Roman"/>
          <w:color w:val="2E74B5" w:themeColor="accent5" w:themeShade="BF"/>
          <w:sz w:val="24"/>
          <w:szCs w:val="24"/>
        </w:rPr>
      </w:pPr>
    </w:p>
    <w:p w14:paraId="773BE704" w14:textId="0A721148" w:rsidR="00A41996" w:rsidRPr="006A0747" w:rsidRDefault="00A41996" w:rsidP="00B81043">
      <w:pPr>
        <w:pStyle w:val="Ttulo1"/>
        <w:numPr>
          <w:ilvl w:val="0"/>
          <w:numId w:val="4"/>
        </w:numPr>
        <w:jc w:val="center"/>
        <w:rPr>
          <w:rFonts w:cs="Times New Roman"/>
          <w:b/>
          <w:color w:val="767171"/>
        </w:rPr>
      </w:pPr>
      <w:bookmarkStart w:id="66" w:name="_Toc117160677"/>
      <w:bookmarkStart w:id="67" w:name="_Toc134102405"/>
      <w:bookmarkStart w:id="68" w:name="_Toc134102959"/>
      <w:bookmarkStart w:id="69" w:name="_Toc185275018"/>
      <w:r w:rsidRPr="006A0747">
        <w:rPr>
          <w:rFonts w:cs="Times New Roman"/>
          <w:b/>
          <w:color w:val="767171"/>
        </w:rPr>
        <w:t>ANEXOS</w:t>
      </w:r>
      <w:bookmarkEnd w:id="66"/>
      <w:bookmarkEnd w:id="67"/>
      <w:bookmarkEnd w:id="68"/>
      <w:bookmarkEnd w:id="69"/>
    </w:p>
    <w:p w14:paraId="501A8A59" w14:textId="77777777" w:rsidR="00A41996" w:rsidRPr="006A0747" w:rsidRDefault="00A41996" w:rsidP="00A41996">
      <w:pPr>
        <w:jc w:val="both"/>
        <w:rPr>
          <w:rFonts w:ascii="Times New Roman" w:eastAsia="Calibri" w:hAnsi="Times New Roman" w:cs="Times New Roman"/>
          <w:color w:val="2E74B5" w:themeColor="accent5" w:themeShade="BF"/>
          <w:sz w:val="18"/>
        </w:rPr>
      </w:pPr>
      <w:r w:rsidRPr="006A0747">
        <w:rPr>
          <w:rFonts w:ascii="Times New Roman" w:hAnsi="Times New Roman" w:cs="Times New Roman"/>
          <w:noProof/>
          <w:color w:val="2E74B5" w:themeColor="accent5" w:themeShade="BF"/>
          <w:lang w:eastAsia="es-DO"/>
        </w:rPr>
        <mc:AlternateContent>
          <mc:Choice Requires="wps">
            <w:drawing>
              <wp:anchor distT="4294967295" distB="4294967295" distL="114300" distR="114300" simplePos="0" relativeHeight="251658254" behindDoc="0" locked="0" layoutInCell="1" allowOverlap="1" wp14:anchorId="0193C82A" wp14:editId="440F31E7">
                <wp:simplePos x="0" y="0"/>
                <wp:positionH relativeFrom="margin">
                  <wp:align>center</wp:align>
                </wp:positionH>
                <wp:positionV relativeFrom="paragraph">
                  <wp:posOffset>100329</wp:posOffset>
                </wp:positionV>
                <wp:extent cx="463550" cy="0"/>
                <wp:effectExtent l="0" t="19050" r="317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2AB7BBC" id="Straight Connector 8" o:spid="_x0000_s1026" style="position:absolute;z-index:25165825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7.9pt" to="3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" strokecolor="#ee2a24" strokeweight="2.25pt">
                <v:stroke joinstyle="miter"/>
                <w10:wrap anchorx="margin"/>
              </v:line>
            </w:pict>
          </mc:Fallback>
        </mc:AlternateContent>
      </w:r>
    </w:p>
    <w:p w14:paraId="26B659A9" w14:textId="37CB9E76" w:rsidR="00E55195" w:rsidRPr="006A0747" w:rsidRDefault="00B81043" w:rsidP="00703A55">
      <w:pPr>
        <w:spacing w:after="0"/>
        <w:jc w:val="center"/>
        <w:rPr>
          <w:rFonts w:ascii="Times New Roman" w:hAnsi="Times New Roman" w:cs="Times New Roman"/>
          <w:color w:val="767171"/>
          <w:spacing w:val="20"/>
          <w:sz w:val="24"/>
          <w:szCs w:val="24"/>
        </w:rPr>
      </w:pPr>
      <w:r w:rsidRPr="006A0747">
        <w:rPr>
          <w:rFonts w:ascii="Times New Roman" w:hAnsi="Times New Roman" w:cs="Times New Roman"/>
          <w:color w:val="767171"/>
          <w:spacing w:val="20"/>
          <w:sz w:val="24"/>
          <w:szCs w:val="24"/>
        </w:rPr>
        <w:t>Memoria Institucional 2024</w:t>
      </w:r>
    </w:p>
    <w:p w14:paraId="55526E6D" w14:textId="77777777" w:rsidR="00A44A45" w:rsidRPr="006A0747" w:rsidRDefault="00A44A45" w:rsidP="00703A55">
      <w:pPr>
        <w:spacing w:after="0"/>
        <w:jc w:val="center"/>
        <w:rPr>
          <w:rFonts w:ascii="Times New Roman" w:hAnsi="Times New Roman" w:cs="Times New Roman"/>
          <w:color w:val="2E74B5" w:themeColor="accent5" w:themeShade="BF"/>
          <w:spacing w:val="20"/>
          <w:sz w:val="24"/>
          <w:szCs w:val="24"/>
        </w:rPr>
      </w:pPr>
    </w:p>
    <w:p w14:paraId="25246286" w14:textId="77777777" w:rsidR="00621A8D" w:rsidRPr="006A0747" w:rsidRDefault="00621A8D" w:rsidP="00703A55">
      <w:pPr>
        <w:spacing w:after="0"/>
        <w:jc w:val="center"/>
        <w:rPr>
          <w:rFonts w:ascii="Times New Roman" w:hAnsi="Times New Roman" w:cs="Times New Roman"/>
          <w:color w:val="2E74B5" w:themeColor="accent5" w:themeShade="BF"/>
          <w:spacing w:val="20"/>
          <w:sz w:val="24"/>
          <w:szCs w:val="24"/>
        </w:rPr>
      </w:pPr>
    </w:p>
    <w:p w14:paraId="3431172E" w14:textId="77777777" w:rsidR="00D44B24" w:rsidRPr="006A0747" w:rsidRDefault="00D44B24" w:rsidP="00D44B24">
      <w:pPr>
        <w:pStyle w:val="Prrafodelista"/>
        <w:keepNext/>
        <w:keepLines/>
        <w:numPr>
          <w:ilvl w:val="0"/>
          <w:numId w:val="17"/>
        </w:numPr>
        <w:spacing w:before="40" w:after="0"/>
        <w:contextualSpacing w:val="0"/>
        <w:outlineLvl w:val="1"/>
        <w:rPr>
          <w:rFonts w:ascii="Times New Roman" w:eastAsia="Calibri" w:hAnsi="Times New Roman" w:cs="Times New Roman"/>
          <w:b/>
          <w:vanish/>
          <w:color w:val="767171"/>
          <w:spacing w:val="20"/>
          <w:sz w:val="24"/>
          <w:szCs w:val="24"/>
        </w:rPr>
      </w:pPr>
      <w:bookmarkStart w:id="70" w:name="_Toc184638224"/>
      <w:bookmarkStart w:id="71" w:name="_Toc184755335"/>
      <w:bookmarkStart w:id="72" w:name="_Toc184755376"/>
      <w:bookmarkStart w:id="73" w:name="_Toc184756781"/>
      <w:bookmarkStart w:id="74" w:name="_Toc185275019"/>
      <w:bookmarkEnd w:id="70"/>
      <w:bookmarkEnd w:id="71"/>
      <w:bookmarkEnd w:id="72"/>
      <w:bookmarkEnd w:id="73"/>
      <w:bookmarkEnd w:id="74"/>
    </w:p>
    <w:p w14:paraId="42D0E44F" w14:textId="04669181" w:rsidR="006E5DBF" w:rsidRPr="006A0747" w:rsidRDefault="006E5DBF" w:rsidP="00D44B24">
      <w:pPr>
        <w:pStyle w:val="Ttulo2"/>
        <w:numPr>
          <w:ilvl w:val="1"/>
          <w:numId w:val="17"/>
        </w:numPr>
        <w:jc w:val="center"/>
        <w:rPr>
          <w:rFonts w:ascii="Times New Roman" w:eastAsia="Calibri" w:hAnsi="Times New Roman" w:cs="Times New Roman"/>
          <w:b/>
          <w:color w:val="767171"/>
          <w:spacing w:val="20"/>
          <w:sz w:val="24"/>
          <w:szCs w:val="24"/>
        </w:rPr>
      </w:pPr>
      <w:bookmarkStart w:id="75" w:name="_Toc185275020"/>
      <w:r w:rsidRPr="006A0747">
        <w:rPr>
          <w:rFonts w:ascii="Times New Roman" w:eastAsia="Calibri" w:hAnsi="Times New Roman" w:cs="Times New Roman"/>
          <w:b/>
          <w:color w:val="767171"/>
          <w:spacing w:val="20"/>
          <w:sz w:val="24"/>
          <w:szCs w:val="24"/>
        </w:rPr>
        <w:t>Matriz Logros Relevantes – Ejecución Trimestral</w:t>
      </w:r>
      <w:r w:rsidR="00D44B24" w:rsidRPr="006A0747">
        <w:rPr>
          <w:rFonts w:ascii="Times New Roman" w:eastAsia="Calibri" w:hAnsi="Times New Roman" w:cs="Times New Roman"/>
          <w:b/>
          <w:color w:val="767171"/>
          <w:spacing w:val="20"/>
          <w:sz w:val="24"/>
          <w:szCs w:val="24"/>
        </w:rPr>
        <w:t xml:space="preserve"> - </w:t>
      </w:r>
      <w:r w:rsidRPr="006A0747">
        <w:rPr>
          <w:rFonts w:ascii="Times New Roman" w:eastAsia="Calibri" w:hAnsi="Times New Roman" w:cs="Times New Roman"/>
          <w:b/>
          <w:color w:val="767171"/>
          <w:spacing w:val="20"/>
          <w:sz w:val="24"/>
          <w:szCs w:val="24"/>
        </w:rPr>
        <w:t>Datos Cuantitativos.</w:t>
      </w:r>
      <w:bookmarkEnd w:id="75"/>
    </w:p>
    <w:p w14:paraId="62D37759" w14:textId="77777777" w:rsidR="006E5DBF" w:rsidRPr="006A0747" w:rsidRDefault="006E5DBF" w:rsidP="006E5DBF">
      <w:pPr>
        <w:spacing w:after="0"/>
        <w:jc w:val="center"/>
        <w:rPr>
          <w:rFonts w:ascii="Times New Roman" w:hAnsi="Times New Roman" w:cs="Times New Roman"/>
          <w:color w:val="2E74B5" w:themeColor="accent5" w:themeShade="BF"/>
          <w:spacing w:val="20"/>
          <w:sz w:val="24"/>
          <w:szCs w:val="24"/>
        </w:rPr>
      </w:pPr>
    </w:p>
    <w:p w14:paraId="65968A90" w14:textId="3861C9E7" w:rsidR="006E5DBF" w:rsidRPr="006A0747" w:rsidRDefault="006E5DBF" w:rsidP="006E5DBF">
      <w:pPr>
        <w:spacing w:after="0"/>
        <w:jc w:val="center"/>
        <w:rPr>
          <w:rFonts w:ascii="Times New Roman" w:hAnsi="Times New Roman" w:cs="Times New Roman"/>
          <w:color w:val="767171"/>
          <w:spacing w:val="20"/>
          <w:sz w:val="24"/>
          <w:szCs w:val="24"/>
        </w:rPr>
      </w:pPr>
      <w:r w:rsidRPr="006A0747">
        <w:rPr>
          <w:rFonts w:ascii="Times New Roman" w:hAnsi="Times New Roman" w:cs="Times New Roman"/>
          <w:color w:val="767171"/>
          <w:spacing w:val="20"/>
          <w:sz w:val="24"/>
          <w:szCs w:val="24"/>
        </w:rPr>
        <w:t xml:space="preserve">Enero – </w:t>
      </w:r>
      <w:proofErr w:type="gramStart"/>
      <w:r w:rsidR="00DB4961">
        <w:rPr>
          <w:rFonts w:ascii="Times New Roman" w:hAnsi="Times New Roman" w:cs="Times New Roman"/>
          <w:color w:val="767171"/>
          <w:spacing w:val="20"/>
          <w:sz w:val="24"/>
          <w:szCs w:val="24"/>
        </w:rPr>
        <w:t>Diciembre</w:t>
      </w:r>
      <w:proofErr w:type="gramEnd"/>
      <w:r w:rsidRPr="006A0747">
        <w:rPr>
          <w:rFonts w:ascii="Times New Roman" w:hAnsi="Times New Roman" w:cs="Times New Roman"/>
          <w:color w:val="767171"/>
          <w:spacing w:val="20"/>
          <w:sz w:val="24"/>
          <w:szCs w:val="24"/>
        </w:rPr>
        <w:t xml:space="preserve"> 2024</w:t>
      </w:r>
    </w:p>
    <w:tbl>
      <w:tblPr>
        <w:tblpPr w:leftFromText="141" w:rightFromText="141" w:vertAnchor="text" w:horzAnchor="margin" w:tblpXSpec="center" w:tblpY="283"/>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70" w:type="dxa"/>
          <w:right w:w="70" w:type="dxa"/>
        </w:tblCellMar>
        <w:tblLook w:val="04A0" w:firstRow="1" w:lastRow="0" w:firstColumn="1" w:lastColumn="0" w:noHBand="0" w:noVBand="1"/>
      </w:tblPr>
      <w:tblGrid>
        <w:gridCol w:w="953"/>
        <w:gridCol w:w="406"/>
        <w:gridCol w:w="490"/>
        <w:gridCol w:w="942"/>
        <w:gridCol w:w="372"/>
        <w:gridCol w:w="389"/>
        <w:gridCol w:w="942"/>
        <w:gridCol w:w="355"/>
        <w:gridCol w:w="439"/>
        <w:gridCol w:w="725"/>
        <w:gridCol w:w="502"/>
        <w:gridCol w:w="620"/>
        <w:gridCol w:w="775"/>
      </w:tblGrid>
      <w:tr w:rsidR="00DF4715" w:rsidRPr="006A0747" w14:paraId="390A3FC2" w14:textId="28510F24" w:rsidTr="004146B2">
        <w:trPr>
          <w:trHeight w:val="331"/>
          <w:tblHeader/>
        </w:trPr>
        <w:tc>
          <w:tcPr>
            <w:tcW w:w="0" w:type="auto"/>
            <w:shd w:val="clear" w:color="auto" w:fill="011C50"/>
            <w:noWrap/>
            <w:vAlign w:val="center"/>
            <w:hideMark/>
          </w:tcPr>
          <w:p w14:paraId="5B4EB278" w14:textId="77777777" w:rsidR="00081F8B" w:rsidRPr="006A0747" w:rsidRDefault="00081F8B">
            <w:pPr>
              <w:spacing w:after="0" w:line="240" w:lineRule="auto"/>
              <w:jc w:val="center"/>
              <w:rPr>
                <w:rFonts w:ascii="Times New Roman" w:eastAsia="Times New Roman" w:hAnsi="Times New Roman" w:cs="Times New Roman"/>
                <w:b/>
                <w:color w:val="FFFFFF" w:themeColor="background1"/>
                <w:sz w:val="24"/>
                <w:szCs w:val="24"/>
                <w:lang w:eastAsia="es-DO"/>
              </w:rPr>
            </w:pPr>
            <w:r w:rsidRPr="006A0747">
              <w:rPr>
                <w:rFonts w:ascii="Times New Roman" w:eastAsia="Times New Roman" w:hAnsi="Times New Roman" w:cs="Times New Roman"/>
                <w:b/>
                <w:bCs/>
                <w:color w:val="FFFFFF" w:themeColor="background1"/>
                <w:sz w:val="24"/>
                <w:szCs w:val="24"/>
                <w:lang w:eastAsia="es-DO"/>
              </w:rPr>
              <w:t>Producto / servicio</w:t>
            </w:r>
          </w:p>
        </w:tc>
        <w:tc>
          <w:tcPr>
            <w:tcW w:w="0" w:type="auto"/>
            <w:shd w:val="clear" w:color="auto" w:fill="011C50"/>
            <w:noWrap/>
            <w:vAlign w:val="center"/>
            <w:hideMark/>
          </w:tcPr>
          <w:p w14:paraId="75217E9B" w14:textId="77777777" w:rsidR="00081F8B" w:rsidRPr="006A0747" w:rsidRDefault="00081F8B">
            <w:pPr>
              <w:spacing w:after="0" w:line="240" w:lineRule="auto"/>
              <w:jc w:val="center"/>
              <w:rPr>
                <w:rFonts w:ascii="Times New Roman" w:eastAsia="Times New Roman" w:hAnsi="Times New Roman" w:cs="Times New Roman"/>
                <w:b/>
                <w:color w:val="FFFFFF" w:themeColor="background1"/>
                <w:sz w:val="24"/>
                <w:szCs w:val="24"/>
                <w:lang w:eastAsia="es-DO"/>
              </w:rPr>
            </w:pPr>
            <w:r w:rsidRPr="006A0747">
              <w:rPr>
                <w:rFonts w:ascii="Times New Roman" w:eastAsia="Times New Roman" w:hAnsi="Times New Roman" w:cs="Times New Roman"/>
                <w:b/>
                <w:bCs/>
                <w:color w:val="FFFFFF" w:themeColor="background1"/>
                <w:sz w:val="24"/>
                <w:szCs w:val="24"/>
                <w:lang w:eastAsia="es-DO"/>
              </w:rPr>
              <w:t>Enero</w:t>
            </w:r>
          </w:p>
        </w:tc>
        <w:tc>
          <w:tcPr>
            <w:tcW w:w="0" w:type="auto"/>
            <w:shd w:val="clear" w:color="auto" w:fill="011C50"/>
            <w:noWrap/>
            <w:vAlign w:val="center"/>
            <w:hideMark/>
          </w:tcPr>
          <w:p w14:paraId="2102F86C" w14:textId="77777777" w:rsidR="00081F8B" w:rsidRPr="006A0747" w:rsidRDefault="00081F8B">
            <w:pPr>
              <w:spacing w:after="0" w:line="240" w:lineRule="auto"/>
              <w:jc w:val="center"/>
              <w:rPr>
                <w:rFonts w:ascii="Times New Roman" w:eastAsia="Times New Roman" w:hAnsi="Times New Roman" w:cs="Times New Roman"/>
                <w:b/>
                <w:color w:val="FFFFFF" w:themeColor="background1"/>
                <w:sz w:val="24"/>
                <w:szCs w:val="24"/>
                <w:lang w:eastAsia="es-DO"/>
              </w:rPr>
            </w:pPr>
            <w:r w:rsidRPr="006A0747">
              <w:rPr>
                <w:rFonts w:ascii="Times New Roman" w:eastAsia="Times New Roman" w:hAnsi="Times New Roman" w:cs="Times New Roman"/>
                <w:b/>
                <w:bCs/>
                <w:color w:val="FFFFFF" w:themeColor="background1"/>
                <w:sz w:val="24"/>
                <w:szCs w:val="24"/>
                <w:lang w:eastAsia="es-DO"/>
              </w:rPr>
              <w:t>Febrero</w:t>
            </w:r>
          </w:p>
        </w:tc>
        <w:tc>
          <w:tcPr>
            <w:tcW w:w="0" w:type="auto"/>
            <w:shd w:val="clear" w:color="auto" w:fill="011C50"/>
            <w:noWrap/>
            <w:vAlign w:val="center"/>
            <w:hideMark/>
          </w:tcPr>
          <w:p w14:paraId="0A01014F" w14:textId="77777777" w:rsidR="00081F8B" w:rsidRPr="006A0747" w:rsidRDefault="00081F8B">
            <w:pPr>
              <w:spacing w:after="0" w:line="240" w:lineRule="auto"/>
              <w:jc w:val="center"/>
              <w:rPr>
                <w:rFonts w:ascii="Times New Roman" w:eastAsia="Times New Roman" w:hAnsi="Times New Roman" w:cs="Times New Roman"/>
                <w:b/>
                <w:color w:val="FFFFFF" w:themeColor="background1"/>
                <w:sz w:val="24"/>
                <w:szCs w:val="24"/>
                <w:lang w:eastAsia="es-DO"/>
              </w:rPr>
            </w:pPr>
            <w:r w:rsidRPr="006A0747">
              <w:rPr>
                <w:rFonts w:ascii="Times New Roman" w:eastAsia="Times New Roman" w:hAnsi="Times New Roman" w:cs="Times New Roman"/>
                <w:b/>
                <w:bCs/>
                <w:color w:val="FFFFFF" w:themeColor="background1"/>
                <w:sz w:val="24"/>
                <w:szCs w:val="24"/>
                <w:lang w:eastAsia="es-DO"/>
              </w:rPr>
              <w:t>Marzo</w:t>
            </w:r>
          </w:p>
        </w:tc>
        <w:tc>
          <w:tcPr>
            <w:tcW w:w="0" w:type="auto"/>
            <w:shd w:val="clear" w:color="auto" w:fill="011C50"/>
            <w:noWrap/>
            <w:vAlign w:val="center"/>
            <w:hideMark/>
          </w:tcPr>
          <w:p w14:paraId="639BDE68" w14:textId="77777777" w:rsidR="00081F8B" w:rsidRPr="006A0747" w:rsidRDefault="00081F8B">
            <w:pPr>
              <w:spacing w:after="0" w:line="240" w:lineRule="auto"/>
              <w:jc w:val="center"/>
              <w:rPr>
                <w:rFonts w:ascii="Times New Roman" w:eastAsia="Times New Roman" w:hAnsi="Times New Roman" w:cs="Times New Roman"/>
                <w:b/>
                <w:color w:val="FFFFFF" w:themeColor="background1"/>
                <w:sz w:val="24"/>
                <w:szCs w:val="24"/>
                <w:lang w:eastAsia="es-DO"/>
              </w:rPr>
            </w:pPr>
            <w:r w:rsidRPr="006A0747">
              <w:rPr>
                <w:rFonts w:ascii="Times New Roman" w:eastAsia="Times New Roman" w:hAnsi="Times New Roman" w:cs="Times New Roman"/>
                <w:b/>
                <w:bCs/>
                <w:color w:val="FFFFFF" w:themeColor="background1"/>
                <w:sz w:val="24"/>
                <w:szCs w:val="24"/>
                <w:lang w:eastAsia="es-DO"/>
              </w:rPr>
              <w:t>Abril</w:t>
            </w:r>
          </w:p>
        </w:tc>
        <w:tc>
          <w:tcPr>
            <w:tcW w:w="0" w:type="auto"/>
            <w:shd w:val="clear" w:color="auto" w:fill="011C50"/>
            <w:noWrap/>
            <w:vAlign w:val="center"/>
            <w:hideMark/>
          </w:tcPr>
          <w:p w14:paraId="6DB02A26" w14:textId="77777777" w:rsidR="00081F8B" w:rsidRPr="006A0747" w:rsidRDefault="00081F8B">
            <w:pPr>
              <w:spacing w:after="0" w:line="240" w:lineRule="auto"/>
              <w:jc w:val="center"/>
              <w:rPr>
                <w:rFonts w:ascii="Times New Roman" w:eastAsia="Times New Roman" w:hAnsi="Times New Roman" w:cs="Times New Roman"/>
                <w:b/>
                <w:color w:val="FFFFFF" w:themeColor="background1"/>
                <w:sz w:val="24"/>
                <w:szCs w:val="24"/>
                <w:lang w:eastAsia="es-DO"/>
              </w:rPr>
            </w:pPr>
            <w:r w:rsidRPr="006A0747">
              <w:rPr>
                <w:rFonts w:ascii="Times New Roman" w:eastAsia="Times New Roman" w:hAnsi="Times New Roman" w:cs="Times New Roman"/>
                <w:b/>
                <w:bCs/>
                <w:color w:val="FFFFFF" w:themeColor="background1"/>
                <w:sz w:val="24"/>
                <w:szCs w:val="24"/>
                <w:lang w:eastAsia="es-DO"/>
              </w:rPr>
              <w:t>Mayo</w:t>
            </w:r>
          </w:p>
        </w:tc>
        <w:tc>
          <w:tcPr>
            <w:tcW w:w="0" w:type="auto"/>
            <w:shd w:val="clear" w:color="auto" w:fill="011C50"/>
            <w:noWrap/>
            <w:vAlign w:val="center"/>
            <w:hideMark/>
          </w:tcPr>
          <w:p w14:paraId="1A4DE300" w14:textId="77777777" w:rsidR="00081F8B" w:rsidRPr="006A0747" w:rsidRDefault="00081F8B" w:rsidP="00081F8B">
            <w:pPr>
              <w:spacing w:after="0" w:line="240" w:lineRule="auto"/>
              <w:jc w:val="center"/>
              <w:rPr>
                <w:rFonts w:ascii="Times New Roman" w:eastAsia="Times New Roman" w:hAnsi="Times New Roman" w:cs="Times New Roman"/>
                <w:b/>
                <w:color w:val="FFFFFF" w:themeColor="background1"/>
                <w:sz w:val="24"/>
                <w:szCs w:val="24"/>
                <w:lang w:eastAsia="es-DO"/>
              </w:rPr>
            </w:pPr>
            <w:r w:rsidRPr="006A0747">
              <w:rPr>
                <w:rFonts w:ascii="Times New Roman" w:eastAsia="Times New Roman" w:hAnsi="Times New Roman" w:cs="Times New Roman"/>
                <w:b/>
                <w:bCs/>
                <w:color w:val="FFFFFF" w:themeColor="background1"/>
                <w:sz w:val="24"/>
                <w:szCs w:val="24"/>
                <w:lang w:eastAsia="es-DO"/>
              </w:rPr>
              <w:t>Junio</w:t>
            </w:r>
          </w:p>
        </w:tc>
        <w:tc>
          <w:tcPr>
            <w:tcW w:w="0" w:type="auto"/>
            <w:shd w:val="clear" w:color="auto" w:fill="011C50"/>
            <w:vAlign w:val="center"/>
          </w:tcPr>
          <w:p w14:paraId="1EE3B117" w14:textId="16E3919A" w:rsidR="00081F8B" w:rsidRPr="006A0747" w:rsidRDefault="00081F8B" w:rsidP="00081F8B">
            <w:pPr>
              <w:spacing w:after="0" w:line="240" w:lineRule="auto"/>
              <w:jc w:val="center"/>
              <w:rPr>
                <w:rFonts w:ascii="Times New Roman" w:eastAsia="Times New Roman" w:hAnsi="Times New Roman" w:cs="Times New Roman"/>
                <w:b/>
                <w:bCs/>
                <w:color w:val="FFFFFF" w:themeColor="background1"/>
                <w:sz w:val="24"/>
                <w:szCs w:val="24"/>
                <w:lang w:eastAsia="es-DO"/>
              </w:rPr>
            </w:pPr>
            <w:r w:rsidRPr="006A0747">
              <w:rPr>
                <w:rFonts w:ascii="Times New Roman" w:eastAsia="Times New Roman" w:hAnsi="Times New Roman" w:cs="Times New Roman"/>
                <w:b/>
                <w:bCs/>
                <w:color w:val="FFFFFF" w:themeColor="background1"/>
                <w:sz w:val="24"/>
                <w:szCs w:val="24"/>
                <w:lang w:eastAsia="es-DO"/>
              </w:rPr>
              <w:t>Julio</w:t>
            </w:r>
          </w:p>
        </w:tc>
        <w:tc>
          <w:tcPr>
            <w:tcW w:w="0" w:type="auto"/>
            <w:shd w:val="clear" w:color="auto" w:fill="011C50"/>
            <w:vAlign w:val="center"/>
          </w:tcPr>
          <w:p w14:paraId="32083F3D" w14:textId="1A7B1B17" w:rsidR="00081F8B" w:rsidRPr="006A0747" w:rsidRDefault="00081F8B" w:rsidP="00081F8B">
            <w:pPr>
              <w:spacing w:after="0" w:line="240" w:lineRule="auto"/>
              <w:jc w:val="center"/>
              <w:rPr>
                <w:rFonts w:ascii="Times New Roman" w:eastAsia="Times New Roman" w:hAnsi="Times New Roman" w:cs="Times New Roman"/>
                <w:b/>
                <w:bCs/>
                <w:color w:val="FFFFFF" w:themeColor="background1"/>
                <w:sz w:val="24"/>
                <w:szCs w:val="24"/>
                <w:lang w:eastAsia="es-DO"/>
              </w:rPr>
            </w:pPr>
            <w:r w:rsidRPr="006A0747">
              <w:rPr>
                <w:rFonts w:ascii="Times New Roman" w:eastAsia="Times New Roman" w:hAnsi="Times New Roman" w:cs="Times New Roman"/>
                <w:b/>
                <w:bCs/>
                <w:color w:val="FFFFFF" w:themeColor="background1"/>
                <w:sz w:val="24"/>
                <w:szCs w:val="24"/>
                <w:lang w:eastAsia="es-DO"/>
              </w:rPr>
              <w:t>Agosto</w:t>
            </w:r>
          </w:p>
        </w:tc>
        <w:tc>
          <w:tcPr>
            <w:tcW w:w="0" w:type="auto"/>
            <w:shd w:val="clear" w:color="auto" w:fill="011C50"/>
            <w:vAlign w:val="center"/>
          </w:tcPr>
          <w:p w14:paraId="3B04A728" w14:textId="7488A523" w:rsidR="00081F8B" w:rsidRPr="006A0747" w:rsidRDefault="00081F8B" w:rsidP="00081F8B">
            <w:pPr>
              <w:spacing w:after="0" w:line="240" w:lineRule="auto"/>
              <w:jc w:val="center"/>
              <w:rPr>
                <w:rFonts w:ascii="Times New Roman" w:eastAsia="Times New Roman" w:hAnsi="Times New Roman" w:cs="Times New Roman"/>
                <w:b/>
                <w:bCs/>
                <w:color w:val="FFFFFF" w:themeColor="background1"/>
                <w:sz w:val="24"/>
                <w:szCs w:val="24"/>
                <w:lang w:eastAsia="es-DO"/>
              </w:rPr>
            </w:pPr>
            <w:r w:rsidRPr="006A0747">
              <w:rPr>
                <w:rFonts w:ascii="Times New Roman" w:eastAsia="Times New Roman" w:hAnsi="Times New Roman" w:cs="Times New Roman"/>
                <w:b/>
                <w:bCs/>
                <w:color w:val="FFFFFF" w:themeColor="background1"/>
                <w:sz w:val="24"/>
                <w:szCs w:val="24"/>
                <w:lang w:eastAsia="es-DO"/>
              </w:rPr>
              <w:t>Septiembre</w:t>
            </w:r>
          </w:p>
        </w:tc>
        <w:tc>
          <w:tcPr>
            <w:tcW w:w="0" w:type="auto"/>
            <w:shd w:val="clear" w:color="auto" w:fill="011C50"/>
            <w:vAlign w:val="center"/>
          </w:tcPr>
          <w:p w14:paraId="705202A1" w14:textId="242B2F5D" w:rsidR="00081F8B" w:rsidRPr="006A0747" w:rsidRDefault="00081F8B" w:rsidP="00081F8B">
            <w:pPr>
              <w:spacing w:after="0" w:line="240" w:lineRule="auto"/>
              <w:jc w:val="center"/>
              <w:rPr>
                <w:rFonts w:ascii="Times New Roman" w:eastAsia="Times New Roman" w:hAnsi="Times New Roman" w:cs="Times New Roman"/>
                <w:b/>
                <w:bCs/>
                <w:color w:val="FFFFFF" w:themeColor="background1"/>
                <w:sz w:val="24"/>
                <w:szCs w:val="24"/>
                <w:lang w:eastAsia="es-DO"/>
              </w:rPr>
            </w:pPr>
            <w:r w:rsidRPr="006A0747">
              <w:rPr>
                <w:rFonts w:ascii="Times New Roman" w:eastAsia="Times New Roman" w:hAnsi="Times New Roman" w:cs="Times New Roman"/>
                <w:b/>
                <w:bCs/>
                <w:color w:val="FFFFFF" w:themeColor="background1"/>
                <w:sz w:val="24"/>
                <w:szCs w:val="24"/>
                <w:lang w:eastAsia="es-DO"/>
              </w:rPr>
              <w:t>Octubre</w:t>
            </w:r>
          </w:p>
        </w:tc>
        <w:tc>
          <w:tcPr>
            <w:tcW w:w="0" w:type="auto"/>
            <w:shd w:val="clear" w:color="auto" w:fill="011C50"/>
            <w:vAlign w:val="center"/>
          </w:tcPr>
          <w:p w14:paraId="70FFFA29" w14:textId="1DA31179" w:rsidR="00081F8B" w:rsidRPr="006A0747" w:rsidRDefault="00081F8B" w:rsidP="00081F8B">
            <w:pPr>
              <w:spacing w:after="0" w:line="240" w:lineRule="auto"/>
              <w:jc w:val="center"/>
              <w:rPr>
                <w:rFonts w:ascii="Times New Roman" w:eastAsia="Times New Roman" w:hAnsi="Times New Roman" w:cs="Times New Roman"/>
                <w:b/>
                <w:bCs/>
                <w:color w:val="FFFFFF" w:themeColor="background1"/>
                <w:sz w:val="24"/>
                <w:szCs w:val="24"/>
                <w:lang w:eastAsia="es-DO"/>
              </w:rPr>
            </w:pPr>
            <w:r w:rsidRPr="006A0747">
              <w:rPr>
                <w:rFonts w:ascii="Times New Roman" w:eastAsia="Times New Roman" w:hAnsi="Times New Roman" w:cs="Times New Roman"/>
                <w:b/>
                <w:bCs/>
                <w:color w:val="FFFFFF" w:themeColor="background1"/>
                <w:sz w:val="24"/>
                <w:szCs w:val="24"/>
                <w:lang w:eastAsia="es-DO"/>
              </w:rPr>
              <w:t>Noviembre</w:t>
            </w:r>
          </w:p>
        </w:tc>
        <w:tc>
          <w:tcPr>
            <w:tcW w:w="0" w:type="auto"/>
            <w:shd w:val="clear" w:color="auto" w:fill="011C50"/>
            <w:vAlign w:val="center"/>
          </w:tcPr>
          <w:p w14:paraId="48BE99A4" w14:textId="3F2818C8" w:rsidR="00081F8B" w:rsidRPr="006A0747" w:rsidRDefault="00081F8B" w:rsidP="00081F8B">
            <w:pPr>
              <w:spacing w:after="0" w:line="240" w:lineRule="auto"/>
              <w:jc w:val="center"/>
              <w:rPr>
                <w:rFonts w:ascii="Times New Roman" w:eastAsia="Times New Roman" w:hAnsi="Times New Roman" w:cs="Times New Roman"/>
                <w:b/>
                <w:bCs/>
                <w:color w:val="FFFFFF" w:themeColor="background1"/>
                <w:sz w:val="24"/>
                <w:szCs w:val="24"/>
                <w:lang w:eastAsia="es-DO"/>
              </w:rPr>
            </w:pPr>
            <w:r w:rsidRPr="006A0747">
              <w:rPr>
                <w:rFonts w:ascii="Times New Roman" w:eastAsia="Times New Roman" w:hAnsi="Times New Roman" w:cs="Times New Roman"/>
                <w:b/>
                <w:bCs/>
                <w:color w:val="FFFFFF" w:themeColor="background1"/>
                <w:sz w:val="24"/>
                <w:szCs w:val="24"/>
                <w:lang w:eastAsia="es-DO"/>
              </w:rPr>
              <w:t>Diciembre</w:t>
            </w:r>
          </w:p>
        </w:tc>
      </w:tr>
      <w:tr w:rsidR="00A41DC4" w:rsidRPr="006A0747" w14:paraId="72BF59BB" w14:textId="3901CB7F" w:rsidTr="004146B2">
        <w:trPr>
          <w:trHeight w:val="331"/>
        </w:trPr>
        <w:tc>
          <w:tcPr>
            <w:tcW w:w="0" w:type="auto"/>
            <w:shd w:val="clear" w:color="auto" w:fill="auto"/>
            <w:vAlign w:val="center"/>
            <w:hideMark/>
          </w:tcPr>
          <w:p w14:paraId="593CB743" w14:textId="77777777" w:rsidR="00081F8B" w:rsidRPr="006A0747" w:rsidRDefault="00081F8B">
            <w:pPr>
              <w:spacing w:after="0" w:line="240" w:lineRule="auto"/>
              <w:rPr>
                <w:rFonts w:ascii="Times New Roman" w:eastAsia="Times New Roman" w:hAnsi="Times New Roman" w:cs="Times New Roman"/>
                <w:color w:val="767171"/>
                <w:sz w:val="24"/>
                <w:szCs w:val="24"/>
                <w:lang w:eastAsia="es-DO"/>
              </w:rPr>
            </w:pPr>
            <w:r w:rsidRPr="006A0747">
              <w:rPr>
                <w:rStyle w:val="ui-provider"/>
                <w:rFonts w:ascii="Times New Roman" w:hAnsi="Times New Roman" w:cs="Times New Roman"/>
                <w:color w:val="767171"/>
                <w:sz w:val="24"/>
                <w:szCs w:val="24"/>
              </w:rPr>
              <w:t xml:space="preserve">01 - Entidades de intermediación financiera y cambiaria con </w:t>
            </w:r>
            <w:r w:rsidRPr="006A0747">
              <w:rPr>
                <w:rStyle w:val="ui-provider"/>
                <w:rFonts w:ascii="Times New Roman" w:hAnsi="Times New Roman" w:cs="Times New Roman"/>
                <w:color w:val="767171"/>
                <w:sz w:val="24"/>
                <w:szCs w:val="24"/>
              </w:rPr>
              <w:lastRenderedPageBreak/>
              <w:t>supervisión y control</w:t>
            </w:r>
          </w:p>
        </w:tc>
        <w:tc>
          <w:tcPr>
            <w:tcW w:w="0" w:type="auto"/>
            <w:shd w:val="clear" w:color="auto" w:fill="auto"/>
            <w:noWrap/>
            <w:vAlign w:val="center"/>
            <w:hideMark/>
          </w:tcPr>
          <w:p w14:paraId="094F719D" w14:textId="72656E43" w:rsidR="00081F8B" w:rsidRPr="006A0747" w:rsidRDefault="00163DB0">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lastRenderedPageBreak/>
              <w:t>-</w:t>
            </w:r>
          </w:p>
        </w:tc>
        <w:tc>
          <w:tcPr>
            <w:tcW w:w="0" w:type="auto"/>
            <w:shd w:val="clear" w:color="auto" w:fill="auto"/>
            <w:noWrap/>
            <w:vAlign w:val="center"/>
            <w:hideMark/>
          </w:tcPr>
          <w:p w14:paraId="47C65992" w14:textId="23A1E893" w:rsidR="00081F8B" w:rsidRPr="006A0747" w:rsidRDefault="00163DB0" w:rsidP="00B50AD5">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w:t>
            </w:r>
          </w:p>
        </w:tc>
        <w:tc>
          <w:tcPr>
            <w:tcW w:w="0" w:type="auto"/>
            <w:shd w:val="clear" w:color="auto" w:fill="auto"/>
            <w:noWrap/>
            <w:vAlign w:val="center"/>
            <w:hideMark/>
          </w:tcPr>
          <w:p w14:paraId="1F66FF19" w14:textId="77777777" w:rsidR="00081F8B" w:rsidRPr="006A0747" w:rsidRDefault="00081F8B" w:rsidP="00B50AD5">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2</w:t>
            </w:r>
          </w:p>
        </w:tc>
        <w:tc>
          <w:tcPr>
            <w:tcW w:w="0" w:type="auto"/>
            <w:shd w:val="clear" w:color="auto" w:fill="auto"/>
            <w:noWrap/>
            <w:vAlign w:val="center"/>
            <w:hideMark/>
          </w:tcPr>
          <w:p w14:paraId="4D551961" w14:textId="39679C8E" w:rsidR="00081F8B" w:rsidRPr="006A0747" w:rsidRDefault="00163DB0" w:rsidP="00B50AD5">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w:t>
            </w:r>
          </w:p>
        </w:tc>
        <w:tc>
          <w:tcPr>
            <w:tcW w:w="0" w:type="auto"/>
            <w:shd w:val="clear" w:color="auto" w:fill="auto"/>
            <w:noWrap/>
            <w:vAlign w:val="center"/>
            <w:hideMark/>
          </w:tcPr>
          <w:p w14:paraId="54BB7A06" w14:textId="7DA0ACBD" w:rsidR="00081F8B" w:rsidRPr="006A0747" w:rsidRDefault="00163DB0" w:rsidP="00B50AD5">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w:t>
            </w:r>
          </w:p>
        </w:tc>
        <w:tc>
          <w:tcPr>
            <w:tcW w:w="0" w:type="auto"/>
            <w:shd w:val="clear" w:color="auto" w:fill="auto"/>
            <w:noWrap/>
            <w:vAlign w:val="center"/>
            <w:hideMark/>
          </w:tcPr>
          <w:p w14:paraId="37452593" w14:textId="77777777" w:rsidR="00081F8B" w:rsidRPr="006A0747" w:rsidRDefault="00081F8B" w:rsidP="00B50AD5">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29</w:t>
            </w:r>
          </w:p>
        </w:tc>
        <w:tc>
          <w:tcPr>
            <w:tcW w:w="0" w:type="auto"/>
            <w:vAlign w:val="center"/>
          </w:tcPr>
          <w:p w14:paraId="1613203C" w14:textId="3029B559" w:rsidR="00081F8B" w:rsidRPr="006A0747" w:rsidRDefault="00163DB0" w:rsidP="00B50AD5">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w:t>
            </w:r>
          </w:p>
        </w:tc>
        <w:tc>
          <w:tcPr>
            <w:tcW w:w="0" w:type="auto"/>
            <w:vAlign w:val="center"/>
          </w:tcPr>
          <w:p w14:paraId="6098C452" w14:textId="7BC6A5C9" w:rsidR="00081F8B" w:rsidRPr="006A0747" w:rsidRDefault="00163DB0" w:rsidP="00B50AD5">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w:t>
            </w:r>
          </w:p>
        </w:tc>
        <w:tc>
          <w:tcPr>
            <w:tcW w:w="0" w:type="auto"/>
            <w:vAlign w:val="center"/>
          </w:tcPr>
          <w:p w14:paraId="02B6D4E7" w14:textId="4C857ABB" w:rsidR="00081F8B" w:rsidRPr="006A0747" w:rsidRDefault="0007429C" w:rsidP="00B50AD5">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15</w:t>
            </w:r>
          </w:p>
        </w:tc>
        <w:tc>
          <w:tcPr>
            <w:tcW w:w="0" w:type="auto"/>
            <w:vAlign w:val="center"/>
          </w:tcPr>
          <w:p w14:paraId="40E95825" w14:textId="2348F6B0" w:rsidR="00081F8B" w:rsidRPr="006A0747" w:rsidRDefault="00163DB0" w:rsidP="00B50AD5">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w:t>
            </w:r>
          </w:p>
        </w:tc>
        <w:tc>
          <w:tcPr>
            <w:tcW w:w="0" w:type="auto"/>
            <w:vAlign w:val="center"/>
          </w:tcPr>
          <w:p w14:paraId="760CB9C1" w14:textId="4F95A9BC" w:rsidR="00081F8B" w:rsidRPr="006A0747" w:rsidRDefault="00163DB0" w:rsidP="00B50AD5">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w:t>
            </w:r>
          </w:p>
        </w:tc>
        <w:tc>
          <w:tcPr>
            <w:tcW w:w="0" w:type="auto"/>
            <w:vAlign w:val="center"/>
          </w:tcPr>
          <w:p w14:paraId="14E88901" w14:textId="160C322F" w:rsidR="00081F8B" w:rsidRPr="006A0747" w:rsidRDefault="008C5963" w:rsidP="00B50AD5">
            <w:pPr>
              <w:spacing w:after="0" w:line="240" w:lineRule="auto"/>
              <w:jc w:val="center"/>
              <w:rPr>
                <w:rFonts w:ascii="Times New Roman" w:eastAsia="Times New Roman" w:hAnsi="Times New Roman" w:cs="Times New Roman"/>
                <w:color w:val="767171"/>
                <w:sz w:val="24"/>
                <w:szCs w:val="24"/>
                <w:lang w:eastAsia="es-DO"/>
              </w:rPr>
            </w:pPr>
            <w:r>
              <w:rPr>
                <w:rFonts w:ascii="Times New Roman" w:eastAsia="Times New Roman" w:hAnsi="Times New Roman" w:cs="Times New Roman"/>
                <w:color w:val="767171"/>
                <w:sz w:val="24"/>
                <w:szCs w:val="24"/>
                <w:lang w:eastAsia="es-DO"/>
              </w:rPr>
              <w:t>2</w:t>
            </w:r>
            <w:r w:rsidR="00A870A5">
              <w:rPr>
                <w:rFonts w:ascii="Times New Roman" w:eastAsia="Times New Roman" w:hAnsi="Times New Roman" w:cs="Times New Roman"/>
                <w:color w:val="767171"/>
                <w:sz w:val="24"/>
                <w:szCs w:val="24"/>
                <w:lang w:eastAsia="es-DO"/>
              </w:rPr>
              <w:t>5</w:t>
            </w:r>
          </w:p>
        </w:tc>
      </w:tr>
      <w:tr w:rsidR="00DF4715" w:rsidRPr="006A0747" w14:paraId="19C31183" w14:textId="2B3AB8DF" w:rsidTr="004146B2">
        <w:trPr>
          <w:trHeight w:val="331"/>
        </w:trPr>
        <w:tc>
          <w:tcPr>
            <w:tcW w:w="0" w:type="auto"/>
            <w:shd w:val="clear" w:color="auto" w:fill="011C50"/>
            <w:vAlign w:val="center"/>
            <w:hideMark/>
          </w:tcPr>
          <w:p w14:paraId="31E25944" w14:textId="77777777" w:rsidR="00081F8B" w:rsidRPr="006A0747" w:rsidRDefault="00081F8B">
            <w:pPr>
              <w:spacing w:after="0" w:line="240" w:lineRule="auto"/>
              <w:rPr>
                <w:rFonts w:ascii="Times New Roman" w:eastAsia="Times New Roman" w:hAnsi="Times New Roman" w:cs="Times New Roman"/>
                <w:color w:val="FFFFFF" w:themeColor="background1"/>
                <w:sz w:val="24"/>
                <w:szCs w:val="24"/>
                <w:lang w:eastAsia="es-DO"/>
              </w:rPr>
            </w:pPr>
          </w:p>
        </w:tc>
        <w:tc>
          <w:tcPr>
            <w:tcW w:w="0" w:type="auto"/>
            <w:shd w:val="clear" w:color="auto" w:fill="011C50"/>
            <w:noWrap/>
            <w:vAlign w:val="center"/>
            <w:hideMark/>
          </w:tcPr>
          <w:p w14:paraId="538742C5" w14:textId="2F33273E" w:rsidR="00081F8B" w:rsidRPr="006A0747" w:rsidRDefault="008217E6">
            <w:pPr>
              <w:spacing w:after="0" w:line="240" w:lineRule="auto"/>
              <w:jc w:val="center"/>
              <w:rPr>
                <w:rFonts w:ascii="Times New Roman" w:eastAsia="Times New Roman" w:hAnsi="Times New Roman" w:cs="Times New Roman"/>
                <w:color w:val="FFFFFF" w:themeColor="background1"/>
                <w:sz w:val="24"/>
                <w:szCs w:val="24"/>
                <w:lang w:eastAsia="es-DO"/>
              </w:rPr>
            </w:pPr>
            <w:r w:rsidRPr="006A0747">
              <w:rPr>
                <w:rFonts w:ascii="Times New Roman" w:eastAsia="Times New Roman" w:hAnsi="Times New Roman" w:cs="Times New Roman"/>
                <w:color w:val="FFFFFF" w:themeColor="background1"/>
                <w:sz w:val="24"/>
                <w:szCs w:val="24"/>
                <w:lang w:eastAsia="es-DO"/>
              </w:rPr>
              <w:t>-</w:t>
            </w:r>
          </w:p>
        </w:tc>
        <w:tc>
          <w:tcPr>
            <w:tcW w:w="0" w:type="auto"/>
            <w:shd w:val="clear" w:color="auto" w:fill="011C50"/>
            <w:noWrap/>
            <w:vAlign w:val="center"/>
            <w:hideMark/>
          </w:tcPr>
          <w:p w14:paraId="07195AD5" w14:textId="270149C7" w:rsidR="00081F8B" w:rsidRPr="006A0747" w:rsidRDefault="008217E6" w:rsidP="00B50AD5">
            <w:pPr>
              <w:spacing w:after="0" w:line="240" w:lineRule="auto"/>
              <w:jc w:val="center"/>
              <w:rPr>
                <w:rFonts w:ascii="Times New Roman" w:eastAsia="Times New Roman" w:hAnsi="Times New Roman" w:cs="Times New Roman"/>
                <w:color w:val="FFFFFF" w:themeColor="background1"/>
                <w:sz w:val="24"/>
                <w:szCs w:val="24"/>
                <w:lang w:eastAsia="es-DO"/>
              </w:rPr>
            </w:pPr>
            <w:r w:rsidRPr="006A0747">
              <w:rPr>
                <w:rFonts w:ascii="Times New Roman" w:eastAsia="Times New Roman" w:hAnsi="Times New Roman" w:cs="Times New Roman"/>
                <w:color w:val="FFFFFF" w:themeColor="background1"/>
                <w:sz w:val="24"/>
                <w:szCs w:val="24"/>
                <w:lang w:eastAsia="es-DO"/>
              </w:rPr>
              <w:t>-</w:t>
            </w:r>
          </w:p>
        </w:tc>
        <w:tc>
          <w:tcPr>
            <w:tcW w:w="0" w:type="auto"/>
            <w:shd w:val="clear" w:color="auto" w:fill="011C50"/>
            <w:noWrap/>
            <w:vAlign w:val="center"/>
            <w:hideMark/>
          </w:tcPr>
          <w:p w14:paraId="72BE59FE" w14:textId="77777777" w:rsidR="00081F8B" w:rsidRPr="006A0747" w:rsidRDefault="00081F8B" w:rsidP="00B50AD5">
            <w:pPr>
              <w:spacing w:after="0" w:line="240" w:lineRule="auto"/>
              <w:jc w:val="center"/>
              <w:rPr>
                <w:rFonts w:ascii="Times New Roman" w:eastAsia="Times New Roman" w:hAnsi="Times New Roman" w:cs="Times New Roman"/>
                <w:color w:val="FFFFFF" w:themeColor="background1"/>
                <w:sz w:val="24"/>
                <w:szCs w:val="24"/>
                <w:lang w:eastAsia="es-DO"/>
              </w:rPr>
            </w:pPr>
            <w:r w:rsidRPr="006A0747">
              <w:rPr>
                <w:rFonts w:ascii="Times New Roman" w:eastAsia="Times New Roman" w:hAnsi="Times New Roman" w:cs="Times New Roman"/>
                <w:color w:val="FFFFFF" w:themeColor="background1"/>
                <w:sz w:val="24"/>
                <w:szCs w:val="24"/>
                <w:lang w:eastAsia="es-DO"/>
              </w:rPr>
              <w:t xml:space="preserve">RD$ </w:t>
            </w:r>
            <w:r w:rsidRPr="006A0747">
              <w:rPr>
                <w:rFonts w:ascii="Times New Roman" w:hAnsi="Times New Roman" w:cs="Times New Roman"/>
                <w:color w:val="FFFFFF" w:themeColor="background1"/>
                <w:sz w:val="24"/>
                <w:szCs w:val="24"/>
              </w:rPr>
              <w:t>84,933,362.00</w:t>
            </w:r>
          </w:p>
        </w:tc>
        <w:tc>
          <w:tcPr>
            <w:tcW w:w="0" w:type="auto"/>
            <w:shd w:val="clear" w:color="auto" w:fill="011C50"/>
            <w:noWrap/>
            <w:vAlign w:val="center"/>
            <w:hideMark/>
          </w:tcPr>
          <w:p w14:paraId="0B8F6375" w14:textId="5915D61E" w:rsidR="00081F8B" w:rsidRPr="006A0747" w:rsidRDefault="008217E6" w:rsidP="00B50AD5">
            <w:pPr>
              <w:spacing w:after="0" w:line="240" w:lineRule="auto"/>
              <w:jc w:val="center"/>
              <w:rPr>
                <w:rFonts w:ascii="Times New Roman" w:eastAsia="Times New Roman" w:hAnsi="Times New Roman" w:cs="Times New Roman"/>
                <w:color w:val="FFFFFF" w:themeColor="background1"/>
                <w:sz w:val="24"/>
                <w:szCs w:val="24"/>
                <w:lang w:eastAsia="es-DO"/>
              </w:rPr>
            </w:pPr>
            <w:r w:rsidRPr="006A0747">
              <w:rPr>
                <w:rFonts w:ascii="Times New Roman" w:eastAsia="Times New Roman" w:hAnsi="Times New Roman" w:cs="Times New Roman"/>
                <w:color w:val="FFFFFF" w:themeColor="background1"/>
                <w:sz w:val="24"/>
                <w:szCs w:val="24"/>
                <w:lang w:eastAsia="es-DO"/>
              </w:rPr>
              <w:t>-</w:t>
            </w:r>
          </w:p>
        </w:tc>
        <w:tc>
          <w:tcPr>
            <w:tcW w:w="0" w:type="auto"/>
            <w:shd w:val="clear" w:color="auto" w:fill="011C50"/>
            <w:noWrap/>
            <w:vAlign w:val="center"/>
            <w:hideMark/>
          </w:tcPr>
          <w:p w14:paraId="16E72E7D" w14:textId="4007D28E" w:rsidR="00081F8B" w:rsidRPr="006A0747" w:rsidRDefault="008217E6" w:rsidP="00B50AD5">
            <w:pPr>
              <w:spacing w:after="0" w:line="240" w:lineRule="auto"/>
              <w:jc w:val="center"/>
              <w:rPr>
                <w:rFonts w:ascii="Times New Roman" w:eastAsia="Times New Roman" w:hAnsi="Times New Roman" w:cs="Times New Roman"/>
                <w:color w:val="FFFFFF" w:themeColor="background1"/>
                <w:sz w:val="24"/>
                <w:szCs w:val="24"/>
                <w:lang w:eastAsia="es-DO"/>
              </w:rPr>
            </w:pPr>
            <w:r w:rsidRPr="006A0747">
              <w:rPr>
                <w:rFonts w:ascii="Times New Roman" w:eastAsia="Times New Roman" w:hAnsi="Times New Roman" w:cs="Times New Roman"/>
                <w:color w:val="FFFFFF" w:themeColor="background1"/>
                <w:sz w:val="24"/>
                <w:szCs w:val="24"/>
                <w:lang w:eastAsia="es-DO"/>
              </w:rPr>
              <w:t>-</w:t>
            </w:r>
          </w:p>
        </w:tc>
        <w:tc>
          <w:tcPr>
            <w:tcW w:w="0" w:type="auto"/>
            <w:shd w:val="clear" w:color="auto" w:fill="011C50"/>
            <w:noWrap/>
            <w:vAlign w:val="center"/>
            <w:hideMark/>
          </w:tcPr>
          <w:p w14:paraId="3DEF209E" w14:textId="0006BB78" w:rsidR="00081F8B" w:rsidRPr="006A0747" w:rsidRDefault="00081F8B" w:rsidP="00B50AD5">
            <w:pPr>
              <w:spacing w:after="0" w:line="240" w:lineRule="auto"/>
              <w:jc w:val="center"/>
              <w:rPr>
                <w:rFonts w:ascii="Times New Roman" w:eastAsia="Times New Roman" w:hAnsi="Times New Roman" w:cs="Times New Roman"/>
                <w:color w:val="FFFFFF" w:themeColor="background1"/>
                <w:sz w:val="24"/>
                <w:szCs w:val="24"/>
                <w:lang w:eastAsia="es-DO"/>
              </w:rPr>
            </w:pPr>
            <w:r w:rsidRPr="006A0747">
              <w:rPr>
                <w:rFonts w:ascii="Times New Roman" w:eastAsia="Times New Roman" w:hAnsi="Times New Roman" w:cs="Times New Roman"/>
                <w:color w:val="FFFFFF" w:themeColor="background1"/>
                <w:sz w:val="24"/>
                <w:szCs w:val="24"/>
                <w:lang w:eastAsia="es-DO"/>
              </w:rPr>
              <w:t>RD$ 81,219,838.</w:t>
            </w:r>
            <w:r w:rsidR="00EB7AAF">
              <w:rPr>
                <w:rFonts w:ascii="Times New Roman" w:eastAsia="Times New Roman" w:hAnsi="Times New Roman" w:cs="Times New Roman"/>
                <w:color w:val="FFFFFF" w:themeColor="background1"/>
                <w:sz w:val="24"/>
                <w:szCs w:val="24"/>
                <w:lang w:eastAsia="es-DO"/>
              </w:rPr>
              <w:t>37</w:t>
            </w:r>
          </w:p>
        </w:tc>
        <w:tc>
          <w:tcPr>
            <w:tcW w:w="0" w:type="auto"/>
            <w:shd w:val="clear" w:color="auto" w:fill="011C50"/>
            <w:vAlign w:val="center"/>
          </w:tcPr>
          <w:p w14:paraId="24FECD24" w14:textId="16C9B091" w:rsidR="00081F8B" w:rsidRPr="006A0747" w:rsidRDefault="008217E6" w:rsidP="00B50AD5">
            <w:pPr>
              <w:spacing w:after="0" w:line="240" w:lineRule="auto"/>
              <w:jc w:val="center"/>
              <w:rPr>
                <w:rFonts w:ascii="Times New Roman" w:eastAsia="Times New Roman" w:hAnsi="Times New Roman" w:cs="Times New Roman"/>
                <w:color w:val="FFFFFF" w:themeColor="background1"/>
                <w:sz w:val="24"/>
                <w:szCs w:val="24"/>
                <w:lang w:eastAsia="es-DO"/>
              </w:rPr>
            </w:pPr>
            <w:r w:rsidRPr="006A0747">
              <w:rPr>
                <w:rFonts w:ascii="Times New Roman" w:eastAsia="Times New Roman" w:hAnsi="Times New Roman" w:cs="Times New Roman"/>
                <w:color w:val="FFFFFF" w:themeColor="background1"/>
                <w:sz w:val="24"/>
                <w:szCs w:val="24"/>
                <w:lang w:eastAsia="es-DO"/>
              </w:rPr>
              <w:t>-</w:t>
            </w:r>
          </w:p>
        </w:tc>
        <w:tc>
          <w:tcPr>
            <w:tcW w:w="0" w:type="auto"/>
            <w:shd w:val="clear" w:color="auto" w:fill="011C50"/>
            <w:vAlign w:val="center"/>
          </w:tcPr>
          <w:p w14:paraId="145EDBB7" w14:textId="40EA8E08" w:rsidR="00081F8B" w:rsidRPr="006A0747" w:rsidRDefault="008217E6" w:rsidP="00B50AD5">
            <w:pPr>
              <w:spacing w:after="0" w:line="240" w:lineRule="auto"/>
              <w:jc w:val="center"/>
              <w:rPr>
                <w:rFonts w:ascii="Times New Roman" w:eastAsia="Times New Roman" w:hAnsi="Times New Roman" w:cs="Times New Roman"/>
                <w:color w:val="FFFFFF" w:themeColor="background1"/>
                <w:sz w:val="24"/>
                <w:szCs w:val="24"/>
                <w:lang w:eastAsia="es-DO"/>
              </w:rPr>
            </w:pPr>
            <w:r w:rsidRPr="006A0747">
              <w:rPr>
                <w:rFonts w:ascii="Times New Roman" w:eastAsia="Times New Roman" w:hAnsi="Times New Roman" w:cs="Times New Roman"/>
                <w:color w:val="FFFFFF" w:themeColor="background1"/>
                <w:sz w:val="24"/>
                <w:szCs w:val="24"/>
                <w:lang w:eastAsia="es-DO"/>
              </w:rPr>
              <w:t>-</w:t>
            </w:r>
          </w:p>
        </w:tc>
        <w:tc>
          <w:tcPr>
            <w:tcW w:w="0" w:type="auto"/>
            <w:shd w:val="clear" w:color="auto" w:fill="011C50"/>
            <w:vAlign w:val="center"/>
          </w:tcPr>
          <w:p w14:paraId="07DD9EED" w14:textId="77777777" w:rsidR="009F23F8" w:rsidRPr="006A0747" w:rsidRDefault="009F23F8" w:rsidP="009F23F8">
            <w:pPr>
              <w:spacing w:after="0" w:line="240" w:lineRule="auto"/>
              <w:jc w:val="center"/>
              <w:rPr>
                <w:rFonts w:ascii="Times New Roman" w:eastAsia="Times New Roman" w:hAnsi="Times New Roman" w:cs="Times New Roman"/>
                <w:color w:val="FFFFFF" w:themeColor="background1"/>
                <w:sz w:val="24"/>
                <w:szCs w:val="24"/>
                <w:lang w:eastAsia="es-DO"/>
              </w:rPr>
            </w:pPr>
            <w:r w:rsidRPr="4C96263E">
              <w:rPr>
                <w:rFonts w:ascii="Times New Roman" w:eastAsia="Times New Roman" w:hAnsi="Times New Roman" w:cs="Times New Roman"/>
                <w:color w:val="FFFFFF" w:themeColor="background1"/>
                <w:sz w:val="24"/>
                <w:szCs w:val="24"/>
                <w:lang w:eastAsia="es-DO"/>
              </w:rPr>
              <w:t>RD$</w:t>
            </w:r>
            <w:r>
              <w:rPr>
                <w:rFonts w:ascii="Times New Roman" w:eastAsia="Times New Roman" w:hAnsi="Times New Roman" w:cs="Times New Roman"/>
                <w:color w:val="FFFFFF" w:themeColor="background1"/>
                <w:sz w:val="24"/>
                <w:szCs w:val="24"/>
                <w:lang w:eastAsia="es-DO"/>
              </w:rPr>
              <w:t xml:space="preserve"> </w:t>
            </w:r>
            <w:r w:rsidRPr="4C96263E">
              <w:rPr>
                <w:rFonts w:ascii="Times New Roman" w:eastAsia="Times New Roman" w:hAnsi="Times New Roman" w:cs="Times New Roman"/>
                <w:color w:val="FFFFFF" w:themeColor="background1"/>
                <w:sz w:val="24"/>
                <w:szCs w:val="24"/>
                <w:lang w:eastAsia="es-DO"/>
              </w:rPr>
              <w:t>81,685,09</w:t>
            </w:r>
            <w:r>
              <w:rPr>
                <w:rFonts w:ascii="Times New Roman" w:eastAsia="Times New Roman" w:hAnsi="Times New Roman" w:cs="Times New Roman"/>
                <w:color w:val="FFFFFF" w:themeColor="background1"/>
                <w:sz w:val="24"/>
                <w:szCs w:val="24"/>
                <w:lang w:eastAsia="es-DO"/>
              </w:rPr>
              <w:t>7</w:t>
            </w:r>
            <w:r w:rsidRPr="4C96263E">
              <w:rPr>
                <w:rFonts w:ascii="Times New Roman" w:eastAsia="Times New Roman" w:hAnsi="Times New Roman" w:cs="Times New Roman"/>
                <w:color w:val="FFFFFF" w:themeColor="background1"/>
                <w:sz w:val="24"/>
                <w:szCs w:val="24"/>
                <w:lang w:eastAsia="es-DO"/>
              </w:rPr>
              <w:t>.</w:t>
            </w:r>
            <w:r>
              <w:rPr>
                <w:rFonts w:ascii="Times New Roman" w:eastAsia="Times New Roman" w:hAnsi="Times New Roman" w:cs="Times New Roman"/>
                <w:color w:val="FFFFFF" w:themeColor="background1"/>
                <w:sz w:val="24"/>
                <w:szCs w:val="24"/>
                <w:lang w:eastAsia="es-DO"/>
              </w:rPr>
              <w:t>67</w:t>
            </w:r>
          </w:p>
          <w:p w14:paraId="585A35D1" w14:textId="39E7ACD1" w:rsidR="00081F8B" w:rsidRPr="006A0747" w:rsidRDefault="00081F8B" w:rsidP="00B50AD5">
            <w:pPr>
              <w:spacing w:after="0" w:line="240" w:lineRule="auto"/>
              <w:jc w:val="center"/>
              <w:rPr>
                <w:rFonts w:ascii="Times New Roman" w:eastAsia="Times New Roman" w:hAnsi="Times New Roman" w:cs="Times New Roman"/>
                <w:color w:val="FFFFFF" w:themeColor="background1"/>
                <w:sz w:val="24"/>
                <w:szCs w:val="24"/>
                <w:lang w:eastAsia="es-DO"/>
              </w:rPr>
            </w:pPr>
          </w:p>
        </w:tc>
        <w:tc>
          <w:tcPr>
            <w:tcW w:w="0" w:type="auto"/>
            <w:shd w:val="clear" w:color="auto" w:fill="011C50"/>
            <w:vAlign w:val="center"/>
          </w:tcPr>
          <w:p w14:paraId="35289961" w14:textId="52802AAA" w:rsidR="00081F8B" w:rsidRPr="006A0747" w:rsidRDefault="009F23F8" w:rsidP="00B50AD5">
            <w:pPr>
              <w:spacing w:after="0" w:line="240" w:lineRule="auto"/>
              <w:jc w:val="center"/>
              <w:rPr>
                <w:rFonts w:ascii="Times New Roman" w:eastAsia="Times New Roman" w:hAnsi="Times New Roman" w:cs="Times New Roman"/>
                <w:color w:val="FFFFFF" w:themeColor="background1"/>
                <w:sz w:val="24"/>
                <w:szCs w:val="24"/>
                <w:lang w:eastAsia="es-DO"/>
              </w:rPr>
            </w:pPr>
            <w:r>
              <w:rPr>
                <w:rFonts w:ascii="Times New Roman" w:eastAsia="Times New Roman" w:hAnsi="Times New Roman" w:cs="Times New Roman"/>
                <w:color w:val="FFFFFF" w:themeColor="background1"/>
                <w:sz w:val="24"/>
                <w:szCs w:val="24"/>
                <w:lang w:eastAsia="es-DO"/>
              </w:rPr>
              <w:t>-</w:t>
            </w:r>
          </w:p>
        </w:tc>
        <w:tc>
          <w:tcPr>
            <w:tcW w:w="0" w:type="auto"/>
            <w:shd w:val="clear" w:color="auto" w:fill="011C50"/>
            <w:vAlign w:val="center"/>
          </w:tcPr>
          <w:p w14:paraId="7DE139BD" w14:textId="2F02D208" w:rsidR="00081F8B" w:rsidRPr="006A0747" w:rsidRDefault="008217E6" w:rsidP="00B50AD5">
            <w:pPr>
              <w:spacing w:after="0" w:line="240" w:lineRule="auto"/>
              <w:jc w:val="center"/>
              <w:rPr>
                <w:rFonts w:ascii="Times New Roman" w:eastAsia="Times New Roman" w:hAnsi="Times New Roman" w:cs="Times New Roman"/>
                <w:color w:val="FFFFFF" w:themeColor="background1"/>
                <w:sz w:val="24"/>
                <w:szCs w:val="24"/>
                <w:lang w:eastAsia="es-DO"/>
              </w:rPr>
            </w:pPr>
            <w:r w:rsidRPr="006A0747">
              <w:rPr>
                <w:rFonts w:ascii="Times New Roman" w:eastAsia="Times New Roman" w:hAnsi="Times New Roman" w:cs="Times New Roman"/>
                <w:color w:val="FFFFFF" w:themeColor="background1"/>
                <w:sz w:val="24"/>
                <w:szCs w:val="24"/>
                <w:lang w:eastAsia="es-DO"/>
              </w:rPr>
              <w:t>-</w:t>
            </w:r>
          </w:p>
        </w:tc>
        <w:tc>
          <w:tcPr>
            <w:tcW w:w="0" w:type="auto"/>
            <w:shd w:val="clear" w:color="auto" w:fill="011C50"/>
            <w:vAlign w:val="center"/>
          </w:tcPr>
          <w:p w14:paraId="06D309BF" w14:textId="752BD68D" w:rsidR="00081F8B" w:rsidRPr="006A0747" w:rsidRDefault="00A870A5" w:rsidP="00B50AD5">
            <w:pPr>
              <w:spacing w:after="0" w:line="240" w:lineRule="auto"/>
              <w:jc w:val="center"/>
              <w:rPr>
                <w:rFonts w:ascii="Times New Roman" w:eastAsia="Times New Roman" w:hAnsi="Times New Roman" w:cs="Times New Roman"/>
                <w:color w:val="FFFFFF" w:themeColor="background1"/>
                <w:sz w:val="24"/>
                <w:szCs w:val="24"/>
                <w:lang w:eastAsia="es-DO"/>
              </w:rPr>
            </w:pPr>
            <w:r>
              <w:rPr>
                <w:rFonts w:ascii="Times New Roman" w:eastAsia="Times New Roman" w:hAnsi="Times New Roman" w:cs="Times New Roman"/>
                <w:color w:val="FFFFFF" w:themeColor="background1"/>
                <w:sz w:val="24"/>
                <w:szCs w:val="24"/>
                <w:lang w:eastAsia="es-DO"/>
              </w:rPr>
              <w:t>RD$</w:t>
            </w:r>
            <w:r w:rsidR="00EE4156">
              <w:rPr>
                <w:rFonts w:ascii="Times New Roman" w:eastAsia="Times New Roman" w:hAnsi="Times New Roman" w:cs="Times New Roman"/>
                <w:color w:val="FFFFFF" w:themeColor="background1"/>
                <w:sz w:val="24"/>
                <w:szCs w:val="24"/>
                <w:lang w:eastAsia="es-DO"/>
              </w:rPr>
              <w:t xml:space="preserve"> </w:t>
            </w:r>
            <w:r w:rsidR="002D4BB0">
              <w:rPr>
                <w:rFonts w:ascii="Times New Roman" w:eastAsia="Times New Roman" w:hAnsi="Times New Roman" w:cs="Times New Roman"/>
                <w:color w:val="FFFFFF" w:themeColor="background1"/>
                <w:sz w:val="24"/>
                <w:szCs w:val="24"/>
                <w:lang w:eastAsia="es-DO"/>
              </w:rPr>
              <w:t>167</w:t>
            </w:r>
            <w:r w:rsidR="00AB0F3A">
              <w:rPr>
                <w:rFonts w:ascii="Times New Roman" w:eastAsia="Times New Roman" w:hAnsi="Times New Roman" w:cs="Times New Roman"/>
                <w:color w:val="FFFFFF" w:themeColor="background1"/>
                <w:sz w:val="24"/>
                <w:szCs w:val="24"/>
                <w:lang w:eastAsia="es-DO"/>
              </w:rPr>
              <w:t>,589</w:t>
            </w:r>
            <w:r w:rsidR="0089671F">
              <w:rPr>
                <w:rFonts w:ascii="Times New Roman" w:eastAsia="Times New Roman" w:hAnsi="Times New Roman" w:cs="Times New Roman"/>
                <w:color w:val="FFFFFF" w:themeColor="background1"/>
                <w:sz w:val="24"/>
                <w:szCs w:val="24"/>
                <w:lang w:eastAsia="es-DO"/>
              </w:rPr>
              <w:t>,62</w:t>
            </w:r>
            <w:r w:rsidR="001E3AD3">
              <w:rPr>
                <w:rFonts w:ascii="Times New Roman" w:eastAsia="Times New Roman" w:hAnsi="Times New Roman" w:cs="Times New Roman"/>
                <w:color w:val="FFFFFF" w:themeColor="background1"/>
                <w:sz w:val="24"/>
                <w:szCs w:val="24"/>
                <w:lang w:eastAsia="es-DO"/>
              </w:rPr>
              <w:t>5.96</w:t>
            </w:r>
            <w:r>
              <w:rPr>
                <w:rFonts w:ascii="Times New Roman" w:eastAsia="Times New Roman" w:hAnsi="Times New Roman" w:cs="Times New Roman"/>
                <w:color w:val="FFFFFF" w:themeColor="background1"/>
                <w:sz w:val="24"/>
                <w:szCs w:val="24"/>
                <w:lang w:eastAsia="es-DO"/>
              </w:rPr>
              <w:t xml:space="preserve"> </w:t>
            </w:r>
          </w:p>
        </w:tc>
      </w:tr>
      <w:tr w:rsidR="00A41DC4" w:rsidRPr="006A0747" w14:paraId="0140DB54" w14:textId="1D813828" w:rsidTr="004146B2">
        <w:trPr>
          <w:trHeight w:val="331"/>
        </w:trPr>
        <w:tc>
          <w:tcPr>
            <w:tcW w:w="0" w:type="auto"/>
            <w:shd w:val="clear" w:color="auto" w:fill="auto"/>
            <w:vAlign w:val="center"/>
            <w:hideMark/>
          </w:tcPr>
          <w:p w14:paraId="6B838656" w14:textId="77777777" w:rsidR="00081F8B" w:rsidRPr="006A0747" w:rsidRDefault="00081F8B">
            <w:pPr>
              <w:spacing w:after="0" w:line="240" w:lineRule="auto"/>
              <w:rPr>
                <w:rFonts w:ascii="Times New Roman" w:eastAsia="Times New Roman" w:hAnsi="Times New Roman" w:cs="Times New Roman"/>
                <w:color w:val="767171"/>
                <w:sz w:val="24"/>
                <w:szCs w:val="24"/>
                <w:lang w:eastAsia="es-DO"/>
              </w:rPr>
            </w:pPr>
            <w:r w:rsidRPr="006A0747">
              <w:rPr>
                <w:rStyle w:val="ui-provider"/>
                <w:rFonts w:ascii="Times New Roman" w:hAnsi="Times New Roman" w:cs="Times New Roman"/>
                <w:color w:val="767171"/>
                <w:sz w:val="24"/>
                <w:szCs w:val="24"/>
              </w:rPr>
              <w:t>02 - Entidades de intermediación financiera supervisadas para prevenir el lavado de activos y el financiamiento del terrorismo (PLAFT)</w:t>
            </w:r>
          </w:p>
        </w:tc>
        <w:tc>
          <w:tcPr>
            <w:tcW w:w="0" w:type="auto"/>
            <w:shd w:val="clear" w:color="auto" w:fill="auto"/>
            <w:noWrap/>
            <w:vAlign w:val="center"/>
            <w:hideMark/>
          </w:tcPr>
          <w:p w14:paraId="2FC5707A" w14:textId="63BC8203" w:rsidR="00081F8B" w:rsidRPr="006A0747" w:rsidRDefault="00163DB0">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w:t>
            </w:r>
          </w:p>
        </w:tc>
        <w:tc>
          <w:tcPr>
            <w:tcW w:w="0" w:type="auto"/>
            <w:shd w:val="clear" w:color="auto" w:fill="auto"/>
            <w:noWrap/>
            <w:vAlign w:val="center"/>
            <w:hideMark/>
          </w:tcPr>
          <w:p w14:paraId="4478CD10" w14:textId="61DBC389" w:rsidR="00081F8B" w:rsidRPr="006A0747" w:rsidRDefault="00163DB0" w:rsidP="00B50AD5">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w:t>
            </w:r>
          </w:p>
        </w:tc>
        <w:tc>
          <w:tcPr>
            <w:tcW w:w="0" w:type="auto"/>
            <w:shd w:val="clear" w:color="auto" w:fill="auto"/>
            <w:noWrap/>
            <w:vAlign w:val="center"/>
            <w:hideMark/>
          </w:tcPr>
          <w:p w14:paraId="695FC95C" w14:textId="77777777" w:rsidR="00081F8B" w:rsidRPr="006A0747" w:rsidRDefault="00081F8B" w:rsidP="00B50AD5">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2</w:t>
            </w:r>
          </w:p>
        </w:tc>
        <w:tc>
          <w:tcPr>
            <w:tcW w:w="0" w:type="auto"/>
            <w:shd w:val="clear" w:color="auto" w:fill="auto"/>
            <w:noWrap/>
            <w:vAlign w:val="center"/>
            <w:hideMark/>
          </w:tcPr>
          <w:p w14:paraId="1ABCB381" w14:textId="7F1BC896" w:rsidR="00081F8B" w:rsidRPr="006A0747" w:rsidRDefault="00163DB0" w:rsidP="00B50AD5">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w:t>
            </w:r>
          </w:p>
        </w:tc>
        <w:tc>
          <w:tcPr>
            <w:tcW w:w="0" w:type="auto"/>
            <w:shd w:val="clear" w:color="auto" w:fill="auto"/>
            <w:noWrap/>
            <w:vAlign w:val="center"/>
            <w:hideMark/>
          </w:tcPr>
          <w:p w14:paraId="543F109D" w14:textId="4256FBB8" w:rsidR="00081F8B" w:rsidRPr="006A0747" w:rsidRDefault="00163DB0" w:rsidP="00B50AD5">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w:t>
            </w:r>
          </w:p>
        </w:tc>
        <w:tc>
          <w:tcPr>
            <w:tcW w:w="0" w:type="auto"/>
            <w:shd w:val="clear" w:color="auto" w:fill="auto"/>
            <w:noWrap/>
            <w:vAlign w:val="center"/>
            <w:hideMark/>
          </w:tcPr>
          <w:p w14:paraId="126D2C15" w14:textId="77777777" w:rsidR="00081F8B" w:rsidRPr="006A0747" w:rsidRDefault="00081F8B" w:rsidP="00B50AD5">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w:t>
            </w:r>
          </w:p>
        </w:tc>
        <w:tc>
          <w:tcPr>
            <w:tcW w:w="0" w:type="auto"/>
            <w:vAlign w:val="center"/>
          </w:tcPr>
          <w:p w14:paraId="454EA306" w14:textId="0BAEF7CB" w:rsidR="00081F8B" w:rsidRPr="006A0747" w:rsidRDefault="00163DB0" w:rsidP="00B50AD5">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w:t>
            </w:r>
          </w:p>
        </w:tc>
        <w:tc>
          <w:tcPr>
            <w:tcW w:w="0" w:type="auto"/>
            <w:vAlign w:val="center"/>
          </w:tcPr>
          <w:p w14:paraId="61FF9014" w14:textId="713111C2" w:rsidR="00081F8B" w:rsidRPr="006A0747" w:rsidRDefault="00163DB0" w:rsidP="00B50AD5">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w:t>
            </w:r>
          </w:p>
        </w:tc>
        <w:tc>
          <w:tcPr>
            <w:tcW w:w="0" w:type="auto"/>
            <w:vAlign w:val="center"/>
          </w:tcPr>
          <w:p w14:paraId="41F27B81" w14:textId="1AC99B9D" w:rsidR="00081F8B" w:rsidRPr="006A0747" w:rsidRDefault="009C3E13" w:rsidP="00B50AD5">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4</w:t>
            </w:r>
          </w:p>
        </w:tc>
        <w:tc>
          <w:tcPr>
            <w:tcW w:w="0" w:type="auto"/>
            <w:vAlign w:val="center"/>
          </w:tcPr>
          <w:p w14:paraId="4DFB1CCD" w14:textId="20290CEB" w:rsidR="00081F8B" w:rsidRPr="006A0747" w:rsidRDefault="00163DB0" w:rsidP="00B50AD5">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w:t>
            </w:r>
          </w:p>
        </w:tc>
        <w:tc>
          <w:tcPr>
            <w:tcW w:w="0" w:type="auto"/>
            <w:vAlign w:val="center"/>
          </w:tcPr>
          <w:p w14:paraId="0E0B2D3F" w14:textId="1AC9801C" w:rsidR="00081F8B" w:rsidRPr="006A0747" w:rsidRDefault="00163DB0" w:rsidP="00B50AD5">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w:t>
            </w:r>
          </w:p>
        </w:tc>
        <w:tc>
          <w:tcPr>
            <w:tcW w:w="0" w:type="auto"/>
            <w:vAlign w:val="center"/>
          </w:tcPr>
          <w:p w14:paraId="01540BA9" w14:textId="2E5BF428" w:rsidR="00081F8B" w:rsidRPr="006A0747" w:rsidRDefault="00310678" w:rsidP="00B50AD5">
            <w:pPr>
              <w:spacing w:after="0" w:line="240" w:lineRule="auto"/>
              <w:jc w:val="center"/>
              <w:rPr>
                <w:rFonts w:ascii="Times New Roman" w:eastAsia="Times New Roman" w:hAnsi="Times New Roman" w:cs="Times New Roman"/>
                <w:color w:val="767171"/>
                <w:sz w:val="24"/>
                <w:szCs w:val="24"/>
                <w:lang w:eastAsia="es-DO"/>
              </w:rPr>
            </w:pPr>
            <w:r>
              <w:rPr>
                <w:rFonts w:ascii="Times New Roman" w:eastAsia="Times New Roman" w:hAnsi="Times New Roman" w:cs="Times New Roman"/>
                <w:color w:val="767171"/>
                <w:sz w:val="24"/>
                <w:szCs w:val="24"/>
                <w:lang w:eastAsia="es-DO"/>
              </w:rPr>
              <w:t>6</w:t>
            </w:r>
          </w:p>
        </w:tc>
      </w:tr>
      <w:tr w:rsidR="00DF4715" w:rsidRPr="006A0747" w14:paraId="23B584D6" w14:textId="24D7ED9B" w:rsidTr="004146B2">
        <w:trPr>
          <w:trHeight w:val="331"/>
        </w:trPr>
        <w:tc>
          <w:tcPr>
            <w:tcW w:w="0" w:type="auto"/>
            <w:shd w:val="clear" w:color="auto" w:fill="011C50"/>
            <w:vAlign w:val="center"/>
            <w:hideMark/>
          </w:tcPr>
          <w:p w14:paraId="302AD3BF" w14:textId="77777777" w:rsidR="00081F8B" w:rsidRPr="006A0747" w:rsidRDefault="00081F8B">
            <w:pPr>
              <w:spacing w:after="0" w:line="240" w:lineRule="auto"/>
              <w:rPr>
                <w:rFonts w:ascii="Times New Roman" w:eastAsia="Times New Roman" w:hAnsi="Times New Roman" w:cs="Times New Roman"/>
                <w:color w:val="FFFFFF" w:themeColor="background1"/>
                <w:sz w:val="24"/>
                <w:szCs w:val="24"/>
                <w:lang w:eastAsia="es-DO"/>
              </w:rPr>
            </w:pPr>
          </w:p>
        </w:tc>
        <w:tc>
          <w:tcPr>
            <w:tcW w:w="0" w:type="auto"/>
            <w:shd w:val="clear" w:color="auto" w:fill="011C50"/>
            <w:noWrap/>
            <w:vAlign w:val="center"/>
            <w:hideMark/>
          </w:tcPr>
          <w:p w14:paraId="760A22FF" w14:textId="3310E18E" w:rsidR="00081F8B" w:rsidRPr="006A0747" w:rsidRDefault="00AE760E">
            <w:pPr>
              <w:spacing w:after="0" w:line="240" w:lineRule="auto"/>
              <w:jc w:val="center"/>
              <w:rPr>
                <w:rFonts w:ascii="Times New Roman" w:eastAsia="Times New Roman" w:hAnsi="Times New Roman" w:cs="Times New Roman"/>
                <w:color w:val="FFFFFF" w:themeColor="background1"/>
                <w:sz w:val="24"/>
                <w:szCs w:val="24"/>
                <w:lang w:eastAsia="es-DO"/>
              </w:rPr>
            </w:pPr>
            <w:r w:rsidRPr="006A0747">
              <w:rPr>
                <w:rFonts w:ascii="Times New Roman" w:eastAsia="Times New Roman" w:hAnsi="Times New Roman" w:cs="Times New Roman"/>
                <w:color w:val="FFFFFF" w:themeColor="background1"/>
                <w:sz w:val="24"/>
                <w:szCs w:val="24"/>
                <w:lang w:eastAsia="es-DO"/>
              </w:rPr>
              <w:t>-</w:t>
            </w:r>
          </w:p>
        </w:tc>
        <w:tc>
          <w:tcPr>
            <w:tcW w:w="0" w:type="auto"/>
            <w:shd w:val="clear" w:color="auto" w:fill="011C50"/>
            <w:noWrap/>
            <w:vAlign w:val="center"/>
            <w:hideMark/>
          </w:tcPr>
          <w:p w14:paraId="7DED8975" w14:textId="7117F7B0" w:rsidR="00081F8B" w:rsidRPr="006A0747" w:rsidRDefault="00AE760E" w:rsidP="00B50AD5">
            <w:pPr>
              <w:spacing w:after="0" w:line="240" w:lineRule="auto"/>
              <w:jc w:val="center"/>
              <w:rPr>
                <w:rFonts w:ascii="Times New Roman" w:eastAsia="Times New Roman" w:hAnsi="Times New Roman" w:cs="Times New Roman"/>
                <w:color w:val="FFFFFF" w:themeColor="background1"/>
                <w:sz w:val="24"/>
                <w:szCs w:val="24"/>
                <w:lang w:eastAsia="es-DO"/>
              </w:rPr>
            </w:pPr>
            <w:r w:rsidRPr="006A0747">
              <w:rPr>
                <w:rFonts w:ascii="Times New Roman" w:eastAsia="Times New Roman" w:hAnsi="Times New Roman" w:cs="Times New Roman"/>
                <w:color w:val="FFFFFF" w:themeColor="background1"/>
                <w:sz w:val="24"/>
                <w:szCs w:val="24"/>
                <w:lang w:eastAsia="es-DO"/>
              </w:rPr>
              <w:t>-</w:t>
            </w:r>
          </w:p>
        </w:tc>
        <w:tc>
          <w:tcPr>
            <w:tcW w:w="0" w:type="auto"/>
            <w:shd w:val="clear" w:color="auto" w:fill="011C50"/>
            <w:noWrap/>
            <w:vAlign w:val="center"/>
            <w:hideMark/>
          </w:tcPr>
          <w:p w14:paraId="1CBF36A1" w14:textId="291C15FD" w:rsidR="00081F8B" w:rsidRPr="006A0747" w:rsidRDefault="00081F8B" w:rsidP="00B50AD5">
            <w:pPr>
              <w:spacing w:after="0" w:line="240" w:lineRule="auto"/>
              <w:jc w:val="center"/>
              <w:rPr>
                <w:rFonts w:ascii="Times New Roman" w:eastAsia="Times New Roman" w:hAnsi="Times New Roman" w:cs="Times New Roman"/>
                <w:color w:val="FFFFFF" w:themeColor="background1"/>
                <w:sz w:val="24"/>
                <w:szCs w:val="24"/>
                <w:lang w:eastAsia="es-DO"/>
              </w:rPr>
            </w:pPr>
            <w:r w:rsidRPr="006A0747">
              <w:rPr>
                <w:rFonts w:ascii="Times New Roman" w:eastAsia="Times New Roman" w:hAnsi="Times New Roman" w:cs="Times New Roman"/>
                <w:color w:val="FFFFFF" w:themeColor="background1"/>
                <w:sz w:val="24"/>
                <w:szCs w:val="24"/>
                <w:lang w:eastAsia="es-DO"/>
              </w:rPr>
              <w:t xml:space="preserve">RD$ </w:t>
            </w:r>
            <w:r w:rsidRPr="006A0747">
              <w:rPr>
                <w:rFonts w:ascii="Times New Roman" w:hAnsi="Times New Roman" w:cs="Times New Roman"/>
                <w:sz w:val="24"/>
                <w:szCs w:val="24"/>
              </w:rPr>
              <w:t>19,931,33</w:t>
            </w:r>
            <w:r w:rsidR="00E260B9">
              <w:rPr>
                <w:rFonts w:ascii="Times New Roman" w:hAnsi="Times New Roman" w:cs="Times New Roman"/>
                <w:sz w:val="24"/>
                <w:szCs w:val="24"/>
              </w:rPr>
              <w:t>8</w:t>
            </w:r>
            <w:r w:rsidRPr="006A0747">
              <w:rPr>
                <w:rFonts w:ascii="Times New Roman" w:hAnsi="Times New Roman" w:cs="Times New Roman"/>
                <w:sz w:val="24"/>
                <w:szCs w:val="24"/>
              </w:rPr>
              <w:t>.</w:t>
            </w:r>
            <w:r w:rsidR="00AE3FC4">
              <w:rPr>
                <w:rFonts w:ascii="Times New Roman" w:hAnsi="Times New Roman" w:cs="Times New Roman"/>
                <w:sz w:val="24"/>
                <w:szCs w:val="24"/>
              </w:rPr>
              <w:t>82</w:t>
            </w:r>
          </w:p>
        </w:tc>
        <w:tc>
          <w:tcPr>
            <w:tcW w:w="0" w:type="auto"/>
            <w:shd w:val="clear" w:color="auto" w:fill="011C50"/>
            <w:noWrap/>
            <w:vAlign w:val="center"/>
            <w:hideMark/>
          </w:tcPr>
          <w:p w14:paraId="6E9F9255" w14:textId="1253F94D" w:rsidR="00081F8B" w:rsidRPr="006A0747" w:rsidRDefault="00AE760E" w:rsidP="00B50AD5">
            <w:pPr>
              <w:spacing w:after="0" w:line="240" w:lineRule="auto"/>
              <w:jc w:val="center"/>
              <w:rPr>
                <w:rFonts w:ascii="Times New Roman" w:eastAsia="Times New Roman" w:hAnsi="Times New Roman" w:cs="Times New Roman"/>
                <w:color w:val="FFFFFF" w:themeColor="background1"/>
                <w:sz w:val="24"/>
                <w:szCs w:val="24"/>
                <w:lang w:eastAsia="es-DO"/>
              </w:rPr>
            </w:pPr>
            <w:r w:rsidRPr="006A0747">
              <w:rPr>
                <w:rFonts w:ascii="Times New Roman" w:eastAsia="Times New Roman" w:hAnsi="Times New Roman" w:cs="Times New Roman"/>
                <w:color w:val="FFFFFF" w:themeColor="background1"/>
                <w:sz w:val="24"/>
                <w:szCs w:val="24"/>
                <w:lang w:eastAsia="es-DO"/>
              </w:rPr>
              <w:t>-</w:t>
            </w:r>
          </w:p>
        </w:tc>
        <w:tc>
          <w:tcPr>
            <w:tcW w:w="0" w:type="auto"/>
            <w:shd w:val="clear" w:color="auto" w:fill="011C50"/>
            <w:noWrap/>
            <w:vAlign w:val="center"/>
            <w:hideMark/>
          </w:tcPr>
          <w:p w14:paraId="7ABDAA88" w14:textId="354D9C7E" w:rsidR="00081F8B" w:rsidRPr="006A0747" w:rsidRDefault="00AE760E" w:rsidP="00B50AD5">
            <w:pPr>
              <w:spacing w:after="0" w:line="240" w:lineRule="auto"/>
              <w:jc w:val="center"/>
              <w:rPr>
                <w:rFonts w:ascii="Times New Roman" w:eastAsia="Times New Roman" w:hAnsi="Times New Roman" w:cs="Times New Roman"/>
                <w:color w:val="FFFFFF" w:themeColor="background1"/>
                <w:sz w:val="24"/>
                <w:szCs w:val="24"/>
                <w:lang w:eastAsia="es-DO"/>
              </w:rPr>
            </w:pPr>
            <w:r w:rsidRPr="006A0747">
              <w:rPr>
                <w:rFonts w:ascii="Times New Roman" w:eastAsia="Times New Roman" w:hAnsi="Times New Roman" w:cs="Times New Roman"/>
                <w:color w:val="FFFFFF" w:themeColor="background1"/>
                <w:sz w:val="24"/>
                <w:szCs w:val="24"/>
                <w:lang w:eastAsia="es-DO"/>
              </w:rPr>
              <w:t>-</w:t>
            </w:r>
          </w:p>
        </w:tc>
        <w:tc>
          <w:tcPr>
            <w:tcW w:w="0" w:type="auto"/>
            <w:shd w:val="clear" w:color="auto" w:fill="011C50"/>
            <w:noWrap/>
            <w:vAlign w:val="center"/>
            <w:hideMark/>
          </w:tcPr>
          <w:p w14:paraId="594413B9" w14:textId="08F1DE66" w:rsidR="00081F8B" w:rsidRPr="006A0747" w:rsidRDefault="00081F8B" w:rsidP="00B50AD5">
            <w:pPr>
              <w:spacing w:after="0" w:line="240" w:lineRule="auto"/>
              <w:jc w:val="center"/>
              <w:rPr>
                <w:rFonts w:ascii="Times New Roman" w:eastAsia="Times New Roman" w:hAnsi="Times New Roman" w:cs="Times New Roman"/>
                <w:color w:val="FFFFFF" w:themeColor="background1"/>
                <w:sz w:val="24"/>
                <w:szCs w:val="24"/>
                <w:lang w:eastAsia="es-DO"/>
              </w:rPr>
            </w:pPr>
            <w:r w:rsidRPr="006A0747">
              <w:rPr>
                <w:rFonts w:ascii="Times New Roman" w:eastAsia="Times New Roman" w:hAnsi="Times New Roman" w:cs="Times New Roman"/>
                <w:color w:val="FFFFFF" w:themeColor="background1"/>
                <w:sz w:val="24"/>
                <w:szCs w:val="24"/>
                <w:lang w:eastAsia="es-DO"/>
              </w:rPr>
              <w:t>RD$ 15,128,677.</w:t>
            </w:r>
            <w:r w:rsidR="00AE3FC4">
              <w:rPr>
                <w:rFonts w:ascii="Times New Roman" w:eastAsia="Times New Roman" w:hAnsi="Times New Roman" w:cs="Times New Roman"/>
                <w:color w:val="FFFFFF" w:themeColor="background1"/>
                <w:sz w:val="24"/>
                <w:szCs w:val="24"/>
                <w:lang w:eastAsia="es-DO"/>
              </w:rPr>
              <w:t>24</w:t>
            </w:r>
          </w:p>
        </w:tc>
        <w:tc>
          <w:tcPr>
            <w:tcW w:w="0" w:type="auto"/>
            <w:shd w:val="clear" w:color="auto" w:fill="011C50"/>
            <w:vAlign w:val="center"/>
          </w:tcPr>
          <w:p w14:paraId="1A9D8CDB" w14:textId="7D796E6D" w:rsidR="00081F8B" w:rsidRPr="006A0747" w:rsidRDefault="00AE760E" w:rsidP="00B50AD5">
            <w:pPr>
              <w:spacing w:after="0" w:line="240" w:lineRule="auto"/>
              <w:jc w:val="center"/>
              <w:rPr>
                <w:rFonts w:ascii="Times New Roman" w:eastAsia="Times New Roman" w:hAnsi="Times New Roman" w:cs="Times New Roman"/>
                <w:color w:val="FFFFFF" w:themeColor="background1"/>
                <w:sz w:val="24"/>
                <w:szCs w:val="24"/>
                <w:lang w:eastAsia="es-DO"/>
              </w:rPr>
            </w:pPr>
            <w:r w:rsidRPr="006A0747">
              <w:rPr>
                <w:rFonts w:ascii="Times New Roman" w:eastAsia="Times New Roman" w:hAnsi="Times New Roman" w:cs="Times New Roman"/>
                <w:color w:val="FFFFFF" w:themeColor="background1"/>
                <w:sz w:val="24"/>
                <w:szCs w:val="24"/>
                <w:lang w:eastAsia="es-DO"/>
              </w:rPr>
              <w:t>-</w:t>
            </w:r>
          </w:p>
        </w:tc>
        <w:tc>
          <w:tcPr>
            <w:tcW w:w="0" w:type="auto"/>
            <w:shd w:val="clear" w:color="auto" w:fill="011C50"/>
            <w:vAlign w:val="center"/>
          </w:tcPr>
          <w:p w14:paraId="28DDFD97" w14:textId="368E57F0" w:rsidR="00081F8B" w:rsidRPr="006A0747" w:rsidRDefault="00AE760E" w:rsidP="00B50AD5">
            <w:pPr>
              <w:spacing w:after="0" w:line="240" w:lineRule="auto"/>
              <w:jc w:val="center"/>
              <w:rPr>
                <w:rFonts w:ascii="Times New Roman" w:eastAsia="Times New Roman" w:hAnsi="Times New Roman" w:cs="Times New Roman"/>
                <w:color w:val="FFFFFF" w:themeColor="background1"/>
                <w:sz w:val="24"/>
                <w:szCs w:val="24"/>
                <w:lang w:eastAsia="es-DO"/>
              </w:rPr>
            </w:pPr>
            <w:r w:rsidRPr="006A0747">
              <w:rPr>
                <w:rFonts w:ascii="Times New Roman" w:eastAsia="Times New Roman" w:hAnsi="Times New Roman" w:cs="Times New Roman"/>
                <w:color w:val="FFFFFF" w:themeColor="background1"/>
                <w:sz w:val="24"/>
                <w:szCs w:val="24"/>
                <w:lang w:eastAsia="es-DO"/>
              </w:rPr>
              <w:t>-</w:t>
            </w:r>
          </w:p>
        </w:tc>
        <w:tc>
          <w:tcPr>
            <w:tcW w:w="0" w:type="auto"/>
            <w:shd w:val="clear" w:color="auto" w:fill="011C50"/>
            <w:vAlign w:val="center"/>
          </w:tcPr>
          <w:p w14:paraId="3DDE092F" w14:textId="785296CE" w:rsidR="00081F8B" w:rsidRPr="006A0747" w:rsidRDefault="009F23F8" w:rsidP="00B50AD5">
            <w:pPr>
              <w:spacing w:after="0" w:line="240" w:lineRule="auto"/>
              <w:jc w:val="center"/>
              <w:rPr>
                <w:rFonts w:ascii="Times New Roman" w:eastAsia="Times New Roman" w:hAnsi="Times New Roman" w:cs="Times New Roman"/>
                <w:color w:val="FFFFFF" w:themeColor="background1"/>
                <w:sz w:val="24"/>
                <w:szCs w:val="24"/>
                <w:lang w:eastAsia="es-DO"/>
              </w:rPr>
            </w:pPr>
            <w:r w:rsidRPr="006A0747">
              <w:rPr>
                <w:rFonts w:ascii="Times New Roman" w:eastAsia="Times New Roman" w:hAnsi="Times New Roman" w:cs="Times New Roman"/>
                <w:color w:val="FFFFFF" w:themeColor="background1"/>
                <w:sz w:val="24"/>
                <w:szCs w:val="24"/>
                <w:lang w:eastAsia="es-DO"/>
              </w:rPr>
              <w:t>RD$</w:t>
            </w:r>
            <w:r>
              <w:rPr>
                <w:rFonts w:ascii="Times New Roman" w:eastAsia="Times New Roman" w:hAnsi="Times New Roman" w:cs="Times New Roman"/>
                <w:color w:val="FFFFFF" w:themeColor="background1"/>
                <w:sz w:val="24"/>
                <w:szCs w:val="24"/>
                <w:lang w:eastAsia="es-DO"/>
              </w:rPr>
              <w:t xml:space="preserve"> </w:t>
            </w:r>
            <w:r w:rsidR="00153ADB">
              <w:rPr>
                <w:rFonts w:ascii="Times New Roman" w:eastAsia="Times New Roman" w:hAnsi="Times New Roman" w:cs="Times New Roman"/>
                <w:color w:val="FFFFFF" w:themeColor="background1"/>
                <w:sz w:val="24"/>
                <w:szCs w:val="24"/>
                <w:lang w:eastAsia="es-DO"/>
              </w:rPr>
              <w:t>25,946,384.</w:t>
            </w:r>
            <w:r w:rsidR="00733855">
              <w:rPr>
                <w:rFonts w:ascii="Times New Roman" w:eastAsia="Times New Roman" w:hAnsi="Times New Roman" w:cs="Times New Roman"/>
                <w:color w:val="FFFFFF" w:themeColor="background1"/>
                <w:sz w:val="24"/>
                <w:szCs w:val="24"/>
                <w:lang w:eastAsia="es-DO"/>
              </w:rPr>
              <w:t>26</w:t>
            </w:r>
          </w:p>
        </w:tc>
        <w:tc>
          <w:tcPr>
            <w:tcW w:w="0" w:type="auto"/>
            <w:shd w:val="clear" w:color="auto" w:fill="011C50"/>
            <w:vAlign w:val="center"/>
          </w:tcPr>
          <w:p w14:paraId="7E510B91" w14:textId="6726DC2B" w:rsidR="00081F8B" w:rsidRPr="006A0747" w:rsidRDefault="00AE760E" w:rsidP="00B50AD5">
            <w:pPr>
              <w:spacing w:after="0" w:line="240" w:lineRule="auto"/>
              <w:jc w:val="center"/>
              <w:rPr>
                <w:rFonts w:ascii="Times New Roman" w:eastAsia="Times New Roman" w:hAnsi="Times New Roman" w:cs="Times New Roman"/>
                <w:color w:val="FFFFFF" w:themeColor="background1"/>
                <w:sz w:val="24"/>
                <w:szCs w:val="24"/>
                <w:lang w:eastAsia="es-DO"/>
              </w:rPr>
            </w:pPr>
            <w:r w:rsidRPr="006A0747">
              <w:rPr>
                <w:rFonts w:ascii="Times New Roman" w:eastAsia="Times New Roman" w:hAnsi="Times New Roman" w:cs="Times New Roman"/>
                <w:color w:val="FFFFFF" w:themeColor="background1"/>
                <w:sz w:val="24"/>
                <w:szCs w:val="24"/>
                <w:lang w:eastAsia="es-DO"/>
              </w:rPr>
              <w:t>-</w:t>
            </w:r>
          </w:p>
        </w:tc>
        <w:tc>
          <w:tcPr>
            <w:tcW w:w="0" w:type="auto"/>
            <w:shd w:val="clear" w:color="auto" w:fill="011C50"/>
            <w:vAlign w:val="center"/>
          </w:tcPr>
          <w:p w14:paraId="41321188" w14:textId="2CB50958" w:rsidR="00081F8B" w:rsidRPr="006A0747" w:rsidRDefault="00AE760E" w:rsidP="00B50AD5">
            <w:pPr>
              <w:spacing w:after="0" w:line="240" w:lineRule="auto"/>
              <w:jc w:val="center"/>
              <w:rPr>
                <w:rFonts w:ascii="Times New Roman" w:eastAsia="Times New Roman" w:hAnsi="Times New Roman" w:cs="Times New Roman"/>
                <w:color w:val="FFFFFF" w:themeColor="background1"/>
                <w:sz w:val="24"/>
                <w:szCs w:val="24"/>
                <w:lang w:eastAsia="es-DO"/>
              </w:rPr>
            </w:pPr>
            <w:r w:rsidRPr="006A0747">
              <w:rPr>
                <w:rFonts w:ascii="Times New Roman" w:eastAsia="Times New Roman" w:hAnsi="Times New Roman" w:cs="Times New Roman"/>
                <w:color w:val="FFFFFF" w:themeColor="background1"/>
                <w:sz w:val="24"/>
                <w:szCs w:val="24"/>
                <w:lang w:eastAsia="es-DO"/>
              </w:rPr>
              <w:t>-</w:t>
            </w:r>
          </w:p>
        </w:tc>
        <w:tc>
          <w:tcPr>
            <w:tcW w:w="0" w:type="auto"/>
            <w:shd w:val="clear" w:color="auto" w:fill="011C50"/>
            <w:vAlign w:val="center"/>
          </w:tcPr>
          <w:p w14:paraId="0AC30690" w14:textId="637BE566" w:rsidR="00081F8B" w:rsidRPr="006A0747" w:rsidRDefault="00A870A5" w:rsidP="00B50AD5">
            <w:pPr>
              <w:spacing w:after="0" w:line="240" w:lineRule="auto"/>
              <w:jc w:val="center"/>
              <w:rPr>
                <w:rFonts w:ascii="Times New Roman" w:eastAsia="Times New Roman" w:hAnsi="Times New Roman" w:cs="Times New Roman"/>
                <w:color w:val="FFFFFF" w:themeColor="background1"/>
                <w:sz w:val="24"/>
                <w:szCs w:val="24"/>
                <w:lang w:eastAsia="es-DO"/>
              </w:rPr>
            </w:pPr>
            <w:r>
              <w:rPr>
                <w:rFonts w:ascii="Times New Roman" w:eastAsia="Times New Roman" w:hAnsi="Times New Roman" w:cs="Times New Roman"/>
                <w:color w:val="FFFFFF" w:themeColor="background1"/>
                <w:sz w:val="24"/>
                <w:szCs w:val="24"/>
                <w:lang w:eastAsia="es-DO"/>
              </w:rPr>
              <w:t xml:space="preserve">RD$ </w:t>
            </w:r>
            <w:r w:rsidR="004C707A">
              <w:rPr>
                <w:rFonts w:ascii="Times New Roman" w:eastAsia="Times New Roman" w:hAnsi="Times New Roman" w:cs="Times New Roman"/>
                <w:color w:val="FFFFFF" w:themeColor="background1"/>
                <w:sz w:val="24"/>
                <w:szCs w:val="24"/>
                <w:lang w:eastAsia="es-DO"/>
              </w:rPr>
              <w:t>17,040,</w:t>
            </w:r>
            <w:r w:rsidR="00241A6E">
              <w:rPr>
                <w:rFonts w:ascii="Times New Roman" w:eastAsia="Times New Roman" w:hAnsi="Times New Roman" w:cs="Times New Roman"/>
                <w:color w:val="FFFFFF" w:themeColor="background1"/>
                <w:sz w:val="24"/>
                <w:szCs w:val="24"/>
                <w:lang w:eastAsia="es-DO"/>
              </w:rPr>
              <w:t>778.48</w:t>
            </w:r>
          </w:p>
        </w:tc>
      </w:tr>
      <w:tr w:rsidR="00A41DC4" w:rsidRPr="006A0747" w14:paraId="75239C82" w14:textId="630F7511" w:rsidTr="004146B2">
        <w:trPr>
          <w:trHeight w:val="331"/>
        </w:trPr>
        <w:tc>
          <w:tcPr>
            <w:tcW w:w="0" w:type="auto"/>
            <w:shd w:val="clear" w:color="auto" w:fill="auto"/>
            <w:vAlign w:val="center"/>
            <w:hideMark/>
          </w:tcPr>
          <w:p w14:paraId="05B5DD6A" w14:textId="77777777" w:rsidR="00081F8B" w:rsidRPr="006A0747" w:rsidRDefault="00081F8B">
            <w:pPr>
              <w:spacing w:after="0" w:line="240" w:lineRule="auto"/>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 </w:t>
            </w:r>
            <w:r w:rsidRPr="006A0747">
              <w:rPr>
                <w:rStyle w:val="ui-provider"/>
                <w:rFonts w:ascii="Times New Roman" w:hAnsi="Times New Roman" w:cs="Times New Roman"/>
                <w:color w:val="767171"/>
                <w:sz w:val="24"/>
                <w:szCs w:val="24"/>
              </w:rPr>
              <w:t>03 - Actividades de entidades de interme</w:t>
            </w:r>
            <w:r w:rsidRPr="006A0747">
              <w:rPr>
                <w:rStyle w:val="ui-provider"/>
                <w:rFonts w:ascii="Times New Roman" w:hAnsi="Times New Roman" w:cs="Times New Roman"/>
                <w:color w:val="767171"/>
                <w:sz w:val="24"/>
                <w:szCs w:val="24"/>
              </w:rPr>
              <w:lastRenderedPageBreak/>
              <w:t>diación financiera y cambiaria registradas y/o autorizadas</w:t>
            </w:r>
          </w:p>
        </w:tc>
        <w:tc>
          <w:tcPr>
            <w:tcW w:w="0" w:type="auto"/>
            <w:shd w:val="clear" w:color="auto" w:fill="auto"/>
            <w:noWrap/>
            <w:vAlign w:val="center"/>
            <w:hideMark/>
          </w:tcPr>
          <w:p w14:paraId="2CFBCC8D" w14:textId="3FEACCBC" w:rsidR="00081F8B" w:rsidRPr="006A0747" w:rsidRDefault="00163DB0">
            <w:pPr>
              <w:spacing w:after="0" w:line="240" w:lineRule="auto"/>
              <w:jc w:val="right"/>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lastRenderedPageBreak/>
              <w:t>-</w:t>
            </w:r>
          </w:p>
        </w:tc>
        <w:tc>
          <w:tcPr>
            <w:tcW w:w="0" w:type="auto"/>
            <w:shd w:val="clear" w:color="auto" w:fill="auto"/>
            <w:noWrap/>
            <w:vAlign w:val="center"/>
            <w:hideMark/>
          </w:tcPr>
          <w:p w14:paraId="52E31B08" w14:textId="4904CAB8" w:rsidR="00081F8B" w:rsidRPr="006A0747" w:rsidRDefault="00163DB0" w:rsidP="00B50AD5">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w:t>
            </w:r>
          </w:p>
        </w:tc>
        <w:tc>
          <w:tcPr>
            <w:tcW w:w="0" w:type="auto"/>
            <w:shd w:val="clear" w:color="auto" w:fill="auto"/>
            <w:noWrap/>
            <w:vAlign w:val="center"/>
            <w:hideMark/>
          </w:tcPr>
          <w:p w14:paraId="6D90EBA1" w14:textId="77777777" w:rsidR="00081F8B" w:rsidRPr="006A0747" w:rsidRDefault="00081F8B" w:rsidP="00B50AD5">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97%</w:t>
            </w:r>
          </w:p>
        </w:tc>
        <w:tc>
          <w:tcPr>
            <w:tcW w:w="0" w:type="auto"/>
            <w:shd w:val="clear" w:color="auto" w:fill="auto"/>
            <w:noWrap/>
            <w:vAlign w:val="center"/>
            <w:hideMark/>
          </w:tcPr>
          <w:p w14:paraId="6BAC64A4" w14:textId="0BDCEB98" w:rsidR="00081F8B" w:rsidRPr="006A0747" w:rsidRDefault="00163DB0" w:rsidP="00B50AD5">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w:t>
            </w:r>
          </w:p>
        </w:tc>
        <w:tc>
          <w:tcPr>
            <w:tcW w:w="0" w:type="auto"/>
            <w:shd w:val="clear" w:color="auto" w:fill="auto"/>
            <w:noWrap/>
            <w:vAlign w:val="center"/>
            <w:hideMark/>
          </w:tcPr>
          <w:p w14:paraId="4F9DC9CF" w14:textId="7D72ECCB" w:rsidR="00081F8B" w:rsidRPr="006A0747" w:rsidRDefault="00163DB0" w:rsidP="00B50AD5">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w:t>
            </w:r>
          </w:p>
        </w:tc>
        <w:tc>
          <w:tcPr>
            <w:tcW w:w="0" w:type="auto"/>
            <w:shd w:val="clear" w:color="auto" w:fill="auto"/>
            <w:noWrap/>
            <w:vAlign w:val="center"/>
            <w:hideMark/>
          </w:tcPr>
          <w:p w14:paraId="7353E921" w14:textId="278D3F79" w:rsidR="00081F8B" w:rsidRPr="006A0747" w:rsidRDefault="00081F8B" w:rsidP="00B50AD5">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102%</w:t>
            </w:r>
          </w:p>
        </w:tc>
        <w:tc>
          <w:tcPr>
            <w:tcW w:w="0" w:type="auto"/>
            <w:vAlign w:val="center"/>
          </w:tcPr>
          <w:p w14:paraId="1A1B2F57" w14:textId="572DE893" w:rsidR="00081F8B" w:rsidRPr="006A0747" w:rsidRDefault="00163DB0" w:rsidP="00B50AD5">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w:t>
            </w:r>
          </w:p>
        </w:tc>
        <w:tc>
          <w:tcPr>
            <w:tcW w:w="0" w:type="auto"/>
            <w:vAlign w:val="center"/>
          </w:tcPr>
          <w:p w14:paraId="5DE1E6A1" w14:textId="161E82CE" w:rsidR="00081F8B" w:rsidRPr="006A0747" w:rsidRDefault="00163DB0" w:rsidP="00B50AD5">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w:t>
            </w:r>
          </w:p>
        </w:tc>
        <w:tc>
          <w:tcPr>
            <w:tcW w:w="0" w:type="auto"/>
            <w:vAlign w:val="center"/>
          </w:tcPr>
          <w:p w14:paraId="388337F0" w14:textId="2D3E5423" w:rsidR="00081F8B" w:rsidRPr="006A0747" w:rsidRDefault="009C3E13" w:rsidP="00B50AD5">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98%</w:t>
            </w:r>
          </w:p>
        </w:tc>
        <w:tc>
          <w:tcPr>
            <w:tcW w:w="0" w:type="auto"/>
            <w:vAlign w:val="center"/>
          </w:tcPr>
          <w:p w14:paraId="5B30601C" w14:textId="57CE1976" w:rsidR="00081F8B" w:rsidRPr="006A0747" w:rsidRDefault="00163DB0" w:rsidP="00B50AD5">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w:t>
            </w:r>
          </w:p>
        </w:tc>
        <w:tc>
          <w:tcPr>
            <w:tcW w:w="0" w:type="auto"/>
            <w:vAlign w:val="center"/>
          </w:tcPr>
          <w:p w14:paraId="302A95F5" w14:textId="3E0F166B" w:rsidR="00081F8B" w:rsidRPr="006A0747" w:rsidRDefault="00163DB0" w:rsidP="00B50AD5">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w:t>
            </w:r>
          </w:p>
        </w:tc>
        <w:tc>
          <w:tcPr>
            <w:tcW w:w="0" w:type="auto"/>
            <w:vAlign w:val="center"/>
          </w:tcPr>
          <w:p w14:paraId="630AF181" w14:textId="7AF458E6" w:rsidR="00081F8B" w:rsidRPr="006A0747" w:rsidRDefault="00140A61" w:rsidP="00B50AD5">
            <w:pPr>
              <w:spacing w:after="0" w:line="240" w:lineRule="auto"/>
              <w:jc w:val="center"/>
              <w:rPr>
                <w:rFonts w:ascii="Times New Roman" w:eastAsia="Times New Roman" w:hAnsi="Times New Roman" w:cs="Times New Roman"/>
                <w:color w:val="767171"/>
                <w:sz w:val="24"/>
                <w:szCs w:val="24"/>
                <w:lang w:eastAsia="es-DO"/>
              </w:rPr>
            </w:pPr>
            <w:r>
              <w:rPr>
                <w:rFonts w:ascii="Times New Roman" w:eastAsia="Times New Roman" w:hAnsi="Times New Roman" w:cs="Times New Roman"/>
                <w:color w:val="767171"/>
                <w:sz w:val="24"/>
                <w:szCs w:val="24"/>
                <w:lang w:eastAsia="es-DO"/>
              </w:rPr>
              <w:t>99%</w:t>
            </w:r>
          </w:p>
        </w:tc>
      </w:tr>
      <w:tr w:rsidR="00DF4715" w:rsidRPr="006A0747" w14:paraId="1E92F5F2" w14:textId="2FE6BB11" w:rsidTr="004146B2">
        <w:trPr>
          <w:trHeight w:val="331"/>
        </w:trPr>
        <w:tc>
          <w:tcPr>
            <w:tcW w:w="0" w:type="auto"/>
            <w:shd w:val="clear" w:color="auto" w:fill="011C50"/>
            <w:vAlign w:val="center"/>
            <w:hideMark/>
          </w:tcPr>
          <w:p w14:paraId="72381B70" w14:textId="77777777" w:rsidR="00081F8B" w:rsidRPr="006A0747" w:rsidRDefault="00081F8B">
            <w:pPr>
              <w:spacing w:after="0" w:line="240" w:lineRule="auto"/>
              <w:rPr>
                <w:rFonts w:ascii="Times New Roman" w:eastAsia="Times New Roman" w:hAnsi="Times New Roman" w:cs="Times New Roman"/>
                <w:color w:val="FFFFFF" w:themeColor="background1"/>
                <w:sz w:val="24"/>
                <w:szCs w:val="24"/>
                <w:lang w:eastAsia="es-DO"/>
              </w:rPr>
            </w:pPr>
            <w:r w:rsidRPr="006A0747">
              <w:rPr>
                <w:rFonts w:ascii="Times New Roman" w:eastAsia="Times New Roman" w:hAnsi="Times New Roman" w:cs="Times New Roman"/>
                <w:color w:val="FFFFFF" w:themeColor="background1"/>
                <w:sz w:val="24"/>
                <w:szCs w:val="24"/>
                <w:lang w:eastAsia="es-DO"/>
              </w:rPr>
              <w:t> </w:t>
            </w:r>
          </w:p>
        </w:tc>
        <w:tc>
          <w:tcPr>
            <w:tcW w:w="0" w:type="auto"/>
            <w:shd w:val="clear" w:color="auto" w:fill="011C50"/>
            <w:noWrap/>
            <w:vAlign w:val="center"/>
            <w:hideMark/>
          </w:tcPr>
          <w:p w14:paraId="6D818D66" w14:textId="43DDDC03" w:rsidR="00081F8B" w:rsidRPr="006A0747" w:rsidRDefault="00AE760E" w:rsidP="00AE760E">
            <w:pPr>
              <w:spacing w:after="0" w:line="240" w:lineRule="auto"/>
              <w:jc w:val="center"/>
              <w:rPr>
                <w:rFonts w:ascii="Times New Roman" w:eastAsia="Times New Roman" w:hAnsi="Times New Roman" w:cs="Times New Roman"/>
                <w:color w:val="FFFFFF" w:themeColor="background1"/>
                <w:sz w:val="24"/>
                <w:szCs w:val="24"/>
                <w:lang w:eastAsia="es-DO"/>
              </w:rPr>
            </w:pPr>
            <w:r w:rsidRPr="006A0747">
              <w:rPr>
                <w:rFonts w:ascii="Times New Roman" w:eastAsia="Times New Roman" w:hAnsi="Times New Roman" w:cs="Times New Roman"/>
                <w:color w:val="FFFFFF" w:themeColor="background1"/>
                <w:sz w:val="24"/>
                <w:szCs w:val="24"/>
                <w:lang w:eastAsia="es-DO"/>
              </w:rPr>
              <w:t>-</w:t>
            </w:r>
          </w:p>
        </w:tc>
        <w:tc>
          <w:tcPr>
            <w:tcW w:w="0" w:type="auto"/>
            <w:shd w:val="clear" w:color="auto" w:fill="011C50"/>
            <w:noWrap/>
            <w:vAlign w:val="center"/>
            <w:hideMark/>
          </w:tcPr>
          <w:p w14:paraId="1E1A69AF" w14:textId="50A58517" w:rsidR="00081F8B" w:rsidRPr="006A0747" w:rsidRDefault="00AE760E" w:rsidP="00AE760E">
            <w:pPr>
              <w:spacing w:after="0" w:line="240" w:lineRule="auto"/>
              <w:jc w:val="center"/>
              <w:rPr>
                <w:rFonts w:ascii="Times New Roman" w:eastAsia="Times New Roman" w:hAnsi="Times New Roman" w:cs="Times New Roman"/>
                <w:color w:val="FFFFFF" w:themeColor="background1"/>
                <w:sz w:val="24"/>
                <w:szCs w:val="24"/>
                <w:lang w:eastAsia="es-DO"/>
              </w:rPr>
            </w:pPr>
            <w:r w:rsidRPr="006A0747">
              <w:rPr>
                <w:rFonts w:ascii="Times New Roman" w:eastAsia="Times New Roman" w:hAnsi="Times New Roman" w:cs="Times New Roman"/>
                <w:color w:val="FFFFFF" w:themeColor="background1"/>
                <w:sz w:val="24"/>
                <w:szCs w:val="24"/>
                <w:lang w:eastAsia="es-DO"/>
              </w:rPr>
              <w:t>-</w:t>
            </w:r>
          </w:p>
        </w:tc>
        <w:tc>
          <w:tcPr>
            <w:tcW w:w="0" w:type="auto"/>
            <w:shd w:val="clear" w:color="auto" w:fill="011C50"/>
            <w:noWrap/>
            <w:vAlign w:val="center"/>
            <w:hideMark/>
          </w:tcPr>
          <w:p w14:paraId="76551A24" w14:textId="2CE9D82E" w:rsidR="00081F8B" w:rsidRPr="006A0747" w:rsidRDefault="00081F8B" w:rsidP="00AE760E">
            <w:pPr>
              <w:spacing w:after="0" w:line="240" w:lineRule="auto"/>
              <w:jc w:val="center"/>
              <w:rPr>
                <w:rFonts w:ascii="Times New Roman" w:eastAsia="Times New Roman" w:hAnsi="Times New Roman" w:cs="Times New Roman"/>
                <w:color w:val="FFFFFF" w:themeColor="background1"/>
                <w:sz w:val="24"/>
                <w:szCs w:val="24"/>
                <w:lang w:eastAsia="es-DO"/>
              </w:rPr>
            </w:pPr>
            <w:r w:rsidRPr="006A0747">
              <w:rPr>
                <w:rFonts w:ascii="Times New Roman" w:eastAsia="Times New Roman" w:hAnsi="Times New Roman" w:cs="Times New Roman"/>
                <w:color w:val="FFFFFF" w:themeColor="background1"/>
                <w:sz w:val="24"/>
                <w:szCs w:val="24"/>
                <w:lang w:eastAsia="es-DO"/>
              </w:rPr>
              <w:t xml:space="preserve">RD$ </w:t>
            </w:r>
            <w:r w:rsidRPr="00241A6E">
              <w:rPr>
                <w:rFonts w:ascii="Times New Roman" w:hAnsi="Times New Roman" w:cs="Times New Roman"/>
                <w:sz w:val="24"/>
                <w:szCs w:val="24"/>
              </w:rPr>
              <w:t>6,365,545.</w:t>
            </w:r>
            <w:r w:rsidR="00241A6E" w:rsidRPr="00241A6E">
              <w:rPr>
                <w:rFonts w:ascii="Times New Roman" w:hAnsi="Times New Roman" w:cs="Times New Roman"/>
                <w:sz w:val="24"/>
                <w:szCs w:val="24"/>
              </w:rPr>
              <w:t>20</w:t>
            </w:r>
          </w:p>
        </w:tc>
        <w:tc>
          <w:tcPr>
            <w:tcW w:w="0" w:type="auto"/>
            <w:shd w:val="clear" w:color="auto" w:fill="011C50"/>
            <w:noWrap/>
            <w:vAlign w:val="center"/>
            <w:hideMark/>
          </w:tcPr>
          <w:p w14:paraId="39D8C06E" w14:textId="7CBE639D" w:rsidR="00081F8B" w:rsidRPr="006A0747" w:rsidRDefault="00AE760E" w:rsidP="00AE760E">
            <w:pPr>
              <w:spacing w:after="0" w:line="240" w:lineRule="auto"/>
              <w:jc w:val="center"/>
              <w:rPr>
                <w:rFonts w:ascii="Times New Roman" w:eastAsia="Times New Roman" w:hAnsi="Times New Roman" w:cs="Times New Roman"/>
                <w:color w:val="FFFFFF" w:themeColor="background1"/>
                <w:sz w:val="24"/>
                <w:szCs w:val="24"/>
                <w:lang w:eastAsia="es-DO"/>
              </w:rPr>
            </w:pPr>
            <w:r w:rsidRPr="006A0747">
              <w:rPr>
                <w:rFonts w:ascii="Times New Roman" w:eastAsia="Times New Roman" w:hAnsi="Times New Roman" w:cs="Times New Roman"/>
                <w:color w:val="FFFFFF" w:themeColor="background1"/>
                <w:sz w:val="24"/>
                <w:szCs w:val="24"/>
                <w:lang w:eastAsia="es-DO"/>
              </w:rPr>
              <w:t>-</w:t>
            </w:r>
          </w:p>
        </w:tc>
        <w:tc>
          <w:tcPr>
            <w:tcW w:w="0" w:type="auto"/>
            <w:shd w:val="clear" w:color="auto" w:fill="011C50"/>
            <w:noWrap/>
            <w:vAlign w:val="center"/>
            <w:hideMark/>
          </w:tcPr>
          <w:p w14:paraId="4B5AFE6C" w14:textId="16AFE1EC" w:rsidR="00081F8B" w:rsidRPr="006A0747" w:rsidRDefault="00AE760E" w:rsidP="00AE760E">
            <w:pPr>
              <w:spacing w:after="0" w:line="240" w:lineRule="auto"/>
              <w:jc w:val="center"/>
              <w:rPr>
                <w:rFonts w:ascii="Times New Roman" w:eastAsia="Times New Roman" w:hAnsi="Times New Roman" w:cs="Times New Roman"/>
                <w:color w:val="FFFFFF" w:themeColor="background1"/>
                <w:sz w:val="24"/>
                <w:szCs w:val="24"/>
                <w:lang w:eastAsia="es-DO"/>
              </w:rPr>
            </w:pPr>
            <w:r w:rsidRPr="006A0747">
              <w:rPr>
                <w:rFonts w:ascii="Times New Roman" w:eastAsia="Times New Roman" w:hAnsi="Times New Roman" w:cs="Times New Roman"/>
                <w:color w:val="FFFFFF" w:themeColor="background1"/>
                <w:sz w:val="24"/>
                <w:szCs w:val="24"/>
                <w:lang w:eastAsia="es-DO"/>
              </w:rPr>
              <w:t>-</w:t>
            </w:r>
          </w:p>
        </w:tc>
        <w:tc>
          <w:tcPr>
            <w:tcW w:w="0" w:type="auto"/>
            <w:shd w:val="clear" w:color="auto" w:fill="011C50"/>
            <w:noWrap/>
            <w:vAlign w:val="center"/>
            <w:hideMark/>
          </w:tcPr>
          <w:p w14:paraId="7CDF537E" w14:textId="2B790AFC" w:rsidR="00081F8B" w:rsidRPr="006A0747" w:rsidRDefault="00081F8B" w:rsidP="00AE760E">
            <w:pPr>
              <w:spacing w:after="0" w:line="240" w:lineRule="auto"/>
              <w:jc w:val="center"/>
              <w:rPr>
                <w:rFonts w:ascii="Times New Roman" w:eastAsia="Times New Roman" w:hAnsi="Times New Roman" w:cs="Times New Roman"/>
                <w:color w:val="FFFFFF" w:themeColor="background1"/>
                <w:sz w:val="24"/>
                <w:szCs w:val="24"/>
                <w:lang w:eastAsia="es-DO"/>
              </w:rPr>
            </w:pPr>
            <w:r w:rsidRPr="006A0747">
              <w:rPr>
                <w:rFonts w:ascii="Times New Roman" w:eastAsia="Times New Roman" w:hAnsi="Times New Roman" w:cs="Times New Roman"/>
                <w:color w:val="FFFFFF" w:themeColor="background1"/>
                <w:sz w:val="24"/>
                <w:szCs w:val="24"/>
                <w:lang w:eastAsia="es-DO"/>
              </w:rPr>
              <w:t>RD$ 7,020,015.</w:t>
            </w:r>
            <w:r w:rsidR="00241A6E">
              <w:rPr>
                <w:rFonts w:ascii="Times New Roman" w:eastAsia="Times New Roman" w:hAnsi="Times New Roman" w:cs="Times New Roman"/>
                <w:color w:val="FFFFFF" w:themeColor="background1"/>
                <w:sz w:val="24"/>
                <w:szCs w:val="24"/>
                <w:lang w:eastAsia="es-DO"/>
              </w:rPr>
              <w:t>45</w:t>
            </w:r>
          </w:p>
        </w:tc>
        <w:tc>
          <w:tcPr>
            <w:tcW w:w="0" w:type="auto"/>
            <w:shd w:val="clear" w:color="auto" w:fill="011C50"/>
            <w:vAlign w:val="center"/>
          </w:tcPr>
          <w:p w14:paraId="76BDFB75" w14:textId="3E98E696" w:rsidR="00081F8B" w:rsidRPr="006A0747" w:rsidRDefault="00AE760E" w:rsidP="00AE760E">
            <w:pPr>
              <w:spacing w:after="0" w:line="240" w:lineRule="auto"/>
              <w:jc w:val="center"/>
              <w:rPr>
                <w:rFonts w:ascii="Times New Roman" w:eastAsia="Times New Roman" w:hAnsi="Times New Roman" w:cs="Times New Roman"/>
                <w:color w:val="FFFFFF" w:themeColor="background1"/>
                <w:sz w:val="24"/>
                <w:szCs w:val="24"/>
                <w:lang w:eastAsia="es-DO"/>
              </w:rPr>
            </w:pPr>
            <w:r w:rsidRPr="006A0747">
              <w:rPr>
                <w:rFonts w:ascii="Times New Roman" w:eastAsia="Times New Roman" w:hAnsi="Times New Roman" w:cs="Times New Roman"/>
                <w:color w:val="FFFFFF" w:themeColor="background1"/>
                <w:sz w:val="24"/>
                <w:szCs w:val="24"/>
                <w:lang w:eastAsia="es-DO"/>
              </w:rPr>
              <w:t>-</w:t>
            </w:r>
          </w:p>
        </w:tc>
        <w:tc>
          <w:tcPr>
            <w:tcW w:w="0" w:type="auto"/>
            <w:shd w:val="clear" w:color="auto" w:fill="011C50"/>
            <w:vAlign w:val="center"/>
          </w:tcPr>
          <w:p w14:paraId="5B50C54C" w14:textId="0AD2E089" w:rsidR="00081F8B" w:rsidRPr="006A0747" w:rsidRDefault="00AE760E" w:rsidP="00AE760E">
            <w:pPr>
              <w:spacing w:after="0" w:line="240" w:lineRule="auto"/>
              <w:jc w:val="center"/>
              <w:rPr>
                <w:rFonts w:ascii="Times New Roman" w:eastAsia="Times New Roman" w:hAnsi="Times New Roman" w:cs="Times New Roman"/>
                <w:color w:val="FFFFFF" w:themeColor="background1"/>
                <w:sz w:val="24"/>
                <w:szCs w:val="24"/>
                <w:lang w:eastAsia="es-DO"/>
              </w:rPr>
            </w:pPr>
            <w:r w:rsidRPr="006A0747">
              <w:rPr>
                <w:rFonts w:ascii="Times New Roman" w:eastAsia="Times New Roman" w:hAnsi="Times New Roman" w:cs="Times New Roman"/>
                <w:color w:val="FFFFFF" w:themeColor="background1"/>
                <w:sz w:val="24"/>
                <w:szCs w:val="24"/>
                <w:lang w:eastAsia="es-DO"/>
              </w:rPr>
              <w:t>-</w:t>
            </w:r>
          </w:p>
        </w:tc>
        <w:tc>
          <w:tcPr>
            <w:tcW w:w="0" w:type="auto"/>
            <w:shd w:val="clear" w:color="auto" w:fill="011C50"/>
            <w:vAlign w:val="center"/>
          </w:tcPr>
          <w:p w14:paraId="3A86FD87" w14:textId="13FD9FF8" w:rsidR="00081F8B" w:rsidRPr="006A0747" w:rsidRDefault="00241A6E" w:rsidP="00AE760E">
            <w:pPr>
              <w:spacing w:after="0" w:line="240" w:lineRule="auto"/>
              <w:jc w:val="center"/>
              <w:rPr>
                <w:rFonts w:ascii="Times New Roman" w:eastAsia="Times New Roman" w:hAnsi="Times New Roman" w:cs="Times New Roman"/>
                <w:color w:val="FFFFFF" w:themeColor="background1"/>
                <w:sz w:val="24"/>
                <w:szCs w:val="24"/>
                <w:lang w:eastAsia="es-DO"/>
              </w:rPr>
            </w:pPr>
            <w:r w:rsidRPr="006A0747">
              <w:rPr>
                <w:rFonts w:ascii="Times New Roman" w:eastAsia="Times New Roman" w:hAnsi="Times New Roman" w:cs="Times New Roman"/>
                <w:color w:val="FFFFFF" w:themeColor="background1"/>
                <w:sz w:val="24"/>
                <w:szCs w:val="24"/>
                <w:lang w:eastAsia="es-DO"/>
              </w:rPr>
              <w:t>RD$</w:t>
            </w:r>
            <w:r>
              <w:rPr>
                <w:rFonts w:ascii="Times New Roman" w:eastAsia="Times New Roman" w:hAnsi="Times New Roman" w:cs="Times New Roman"/>
                <w:color w:val="FFFFFF" w:themeColor="background1"/>
                <w:sz w:val="24"/>
                <w:szCs w:val="24"/>
                <w:lang w:eastAsia="es-DO"/>
              </w:rPr>
              <w:t xml:space="preserve"> 7,169,946.69</w:t>
            </w:r>
          </w:p>
        </w:tc>
        <w:tc>
          <w:tcPr>
            <w:tcW w:w="0" w:type="auto"/>
            <w:shd w:val="clear" w:color="auto" w:fill="011C50"/>
            <w:vAlign w:val="center"/>
          </w:tcPr>
          <w:p w14:paraId="36E648C9" w14:textId="56FCABA7" w:rsidR="00081F8B" w:rsidRPr="006A0747" w:rsidRDefault="00AE760E" w:rsidP="00AE760E">
            <w:pPr>
              <w:spacing w:after="0" w:line="240" w:lineRule="auto"/>
              <w:jc w:val="center"/>
              <w:rPr>
                <w:rFonts w:ascii="Times New Roman" w:eastAsia="Times New Roman" w:hAnsi="Times New Roman" w:cs="Times New Roman"/>
                <w:color w:val="FFFFFF" w:themeColor="background1"/>
                <w:sz w:val="24"/>
                <w:szCs w:val="24"/>
                <w:lang w:eastAsia="es-DO"/>
              </w:rPr>
            </w:pPr>
            <w:r w:rsidRPr="006A0747">
              <w:rPr>
                <w:rFonts w:ascii="Times New Roman" w:eastAsia="Times New Roman" w:hAnsi="Times New Roman" w:cs="Times New Roman"/>
                <w:color w:val="FFFFFF" w:themeColor="background1"/>
                <w:sz w:val="24"/>
                <w:szCs w:val="24"/>
                <w:lang w:eastAsia="es-DO"/>
              </w:rPr>
              <w:t>-</w:t>
            </w:r>
          </w:p>
        </w:tc>
        <w:tc>
          <w:tcPr>
            <w:tcW w:w="0" w:type="auto"/>
            <w:shd w:val="clear" w:color="auto" w:fill="011C50"/>
            <w:vAlign w:val="center"/>
          </w:tcPr>
          <w:p w14:paraId="650B70FB" w14:textId="3652153D" w:rsidR="00081F8B" w:rsidRPr="006A0747" w:rsidRDefault="00AE760E" w:rsidP="00AE760E">
            <w:pPr>
              <w:spacing w:after="0" w:line="240" w:lineRule="auto"/>
              <w:jc w:val="center"/>
              <w:rPr>
                <w:rFonts w:ascii="Times New Roman" w:eastAsia="Times New Roman" w:hAnsi="Times New Roman" w:cs="Times New Roman"/>
                <w:color w:val="FFFFFF" w:themeColor="background1"/>
                <w:sz w:val="24"/>
                <w:szCs w:val="24"/>
                <w:lang w:eastAsia="es-DO"/>
              </w:rPr>
            </w:pPr>
            <w:r w:rsidRPr="006A0747">
              <w:rPr>
                <w:rFonts w:ascii="Times New Roman" w:eastAsia="Times New Roman" w:hAnsi="Times New Roman" w:cs="Times New Roman"/>
                <w:color w:val="FFFFFF" w:themeColor="background1"/>
                <w:sz w:val="24"/>
                <w:szCs w:val="24"/>
                <w:lang w:eastAsia="es-DO"/>
              </w:rPr>
              <w:t>-</w:t>
            </w:r>
          </w:p>
        </w:tc>
        <w:tc>
          <w:tcPr>
            <w:tcW w:w="0" w:type="auto"/>
            <w:shd w:val="clear" w:color="auto" w:fill="011C50"/>
            <w:vAlign w:val="center"/>
          </w:tcPr>
          <w:p w14:paraId="41A34CA0" w14:textId="784D6587" w:rsidR="00081F8B" w:rsidRPr="006A0747" w:rsidRDefault="00325E1E" w:rsidP="00AE760E">
            <w:pPr>
              <w:spacing w:after="0" w:line="240" w:lineRule="auto"/>
              <w:jc w:val="center"/>
              <w:rPr>
                <w:rFonts w:ascii="Times New Roman" w:eastAsia="Times New Roman" w:hAnsi="Times New Roman" w:cs="Times New Roman"/>
                <w:color w:val="FFFFFF" w:themeColor="background1"/>
                <w:sz w:val="24"/>
                <w:szCs w:val="24"/>
                <w:lang w:eastAsia="es-DO"/>
              </w:rPr>
            </w:pPr>
            <w:r>
              <w:rPr>
                <w:rFonts w:ascii="Times New Roman" w:eastAsia="Times New Roman" w:hAnsi="Times New Roman" w:cs="Times New Roman"/>
                <w:color w:val="FFFFFF" w:themeColor="background1"/>
                <w:sz w:val="24"/>
                <w:szCs w:val="24"/>
                <w:lang w:eastAsia="es-DO"/>
              </w:rPr>
              <w:t>RD$</w:t>
            </w:r>
            <w:r w:rsidR="00241A6E">
              <w:rPr>
                <w:rFonts w:ascii="Times New Roman" w:eastAsia="Times New Roman" w:hAnsi="Times New Roman" w:cs="Times New Roman"/>
                <w:color w:val="FFFFFF" w:themeColor="background1"/>
                <w:sz w:val="24"/>
                <w:szCs w:val="24"/>
                <w:lang w:eastAsia="es-DO"/>
              </w:rPr>
              <w:t xml:space="preserve"> </w:t>
            </w:r>
            <w:r w:rsidR="009001DF">
              <w:rPr>
                <w:rFonts w:ascii="Times New Roman" w:eastAsia="Times New Roman" w:hAnsi="Times New Roman" w:cs="Times New Roman"/>
                <w:color w:val="FFFFFF" w:themeColor="background1"/>
                <w:sz w:val="24"/>
                <w:szCs w:val="24"/>
                <w:lang w:eastAsia="es-DO"/>
              </w:rPr>
              <w:t>22,</w:t>
            </w:r>
            <w:r w:rsidR="001F28BD">
              <w:rPr>
                <w:rFonts w:ascii="Times New Roman" w:eastAsia="Times New Roman" w:hAnsi="Times New Roman" w:cs="Times New Roman"/>
                <w:color w:val="FFFFFF" w:themeColor="background1"/>
                <w:sz w:val="24"/>
                <w:szCs w:val="24"/>
                <w:lang w:eastAsia="es-DO"/>
              </w:rPr>
              <w:t>791,335.41</w:t>
            </w:r>
          </w:p>
        </w:tc>
      </w:tr>
      <w:tr w:rsidR="00A41DC4" w:rsidRPr="006A0747" w14:paraId="3BE405ED" w14:textId="09B1EDF9" w:rsidTr="004146B2">
        <w:trPr>
          <w:trHeight w:val="331"/>
        </w:trPr>
        <w:tc>
          <w:tcPr>
            <w:tcW w:w="0" w:type="auto"/>
            <w:shd w:val="clear" w:color="auto" w:fill="auto"/>
            <w:vAlign w:val="center"/>
            <w:hideMark/>
          </w:tcPr>
          <w:p w14:paraId="06F2116B" w14:textId="77777777" w:rsidR="00081F8B" w:rsidRPr="006A0747" w:rsidRDefault="00081F8B">
            <w:pPr>
              <w:rPr>
                <w:rFonts w:ascii="Times New Roman" w:hAnsi="Times New Roman" w:cs="Times New Roman"/>
                <w:color w:val="767171"/>
                <w:sz w:val="24"/>
                <w:szCs w:val="24"/>
              </w:rPr>
            </w:pPr>
            <w:r w:rsidRPr="006A0747">
              <w:rPr>
                <w:rFonts w:ascii="Times New Roman" w:hAnsi="Times New Roman" w:cs="Times New Roman"/>
                <w:color w:val="767171"/>
                <w:sz w:val="24"/>
                <w:szCs w:val="24"/>
              </w:rPr>
              <w:t>01 - Usuarios reciben asistencia para solucionar reclamaciones sobre productos o servicios adquiridos en una entidad de intermediación financiera.</w:t>
            </w:r>
          </w:p>
        </w:tc>
        <w:tc>
          <w:tcPr>
            <w:tcW w:w="0" w:type="auto"/>
            <w:shd w:val="clear" w:color="auto" w:fill="auto"/>
            <w:noWrap/>
            <w:vAlign w:val="center"/>
            <w:hideMark/>
          </w:tcPr>
          <w:p w14:paraId="0F92FACF" w14:textId="61FDA3F1" w:rsidR="00081F8B" w:rsidRPr="006A0747" w:rsidRDefault="00AE760E" w:rsidP="00B50AD5">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w:t>
            </w:r>
          </w:p>
        </w:tc>
        <w:tc>
          <w:tcPr>
            <w:tcW w:w="0" w:type="auto"/>
            <w:shd w:val="clear" w:color="auto" w:fill="auto"/>
            <w:noWrap/>
            <w:vAlign w:val="center"/>
            <w:hideMark/>
          </w:tcPr>
          <w:p w14:paraId="14AC8EE0" w14:textId="0F1CC33A" w:rsidR="00081F8B" w:rsidRPr="006A0747" w:rsidRDefault="00AE760E" w:rsidP="00B50AD5">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w:t>
            </w:r>
          </w:p>
        </w:tc>
        <w:tc>
          <w:tcPr>
            <w:tcW w:w="0" w:type="auto"/>
            <w:shd w:val="clear" w:color="auto" w:fill="auto"/>
            <w:noWrap/>
            <w:vAlign w:val="center"/>
            <w:hideMark/>
          </w:tcPr>
          <w:p w14:paraId="3AF1D947" w14:textId="77777777" w:rsidR="00081F8B" w:rsidRPr="006A0747" w:rsidRDefault="00081F8B" w:rsidP="00B50AD5">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86%</w:t>
            </w:r>
          </w:p>
        </w:tc>
        <w:tc>
          <w:tcPr>
            <w:tcW w:w="0" w:type="auto"/>
            <w:shd w:val="clear" w:color="auto" w:fill="auto"/>
            <w:noWrap/>
            <w:vAlign w:val="center"/>
            <w:hideMark/>
          </w:tcPr>
          <w:p w14:paraId="6B295195" w14:textId="374524C5" w:rsidR="00081F8B" w:rsidRPr="006A0747" w:rsidRDefault="00AE760E" w:rsidP="00B50AD5">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w:t>
            </w:r>
          </w:p>
        </w:tc>
        <w:tc>
          <w:tcPr>
            <w:tcW w:w="0" w:type="auto"/>
            <w:shd w:val="clear" w:color="auto" w:fill="auto"/>
            <w:noWrap/>
            <w:vAlign w:val="center"/>
            <w:hideMark/>
          </w:tcPr>
          <w:p w14:paraId="2B2BA456" w14:textId="10F0E906" w:rsidR="00081F8B" w:rsidRPr="006A0747" w:rsidRDefault="00AE760E" w:rsidP="00B50AD5">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w:t>
            </w:r>
          </w:p>
        </w:tc>
        <w:tc>
          <w:tcPr>
            <w:tcW w:w="0" w:type="auto"/>
            <w:shd w:val="clear" w:color="auto" w:fill="auto"/>
            <w:noWrap/>
            <w:vAlign w:val="center"/>
            <w:hideMark/>
          </w:tcPr>
          <w:p w14:paraId="444C3D9A" w14:textId="50158258" w:rsidR="00081F8B" w:rsidRPr="006A0747" w:rsidRDefault="00081F8B" w:rsidP="00B50AD5">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90%</w:t>
            </w:r>
          </w:p>
        </w:tc>
        <w:tc>
          <w:tcPr>
            <w:tcW w:w="0" w:type="auto"/>
            <w:vAlign w:val="center"/>
          </w:tcPr>
          <w:p w14:paraId="59D8364D" w14:textId="76B5E525" w:rsidR="00081F8B" w:rsidRPr="006A0747" w:rsidRDefault="00AE760E" w:rsidP="00B50AD5">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w:t>
            </w:r>
          </w:p>
        </w:tc>
        <w:tc>
          <w:tcPr>
            <w:tcW w:w="0" w:type="auto"/>
            <w:vAlign w:val="center"/>
          </w:tcPr>
          <w:p w14:paraId="33DD5F13" w14:textId="0A1E266F" w:rsidR="00081F8B" w:rsidRPr="006A0747" w:rsidRDefault="00AE760E" w:rsidP="00B50AD5">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w:t>
            </w:r>
          </w:p>
        </w:tc>
        <w:tc>
          <w:tcPr>
            <w:tcW w:w="0" w:type="auto"/>
            <w:vAlign w:val="center"/>
          </w:tcPr>
          <w:p w14:paraId="7A9DB59E" w14:textId="3CEF5D80" w:rsidR="00081F8B" w:rsidRPr="006A0747" w:rsidRDefault="00641614" w:rsidP="00B50AD5">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85%</w:t>
            </w:r>
          </w:p>
        </w:tc>
        <w:tc>
          <w:tcPr>
            <w:tcW w:w="0" w:type="auto"/>
            <w:vAlign w:val="center"/>
          </w:tcPr>
          <w:p w14:paraId="0DB8DC32" w14:textId="5F8F8599" w:rsidR="00081F8B" w:rsidRPr="006A0747" w:rsidRDefault="00AE760E" w:rsidP="00B50AD5">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w:t>
            </w:r>
          </w:p>
        </w:tc>
        <w:tc>
          <w:tcPr>
            <w:tcW w:w="0" w:type="auto"/>
            <w:vAlign w:val="center"/>
          </w:tcPr>
          <w:p w14:paraId="6DFC86A4" w14:textId="57C450DC" w:rsidR="00081F8B" w:rsidRPr="006A0747" w:rsidRDefault="00AE760E" w:rsidP="00B50AD5">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w:t>
            </w:r>
          </w:p>
        </w:tc>
        <w:tc>
          <w:tcPr>
            <w:tcW w:w="0" w:type="auto"/>
            <w:vAlign w:val="center"/>
          </w:tcPr>
          <w:p w14:paraId="0A0319A4" w14:textId="043AEDB1" w:rsidR="00081F8B" w:rsidRPr="006A0747" w:rsidRDefault="00EE2078" w:rsidP="00B50AD5">
            <w:pPr>
              <w:spacing w:after="0" w:line="240" w:lineRule="auto"/>
              <w:jc w:val="center"/>
              <w:rPr>
                <w:rFonts w:ascii="Times New Roman" w:eastAsia="Times New Roman" w:hAnsi="Times New Roman" w:cs="Times New Roman"/>
                <w:color w:val="767171"/>
                <w:sz w:val="24"/>
                <w:szCs w:val="24"/>
                <w:lang w:eastAsia="es-DO"/>
              </w:rPr>
            </w:pPr>
            <w:r>
              <w:rPr>
                <w:rFonts w:ascii="Times New Roman" w:eastAsia="Times New Roman" w:hAnsi="Times New Roman" w:cs="Times New Roman"/>
                <w:color w:val="767171"/>
                <w:sz w:val="24"/>
                <w:szCs w:val="24"/>
                <w:lang w:eastAsia="es-DO"/>
              </w:rPr>
              <w:t>90%</w:t>
            </w:r>
          </w:p>
        </w:tc>
      </w:tr>
      <w:tr w:rsidR="00DF4715" w:rsidRPr="006A0747" w14:paraId="042A368B" w14:textId="72B6BB58" w:rsidTr="004146B2">
        <w:trPr>
          <w:trHeight w:val="331"/>
        </w:trPr>
        <w:tc>
          <w:tcPr>
            <w:tcW w:w="0" w:type="auto"/>
            <w:shd w:val="clear" w:color="auto" w:fill="011C50"/>
            <w:vAlign w:val="center"/>
            <w:hideMark/>
          </w:tcPr>
          <w:p w14:paraId="35C42BCA" w14:textId="77777777" w:rsidR="00081F8B" w:rsidRPr="006A0747" w:rsidRDefault="00081F8B">
            <w:pPr>
              <w:spacing w:after="0" w:line="240" w:lineRule="auto"/>
              <w:rPr>
                <w:rFonts w:ascii="Times New Roman" w:eastAsia="Times New Roman" w:hAnsi="Times New Roman" w:cs="Times New Roman"/>
                <w:color w:val="FFFFFF" w:themeColor="background1"/>
                <w:sz w:val="24"/>
                <w:szCs w:val="24"/>
                <w:lang w:eastAsia="es-DO"/>
              </w:rPr>
            </w:pPr>
          </w:p>
        </w:tc>
        <w:tc>
          <w:tcPr>
            <w:tcW w:w="0" w:type="auto"/>
            <w:shd w:val="clear" w:color="auto" w:fill="011C50"/>
            <w:noWrap/>
            <w:vAlign w:val="center"/>
            <w:hideMark/>
          </w:tcPr>
          <w:p w14:paraId="41D0C44B" w14:textId="7510F278" w:rsidR="00081F8B" w:rsidRPr="006A0747" w:rsidRDefault="00AE760E" w:rsidP="00AE760E">
            <w:pPr>
              <w:spacing w:after="0" w:line="240" w:lineRule="auto"/>
              <w:jc w:val="center"/>
              <w:rPr>
                <w:rFonts w:ascii="Times New Roman" w:eastAsia="Times New Roman" w:hAnsi="Times New Roman" w:cs="Times New Roman"/>
                <w:color w:val="FFFFFF" w:themeColor="background1"/>
                <w:sz w:val="24"/>
                <w:szCs w:val="24"/>
                <w:lang w:eastAsia="es-DO"/>
              </w:rPr>
            </w:pPr>
            <w:r w:rsidRPr="006A0747">
              <w:rPr>
                <w:rFonts w:ascii="Times New Roman" w:eastAsia="Times New Roman" w:hAnsi="Times New Roman" w:cs="Times New Roman"/>
                <w:color w:val="FFFFFF" w:themeColor="background1"/>
                <w:sz w:val="24"/>
                <w:szCs w:val="24"/>
                <w:lang w:eastAsia="es-DO"/>
              </w:rPr>
              <w:t>-</w:t>
            </w:r>
          </w:p>
        </w:tc>
        <w:tc>
          <w:tcPr>
            <w:tcW w:w="0" w:type="auto"/>
            <w:shd w:val="clear" w:color="auto" w:fill="011C50"/>
            <w:noWrap/>
            <w:vAlign w:val="center"/>
            <w:hideMark/>
          </w:tcPr>
          <w:p w14:paraId="010737E8" w14:textId="21DA0AE9" w:rsidR="00081F8B" w:rsidRPr="006A0747" w:rsidRDefault="00AE760E" w:rsidP="00AE760E">
            <w:pPr>
              <w:spacing w:after="0" w:line="240" w:lineRule="auto"/>
              <w:jc w:val="center"/>
              <w:rPr>
                <w:rFonts w:ascii="Times New Roman" w:eastAsia="Times New Roman" w:hAnsi="Times New Roman" w:cs="Times New Roman"/>
                <w:color w:val="FFFFFF" w:themeColor="background1"/>
                <w:sz w:val="24"/>
                <w:szCs w:val="24"/>
                <w:lang w:eastAsia="es-DO"/>
              </w:rPr>
            </w:pPr>
            <w:r w:rsidRPr="006A0747">
              <w:rPr>
                <w:rFonts w:ascii="Times New Roman" w:eastAsia="Times New Roman" w:hAnsi="Times New Roman" w:cs="Times New Roman"/>
                <w:color w:val="FFFFFF" w:themeColor="background1"/>
                <w:sz w:val="24"/>
                <w:szCs w:val="24"/>
                <w:lang w:eastAsia="es-DO"/>
              </w:rPr>
              <w:t>-</w:t>
            </w:r>
          </w:p>
        </w:tc>
        <w:tc>
          <w:tcPr>
            <w:tcW w:w="0" w:type="auto"/>
            <w:shd w:val="clear" w:color="auto" w:fill="011C50"/>
            <w:noWrap/>
            <w:vAlign w:val="center"/>
            <w:hideMark/>
          </w:tcPr>
          <w:p w14:paraId="0CF87DC6" w14:textId="123E8462" w:rsidR="00081F8B" w:rsidRPr="006A0747" w:rsidRDefault="00081F8B" w:rsidP="00AE760E">
            <w:pPr>
              <w:spacing w:after="0" w:line="240" w:lineRule="auto"/>
              <w:jc w:val="center"/>
              <w:rPr>
                <w:rFonts w:ascii="Times New Roman" w:eastAsia="Times New Roman" w:hAnsi="Times New Roman" w:cs="Times New Roman"/>
                <w:color w:val="FFFFFF" w:themeColor="background1"/>
                <w:sz w:val="24"/>
                <w:szCs w:val="24"/>
                <w:lang w:eastAsia="es-DO"/>
              </w:rPr>
            </w:pPr>
            <w:r w:rsidRPr="006A0747">
              <w:rPr>
                <w:rFonts w:ascii="Times New Roman" w:eastAsia="Times New Roman" w:hAnsi="Times New Roman" w:cs="Times New Roman"/>
                <w:color w:val="FFFFFF" w:themeColor="background1"/>
                <w:sz w:val="24"/>
                <w:szCs w:val="24"/>
                <w:lang w:eastAsia="es-DO"/>
              </w:rPr>
              <w:t xml:space="preserve">RD$ </w:t>
            </w:r>
            <w:r w:rsidRPr="001F28BD">
              <w:rPr>
                <w:rFonts w:ascii="Times New Roman" w:hAnsi="Times New Roman" w:cs="Times New Roman"/>
                <w:sz w:val="24"/>
                <w:szCs w:val="24"/>
              </w:rPr>
              <w:t>30,440,563.00</w:t>
            </w:r>
          </w:p>
        </w:tc>
        <w:tc>
          <w:tcPr>
            <w:tcW w:w="0" w:type="auto"/>
            <w:shd w:val="clear" w:color="auto" w:fill="011C50"/>
            <w:noWrap/>
            <w:vAlign w:val="center"/>
            <w:hideMark/>
          </w:tcPr>
          <w:p w14:paraId="33FDDB24" w14:textId="2D535E6B" w:rsidR="00081F8B" w:rsidRPr="006A0747" w:rsidRDefault="00AE760E" w:rsidP="00AE760E">
            <w:pPr>
              <w:spacing w:after="0" w:line="240" w:lineRule="auto"/>
              <w:jc w:val="center"/>
              <w:rPr>
                <w:rFonts w:ascii="Times New Roman" w:eastAsia="Times New Roman" w:hAnsi="Times New Roman" w:cs="Times New Roman"/>
                <w:color w:val="FFFFFF" w:themeColor="background1"/>
                <w:sz w:val="24"/>
                <w:szCs w:val="24"/>
                <w:lang w:eastAsia="es-DO"/>
              </w:rPr>
            </w:pPr>
            <w:r w:rsidRPr="006A0747">
              <w:rPr>
                <w:rFonts w:ascii="Times New Roman" w:eastAsia="Times New Roman" w:hAnsi="Times New Roman" w:cs="Times New Roman"/>
                <w:color w:val="FFFFFF" w:themeColor="background1"/>
                <w:sz w:val="24"/>
                <w:szCs w:val="24"/>
                <w:lang w:eastAsia="es-DO"/>
              </w:rPr>
              <w:t>-</w:t>
            </w:r>
          </w:p>
        </w:tc>
        <w:tc>
          <w:tcPr>
            <w:tcW w:w="0" w:type="auto"/>
            <w:shd w:val="clear" w:color="auto" w:fill="011C50"/>
            <w:noWrap/>
            <w:vAlign w:val="center"/>
            <w:hideMark/>
          </w:tcPr>
          <w:p w14:paraId="2CCCBAA0" w14:textId="0340BD77" w:rsidR="00081F8B" w:rsidRPr="006A0747" w:rsidRDefault="00AE760E" w:rsidP="00AE760E">
            <w:pPr>
              <w:spacing w:after="0" w:line="240" w:lineRule="auto"/>
              <w:jc w:val="center"/>
              <w:rPr>
                <w:rFonts w:ascii="Times New Roman" w:eastAsia="Times New Roman" w:hAnsi="Times New Roman" w:cs="Times New Roman"/>
                <w:color w:val="FFFFFF" w:themeColor="background1"/>
                <w:sz w:val="24"/>
                <w:szCs w:val="24"/>
                <w:lang w:eastAsia="es-DO"/>
              </w:rPr>
            </w:pPr>
            <w:r w:rsidRPr="006A0747">
              <w:rPr>
                <w:rFonts w:ascii="Times New Roman" w:eastAsia="Times New Roman" w:hAnsi="Times New Roman" w:cs="Times New Roman"/>
                <w:color w:val="FFFFFF" w:themeColor="background1"/>
                <w:sz w:val="24"/>
                <w:szCs w:val="24"/>
                <w:lang w:eastAsia="es-DO"/>
              </w:rPr>
              <w:t>-</w:t>
            </w:r>
          </w:p>
        </w:tc>
        <w:tc>
          <w:tcPr>
            <w:tcW w:w="0" w:type="auto"/>
            <w:shd w:val="clear" w:color="auto" w:fill="011C50"/>
            <w:noWrap/>
            <w:vAlign w:val="center"/>
            <w:hideMark/>
          </w:tcPr>
          <w:p w14:paraId="45205358" w14:textId="75511D3E" w:rsidR="00081F8B" w:rsidRPr="006A0747" w:rsidRDefault="00081F8B" w:rsidP="00AE760E">
            <w:pPr>
              <w:spacing w:after="0" w:line="240" w:lineRule="auto"/>
              <w:jc w:val="center"/>
              <w:rPr>
                <w:rFonts w:ascii="Times New Roman" w:eastAsia="Times New Roman" w:hAnsi="Times New Roman" w:cs="Times New Roman"/>
                <w:color w:val="FFFFFF" w:themeColor="background1"/>
                <w:sz w:val="24"/>
                <w:szCs w:val="24"/>
                <w:lang w:eastAsia="es-DO"/>
              </w:rPr>
            </w:pPr>
            <w:r w:rsidRPr="006A0747">
              <w:rPr>
                <w:rFonts w:ascii="Times New Roman" w:eastAsia="Times New Roman" w:hAnsi="Times New Roman" w:cs="Times New Roman"/>
                <w:color w:val="FFFFFF" w:themeColor="background1"/>
                <w:sz w:val="24"/>
                <w:szCs w:val="24"/>
                <w:lang w:eastAsia="es-DO"/>
              </w:rPr>
              <w:t>RD$ 34,695,679.</w:t>
            </w:r>
            <w:r w:rsidR="006E435C">
              <w:rPr>
                <w:rFonts w:ascii="Times New Roman" w:eastAsia="Times New Roman" w:hAnsi="Times New Roman" w:cs="Times New Roman"/>
                <w:color w:val="FFFFFF" w:themeColor="background1"/>
                <w:sz w:val="24"/>
                <w:szCs w:val="24"/>
                <w:lang w:eastAsia="es-DO"/>
              </w:rPr>
              <w:t>21</w:t>
            </w:r>
          </w:p>
        </w:tc>
        <w:tc>
          <w:tcPr>
            <w:tcW w:w="0" w:type="auto"/>
            <w:shd w:val="clear" w:color="auto" w:fill="011C50"/>
            <w:vAlign w:val="center"/>
          </w:tcPr>
          <w:p w14:paraId="1DC5BE2D" w14:textId="2E65E0EE" w:rsidR="00081F8B" w:rsidRPr="006A0747" w:rsidRDefault="00AE760E" w:rsidP="00AE760E">
            <w:pPr>
              <w:spacing w:after="0" w:line="240" w:lineRule="auto"/>
              <w:jc w:val="center"/>
              <w:rPr>
                <w:rFonts w:ascii="Times New Roman" w:eastAsia="Times New Roman" w:hAnsi="Times New Roman" w:cs="Times New Roman"/>
                <w:color w:val="FFFFFF" w:themeColor="background1"/>
                <w:sz w:val="24"/>
                <w:szCs w:val="24"/>
                <w:lang w:eastAsia="es-DO"/>
              </w:rPr>
            </w:pPr>
            <w:r w:rsidRPr="006A0747">
              <w:rPr>
                <w:rFonts w:ascii="Times New Roman" w:eastAsia="Times New Roman" w:hAnsi="Times New Roman" w:cs="Times New Roman"/>
                <w:color w:val="FFFFFF" w:themeColor="background1"/>
                <w:sz w:val="24"/>
                <w:szCs w:val="24"/>
                <w:lang w:eastAsia="es-DO"/>
              </w:rPr>
              <w:t>-</w:t>
            </w:r>
          </w:p>
        </w:tc>
        <w:tc>
          <w:tcPr>
            <w:tcW w:w="0" w:type="auto"/>
            <w:shd w:val="clear" w:color="auto" w:fill="011C50"/>
            <w:vAlign w:val="center"/>
          </w:tcPr>
          <w:p w14:paraId="4A8C0BAF" w14:textId="7226413B" w:rsidR="00081F8B" w:rsidRPr="006A0747" w:rsidRDefault="00AE760E" w:rsidP="00AE760E">
            <w:pPr>
              <w:spacing w:after="0" w:line="240" w:lineRule="auto"/>
              <w:jc w:val="center"/>
              <w:rPr>
                <w:rFonts w:ascii="Times New Roman" w:eastAsia="Times New Roman" w:hAnsi="Times New Roman" w:cs="Times New Roman"/>
                <w:color w:val="FFFFFF" w:themeColor="background1"/>
                <w:sz w:val="24"/>
                <w:szCs w:val="24"/>
                <w:lang w:eastAsia="es-DO"/>
              </w:rPr>
            </w:pPr>
            <w:r w:rsidRPr="006A0747">
              <w:rPr>
                <w:rFonts w:ascii="Times New Roman" w:eastAsia="Times New Roman" w:hAnsi="Times New Roman" w:cs="Times New Roman"/>
                <w:color w:val="FFFFFF" w:themeColor="background1"/>
                <w:sz w:val="24"/>
                <w:szCs w:val="24"/>
                <w:lang w:eastAsia="es-DO"/>
              </w:rPr>
              <w:t>-</w:t>
            </w:r>
          </w:p>
        </w:tc>
        <w:tc>
          <w:tcPr>
            <w:tcW w:w="0" w:type="auto"/>
            <w:shd w:val="clear" w:color="auto" w:fill="011C50"/>
            <w:vAlign w:val="center"/>
          </w:tcPr>
          <w:p w14:paraId="7971064C" w14:textId="01063A12" w:rsidR="00081F8B" w:rsidRPr="006A0747" w:rsidRDefault="006E435C" w:rsidP="00AE760E">
            <w:pPr>
              <w:spacing w:after="0" w:line="240" w:lineRule="auto"/>
              <w:jc w:val="center"/>
              <w:rPr>
                <w:rFonts w:ascii="Times New Roman" w:eastAsia="Times New Roman" w:hAnsi="Times New Roman" w:cs="Times New Roman"/>
                <w:color w:val="FFFFFF" w:themeColor="background1"/>
                <w:sz w:val="24"/>
                <w:szCs w:val="24"/>
                <w:lang w:eastAsia="es-DO"/>
              </w:rPr>
            </w:pPr>
            <w:r w:rsidRPr="006A0747">
              <w:rPr>
                <w:rFonts w:ascii="Times New Roman" w:eastAsia="Times New Roman" w:hAnsi="Times New Roman" w:cs="Times New Roman"/>
                <w:color w:val="FFFFFF" w:themeColor="background1"/>
                <w:sz w:val="24"/>
                <w:szCs w:val="24"/>
                <w:lang w:eastAsia="es-DO"/>
              </w:rPr>
              <w:t>RD$</w:t>
            </w:r>
            <w:r>
              <w:rPr>
                <w:rFonts w:ascii="Times New Roman" w:eastAsia="Times New Roman" w:hAnsi="Times New Roman" w:cs="Times New Roman"/>
                <w:color w:val="FFFFFF" w:themeColor="background1"/>
                <w:sz w:val="24"/>
                <w:szCs w:val="24"/>
                <w:lang w:eastAsia="es-DO"/>
              </w:rPr>
              <w:t xml:space="preserve"> 30,665,</w:t>
            </w:r>
            <w:r w:rsidR="00A0313C">
              <w:rPr>
                <w:rFonts w:ascii="Times New Roman" w:eastAsia="Times New Roman" w:hAnsi="Times New Roman" w:cs="Times New Roman"/>
                <w:color w:val="FFFFFF" w:themeColor="background1"/>
                <w:sz w:val="24"/>
                <w:szCs w:val="24"/>
                <w:lang w:eastAsia="es-DO"/>
              </w:rPr>
              <w:t>538.84</w:t>
            </w:r>
          </w:p>
        </w:tc>
        <w:tc>
          <w:tcPr>
            <w:tcW w:w="0" w:type="auto"/>
            <w:shd w:val="clear" w:color="auto" w:fill="011C50"/>
            <w:vAlign w:val="center"/>
          </w:tcPr>
          <w:p w14:paraId="18388410" w14:textId="3FAC2240" w:rsidR="00081F8B" w:rsidRPr="006A0747" w:rsidRDefault="00AE760E" w:rsidP="00AE760E">
            <w:pPr>
              <w:spacing w:after="0" w:line="240" w:lineRule="auto"/>
              <w:jc w:val="center"/>
              <w:rPr>
                <w:rFonts w:ascii="Times New Roman" w:eastAsia="Times New Roman" w:hAnsi="Times New Roman" w:cs="Times New Roman"/>
                <w:color w:val="FFFFFF" w:themeColor="background1"/>
                <w:sz w:val="24"/>
                <w:szCs w:val="24"/>
                <w:lang w:eastAsia="es-DO"/>
              </w:rPr>
            </w:pPr>
            <w:r w:rsidRPr="006A0747">
              <w:rPr>
                <w:rFonts w:ascii="Times New Roman" w:eastAsia="Times New Roman" w:hAnsi="Times New Roman" w:cs="Times New Roman"/>
                <w:color w:val="FFFFFF" w:themeColor="background1"/>
                <w:sz w:val="24"/>
                <w:szCs w:val="24"/>
                <w:lang w:eastAsia="es-DO"/>
              </w:rPr>
              <w:t>-</w:t>
            </w:r>
          </w:p>
        </w:tc>
        <w:tc>
          <w:tcPr>
            <w:tcW w:w="0" w:type="auto"/>
            <w:shd w:val="clear" w:color="auto" w:fill="011C50"/>
            <w:vAlign w:val="center"/>
          </w:tcPr>
          <w:p w14:paraId="4F3A1C84" w14:textId="7B24A5C5" w:rsidR="00081F8B" w:rsidRPr="006A0747" w:rsidRDefault="00AE760E" w:rsidP="00AE760E">
            <w:pPr>
              <w:spacing w:after="0" w:line="240" w:lineRule="auto"/>
              <w:jc w:val="center"/>
              <w:rPr>
                <w:rFonts w:ascii="Times New Roman" w:eastAsia="Times New Roman" w:hAnsi="Times New Roman" w:cs="Times New Roman"/>
                <w:color w:val="FFFFFF" w:themeColor="background1"/>
                <w:sz w:val="24"/>
                <w:szCs w:val="24"/>
                <w:lang w:eastAsia="es-DO"/>
              </w:rPr>
            </w:pPr>
            <w:r w:rsidRPr="006A0747">
              <w:rPr>
                <w:rFonts w:ascii="Times New Roman" w:eastAsia="Times New Roman" w:hAnsi="Times New Roman" w:cs="Times New Roman"/>
                <w:color w:val="FFFFFF" w:themeColor="background1"/>
                <w:sz w:val="24"/>
                <w:szCs w:val="24"/>
                <w:lang w:eastAsia="es-DO"/>
              </w:rPr>
              <w:t>-</w:t>
            </w:r>
          </w:p>
        </w:tc>
        <w:tc>
          <w:tcPr>
            <w:tcW w:w="0" w:type="auto"/>
            <w:shd w:val="clear" w:color="auto" w:fill="011C50"/>
            <w:vAlign w:val="center"/>
          </w:tcPr>
          <w:p w14:paraId="673E1295" w14:textId="3202FACB" w:rsidR="00081F8B" w:rsidRPr="006A0747" w:rsidRDefault="00A870A5" w:rsidP="00AE760E">
            <w:pPr>
              <w:spacing w:after="0" w:line="240" w:lineRule="auto"/>
              <w:jc w:val="center"/>
              <w:rPr>
                <w:rFonts w:ascii="Times New Roman" w:eastAsia="Times New Roman" w:hAnsi="Times New Roman" w:cs="Times New Roman"/>
                <w:color w:val="FFFFFF" w:themeColor="background1"/>
                <w:sz w:val="24"/>
                <w:szCs w:val="24"/>
                <w:lang w:eastAsia="es-DO"/>
              </w:rPr>
            </w:pPr>
            <w:r>
              <w:rPr>
                <w:rFonts w:ascii="Times New Roman" w:eastAsia="Times New Roman" w:hAnsi="Times New Roman" w:cs="Times New Roman"/>
                <w:color w:val="FFFFFF" w:themeColor="background1"/>
                <w:sz w:val="24"/>
                <w:szCs w:val="24"/>
                <w:lang w:eastAsia="es-DO"/>
              </w:rPr>
              <w:t xml:space="preserve">RD$ </w:t>
            </w:r>
            <w:r w:rsidR="006B5DB9">
              <w:rPr>
                <w:rFonts w:ascii="Times New Roman" w:eastAsia="Times New Roman" w:hAnsi="Times New Roman" w:cs="Times New Roman"/>
                <w:color w:val="FFFFFF" w:themeColor="background1"/>
                <w:sz w:val="24"/>
                <w:szCs w:val="24"/>
                <w:lang w:eastAsia="es-DO"/>
              </w:rPr>
              <w:t>59,585,293.60</w:t>
            </w:r>
          </w:p>
        </w:tc>
      </w:tr>
    </w:tbl>
    <w:p w14:paraId="2432B6C7" w14:textId="588B25F6" w:rsidR="004E3D4C" w:rsidRPr="006A0747" w:rsidRDefault="006E5DBF" w:rsidP="00BD669A">
      <w:pPr>
        <w:jc w:val="center"/>
        <w:rPr>
          <w:rFonts w:ascii="Times New Roman" w:hAnsi="Times New Roman" w:cs="Times New Roman"/>
          <w:i/>
          <w:color w:val="767177"/>
          <w:sz w:val="18"/>
          <w:szCs w:val="18"/>
        </w:rPr>
      </w:pPr>
      <w:r w:rsidRPr="006A0747">
        <w:rPr>
          <w:rFonts w:ascii="Times New Roman" w:hAnsi="Times New Roman" w:cs="Times New Roman"/>
          <w:b/>
          <w:i/>
          <w:color w:val="767177"/>
          <w:sz w:val="18"/>
          <w:szCs w:val="18"/>
        </w:rPr>
        <w:t>Fuerte</w:t>
      </w:r>
      <w:r w:rsidRPr="006A0747">
        <w:rPr>
          <w:rFonts w:ascii="Times New Roman" w:hAnsi="Times New Roman" w:cs="Times New Roman"/>
          <w:i/>
          <w:color w:val="767177"/>
          <w:sz w:val="18"/>
          <w:szCs w:val="18"/>
        </w:rPr>
        <w:t xml:space="preserve">: Elaboración propia de la Superintendencia de Bancos – Producción </w:t>
      </w:r>
      <w:r w:rsidR="00081F8B" w:rsidRPr="006A0747">
        <w:rPr>
          <w:rFonts w:ascii="Times New Roman" w:hAnsi="Times New Roman" w:cs="Times New Roman"/>
          <w:i/>
          <w:color w:val="767177"/>
          <w:sz w:val="18"/>
          <w:szCs w:val="18"/>
        </w:rPr>
        <w:t>Institucional año</w:t>
      </w:r>
      <w:r w:rsidRPr="006A0747">
        <w:rPr>
          <w:rFonts w:ascii="Times New Roman" w:hAnsi="Times New Roman" w:cs="Times New Roman"/>
          <w:i/>
          <w:color w:val="767177"/>
          <w:sz w:val="18"/>
          <w:szCs w:val="18"/>
        </w:rPr>
        <w:t xml:space="preserve"> 2024</w:t>
      </w:r>
    </w:p>
    <w:p w14:paraId="1CADB30F" w14:textId="77777777" w:rsidR="00267071" w:rsidRPr="006A0747" w:rsidRDefault="00267071" w:rsidP="006E5DBF">
      <w:pPr>
        <w:jc w:val="center"/>
        <w:rPr>
          <w:rFonts w:ascii="Times New Roman" w:hAnsi="Times New Roman" w:cs="Times New Roman"/>
          <w:i/>
          <w:color w:val="767177"/>
          <w:sz w:val="18"/>
          <w:szCs w:val="18"/>
        </w:rPr>
      </w:pPr>
    </w:p>
    <w:p w14:paraId="05485A23" w14:textId="77777777" w:rsidR="00BD669A" w:rsidRPr="006A0747" w:rsidRDefault="00BD669A" w:rsidP="006E5DBF">
      <w:pPr>
        <w:jc w:val="center"/>
        <w:rPr>
          <w:rFonts w:ascii="Times New Roman" w:hAnsi="Times New Roman" w:cs="Times New Roman"/>
          <w:i/>
          <w:color w:val="767177"/>
          <w:sz w:val="18"/>
          <w:szCs w:val="18"/>
        </w:rPr>
      </w:pPr>
    </w:p>
    <w:p w14:paraId="4E6458E4" w14:textId="77777777" w:rsidR="00BD669A" w:rsidRPr="006A0747" w:rsidRDefault="00BD669A" w:rsidP="006E5DBF">
      <w:pPr>
        <w:jc w:val="center"/>
        <w:rPr>
          <w:rFonts w:ascii="Times New Roman" w:hAnsi="Times New Roman" w:cs="Times New Roman"/>
          <w:i/>
          <w:color w:val="767177"/>
          <w:sz w:val="18"/>
          <w:szCs w:val="18"/>
        </w:rPr>
      </w:pPr>
    </w:p>
    <w:p w14:paraId="1A56C04A" w14:textId="77777777" w:rsidR="00BD669A" w:rsidRPr="006A0747" w:rsidRDefault="00BD669A" w:rsidP="006E5DBF">
      <w:pPr>
        <w:jc w:val="center"/>
        <w:rPr>
          <w:rFonts w:ascii="Times New Roman" w:hAnsi="Times New Roman" w:cs="Times New Roman"/>
          <w:i/>
          <w:color w:val="767177"/>
          <w:sz w:val="18"/>
          <w:szCs w:val="18"/>
        </w:rPr>
      </w:pPr>
    </w:p>
    <w:p w14:paraId="356889EA" w14:textId="77777777" w:rsidR="00BD669A" w:rsidRPr="006A0747" w:rsidRDefault="00BD669A" w:rsidP="006E5DBF">
      <w:pPr>
        <w:jc w:val="center"/>
        <w:rPr>
          <w:rFonts w:ascii="Times New Roman" w:hAnsi="Times New Roman" w:cs="Times New Roman"/>
          <w:i/>
          <w:color w:val="767177"/>
          <w:sz w:val="18"/>
          <w:szCs w:val="18"/>
        </w:rPr>
      </w:pPr>
    </w:p>
    <w:p w14:paraId="7FCFE850" w14:textId="77777777" w:rsidR="00BD669A" w:rsidRPr="006A0747" w:rsidRDefault="00BD669A" w:rsidP="006E5DBF">
      <w:pPr>
        <w:jc w:val="center"/>
        <w:rPr>
          <w:rFonts w:ascii="Times New Roman" w:hAnsi="Times New Roman" w:cs="Times New Roman"/>
          <w:i/>
          <w:color w:val="767177"/>
          <w:sz w:val="18"/>
          <w:szCs w:val="18"/>
        </w:rPr>
      </w:pPr>
    </w:p>
    <w:p w14:paraId="65A2C988" w14:textId="77777777" w:rsidR="00BD669A" w:rsidRPr="006A0747" w:rsidRDefault="00BD669A" w:rsidP="006E5DBF">
      <w:pPr>
        <w:jc w:val="center"/>
        <w:rPr>
          <w:rFonts w:ascii="Times New Roman" w:hAnsi="Times New Roman" w:cs="Times New Roman"/>
          <w:i/>
          <w:color w:val="767177"/>
          <w:sz w:val="18"/>
          <w:szCs w:val="18"/>
        </w:rPr>
      </w:pPr>
    </w:p>
    <w:p w14:paraId="00D6B729" w14:textId="77777777" w:rsidR="00BD669A" w:rsidRPr="006A0747" w:rsidRDefault="00BD669A" w:rsidP="006E5DBF">
      <w:pPr>
        <w:jc w:val="center"/>
        <w:rPr>
          <w:rFonts w:ascii="Times New Roman" w:hAnsi="Times New Roman" w:cs="Times New Roman"/>
          <w:i/>
          <w:color w:val="767177"/>
          <w:sz w:val="18"/>
          <w:szCs w:val="18"/>
        </w:rPr>
      </w:pPr>
    </w:p>
    <w:p w14:paraId="54DF5886" w14:textId="77777777" w:rsidR="00BD669A" w:rsidRPr="006A0747" w:rsidRDefault="00BD669A" w:rsidP="006E5DBF">
      <w:pPr>
        <w:jc w:val="center"/>
        <w:rPr>
          <w:rFonts w:ascii="Times New Roman" w:hAnsi="Times New Roman" w:cs="Times New Roman"/>
          <w:i/>
          <w:color w:val="767177"/>
          <w:sz w:val="18"/>
          <w:szCs w:val="18"/>
        </w:rPr>
      </w:pPr>
    </w:p>
    <w:p w14:paraId="536EC775" w14:textId="77777777" w:rsidR="00BD669A" w:rsidRPr="006A0747" w:rsidRDefault="00BD669A" w:rsidP="006E5DBF">
      <w:pPr>
        <w:jc w:val="center"/>
        <w:rPr>
          <w:rFonts w:ascii="Times New Roman" w:hAnsi="Times New Roman" w:cs="Times New Roman"/>
          <w:i/>
          <w:color w:val="767177"/>
          <w:sz w:val="18"/>
          <w:szCs w:val="18"/>
        </w:rPr>
      </w:pPr>
    </w:p>
    <w:p w14:paraId="6AC1374E" w14:textId="77777777" w:rsidR="00BD669A" w:rsidRPr="006A0747" w:rsidRDefault="00BD669A" w:rsidP="006E5DBF">
      <w:pPr>
        <w:jc w:val="center"/>
        <w:rPr>
          <w:rFonts w:ascii="Times New Roman" w:hAnsi="Times New Roman" w:cs="Times New Roman"/>
          <w:i/>
          <w:color w:val="767177"/>
          <w:sz w:val="18"/>
          <w:szCs w:val="18"/>
        </w:rPr>
      </w:pPr>
    </w:p>
    <w:p w14:paraId="67AE13CD" w14:textId="77777777" w:rsidR="00BD669A" w:rsidRPr="006A0747" w:rsidRDefault="00BD669A" w:rsidP="006E5DBF">
      <w:pPr>
        <w:jc w:val="center"/>
        <w:rPr>
          <w:rFonts w:ascii="Times New Roman" w:hAnsi="Times New Roman" w:cs="Times New Roman"/>
          <w:i/>
          <w:color w:val="767177"/>
          <w:sz w:val="18"/>
          <w:szCs w:val="18"/>
        </w:rPr>
      </w:pPr>
    </w:p>
    <w:p w14:paraId="2B065CB7" w14:textId="77777777" w:rsidR="00BD669A" w:rsidRPr="006A0747" w:rsidRDefault="00BD669A" w:rsidP="006E5DBF">
      <w:pPr>
        <w:jc w:val="center"/>
        <w:rPr>
          <w:rFonts w:ascii="Times New Roman" w:hAnsi="Times New Roman" w:cs="Times New Roman"/>
          <w:i/>
          <w:color w:val="767177"/>
          <w:sz w:val="18"/>
          <w:szCs w:val="18"/>
        </w:rPr>
      </w:pPr>
    </w:p>
    <w:p w14:paraId="19CC9F1B" w14:textId="77777777" w:rsidR="00BD669A" w:rsidRPr="006A0747" w:rsidRDefault="00BD669A" w:rsidP="006E5DBF">
      <w:pPr>
        <w:jc w:val="center"/>
        <w:rPr>
          <w:rFonts w:ascii="Times New Roman" w:hAnsi="Times New Roman" w:cs="Times New Roman"/>
          <w:i/>
          <w:color w:val="767177"/>
          <w:sz w:val="18"/>
          <w:szCs w:val="18"/>
        </w:rPr>
      </w:pPr>
    </w:p>
    <w:p w14:paraId="318161C8" w14:textId="77777777" w:rsidR="00BD669A" w:rsidRPr="006A0747" w:rsidRDefault="00BD669A" w:rsidP="006E5DBF">
      <w:pPr>
        <w:jc w:val="center"/>
        <w:rPr>
          <w:rFonts w:ascii="Times New Roman" w:hAnsi="Times New Roman" w:cs="Times New Roman"/>
          <w:i/>
          <w:color w:val="767177"/>
          <w:sz w:val="18"/>
          <w:szCs w:val="18"/>
        </w:rPr>
      </w:pPr>
    </w:p>
    <w:p w14:paraId="2D091E2B" w14:textId="77777777" w:rsidR="00BD669A" w:rsidRPr="006A0747" w:rsidRDefault="00BD669A" w:rsidP="006E5DBF">
      <w:pPr>
        <w:jc w:val="center"/>
        <w:rPr>
          <w:rFonts w:ascii="Times New Roman" w:hAnsi="Times New Roman" w:cs="Times New Roman"/>
          <w:i/>
          <w:color w:val="767177"/>
          <w:sz w:val="18"/>
          <w:szCs w:val="18"/>
        </w:rPr>
      </w:pPr>
    </w:p>
    <w:p w14:paraId="15E98A84" w14:textId="77777777" w:rsidR="00BD669A" w:rsidRPr="006A0747" w:rsidRDefault="00BD669A" w:rsidP="006E5DBF">
      <w:pPr>
        <w:jc w:val="center"/>
        <w:rPr>
          <w:rFonts w:ascii="Times New Roman" w:hAnsi="Times New Roman" w:cs="Times New Roman"/>
          <w:i/>
          <w:color w:val="767177"/>
          <w:sz w:val="18"/>
          <w:szCs w:val="18"/>
        </w:rPr>
      </w:pPr>
    </w:p>
    <w:p w14:paraId="01E3485D" w14:textId="77777777" w:rsidR="00BD669A" w:rsidRPr="006A0747" w:rsidRDefault="00BD669A" w:rsidP="006E5DBF">
      <w:pPr>
        <w:jc w:val="center"/>
        <w:rPr>
          <w:rFonts w:ascii="Times New Roman" w:hAnsi="Times New Roman" w:cs="Times New Roman"/>
          <w:i/>
          <w:color w:val="767177"/>
          <w:sz w:val="18"/>
          <w:szCs w:val="18"/>
        </w:rPr>
      </w:pPr>
    </w:p>
    <w:p w14:paraId="3C87CA0B" w14:textId="77777777" w:rsidR="00BD669A" w:rsidRPr="006A0747" w:rsidRDefault="00BD669A" w:rsidP="006E5DBF">
      <w:pPr>
        <w:jc w:val="center"/>
        <w:rPr>
          <w:rFonts w:ascii="Times New Roman" w:hAnsi="Times New Roman" w:cs="Times New Roman"/>
          <w:i/>
          <w:color w:val="767177"/>
          <w:sz w:val="18"/>
          <w:szCs w:val="18"/>
        </w:rPr>
      </w:pPr>
    </w:p>
    <w:p w14:paraId="46AE6C13" w14:textId="77777777" w:rsidR="00BD669A" w:rsidRPr="006A0747" w:rsidRDefault="00BD669A" w:rsidP="006E5DBF">
      <w:pPr>
        <w:jc w:val="center"/>
        <w:rPr>
          <w:rFonts w:ascii="Times New Roman" w:hAnsi="Times New Roman" w:cs="Times New Roman"/>
          <w:i/>
          <w:color w:val="767177"/>
          <w:sz w:val="18"/>
          <w:szCs w:val="18"/>
        </w:rPr>
      </w:pPr>
    </w:p>
    <w:p w14:paraId="39CAFE2D" w14:textId="7DCEEF5C" w:rsidR="00641614" w:rsidRPr="006A0747" w:rsidRDefault="00153264" w:rsidP="00641614">
      <w:pPr>
        <w:pStyle w:val="Ttulo2"/>
        <w:numPr>
          <w:ilvl w:val="1"/>
          <w:numId w:val="17"/>
        </w:numPr>
        <w:jc w:val="center"/>
        <w:rPr>
          <w:rFonts w:ascii="Times New Roman" w:eastAsia="Calibri" w:hAnsi="Times New Roman" w:cs="Times New Roman"/>
          <w:b/>
          <w:color w:val="767171"/>
          <w:spacing w:val="20"/>
          <w:sz w:val="24"/>
          <w:szCs w:val="24"/>
        </w:rPr>
      </w:pPr>
      <w:bookmarkStart w:id="76" w:name="_Toc185275021"/>
      <w:r w:rsidRPr="006A0747">
        <w:rPr>
          <w:rFonts w:ascii="Times New Roman" w:eastAsia="Calibri" w:hAnsi="Times New Roman" w:cs="Times New Roman"/>
          <w:b/>
          <w:color w:val="767171"/>
          <w:spacing w:val="20"/>
          <w:sz w:val="24"/>
          <w:szCs w:val="24"/>
        </w:rPr>
        <w:t>Matriz de Gestión Presupuestaria Anual</w:t>
      </w:r>
      <w:bookmarkEnd w:id="76"/>
    </w:p>
    <w:p w14:paraId="677E5CDE" w14:textId="6D0FDD40" w:rsidR="00BD669A" w:rsidRPr="006A0747" w:rsidRDefault="00F5719A" w:rsidP="00BD669A">
      <w:pPr>
        <w:spacing w:after="0"/>
        <w:jc w:val="center"/>
        <w:rPr>
          <w:rFonts w:ascii="Times New Roman" w:hAnsi="Times New Roman" w:cs="Times New Roman"/>
          <w:color w:val="767177"/>
          <w:spacing w:val="20"/>
          <w:sz w:val="24"/>
          <w:szCs w:val="24"/>
        </w:rPr>
      </w:pPr>
      <w:r w:rsidRPr="006A0747">
        <w:rPr>
          <w:rFonts w:ascii="Times New Roman" w:hAnsi="Times New Roman" w:cs="Times New Roman"/>
          <w:color w:val="767177"/>
          <w:spacing w:val="20"/>
          <w:sz w:val="24"/>
          <w:szCs w:val="24"/>
        </w:rPr>
        <w:t xml:space="preserve"> </w:t>
      </w:r>
      <w:r w:rsidR="00153264" w:rsidRPr="006A0747">
        <w:rPr>
          <w:rFonts w:ascii="Times New Roman" w:hAnsi="Times New Roman" w:cs="Times New Roman"/>
          <w:color w:val="767177"/>
          <w:spacing w:val="20"/>
          <w:sz w:val="24"/>
          <w:szCs w:val="24"/>
        </w:rPr>
        <w:t>Año 2024</w:t>
      </w:r>
    </w:p>
    <w:tbl>
      <w:tblPr>
        <w:tblpPr w:leftFromText="141" w:rightFromText="141" w:vertAnchor="page" w:horzAnchor="margin" w:tblpY="2460"/>
        <w:tblW w:w="0" w:type="auto"/>
        <w:tblCellMar>
          <w:left w:w="0" w:type="dxa"/>
          <w:right w:w="0" w:type="dxa"/>
        </w:tblCellMar>
        <w:tblLook w:val="04A0" w:firstRow="1" w:lastRow="0" w:firstColumn="1" w:lastColumn="0" w:noHBand="0" w:noVBand="1"/>
      </w:tblPr>
      <w:tblGrid>
        <w:gridCol w:w="1226"/>
        <w:gridCol w:w="1236"/>
        <w:gridCol w:w="1307"/>
        <w:gridCol w:w="1053"/>
        <w:gridCol w:w="982"/>
        <w:gridCol w:w="911"/>
        <w:gridCol w:w="1185"/>
      </w:tblGrid>
      <w:tr w:rsidR="00BD669A" w:rsidRPr="006A0747" w14:paraId="3DFC4A42" w14:textId="77777777" w:rsidTr="004146B2">
        <w:trPr>
          <w:trHeight w:val="1113"/>
          <w:tblHeader/>
        </w:trPr>
        <w:tc>
          <w:tcPr>
            <w:tcW w:w="0" w:type="auto"/>
            <w:tcBorders>
              <w:top w:val="single" w:sz="8" w:space="0" w:color="auto"/>
              <w:left w:val="single" w:sz="8" w:space="0" w:color="auto"/>
              <w:bottom w:val="single" w:sz="8" w:space="0" w:color="auto"/>
              <w:right w:val="single" w:sz="8" w:space="0" w:color="auto"/>
            </w:tcBorders>
            <w:shd w:val="clear" w:color="auto" w:fill="002060"/>
            <w:tcMar>
              <w:top w:w="0" w:type="dxa"/>
              <w:left w:w="70" w:type="dxa"/>
              <w:bottom w:w="0" w:type="dxa"/>
              <w:right w:w="70" w:type="dxa"/>
            </w:tcMar>
            <w:vAlign w:val="center"/>
            <w:hideMark/>
          </w:tcPr>
          <w:p w14:paraId="636E0680" w14:textId="77777777" w:rsidR="00206E1F" w:rsidRPr="006A0747" w:rsidRDefault="00206E1F">
            <w:pPr>
              <w:pStyle w:val="xxmsonormal"/>
              <w:jc w:val="center"/>
              <w:rPr>
                <w:rFonts w:ascii="Times New Roman" w:hAnsi="Times New Roman" w:cs="Times New Roman"/>
                <w:sz w:val="24"/>
                <w:szCs w:val="24"/>
              </w:rPr>
            </w:pPr>
            <w:r w:rsidRPr="006A0747">
              <w:rPr>
                <w:rFonts w:ascii="Times New Roman" w:hAnsi="Times New Roman" w:cs="Times New Roman"/>
                <w:b/>
                <w:bCs/>
                <w:color w:val="FFFFFF"/>
                <w:sz w:val="24"/>
                <w:szCs w:val="24"/>
              </w:rPr>
              <w:lastRenderedPageBreak/>
              <w:t>Código Programa / Subprograma</w:t>
            </w:r>
          </w:p>
        </w:tc>
        <w:tc>
          <w:tcPr>
            <w:tcW w:w="0" w:type="auto"/>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0EFC4780" w14:textId="77777777" w:rsidR="00206E1F" w:rsidRPr="006A0747" w:rsidRDefault="00206E1F">
            <w:pPr>
              <w:pStyle w:val="xxmsonormal"/>
              <w:jc w:val="center"/>
              <w:rPr>
                <w:rFonts w:ascii="Times New Roman" w:hAnsi="Times New Roman" w:cs="Times New Roman"/>
                <w:sz w:val="24"/>
                <w:szCs w:val="24"/>
              </w:rPr>
            </w:pPr>
            <w:r w:rsidRPr="006A0747">
              <w:rPr>
                <w:rFonts w:ascii="Times New Roman" w:hAnsi="Times New Roman" w:cs="Times New Roman"/>
                <w:b/>
                <w:bCs/>
                <w:color w:val="FFFFFF"/>
                <w:sz w:val="24"/>
                <w:szCs w:val="24"/>
              </w:rPr>
              <w:t>Nombre del Programa</w:t>
            </w:r>
          </w:p>
        </w:tc>
        <w:tc>
          <w:tcPr>
            <w:tcW w:w="0" w:type="auto"/>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7F4FBBA8" w14:textId="77777777" w:rsidR="00206E1F" w:rsidRPr="006A0747" w:rsidRDefault="00206E1F">
            <w:pPr>
              <w:pStyle w:val="xxmsonormal"/>
              <w:jc w:val="center"/>
              <w:rPr>
                <w:rFonts w:ascii="Times New Roman" w:hAnsi="Times New Roman" w:cs="Times New Roman"/>
                <w:sz w:val="24"/>
                <w:szCs w:val="24"/>
              </w:rPr>
            </w:pPr>
            <w:r w:rsidRPr="006A0747">
              <w:rPr>
                <w:rFonts w:ascii="Times New Roman" w:hAnsi="Times New Roman" w:cs="Times New Roman"/>
                <w:b/>
                <w:bCs/>
                <w:color w:val="FFFFFF"/>
                <w:sz w:val="24"/>
                <w:szCs w:val="24"/>
              </w:rPr>
              <w:t>Asignación presupuestaria 2024 (RD$)</w:t>
            </w:r>
          </w:p>
        </w:tc>
        <w:tc>
          <w:tcPr>
            <w:tcW w:w="0" w:type="auto"/>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30DF2B25" w14:textId="77777777" w:rsidR="00206E1F" w:rsidRPr="006A0747" w:rsidRDefault="00206E1F">
            <w:pPr>
              <w:pStyle w:val="xxmsonormal"/>
              <w:jc w:val="center"/>
              <w:rPr>
                <w:rFonts w:ascii="Times New Roman" w:hAnsi="Times New Roman" w:cs="Times New Roman"/>
                <w:sz w:val="24"/>
                <w:szCs w:val="24"/>
              </w:rPr>
            </w:pPr>
            <w:r w:rsidRPr="006A0747">
              <w:rPr>
                <w:rFonts w:ascii="Times New Roman" w:hAnsi="Times New Roman" w:cs="Times New Roman"/>
                <w:b/>
                <w:bCs/>
                <w:color w:val="FFFFFF"/>
                <w:sz w:val="24"/>
                <w:szCs w:val="24"/>
              </w:rPr>
              <w:t>Ejecución 2024 (RD$)</w:t>
            </w:r>
          </w:p>
        </w:tc>
        <w:tc>
          <w:tcPr>
            <w:tcW w:w="0" w:type="auto"/>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7C8701E1" w14:textId="77777777" w:rsidR="00206E1F" w:rsidRPr="006A0747" w:rsidRDefault="00206E1F">
            <w:pPr>
              <w:pStyle w:val="xxmsonormal"/>
              <w:jc w:val="center"/>
              <w:rPr>
                <w:rFonts w:ascii="Times New Roman" w:hAnsi="Times New Roman" w:cs="Times New Roman"/>
                <w:sz w:val="24"/>
                <w:szCs w:val="24"/>
              </w:rPr>
            </w:pPr>
            <w:r w:rsidRPr="006A0747">
              <w:rPr>
                <w:rFonts w:ascii="Times New Roman" w:hAnsi="Times New Roman" w:cs="Times New Roman"/>
                <w:b/>
                <w:bCs/>
                <w:color w:val="FFFFFF"/>
                <w:sz w:val="24"/>
                <w:szCs w:val="24"/>
              </w:rPr>
              <w:t>Cantidad de Productos Generados por Programa</w:t>
            </w:r>
          </w:p>
        </w:tc>
        <w:tc>
          <w:tcPr>
            <w:tcW w:w="0" w:type="auto"/>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626013F7" w14:textId="77777777" w:rsidR="00206E1F" w:rsidRPr="006A0747" w:rsidRDefault="00206E1F">
            <w:pPr>
              <w:pStyle w:val="xxmsonormal"/>
              <w:jc w:val="center"/>
              <w:rPr>
                <w:rFonts w:ascii="Times New Roman" w:hAnsi="Times New Roman" w:cs="Times New Roman"/>
                <w:sz w:val="24"/>
                <w:szCs w:val="24"/>
              </w:rPr>
            </w:pPr>
            <w:r w:rsidRPr="006A0747">
              <w:rPr>
                <w:rFonts w:ascii="Times New Roman" w:hAnsi="Times New Roman" w:cs="Times New Roman"/>
                <w:b/>
                <w:bCs/>
                <w:color w:val="FFFFFF"/>
                <w:sz w:val="24"/>
                <w:szCs w:val="24"/>
              </w:rPr>
              <w:t>Índice de Ejecución %</w:t>
            </w:r>
          </w:p>
        </w:tc>
        <w:tc>
          <w:tcPr>
            <w:tcW w:w="0" w:type="auto"/>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1AEAD50E" w14:textId="77777777" w:rsidR="00206E1F" w:rsidRPr="006A0747" w:rsidRDefault="00206E1F">
            <w:pPr>
              <w:pStyle w:val="xxmsonormal"/>
              <w:jc w:val="center"/>
              <w:rPr>
                <w:rFonts w:ascii="Times New Roman" w:hAnsi="Times New Roman" w:cs="Times New Roman"/>
                <w:sz w:val="24"/>
                <w:szCs w:val="24"/>
              </w:rPr>
            </w:pPr>
            <w:r w:rsidRPr="006A0747">
              <w:rPr>
                <w:rFonts w:ascii="Times New Roman" w:hAnsi="Times New Roman" w:cs="Times New Roman"/>
                <w:b/>
                <w:bCs/>
                <w:color w:val="FFFFFF"/>
                <w:sz w:val="24"/>
                <w:szCs w:val="24"/>
              </w:rPr>
              <w:t>Participación ejecución por programa (%)</w:t>
            </w:r>
          </w:p>
        </w:tc>
      </w:tr>
      <w:tr w:rsidR="00206E1F" w:rsidRPr="006A0747" w14:paraId="70C18FEC" w14:textId="77777777" w:rsidTr="004146B2">
        <w:trPr>
          <w:trHeight w:val="359"/>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2B9AD75" w14:textId="77777777" w:rsidR="00206E1F" w:rsidRPr="006A0747" w:rsidRDefault="00206E1F">
            <w:pPr>
              <w:pStyle w:val="xxmsonormal"/>
              <w:jc w:val="center"/>
              <w:rPr>
                <w:rFonts w:ascii="Times New Roman" w:hAnsi="Times New Roman" w:cs="Times New Roman"/>
                <w:color w:val="595959" w:themeColor="text1" w:themeTint="A6"/>
                <w:sz w:val="24"/>
                <w:szCs w:val="24"/>
              </w:rPr>
            </w:pPr>
            <w:r w:rsidRPr="006A0747">
              <w:rPr>
                <w:rFonts w:ascii="Times New Roman" w:hAnsi="Times New Roman" w:cs="Times New Roman"/>
                <w:color w:val="595959" w:themeColor="text1" w:themeTint="A6"/>
                <w:sz w:val="24"/>
                <w:szCs w:val="24"/>
              </w:rPr>
              <w:t>11.01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78400F0F" w14:textId="77777777" w:rsidR="00206E1F" w:rsidRPr="006A0747" w:rsidRDefault="00206E1F">
            <w:pPr>
              <w:pStyle w:val="xxmsonormal"/>
              <w:jc w:val="center"/>
              <w:rPr>
                <w:rFonts w:ascii="Times New Roman" w:hAnsi="Times New Roman" w:cs="Times New Roman"/>
                <w:color w:val="595959" w:themeColor="text1" w:themeTint="A6"/>
                <w:sz w:val="24"/>
                <w:szCs w:val="24"/>
              </w:rPr>
            </w:pPr>
            <w:r w:rsidRPr="006A0747">
              <w:rPr>
                <w:rFonts w:ascii="Times New Roman" w:hAnsi="Times New Roman" w:cs="Times New Roman"/>
                <w:color w:val="595959" w:themeColor="text1" w:themeTint="A6"/>
                <w:sz w:val="24"/>
                <w:szCs w:val="24"/>
              </w:rPr>
              <w:t>Entidades de intermediación financiera y cambiara con supervisión y control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4C8E9D12" w14:textId="77777777" w:rsidR="00206E1F" w:rsidRPr="006A0747" w:rsidRDefault="00206E1F">
            <w:pPr>
              <w:pStyle w:val="xxmsonormal"/>
              <w:jc w:val="right"/>
              <w:rPr>
                <w:rFonts w:ascii="Times New Roman" w:hAnsi="Times New Roman" w:cs="Times New Roman"/>
                <w:color w:val="595959" w:themeColor="text1" w:themeTint="A6"/>
                <w:sz w:val="24"/>
                <w:szCs w:val="24"/>
              </w:rPr>
            </w:pPr>
            <w:r w:rsidRPr="006A0747">
              <w:rPr>
                <w:rFonts w:ascii="Times New Roman" w:hAnsi="Times New Roman" w:cs="Times New Roman"/>
                <w:color w:val="595959" w:themeColor="text1" w:themeTint="A6"/>
                <w:sz w:val="24"/>
                <w:szCs w:val="24"/>
              </w:rPr>
              <w:t>524,371,546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162CA7AA" w14:textId="704B4AF8" w:rsidR="00206E1F" w:rsidRPr="006A0747" w:rsidRDefault="001E0432">
            <w:pPr>
              <w:pStyle w:val="xxmsonormal"/>
              <w:jc w:val="right"/>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415</w:t>
            </w:r>
            <w:r w:rsidR="00206E1F" w:rsidRPr="006A0747">
              <w:rPr>
                <w:rFonts w:ascii="Times New Roman" w:hAnsi="Times New Roman" w:cs="Times New Roman"/>
                <w:color w:val="595959" w:themeColor="text1" w:themeTint="A6"/>
                <w:sz w:val="24"/>
                <w:szCs w:val="24"/>
              </w:rPr>
              <w:t>,</w:t>
            </w:r>
            <w:r>
              <w:rPr>
                <w:rFonts w:ascii="Times New Roman" w:hAnsi="Times New Roman" w:cs="Times New Roman"/>
                <w:color w:val="595959" w:themeColor="text1" w:themeTint="A6"/>
                <w:sz w:val="24"/>
                <w:szCs w:val="24"/>
              </w:rPr>
              <w:t>427</w:t>
            </w:r>
            <w:r w:rsidR="00206E1F" w:rsidRPr="006A0747">
              <w:rPr>
                <w:rFonts w:ascii="Times New Roman" w:hAnsi="Times New Roman" w:cs="Times New Roman"/>
                <w:color w:val="595959" w:themeColor="text1" w:themeTint="A6"/>
                <w:sz w:val="24"/>
                <w:szCs w:val="24"/>
              </w:rPr>
              <w:t>,</w:t>
            </w:r>
            <w:r w:rsidR="00842B83">
              <w:rPr>
                <w:rFonts w:ascii="Times New Roman" w:hAnsi="Times New Roman" w:cs="Times New Roman"/>
                <w:color w:val="595959" w:themeColor="text1" w:themeTint="A6"/>
                <w:sz w:val="24"/>
                <w:szCs w:val="24"/>
              </w:rPr>
              <w:t>924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4A28DC5B" w14:textId="751DE617" w:rsidR="00206E1F" w:rsidRPr="006A0747" w:rsidRDefault="000F06E0">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71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1C9A605C" w14:textId="14D7FB8F" w:rsidR="00206E1F" w:rsidRPr="006A0747" w:rsidRDefault="00D361E5">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79</w:t>
            </w:r>
            <w:r w:rsidR="00206E1F" w:rsidRPr="006A0747">
              <w:rPr>
                <w:rFonts w:ascii="Times New Roman" w:hAnsi="Times New Roman" w:cs="Times New Roman"/>
                <w:color w:val="595959" w:themeColor="text1" w:themeTint="A6"/>
                <w:sz w:val="24"/>
                <w:szCs w:val="24"/>
              </w:rPr>
              <w:t>.</w:t>
            </w:r>
            <w:r>
              <w:rPr>
                <w:rFonts w:ascii="Times New Roman" w:hAnsi="Times New Roman" w:cs="Times New Roman"/>
                <w:color w:val="595959" w:themeColor="text1" w:themeTint="A6"/>
                <w:sz w:val="24"/>
                <w:szCs w:val="24"/>
              </w:rPr>
              <w:t>22</w:t>
            </w:r>
            <w:r w:rsidR="00206E1F" w:rsidRPr="006A0747">
              <w:rPr>
                <w:rFonts w:ascii="Times New Roman" w:hAnsi="Times New Roman" w:cs="Times New Roman"/>
                <w:color w:val="595959" w:themeColor="text1" w:themeTint="A6"/>
                <w:sz w:val="24"/>
                <w:szCs w:val="24"/>
              </w:rPr>
              <w: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696F5FF8" w14:textId="35FC6B43" w:rsidR="00206E1F" w:rsidRPr="006A0747" w:rsidRDefault="006E51AA">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124.56</w:t>
            </w:r>
            <w:r w:rsidR="00206E1F" w:rsidRPr="006A0747">
              <w:rPr>
                <w:rFonts w:ascii="Times New Roman" w:hAnsi="Times New Roman" w:cs="Times New Roman"/>
                <w:color w:val="595959" w:themeColor="text1" w:themeTint="A6"/>
                <w:sz w:val="24"/>
                <w:szCs w:val="24"/>
              </w:rPr>
              <w:t>%</w:t>
            </w:r>
          </w:p>
        </w:tc>
      </w:tr>
      <w:tr w:rsidR="00206E1F" w:rsidRPr="006A0747" w14:paraId="5D6680C8" w14:textId="77777777" w:rsidTr="004146B2">
        <w:trPr>
          <w:trHeight w:val="1267"/>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4CBB40FA" w14:textId="77777777" w:rsidR="00206E1F" w:rsidRPr="006A0747" w:rsidRDefault="00206E1F">
            <w:pPr>
              <w:pStyle w:val="xxmsonormal"/>
              <w:jc w:val="center"/>
              <w:rPr>
                <w:rFonts w:ascii="Times New Roman" w:hAnsi="Times New Roman" w:cs="Times New Roman"/>
                <w:color w:val="595959" w:themeColor="text1" w:themeTint="A6"/>
                <w:sz w:val="24"/>
                <w:szCs w:val="24"/>
              </w:rPr>
            </w:pPr>
            <w:r w:rsidRPr="006A0747">
              <w:rPr>
                <w:rFonts w:ascii="Times New Roman" w:hAnsi="Times New Roman" w:cs="Times New Roman"/>
                <w:color w:val="595959" w:themeColor="text1" w:themeTint="A6"/>
                <w:sz w:val="24"/>
                <w:szCs w:val="24"/>
              </w:rPr>
              <w:t>11.02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46B8948E" w14:textId="77777777" w:rsidR="00206E1F" w:rsidRPr="006A0747" w:rsidRDefault="00206E1F">
            <w:pPr>
              <w:pStyle w:val="xxmsonormal"/>
              <w:jc w:val="center"/>
              <w:rPr>
                <w:rFonts w:ascii="Times New Roman" w:hAnsi="Times New Roman" w:cs="Times New Roman"/>
                <w:color w:val="595959" w:themeColor="text1" w:themeTint="A6"/>
                <w:sz w:val="24"/>
                <w:szCs w:val="24"/>
              </w:rPr>
            </w:pPr>
            <w:r w:rsidRPr="006A0747">
              <w:rPr>
                <w:rFonts w:ascii="Times New Roman" w:hAnsi="Times New Roman" w:cs="Times New Roman"/>
                <w:color w:val="595959" w:themeColor="text1" w:themeTint="A6"/>
                <w:sz w:val="24"/>
                <w:szCs w:val="24"/>
              </w:rPr>
              <w:t>Entidades de intermediación financiera supervisadas para prevenir el lavado de activos y el financiamiento del terrorismo (PLAFT)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3227EE58" w14:textId="77777777" w:rsidR="00206E1F" w:rsidRPr="006A0747" w:rsidRDefault="00206E1F">
            <w:pPr>
              <w:pStyle w:val="xxmsonormal"/>
              <w:jc w:val="right"/>
              <w:rPr>
                <w:rFonts w:ascii="Times New Roman" w:hAnsi="Times New Roman" w:cs="Times New Roman"/>
                <w:color w:val="595959" w:themeColor="text1" w:themeTint="A6"/>
                <w:sz w:val="24"/>
                <w:szCs w:val="24"/>
              </w:rPr>
            </w:pPr>
            <w:r w:rsidRPr="006A0747">
              <w:rPr>
                <w:rFonts w:ascii="Times New Roman" w:hAnsi="Times New Roman" w:cs="Times New Roman"/>
                <w:color w:val="595959" w:themeColor="text1" w:themeTint="A6"/>
                <w:sz w:val="24"/>
                <w:szCs w:val="24"/>
              </w:rPr>
              <w:t>103,279,045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40EF68E1" w14:textId="2C90B2D5" w:rsidR="00206E1F" w:rsidRPr="006A0747" w:rsidRDefault="00F14D44">
            <w:pPr>
              <w:pStyle w:val="xxmsonormal"/>
              <w:jc w:val="right"/>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78,047,</w:t>
            </w:r>
            <w:r w:rsidR="00521247">
              <w:rPr>
                <w:rFonts w:ascii="Times New Roman" w:hAnsi="Times New Roman" w:cs="Times New Roman"/>
                <w:color w:val="595959" w:themeColor="text1" w:themeTint="A6"/>
                <w:sz w:val="24"/>
                <w:szCs w:val="24"/>
              </w:rPr>
              <w:t>179</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3B976172" w14:textId="6A3AA5C1" w:rsidR="00206E1F" w:rsidRPr="006A0747" w:rsidRDefault="003D6B34">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13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398226DC" w14:textId="6E3E9DC9" w:rsidR="00206E1F" w:rsidRPr="006A0747" w:rsidRDefault="00D361E5">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75</w:t>
            </w:r>
            <w:r w:rsidR="00206E1F" w:rsidRPr="006A0747">
              <w:rPr>
                <w:rFonts w:ascii="Times New Roman" w:hAnsi="Times New Roman" w:cs="Times New Roman"/>
                <w:color w:val="595959" w:themeColor="text1" w:themeTint="A6"/>
                <w:sz w:val="24"/>
                <w:szCs w:val="24"/>
              </w:rPr>
              <w:t>.</w:t>
            </w:r>
            <w:r>
              <w:rPr>
                <w:rFonts w:ascii="Times New Roman" w:hAnsi="Times New Roman" w:cs="Times New Roman"/>
                <w:color w:val="595959" w:themeColor="text1" w:themeTint="A6"/>
                <w:sz w:val="24"/>
                <w:szCs w:val="24"/>
              </w:rPr>
              <w:t>57</w:t>
            </w:r>
            <w:r w:rsidR="00206E1F" w:rsidRPr="006A0747">
              <w:rPr>
                <w:rFonts w:ascii="Times New Roman" w:hAnsi="Times New Roman" w:cs="Times New Roman"/>
                <w:color w:val="595959" w:themeColor="text1" w:themeTint="A6"/>
                <w:sz w:val="24"/>
                <w:szCs w:val="24"/>
              </w:rPr>
              <w: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51199499" w14:textId="1D787EC6" w:rsidR="00206E1F" w:rsidRPr="006A0747" w:rsidRDefault="00447395">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162</w:t>
            </w:r>
            <w:r w:rsidR="00206E1F" w:rsidRPr="006A0747">
              <w:rPr>
                <w:rFonts w:ascii="Times New Roman" w:hAnsi="Times New Roman" w:cs="Times New Roman"/>
                <w:color w:val="595959" w:themeColor="text1" w:themeTint="A6"/>
                <w:sz w:val="24"/>
                <w:szCs w:val="24"/>
              </w:rPr>
              <w:t>.50%</w:t>
            </w:r>
          </w:p>
        </w:tc>
      </w:tr>
      <w:tr w:rsidR="00206E1F" w:rsidRPr="006A0747" w14:paraId="3D7C6C42" w14:textId="77777777" w:rsidTr="004146B2">
        <w:trPr>
          <w:trHeight w:val="565"/>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40675245" w14:textId="77777777" w:rsidR="00206E1F" w:rsidRPr="006A0747" w:rsidRDefault="00206E1F">
            <w:pPr>
              <w:pStyle w:val="xxmsonormal"/>
              <w:jc w:val="center"/>
              <w:rPr>
                <w:rFonts w:ascii="Times New Roman" w:hAnsi="Times New Roman" w:cs="Times New Roman"/>
                <w:color w:val="595959" w:themeColor="text1" w:themeTint="A6"/>
                <w:sz w:val="24"/>
                <w:szCs w:val="24"/>
              </w:rPr>
            </w:pPr>
            <w:r w:rsidRPr="006A0747">
              <w:rPr>
                <w:rFonts w:ascii="Times New Roman" w:hAnsi="Times New Roman" w:cs="Times New Roman"/>
                <w:color w:val="595959" w:themeColor="text1" w:themeTint="A6"/>
                <w:sz w:val="24"/>
                <w:szCs w:val="24"/>
              </w:rPr>
              <w:t>11.03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56CC0432" w14:textId="77777777" w:rsidR="00206E1F" w:rsidRPr="006A0747" w:rsidRDefault="00206E1F">
            <w:pPr>
              <w:pStyle w:val="xxmsonormal"/>
              <w:jc w:val="center"/>
              <w:rPr>
                <w:rFonts w:ascii="Times New Roman" w:hAnsi="Times New Roman" w:cs="Times New Roman"/>
                <w:color w:val="595959" w:themeColor="text1" w:themeTint="A6"/>
                <w:sz w:val="24"/>
                <w:szCs w:val="24"/>
              </w:rPr>
            </w:pPr>
            <w:r w:rsidRPr="006A0747">
              <w:rPr>
                <w:rFonts w:ascii="Times New Roman" w:hAnsi="Times New Roman" w:cs="Times New Roman"/>
                <w:color w:val="595959" w:themeColor="text1" w:themeTint="A6"/>
                <w:sz w:val="24"/>
                <w:szCs w:val="24"/>
              </w:rPr>
              <w:t xml:space="preserve">Actividades de entidades de intermediación financiera y cambiaria registradas </w:t>
            </w:r>
            <w:r w:rsidRPr="006A0747">
              <w:rPr>
                <w:rFonts w:ascii="Times New Roman" w:hAnsi="Times New Roman" w:cs="Times New Roman"/>
                <w:color w:val="595959" w:themeColor="text1" w:themeTint="A6"/>
                <w:sz w:val="24"/>
                <w:szCs w:val="24"/>
              </w:rPr>
              <w:lastRenderedPageBreak/>
              <w:t>y/o autorizadas</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6BC9D7EA" w14:textId="77777777" w:rsidR="00206E1F" w:rsidRPr="006A0747" w:rsidRDefault="00206E1F">
            <w:pPr>
              <w:pStyle w:val="xxmsonormal"/>
              <w:jc w:val="right"/>
              <w:rPr>
                <w:rFonts w:ascii="Times New Roman" w:hAnsi="Times New Roman" w:cs="Times New Roman"/>
                <w:color w:val="595959" w:themeColor="text1" w:themeTint="A6"/>
                <w:sz w:val="24"/>
                <w:szCs w:val="24"/>
              </w:rPr>
            </w:pPr>
            <w:r w:rsidRPr="006A0747">
              <w:rPr>
                <w:rFonts w:ascii="Times New Roman" w:hAnsi="Times New Roman" w:cs="Times New Roman"/>
                <w:color w:val="595959" w:themeColor="text1" w:themeTint="A6"/>
                <w:sz w:val="24"/>
                <w:szCs w:val="24"/>
              </w:rPr>
              <w:lastRenderedPageBreak/>
              <w:t>70,200,180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396D1F79" w14:textId="14B81B95" w:rsidR="00206E1F" w:rsidRPr="006A0747" w:rsidRDefault="00521247">
            <w:pPr>
              <w:pStyle w:val="xxmsonormal"/>
              <w:jc w:val="right"/>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43,</w:t>
            </w:r>
            <w:r w:rsidR="00DF5E4B">
              <w:rPr>
                <w:rFonts w:ascii="Times New Roman" w:hAnsi="Times New Roman" w:cs="Times New Roman"/>
                <w:color w:val="595959" w:themeColor="text1" w:themeTint="A6"/>
                <w:sz w:val="24"/>
                <w:szCs w:val="24"/>
              </w:rPr>
              <w:t>346,843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2A5D3B5A" w14:textId="77777777" w:rsidR="00206E1F" w:rsidRPr="006A0747" w:rsidRDefault="00206E1F">
            <w:pPr>
              <w:pStyle w:val="xxmsonormal"/>
              <w:jc w:val="center"/>
              <w:rPr>
                <w:rFonts w:ascii="Times New Roman" w:hAnsi="Times New Roman" w:cs="Times New Roman"/>
                <w:color w:val="595959" w:themeColor="text1" w:themeTint="A6"/>
                <w:sz w:val="24"/>
                <w:szCs w:val="24"/>
              </w:rPr>
            </w:pPr>
            <w:r w:rsidRPr="006A0747">
              <w:rPr>
                <w:rFonts w:ascii="Times New Roman" w:hAnsi="Times New Roman" w:cs="Times New Roman"/>
                <w:color w:val="595959" w:themeColor="text1" w:themeTint="A6"/>
                <w:sz w:val="24"/>
                <w:szCs w:val="24"/>
              </w:rPr>
              <w:t>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55BAAFBB" w14:textId="0C61A9D7" w:rsidR="00206E1F" w:rsidRPr="006A0747" w:rsidRDefault="00D361E5">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61</w:t>
            </w:r>
            <w:r w:rsidR="00206E1F" w:rsidRPr="006A0747">
              <w:rPr>
                <w:rFonts w:ascii="Times New Roman" w:hAnsi="Times New Roman" w:cs="Times New Roman"/>
                <w:color w:val="595959" w:themeColor="text1" w:themeTint="A6"/>
                <w:sz w:val="24"/>
                <w:szCs w:val="24"/>
              </w:rPr>
              <w:t>.</w:t>
            </w:r>
            <w:r>
              <w:rPr>
                <w:rFonts w:ascii="Times New Roman" w:hAnsi="Times New Roman" w:cs="Times New Roman"/>
                <w:color w:val="595959" w:themeColor="text1" w:themeTint="A6"/>
                <w:sz w:val="24"/>
                <w:szCs w:val="24"/>
              </w:rPr>
              <w:t>75</w:t>
            </w:r>
            <w:r w:rsidR="00206E1F" w:rsidRPr="006A0747">
              <w:rPr>
                <w:rFonts w:ascii="Times New Roman" w:hAnsi="Times New Roman" w:cs="Times New Roman"/>
                <w:color w:val="595959" w:themeColor="text1" w:themeTint="A6"/>
                <w:sz w:val="24"/>
                <w:szCs w:val="24"/>
              </w:rPr>
              <w: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75F47012" w14:textId="0D37527E" w:rsidR="00206E1F" w:rsidRPr="006A0747" w:rsidRDefault="008A7B01">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99</w:t>
            </w:r>
            <w:r w:rsidR="00206E1F" w:rsidRPr="006A0747">
              <w:rPr>
                <w:rFonts w:ascii="Times New Roman" w:hAnsi="Times New Roman" w:cs="Times New Roman"/>
                <w:color w:val="595959" w:themeColor="text1" w:themeTint="A6"/>
                <w:sz w:val="24"/>
                <w:szCs w:val="24"/>
              </w:rPr>
              <w:t>.</w:t>
            </w:r>
            <w:r>
              <w:rPr>
                <w:rFonts w:ascii="Times New Roman" w:hAnsi="Times New Roman" w:cs="Times New Roman"/>
                <w:color w:val="595959" w:themeColor="text1" w:themeTint="A6"/>
                <w:sz w:val="24"/>
                <w:szCs w:val="24"/>
              </w:rPr>
              <w:t>00</w:t>
            </w:r>
            <w:r w:rsidR="00206E1F" w:rsidRPr="006A0747">
              <w:rPr>
                <w:rFonts w:ascii="Times New Roman" w:hAnsi="Times New Roman" w:cs="Times New Roman"/>
                <w:color w:val="595959" w:themeColor="text1" w:themeTint="A6"/>
                <w:sz w:val="24"/>
                <w:szCs w:val="24"/>
              </w:rPr>
              <w:t>%</w:t>
            </w:r>
          </w:p>
        </w:tc>
      </w:tr>
      <w:tr w:rsidR="00206E1F" w:rsidRPr="006A0747" w14:paraId="76F0B13A" w14:textId="77777777" w:rsidTr="004146B2">
        <w:trPr>
          <w:trHeight w:val="565"/>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6951F46B" w14:textId="77777777" w:rsidR="00206E1F" w:rsidRPr="006A0747" w:rsidRDefault="00206E1F">
            <w:pPr>
              <w:pStyle w:val="xxmsonormal"/>
              <w:jc w:val="center"/>
              <w:rPr>
                <w:rFonts w:ascii="Times New Roman" w:hAnsi="Times New Roman" w:cs="Times New Roman"/>
                <w:color w:val="595959" w:themeColor="text1" w:themeTint="A6"/>
                <w:sz w:val="24"/>
                <w:szCs w:val="24"/>
              </w:rPr>
            </w:pPr>
            <w:r w:rsidRPr="006A0747">
              <w:rPr>
                <w:rFonts w:ascii="Times New Roman" w:hAnsi="Times New Roman" w:cs="Times New Roman"/>
                <w:color w:val="595959" w:themeColor="text1" w:themeTint="A6"/>
                <w:sz w:val="24"/>
                <w:szCs w:val="24"/>
              </w:rPr>
              <w:t>12.01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081AA1EA" w14:textId="77777777" w:rsidR="00206E1F" w:rsidRPr="006A0747" w:rsidRDefault="00206E1F">
            <w:pPr>
              <w:pStyle w:val="xxmsonormal"/>
              <w:jc w:val="center"/>
              <w:rPr>
                <w:rFonts w:ascii="Times New Roman" w:hAnsi="Times New Roman" w:cs="Times New Roman"/>
                <w:color w:val="595959" w:themeColor="text1" w:themeTint="A6"/>
                <w:sz w:val="24"/>
                <w:szCs w:val="24"/>
              </w:rPr>
            </w:pPr>
            <w:r w:rsidRPr="006A0747">
              <w:rPr>
                <w:rFonts w:ascii="Times New Roman" w:hAnsi="Times New Roman" w:cs="Times New Roman"/>
                <w:color w:val="595959" w:themeColor="text1" w:themeTint="A6"/>
                <w:sz w:val="24"/>
                <w:szCs w:val="24"/>
              </w:rPr>
              <w:t>Protección y salud financiera de los usuarios del sistema financiero</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00C236D9" w14:textId="77777777" w:rsidR="00206E1F" w:rsidRPr="006A0747" w:rsidRDefault="00206E1F">
            <w:pPr>
              <w:pStyle w:val="xxmsonormal"/>
              <w:jc w:val="right"/>
              <w:rPr>
                <w:rFonts w:ascii="Times New Roman" w:hAnsi="Times New Roman" w:cs="Times New Roman"/>
                <w:color w:val="595959" w:themeColor="text1" w:themeTint="A6"/>
                <w:sz w:val="24"/>
                <w:szCs w:val="24"/>
              </w:rPr>
            </w:pPr>
            <w:r w:rsidRPr="006A0747">
              <w:rPr>
                <w:rFonts w:ascii="Times New Roman" w:hAnsi="Times New Roman" w:cs="Times New Roman"/>
                <w:color w:val="595959" w:themeColor="text1" w:themeTint="A6"/>
                <w:sz w:val="24"/>
                <w:szCs w:val="24"/>
              </w:rPr>
              <w:t>184,548,502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35BED615" w14:textId="720EDCA3" w:rsidR="00206E1F" w:rsidRPr="006A0747" w:rsidRDefault="00DF5E4B">
            <w:pPr>
              <w:pStyle w:val="xxmsonormal"/>
              <w:jc w:val="right"/>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155</w:t>
            </w:r>
            <w:r w:rsidR="00F06881">
              <w:rPr>
                <w:rFonts w:ascii="Times New Roman" w:hAnsi="Times New Roman" w:cs="Times New Roman"/>
                <w:color w:val="595959" w:themeColor="text1" w:themeTint="A6"/>
                <w:sz w:val="24"/>
                <w:szCs w:val="24"/>
              </w:rPr>
              <w:t>,387</w:t>
            </w:r>
            <w:r w:rsidR="00925F30">
              <w:rPr>
                <w:rFonts w:ascii="Times New Roman" w:hAnsi="Times New Roman" w:cs="Times New Roman"/>
                <w:color w:val="595959" w:themeColor="text1" w:themeTint="A6"/>
                <w:sz w:val="24"/>
                <w:szCs w:val="24"/>
              </w:rPr>
              <w:t>,075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7527C6C2" w14:textId="77777777" w:rsidR="00206E1F" w:rsidRPr="006A0747" w:rsidRDefault="00206E1F">
            <w:pPr>
              <w:pStyle w:val="xxmsonormal"/>
              <w:jc w:val="center"/>
              <w:rPr>
                <w:rFonts w:ascii="Times New Roman" w:hAnsi="Times New Roman" w:cs="Times New Roman"/>
                <w:color w:val="595959" w:themeColor="text1" w:themeTint="A6"/>
                <w:sz w:val="24"/>
                <w:szCs w:val="24"/>
              </w:rPr>
            </w:pPr>
            <w:r w:rsidRPr="006A0747">
              <w:rPr>
                <w:rFonts w:ascii="Times New Roman" w:hAnsi="Times New Roman" w:cs="Times New Roman"/>
                <w:color w:val="595959" w:themeColor="text1" w:themeTint="A6"/>
                <w:sz w:val="24"/>
                <w:szCs w:val="24"/>
              </w:rPr>
              <w:t>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1200F1B2" w14:textId="5E3734D7" w:rsidR="00206E1F" w:rsidRPr="006A0747" w:rsidRDefault="00D361E5">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84</w:t>
            </w:r>
            <w:r w:rsidR="00206E1F" w:rsidRPr="006A0747">
              <w:rPr>
                <w:rFonts w:ascii="Times New Roman" w:hAnsi="Times New Roman" w:cs="Times New Roman"/>
                <w:color w:val="595959" w:themeColor="text1" w:themeTint="A6"/>
                <w:sz w:val="24"/>
                <w:szCs w:val="24"/>
              </w:rPr>
              <w:t>.</w:t>
            </w:r>
            <w:r>
              <w:rPr>
                <w:rFonts w:ascii="Times New Roman" w:hAnsi="Times New Roman" w:cs="Times New Roman"/>
                <w:color w:val="595959" w:themeColor="text1" w:themeTint="A6"/>
                <w:sz w:val="24"/>
                <w:szCs w:val="24"/>
              </w:rPr>
              <w:t>20</w:t>
            </w:r>
            <w:r w:rsidR="00206E1F" w:rsidRPr="006A0747">
              <w:rPr>
                <w:rFonts w:ascii="Times New Roman" w:hAnsi="Times New Roman" w:cs="Times New Roman"/>
                <w:color w:val="595959" w:themeColor="text1" w:themeTint="A6"/>
                <w:sz w:val="24"/>
                <w:szCs w:val="24"/>
              </w:rPr>
              <w: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4944FED3" w14:textId="54ED91EB" w:rsidR="00206E1F" w:rsidRPr="006A0747" w:rsidRDefault="00EB7835">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87</w:t>
            </w:r>
            <w:r w:rsidR="00206E1F" w:rsidRPr="006A0747">
              <w:rPr>
                <w:rFonts w:ascii="Times New Roman" w:hAnsi="Times New Roman" w:cs="Times New Roman"/>
                <w:color w:val="595959" w:themeColor="text1" w:themeTint="A6"/>
                <w:sz w:val="24"/>
                <w:szCs w:val="24"/>
              </w:rPr>
              <w:t>.</w:t>
            </w:r>
            <w:r>
              <w:rPr>
                <w:rFonts w:ascii="Times New Roman" w:hAnsi="Times New Roman" w:cs="Times New Roman"/>
                <w:color w:val="595959" w:themeColor="text1" w:themeTint="A6"/>
                <w:sz w:val="24"/>
                <w:szCs w:val="24"/>
              </w:rPr>
              <w:t>75</w:t>
            </w:r>
            <w:r w:rsidR="00206E1F" w:rsidRPr="006A0747">
              <w:rPr>
                <w:rFonts w:ascii="Times New Roman" w:hAnsi="Times New Roman" w:cs="Times New Roman"/>
                <w:color w:val="595959" w:themeColor="text1" w:themeTint="A6"/>
                <w:sz w:val="24"/>
                <w:szCs w:val="24"/>
              </w:rPr>
              <w:t>%</w:t>
            </w:r>
          </w:p>
        </w:tc>
      </w:tr>
      <w:tr w:rsidR="00206E1F" w:rsidRPr="006A0747" w14:paraId="7AD4BF9A" w14:textId="77777777" w:rsidTr="004146B2">
        <w:trPr>
          <w:trHeight w:val="565"/>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0ACBF057" w14:textId="77777777" w:rsidR="00206E1F" w:rsidRPr="006A0747" w:rsidRDefault="00206E1F">
            <w:pPr>
              <w:pStyle w:val="xxmsonormal"/>
              <w:jc w:val="center"/>
              <w:rPr>
                <w:rFonts w:ascii="Times New Roman" w:hAnsi="Times New Roman" w:cs="Times New Roman"/>
                <w:color w:val="595959" w:themeColor="text1" w:themeTint="A6"/>
                <w:sz w:val="24"/>
                <w:szCs w:val="24"/>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4CCFED3B" w14:textId="77777777" w:rsidR="00206E1F" w:rsidRPr="006A0747" w:rsidRDefault="00206E1F">
            <w:pPr>
              <w:pStyle w:val="xxmsonormal"/>
              <w:jc w:val="center"/>
              <w:rPr>
                <w:rFonts w:ascii="Times New Roman" w:hAnsi="Times New Roman" w:cs="Times New Roman"/>
                <w:color w:val="595959" w:themeColor="text1" w:themeTint="A6"/>
                <w:sz w:val="24"/>
                <w:szCs w:val="24"/>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5FCCD00A" w14:textId="77777777" w:rsidR="00206E1F" w:rsidRPr="006A0747" w:rsidRDefault="00206E1F">
            <w:pPr>
              <w:pStyle w:val="xxmsonormal"/>
              <w:jc w:val="right"/>
              <w:rPr>
                <w:rFonts w:ascii="Times New Roman" w:hAnsi="Times New Roman" w:cs="Times New Roman"/>
                <w:color w:val="595959" w:themeColor="text1" w:themeTint="A6"/>
                <w:sz w:val="24"/>
                <w:szCs w:val="24"/>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4F560725" w14:textId="77777777" w:rsidR="00206E1F" w:rsidRPr="006A0747" w:rsidRDefault="00206E1F">
            <w:pPr>
              <w:pStyle w:val="xxmsonormal"/>
              <w:jc w:val="right"/>
              <w:rPr>
                <w:rFonts w:ascii="Times New Roman" w:hAnsi="Times New Roman" w:cs="Times New Roman"/>
                <w:color w:val="595959" w:themeColor="text1" w:themeTint="A6"/>
                <w:sz w:val="24"/>
                <w:szCs w:val="24"/>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325CE56B" w14:textId="77777777" w:rsidR="00206E1F" w:rsidRPr="006A0747" w:rsidRDefault="00206E1F">
            <w:pPr>
              <w:pStyle w:val="xxmsonormal"/>
              <w:jc w:val="center"/>
              <w:rPr>
                <w:rFonts w:ascii="Times New Roman" w:hAnsi="Times New Roman" w:cs="Times New Roman"/>
                <w:color w:val="595959" w:themeColor="text1" w:themeTint="A6"/>
                <w:sz w:val="24"/>
                <w:szCs w:val="24"/>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30D9FE95" w14:textId="77777777" w:rsidR="00206E1F" w:rsidRPr="006A0747" w:rsidRDefault="00206E1F">
            <w:pPr>
              <w:pStyle w:val="xxmsonormal"/>
              <w:jc w:val="center"/>
              <w:rPr>
                <w:rFonts w:ascii="Times New Roman" w:hAnsi="Times New Roman" w:cs="Times New Roman"/>
                <w:color w:val="595959" w:themeColor="text1" w:themeTint="A6"/>
                <w:sz w:val="24"/>
                <w:szCs w:val="24"/>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36086343" w14:textId="77777777" w:rsidR="00206E1F" w:rsidRPr="006A0747" w:rsidRDefault="00206E1F">
            <w:pPr>
              <w:pStyle w:val="xxmsonormal"/>
              <w:jc w:val="center"/>
              <w:rPr>
                <w:rFonts w:ascii="Times New Roman" w:hAnsi="Times New Roman" w:cs="Times New Roman"/>
                <w:color w:val="595959" w:themeColor="text1" w:themeTint="A6"/>
                <w:sz w:val="24"/>
                <w:szCs w:val="24"/>
              </w:rPr>
            </w:pPr>
          </w:p>
        </w:tc>
      </w:tr>
      <w:tr w:rsidR="00206E1F" w:rsidRPr="006A0747" w14:paraId="7C74A572" w14:textId="77777777" w:rsidTr="004146B2">
        <w:trPr>
          <w:trHeight w:val="547"/>
        </w:trPr>
        <w:tc>
          <w:tcPr>
            <w:tcW w:w="0" w:type="auto"/>
            <w:tcBorders>
              <w:top w:val="nil"/>
              <w:left w:val="single" w:sz="8" w:space="0" w:color="auto"/>
              <w:bottom w:val="nil"/>
              <w:right w:val="single" w:sz="8" w:space="0" w:color="auto"/>
            </w:tcBorders>
            <w:noWrap/>
            <w:tcMar>
              <w:top w:w="0" w:type="dxa"/>
              <w:left w:w="70" w:type="dxa"/>
              <w:bottom w:w="0" w:type="dxa"/>
              <w:right w:w="70" w:type="dxa"/>
            </w:tcMar>
            <w:vAlign w:val="center"/>
          </w:tcPr>
          <w:p w14:paraId="4EC774F9" w14:textId="77777777" w:rsidR="00206E1F" w:rsidRPr="006A0747" w:rsidRDefault="00206E1F">
            <w:pPr>
              <w:pStyle w:val="xxmsonormal"/>
              <w:jc w:val="center"/>
              <w:rPr>
                <w:rFonts w:ascii="Times New Roman" w:hAnsi="Times New Roman" w:cs="Times New Roman"/>
                <w:color w:val="595959" w:themeColor="text1" w:themeTint="A6"/>
                <w:sz w:val="24"/>
                <w:szCs w:val="24"/>
              </w:rPr>
            </w:pPr>
          </w:p>
        </w:tc>
        <w:tc>
          <w:tcPr>
            <w:tcW w:w="0" w:type="auto"/>
            <w:tcBorders>
              <w:top w:val="nil"/>
              <w:left w:val="nil"/>
              <w:bottom w:val="nil"/>
              <w:right w:val="single" w:sz="8" w:space="0" w:color="auto"/>
            </w:tcBorders>
            <w:tcMar>
              <w:top w:w="0" w:type="dxa"/>
              <w:left w:w="70" w:type="dxa"/>
              <w:bottom w:w="0" w:type="dxa"/>
              <w:right w:w="70" w:type="dxa"/>
            </w:tcMar>
            <w:vAlign w:val="center"/>
          </w:tcPr>
          <w:p w14:paraId="54DF6260" w14:textId="77777777" w:rsidR="00206E1F" w:rsidRPr="006A0747" w:rsidRDefault="00206E1F">
            <w:pPr>
              <w:pStyle w:val="xxmsonormal"/>
              <w:jc w:val="center"/>
              <w:rPr>
                <w:rFonts w:ascii="Times New Roman" w:hAnsi="Times New Roman" w:cs="Times New Roman"/>
                <w:color w:val="595959" w:themeColor="text1" w:themeTint="A6"/>
                <w:sz w:val="24"/>
                <w:szCs w:val="24"/>
              </w:rPr>
            </w:pPr>
          </w:p>
        </w:tc>
        <w:tc>
          <w:tcPr>
            <w:tcW w:w="0" w:type="auto"/>
            <w:tcBorders>
              <w:top w:val="nil"/>
              <w:left w:val="nil"/>
              <w:bottom w:val="nil"/>
              <w:right w:val="single" w:sz="8" w:space="0" w:color="auto"/>
            </w:tcBorders>
            <w:noWrap/>
            <w:tcMar>
              <w:top w:w="0" w:type="dxa"/>
              <w:left w:w="70" w:type="dxa"/>
              <w:bottom w:w="0" w:type="dxa"/>
              <w:right w:w="70" w:type="dxa"/>
            </w:tcMar>
            <w:vAlign w:val="center"/>
          </w:tcPr>
          <w:p w14:paraId="18CDE8A0" w14:textId="77777777" w:rsidR="00206E1F" w:rsidRPr="006A0747" w:rsidRDefault="00206E1F">
            <w:pPr>
              <w:pStyle w:val="xxmsonormal"/>
              <w:jc w:val="right"/>
              <w:rPr>
                <w:rFonts w:ascii="Times New Roman" w:hAnsi="Times New Roman" w:cs="Times New Roman"/>
                <w:color w:val="595959" w:themeColor="text1" w:themeTint="A6"/>
                <w:sz w:val="24"/>
                <w:szCs w:val="24"/>
              </w:rPr>
            </w:pPr>
          </w:p>
        </w:tc>
        <w:tc>
          <w:tcPr>
            <w:tcW w:w="0" w:type="auto"/>
            <w:tcBorders>
              <w:top w:val="nil"/>
              <w:left w:val="nil"/>
              <w:bottom w:val="nil"/>
              <w:right w:val="single" w:sz="8" w:space="0" w:color="auto"/>
            </w:tcBorders>
            <w:noWrap/>
            <w:tcMar>
              <w:top w:w="0" w:type="dxa"/>
              <w:left w:w="70" w:type="dxa"/>
              <w:bottom w:w="0" w:type="dxa"/>
              <w:right w:w="70" w:type="dxa"/>
            </w:tcMar>
            <w:vAlign w:val="center"/>
          </w:tcPr>
          <w:p w14:paraId="2E61FD3F" w14:textId="77777777" w:rsidR="00206E1F" w:rsidRPr="006A0747" w:rsidRDefault="00206E1F">
            <w:pPr>
              <w:pStyle w:val="xxmsonormal"/>
              <w:jc w:val="right"/>
              <w:rPr>
                <w:rFonts w:ascii="Times New Roman" w:hAnsi="Times New Roman" w:cs="Times New Roman"/>
                <w:color w:val="595959" w:themeColor="text1" w:themeTint="A6"/>
                <w:sz w:val="24"/>
                <w:szCs w:val="24"/>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003D196E" w14:textId="77777777" w:rsidR="00206E1F" w:rsidRPr="006A0747" w:rsidRDefault="00206E1F">
            <w:pPr>
              <w:pStyle w:val="xxmsonormal"/>
              <w:jc w:val="center"/>
              <w:rPr>
                <w:rFonts w:ascii="Times New Roman" w:hAnsi="Times New Roman" w:cs="Times New Roman"/>
                <w:color w:val="595959" w:themeColor="text1" w:themeTint="A6"/>
                <w:sz w:val="24"/>
                <w:szCs w:val="24"/>
              </w:rPr>
            </w:pPr>
          </w:p>
        </w:tc>
        <w:tc>
          <w:tcPr>
            <w:tcW w:w="0" w:type="auto"/>
            <w:tcBorders>
              <w:top w:val="nil"/>
              <w:left w:val="nil"/>
              <w:bottom w:val="nil"/>
              <w:right w:val="single" w:sz="8" w:space="0" w:color="auto"/>
            </w:tcBorders>
            <w:noWrap/>
            <w:tcMar>
              <w:top w:w="0" w:type="dxa"/>
              <w:left w:w="70" w:type="dxa"/>
              <w:bottom w:w="0" w:type="dxa"/>
              <w:right w:w="70" w:type="dxa"/>
            </w:tcMar>
            <w:vAlign w:val="center"/>
          </w:tcPr>
          <w:p w14:paraId="430545A3" w14:textId="77777777" w:rsidR="00206E1F" w:rsidRPr="006A0747" w:rsidRDefault="00206E1F">
            <w:pPr>
              <w:pStyle w:val="xxmsonormal"/>
              <w:jc w:val="center"/>
              <w:rPr>
                <w:rFonts w:ascii="Times New Roman" w:hAnsi="Times New Roman" w:cs="Times New Roman"/>
                <w:color w:val="595959" w:themeColor="text1" w:themeTint="A6"/>
                <w:sz w:val="24"/>
                <w:szCs w:val="24"/>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3C4D4C4B" w14:textId="77777777" w:rsidR="00206E1F" w:rsidRPr="006A0747" w:rsidRDefault="00206E1F">
            <w:pPr>
              <w:pStyle w:val="xxmsonormal"/>
              <w:jc w:val="center"/>
              <w:rPr>
                <w:rFonts w:ascii="Times New Roman" w:hAnsi="Times New Roman" w:cs="Times New Roman"/>
                <w:color w:val="595959" w:themeColor="text1" w:themeTint="A6"/>
                <w:sz w:val="24"/>
                <w:szCs w:val="24"/>
              </w:rPr>
            </w:pPr>
          </w:p>
        </w:tc>
      </w:tr>
      <w:tr w:rsidR="00BD669A" w:rsidRPr="006A0747" w14:paraId="46A1B835" w14:textId="77777777" w:rsidTr="004146B2">
        <w:trPr>
          <w:trHeight w:val="359"/>
        </w:trPr>
        <w:tc>
          <w:tcPr>
            <w:tcW w:w="0" w:type="auto"/>
            <w:gridSpan w:val="2"/>
            <w:tcBorders>
              <w:top w:val="single" w:sz="8" w:space="0" w:color="auto"/>
              <w:left w:val="single" w:sz="8" w:space="0" w:color="auto"/>
              <w:bottom w:val="single" w:sz="8" w:space="0" w:color="auto"/>
              <w:right w:val="single" w:sz="8" w:space="0" w:color="auto"/>
            </w:tcBorders>
            <w:shd w:val="clear" w:color="auto" w:fill="002060"/>
            <w:noWrap/>
            <w:tcMar>
              <w:top w:w="0" w:type="dxa"/>
              <w:left w:w="70" w:type="dxa"/>
              <w:bottom w:w="0" w:type="dxa"/>
              <w:right w:w="70" w:type="dxa"/>
            </w:tcMar>
            <w:vAlign w:val="center"/>
          </w:tcPr>
          <w:p w14:paraId="21FBFC34" w14:textId="77777777" w:rsidR="00206E1F" w:rsidRPr="006A0747" w:rsidRDefault="00206E1F">
            <w:pPr>
              <w:pStyle w:val="xxmsonormal"/>
              <w:jc w:val="center"/>
              <w:rPr>
                <w:rFonts w:ascii="Times New Roman" w:hAnsi="Times New Roman" w:cs="Times New Roman"/>
                <w:b/>
                <w:sz w:val="24"/>
                <w:szCs w:val="24"/>
              </w:rPr>
            </w:pPr>
            <w:r w:rsidRPr="006A0747">
              <w:rPr>
                <w:rFonts w:ascii="Times New Roman" w:hAnsi="Times New Roman" w:cs="Times New Roman"/>
                <w:b/>
                <w:sz w:val="24"/>
                <w:szCs w:val="24"/>
              </w:rPr>
              <w:t>Totales</w:t>
            </w:r>
          </w:p>
        </w:tc>
        <w:tc>
          <w:tcPr>
            <w:tcW w:w="0" w:type="auto"/>
            <w:tcBorders>
              <w:top w:val="single" w:sz="8" w:space="0" w:color="auto"/>
              <w:left w:val="nil"/>
              <w:bottom w:val="single" w:sz="8" w:space="0" w:color="auto"/>
              <w:right w:val="single" w:sz="8" w:space="0" w:color="auto"/>
            </w:tcBorders>
            <w:shd w:val="clear" w:color="auto" w:fill="002060"/>
            <w:noWrap/>
            <w:tcMar>
              <w:top w:w="0" w:type="dxa"/>
              <w:left w:w="70" w:type="dxa"/>
              <w:bottom w:w="0" w:type="dxa"/>
              <w:right w:w="70" w:type="dxa"/>
            </w:tcMar>
            <w:vAlign w:val="center"/>
          </w:tcPr>
          <w:p w14:paraId="5B071F0C" w14:textId="77777777" w:rsidR="00206E1F" w:rsidRPr="006A0747" w:rsidRDefault="00206E1F">
            <w:pPr>
              <w:pStyle w:val="xxmsonormal"/>
              <w:jc w:val="right"/>
              <w:rPr>
                <w:rFonts w:ascii="Times New Roman" w:hAnsi="Times New Roman" w:cs="Times New Roman"/>
                <w:sz w:val="24"/>
                <w:szCs w:val="24"/>
              </w:rPr>
            </w:pPr>
            <w:r w:rsidRPr="006A0747">
              <w:rPr>
                <w:rFonts w:ascii="Times New Roman" w:hAnsi="Times New Roman" w:cs="Times New Roman"/>
                <w:sz w:val="24"/>
                <w:szCs w:val="24"/>
              </w:rPr>
              <w:t>882,399,274</w:t>
            </w:r>
          </w:p>
        </w:tc>
        <w:tc>
          <w:tcPr>
            <w:tcW w:w="0" w:type="auto"/>
            <w:tcBorders>
              <w:top w:val="single" w:sz="8" w:space="0" w:color="auto"/>
              <w:left w:val="nil"/>
              <w:bottom w:val="single" w:sz="8" w:space="0" w:color="auto"/>
              <w:right w:val="single" w:sz="8" w:space="0" w:color="auto"/>
            </w:tcBorders>
            <w:shd w:val="clear" w:color="auto" w:fill="002060"/>
            <w:noWrap/>
            <w:tcMar>
              <w:top w:w="0" w:type="dxa"/>
              <w:left w:w="70" w:type="dxa"/>
              <w:bottom w:w="0" w:type="dxa"/>
              <w:right w:w="70" w:type="dxa"/>
            </w:tcMar>
            <w:vAlign w:val="center"/>
          </w:tcPr>
          <w:p w14:paraId="3B3EE621" w14:textId="77777777" w:rsidR="00206E1F" w:rsidRPr="006A0747" w:rsidRDefault="00206E1F">
            <w:pPr>
              <w:pStyle w:val="xxmsonormal"/>
              <w:jc w:val="right"/>
              <w:rPr>
                <w:rFonts w:ascii="Times New Roman" w:hAnsi="Times New Roman" w:cs="Times New Roman"/>
                <w:sz w:val="24"/>
                <w:szCs w:val="24"/>
              </w:rPr>
            </w:pPr>
            <w:r w:rsidRPr="006A0747">
              <w:rPr>
                <w:rFonts w:ascii="Times New Roman" w:hAnsi="Times New Roman" w:cs="Times New Roman"/>
                <w:sz w:val="24"/>
                <w:szCs w:val="24"/>
              </w:rPr>
              <w:t>425,201,987</w:t>
            </w:r>
          </w:p>
        </w:tc>
        <w:tc>
          <w:tcPr>
            <w:tcW w:w="0" w:type="auto"/>
            <w:tcBorders>
              <w:top w:val="nil"/>
              <w:left w:val="nil"/>
              <w:bottom w:val="single" w:sz="8" w:space="0" w:color="auto"/>
              <w:right w:val="single" w:sz="8" w:space="0" w:color="auto"/>
            </w:tcBorders>
            <w:shd w:val="clear" w:color="auto" w:fill="002060"/>
            <w:noWrap/>
            <w:tcMar>
              <w:top w:w="0" w:type="dxa"/>
              <w:left w:w="70" w:type="dxa"/>
              <w:bottom w:w="0" w:type="dxa"/>
              <w:right w:w="70" w:type="dxa"/>
            </w:tcMar>
            <w:vAlign w:val="center"/>
          </w:tcPr>
          <w:p w14:paraId="770F4080" w14:textId="77777777" w:rsidR="00206E1F" w:rsidRPr="006A0747" w:rsidRDefault="00206E1F">
            <w:pPr>
              <w:pStyle w:val="xxmsonormal"/>
              <w:jc w:val="center"/>
              <w:rPr>
                <w:rFonts w:ascii="Times New Roman" w:hAnsi="Times New Roman" w:cs="Times New Roman"/>
                <w:sz w:val="24"/>
                <w:szCs w:val="24"/>
              </w:rPr>
            </w:pPr>
            <w:r w:rsidRPr="006A0747">
              <w:rPr>
                <w:rFonts w:ascii="Times New Roman" w:hAnsi="Times New Roman" w:cs="Times New Roman"/>
                <w:sz w:val="24"/>
                <w:szCs w:val="24"/>
              </w:rPr>
              <w:t>53</w:t>
            </w:r>
          </w:p>
        </w:tc>
        <w:tc>
          <w:tcPr>
            <w:tcW w:w="0" w:type="auto"/>
            <w:tcBorders>
              <w:top w:val="single" w:sz="8" w:space="0" w:color="auto"/>
              <w:left w:val="nil"/>
              <w:bottom w:val="single" w:sz="8" w:space="0" w:color="auto"/>
              <w:right w:val="single" w:sz="8" w:space="0" w:color="auto"/>
            </w:tcBorders>
            <w:shd w:val="clear" w:color="auto" w:fill="002060"/>
            <w:noWrap/>
            <w:tcMar>
              <w:top w:w="0" w:type="dxa"/>
              <w:left w:w="70" w:type="dxa"/>
              <w:bottom w:w="0" w:type="dxa"/>
              <w:right w:w="70" w:type="dxa"/>
            </w:tcMar>
            <w:vAlign w:val="center"/>
          </w:tcPr>
          <w:p w14:paraId="1F2A5767" w14:textId="77777777" w:rsidR="00206E1F" w:rsidRPr="006A0747" w:rsidRDefault="00206E1F">
            <w:pPr>
              <w:pStyle w:val="xxmsonormal"/>
              <w:jc w:val="cente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shd w:val="clear" w:color="auto" w:fill="002060"/>
            <w:noWrap/>
            <w:tcMar>
              <w:top w:w="0" w:type="dxa"/>
              <w:left w:w="70" w:type="dxa"/>
              <w:bottom w:w="0" w:type="dxa"/>
              <w:right w:w="70" w:type="dxa"/>
            </w:tcMar>
            <w:vAlign w:val="center"/>
          </w:tcPr>
          <w:p w14:paraId="3667C949" w14:textId="77777777" w:rsidR="00206E1F" w:rsidRPr="006A0747" w:rsidRDefault="00206E1F">
            <w:pPr>
              <w:pStyle w:val="xxmsonormal"/>
              <w:jc w:val="center"/>
              <w:rPr>
                <w:rFonts w:ascii="Times New Roman" w:hAnsi="Times New Roman" w:cs="Times New Roman"/>
                <w:sz w:val="24"/>
                <w:szCs w:val="24"/>
              </w:rPr>
            </w:pPr>
          </w:p>
        </w:tc>
      </w:tr>
    </w:tbl>
    <w:p w14:paraId="39993C4F" w14:textId="64C1436E" w:rsidR="00F5719A" w:rsidRPr="006A0747" w:rsidRDefault="00F5719A" w:rsidP="00F5719A">
      <w:pPr>
        <w:spacing w:after="0"/>
        <w:jc w:val="center"/>
        <w:rPr>
          <w:rFonts w:ascii="Times New Roman" w:hAnsi="Times New Roman" w:cs="Times New Roman"/>
          <w:i/>
          <w:color w:val="767177"/>
          <w:spacing w:val="20"/>
          <w:sz w:val="18"/>
          <w:szCs w:val="18"/>
        </w:rPr>
      </w:pPr>
      <w:r w:rsidRPr="006A0747">
        <w:rPr>
          <w:rFonts w:ascii="Times New Roman" w:hAnsi="Times New Roman" w:cs="Times New Roman"/>
          <w:i/>
          <w:color w:val="767177"/>
          <w:spacing w:val="20"/>
          <w:sz w:val="18"/>
          <w:szCs w:val="18"/>
        </w:rPr>
        <w:t>Fuente: Departamento Administrativo</w:t>
      </w:r>
      <w:r w:rsidR="005378CE" w:rsidRPr="006A0747">
        <w:rPr>
          <w:rFonts w:ascii="Times New Roman" w:hAnsi="Times New Roman" w:cs="Times New Roman"/>
          <w:i/>
          <w:color w:val="767177"/>
          <w:spacing w:val="20"/>
          <w:sz w:val="18"/>
          <w:szCs w:val="18"/>
        </w:rPr>
        <w:t xml:space="preserve"> y</w:t>
      </w:r>
      <w:r w:rsidRPr="006A0747">
        <w:rPr>
          <w:rFonts w:ascii="Times New Roman" w:hAnsi="Times New Roman" w:cs="Times New Roman"/>
          <w:i/>
          <w:color w:val="767177"/>
          <w:spacing w:val="20"/>
          <w:sz w:val="18"/>
          <w:szCs w:val="18"/>
        </w:rPr>
        <w:t xml:space="preserve"> Financiero. Superintendencia de Bancos de la República Dominicana. 2024</w:t>
      </w:r>
    </w:p>
    <w:p w14:paraId="6A34872B" w14:textId="77777777" w:rsidR="00F5719A" w:rsidRDefault="00F5719A" w:rsidP="006E5DBF">
      <w:pPr>
        <w:jc w:val="center"/>
        <w:rPr>
          <w:rFonts w:ascii="Times New Roman" w:hAnsi="Times New Roman" w:cs="Times New Roman"/>
          <w:color w:val="767177"/>
          <w:spacing w:val="20"/>
          <w:sz w:val="24"/>
          <w:szCs w:val="24"/>
        </w:rPr>
      </w:pPr>
    </w:p>
    <w:p w14:paraId="3A997D05" w14:textId="77777777" w:rsidR="00DF300E" w:rsidRDefault="00DF300E" w:rsidP="006E5DBF">
      <w:pPr>
        <w:jc w:val="center"/>
        <w:rPr>
          <w:rFonts w:ascii="Times New Roman" w:hAnsi="Times New Roman" w:cs="Times New Roman"/>
          <w:color w:val="767177"/>
          <w:spacing w:val="20"/>
          <w:sz w:val="24"/>
          <w:szCs w:val="24"/>
        </w:rPr>
      </w:pPr>
    </w:p>
    <w:p w14:paraId="71A492FB" w14:textId="77777777" w:rsidR="00DF300E" w:rsidRDefault="00DF300E" w:rsidP="006E5DBF">
      <w:pPr>
        <w:jc w:val="center"/>
        <w:rPr>
          <w:rFonts w:ascii="Times New Roman" w:hAnsi="Times New Roman" w:cs="Times New Roman"/>
          <w:color w:val="767177"/>
          <w:spacing w:val="20"/>
          <w:sz w:val="24"/>
          <w:szCs w:val="24"/>
        </w:rPr>
      </w:pPr>
    </w:p>
    <w:p w14:paraId="28CD2721" w14:textId="77777777" w:rsidR="00DF300E" w:rsidRDefault="00DF300E" w:rsidP="006E5DBF">
      <w:pPr>
        <w:jc w:val="center"/>
        <w:rPr>
          <w:rFonts w:ascii="Times New Roman" w:hAnsi="Times New Roman" w:cs="Times New Roman"/>
          <w:color w:val="767177"/>
          <w:spacing w:val="20"/>
          <w:sz w:val="24"/>
          <w:szCs w:val="24"/>
        </w:rPr>
      </w:pPr>
    </w:p>
    <w:p w14:paraId="2959BA95" w14:textId="77777777" w:rsidR="00DF300E" w:rsidRDefault="00DF300E" w:rsidP="006E5DBF">
      <w:pPr>
        <w:jc w:val="center"/>
        <w:rPr>
          <w:rFonts w:ascii="Times New Roman" w:hAnsi="Times New Roman" w:cs="Times New Roman"/>
          <w:color w:val="767177"/>
          <w:spacing w:val="20"/>
          <w:sz w:val="24"/>
          <w:szCs w:val="24"/>
        </w:rPr>
      </w:pPr>
    </w:p>
    <w:p w14:paraId="2855E255" w14:textId="77777777" w:rsidR="00DF300E" w:rsidRDefault="00DF300E" w:rsidP="006E5DBF">
      <w:pPr>
        <w:jc w:val="center"/>
        <w:rPr>
          <w:rFonts w:ascii="Times New Roman" w:hAnsi="Times New Roman" w:cs="Times New Roman"/>
          <w:color w:val="767177"/>
          <w:spacing w:val="20"/>
          <w:sz w:val="24"/>
          <w:szCs w:val="24"/>
        </w:rPr>
      </w:pPr>
    </w:p>
    <w:p w14:paraId="6E4E738D" w14:textId="77777777" w:rsidR="00DF300E" w:rsidRDefault="00DF300E" w:rsidP="006E5DBF">
      <w:pPr>
        <w:jc w:val="center"/>
        <w:rPr>
          <w:rFonts w:ascii="Times New Roman" w:hAnsi="Times New Roman" w:cs="Times New Roman"/>
          <w:color w:val="767177"/>
          <w:spacing w:val="20"/>
          <w:sz w:val="24"/>
          <w:szCs w:val="24"/>
        </w:rPr>
      </w:pPr>
    </w:p>
    <w:p w14:paraId="59955588" w14:textId="77777777" w:rsidR="00DF300E" w:rsidRDefault="00DF300E" w:rsidP="006E5DBF">
      <w:pPr>
        <w:jc w:val="center"/>
        <w:rPr>
          <w:rFonts w:ascii="Times New Roman" w:hAnsi="Times New Roman" w:cs="Times New Roman"/>
          <w:color w:val="767177"/>
          <w:spacing w:val="20"/>
          <w:sz w:val="24"/>
          <w:szCs w:val="24"/>
        </w:rPr>
      </w:pPr>
    </w:p>
    <w:p w14:paraId="6860F23C" w14:textId="77777777" w:rsidR="00DF300E" w:rsidRDefault="00DF300E" w:rsidP="006E5DBF">
      <w:pPr>
        <w:jc w:val="center"/>
        <w:rPr>
          <w:rFonts w:ascii="Times New Roman" w:hAnsi="Times New Roman" w:cs="Times New Roman"/>
          <w:color w:val="767177"/>
          <w:spacing w:val="20"/>
          <w:sz w:val="24"/>
          <w:szCs w:val="24"/>
        </w:rPr>
      </w:pPr>
    </w:p>
    <w:p w14:paraId="476F9D3C" w14:textId="77777777" w:rsidR="00DF300E" w:rsidRDefault="00DF300E" w:rsidP="006E5DBF">
      <w:pPr>
        <w:jc w:val="center"/>
        <w:rPr>
          <w:rFonts w:ascii="Times New Roman" w:hAnsi="Times New Roman" w:cs="Times New Roman"/>
          <w:color w:val="767177"/>
          <w:spacing w:val="20"/>
          <w:sz w:val="24"/>
          <w:szCs w:val="24"/>
        </w:rPr>
      </w:pPr>
    </w:p>
    <w:p w14:paraId="257DDDBC" w14:textId="77777777" w:rsidR="00DF300E" w:rsidRPr="006A0747" w:rsidRDefault="00DF300E" w:rsidP="006E5DBF">
      <w:pPr>
        <w:jc w:val="center"/>
        <w:rPr>
          <w:rFonts w:ascii="Times New Roman" w:hAnsi="Times New Roman" w:cs="Times New Roman"/>
          <w:color w:val="767177"/>
          <w:spacing w:val="20"/>
          <w:sz w:val="24"/>
          <w:szCs w:val="24"/>
        </w:rPr>
      </w:pPr>
    </w:p>
    <w:p w14:paraId="4DFB0CC4" w14:textId="77777777" w:rsidR="006E5DBF" w:rsidRPr="006A0747" w:rsidRDefault="006E5DBF" w:rsidP="00BE2727">
      <w:pPr>
        <w:spacing w:after="0"/>
        <w:jc w:val="center"/>
        <w:rPr>
          <w:rFonts w:ascii="Times New Roman" w:hAnsi="Times New Roman" w:cs="Times New Roman"/>
          <w:i/>
          <w:color w:val="767177"/>
          <w:spacing w:val="20"/>
          <w:sz w:val="18"/>
          <w:szCs w:val="18"/>
        </w:rPr>
      </w:pPr>
    </w:p>
    <w:p w14:paraId="0B636CB8" w14:textId="7063F01A" w:rsidR="003938E1" w:rsidRPr="006A0747" w:rsidRDefault="003938E1" w:rsidP="00B465B8">
      <w:pPr>
        <w:pStyle w:val="Ttulo2"/>
        <w:numPr>
          <w:ilvl w:val="1"/>
          <w:numId w:val="17"/>
        </w:numPr>
        <w:jc w:val="center"/>
        <w:rPr>
          <w:rFonts w:ascii="Times New Roman" w:eastAsia="Calibri" w:hAnsi="Times New Roman" w:cs="Times New Roman"/>
          <w:b/>
          <w:color w:val="767171"/>
          <w:spacing w:val="20"/>
          <w:sz w:val="24"/>
          <w:szCs w:val="24"/>
        </w:rPr>
      </w:pPr>
      <w:bookmarkStart w:id="77" w:name="_Toc185275022"/>
      <w:r w:rsidRPr="006A0747">
        <w:rPr>
          <w:rFonts w:ascii="Times New Roman" w:eastAsia="Calibri" w:hAnsi="Times New Roman" w:cs="Times New Roman"/>
          <w:b/>
          <w:color w:val="767171"/>
          <w:spacing w:val="20"/>
          <w:sz w:val="24"/>
          <w:szCs w:val="24"/>
        </w:rPr>
        <w:lastRenderedPageBreak/>
        <w:t>Matriz de Principales Indicadores del POA - enero-</w:t>
      </w:r>
      <w:proofErr w:type="gramStart"/>
      <w:r w:rsidR="002A53D6">
        <w:rPr>
          <w:rFonts w:ascii="Times New Roman" w:eastAsia="Calibri" w:hAnsi="Times New Roman" w:cs="Times New Roman"/>
          <w:b/>
          <w:color w:val="767171"/>
          <w:spacing w:val="20"/>
          <w:sz w:val="24"/>
          <w:szCs w:val="24"/>
        </w:rPr>
        <w:t>Diciembre</w:t>
      </w:r>
      <w:proofErr w:type="gramEnd"/>
      <w:r w:rsidRPr="006A0747">
        <w:rPr>
          <w:rFonts w:ascii="Times New Roman" w:eastAsia="Calibri" w:hAnsi="Times New Roman" w:cs="Times New Roman"/>
          <w:b/>
          <w:color w:val="767171"/>
          <w:spacing w:val="20"/>
          <w:sz w:val="24"/>
          <w:szCs w:val="24"/>
        </w:rPr>
        <w:t xml:space="preserve"> 2024</w:t>
      </w:r>
      <w:bookmarkEnd w:id="77"/>
    </w:p>
    <w:p w14:paraId="004E7AE8" w14:textId="77777777" w:rsidR="003938E1" w:rsidRPr="006A0747" w:rsidRDefault="003938E1" w:rsidP="003938E1">
      <w:pPr>
        <w:spacing w:after="0"/>
        <w:jc w:val="center"/>
        <w:rPr>
          <w:rFonts w:ascii="Times New Roman" w:hAnsi="Times New Roman" w:cs="Times New Roman"/>
          <w:color w:val="767177"/>
          <w:spacing w:val="20"/>
          <w:sz w:val="24"/>
          <w:szCs w:val="24"/>
        </w:rPr>
      </w:pPr>
    </w:p>
    <w:tbl>
      <w:tblPr>
        <w:tblW w:w="0" w:type="auto"/>
        <w:tblCellMar>
          <w:left w:w="70" w:type="dxa"/>
          <w:right w:w="70" w:type="dxa"/>
        </w:tblCellMar>
        <w:tblLook w:val="04A0" w:firstRow="1" w:lastRow="0" w:firstColumn="1" w:lastColumn="0" w:noHBand="0" w:noVBand="1"/>
      </w:tblPr>
      <w:tblGrid>
        <w:gridCol w:w="378"/>
        <w:gridCol w:w="1187"/>
        <w:gridCol w:w="1088"/>
        <w:gridCol w:w="1027"/>
        <w:gridCol w:w="1051"/>
        <w:gridCol w:w="573"/>
        <w:gridCol w:w="550"/>
        <w:gridCol w:w="990"/>
        <w:gridCol w:w="1066"/>
      </w:tblGrid>
      <w:tr w:rsidR="003938E1" w:rsidRPr="006A0747" w14:paraId="2420DA2D" w14:textId="77777777" w:rsidTr="00665334">
        <w:trPr>
          <w:trHeight w:val="855"/>
          <w:tblHeader/>
        </w:trPr>
        <w:tc>
          <w:tcPr>
            <w:tcW w:w="378" w:type="dxa"/>
            <w:tcBorders>
              <w:top w:val="single" w:sz="4" w:space="0" w:color="auto"/>
              <w:left w:val="single" w:sz="4" w:space="0" w:color="auto"/>
              <w:bottom w:val="single" w:sz="4" w:space="0" w:color="auto"/>
              <w:right w:val="single" w:sz="4" w:space="0" w:color="auto"/>
            </w:tcBorders>
            <w:shd w:val="clear" w:color="auto" w:fill="011C50"/>
            <w:vAlign w:val="center"/>
            <w:hideMark/>
          </w:tcPr>
          <w:p w14:paraId="5DCDC243" w14:textId="77777777" w:rsidR="003938E1" w:rsidRPr="006A0747" w:rsidRDefault="003938E1">
            <w:pPr>
              <w:spacing w:after="0" w:line="240" w:lineRule="auto"/>
              <w:jc w:val="center"/>
              <w:rPr>
                <w:rFonts w:ascii="Times New Roman" w:eastAsia="Times New Roman" w:hAnsi="Times New Roman" w:cs="Times New Roman"/>
                <w:b/>
                <w:color w:val="FFFFFF" w:themeColor="background1"/>
                <w:sz w:val="24"/>
                <w:szCs w:val="24"/>
                <w:lang w:eastAsia="es-DO"/>
              </w:rPr>
            </w:pPr>
            <w:r w:rsidRPr="006A0747">
              <w:rPr>
                <w:rFonts w:ascii="Times New Roman" w:eastAsia="Times New Roman" w:hAnsi="Times New Roman" w:cs="Times New Roman"/>
                <w:b/>
                <w:color w:val="FFFFFF" w:themeColor="background1"/>
                <w:sz w:val="24"/>
                <w:szCs w:val="24"/>
                <w:lang w:eastAsia="es-DO"/>
              </w:rPr>
              <w:t>NO.</w:t>
            </w:r>
          </w:p>
        </w:tc>
        <w:tc>
          <w:tcPr>
            <w:tcW w:w="1187" w:type="dxa"/>
            <w:tcBorders>
              <w:top w:val="single" w:sz="4" w:space="0" w:color="auto"/>
              <w:left w:val="nil"/>
              <w:bottom w:val="single" w:sz="4" w:space="0" w:color="auto"/>
              <w:right w:val="single" w:sz="4" w:space="0" w:color="auto"/>
            </w:tcBorders>
            <w:shd w:val="clear" w:color="auto" w:fill="011C50"/>
            <w:vAlign w:val="center"/>
            <w:hideMark/>
          </w:tcPr>
          <w:p w14:paraId="39A27615" w14:textId="77777777" w:rsidR="003938E1" w:rsidRPr="006A0747" w:rsidRDefault="003938E1">
            <w:pPr>
              <w:spacing w:after="0" w:line="240" w:lineRule="auto"/>
              <w:jc w:val="center"/>
              <w:rPr>
                <w:rFonts w:ascii="Times New Roman" w:eastAsia="Times New Roman" w:hAnsi="Times New Roman" w:cs="Times New Roman"/>
                <w:b/>
                <w:color w:val="FFFFFF" w:themeColor="background1"/>
                <w:sz w:val="24"/>
                <w:szCs w:val="24"/>
                <w:lang w:eastAsia="es-DO"/>
              </w:rPr>
            </w:pPr>
            <w:r w:rsidRPr="006A0747">
              <w:rPr>
                <w:rFonts w:ascii="Times New Roman" w:eastAsia="Times New Roman" w:hAnsi="Times New Roman" w:cs="Times New Roman"/>
                <w:b/>
                <w:color w:val="FFFFFF" w:themeColor="background1"/>
                <w:sz w:val="24"/>
                <w:szCs w:val="24"/>
                <w:lang w:eastAsia="es-DO"/>
              </w:rPr>
              <w:t>ÁREA</w:t>
            </w:r>
          </w:p>
        </w:tc>
        <w:tc>
          <w:tcPr>
            <w:tcW w:w="1088" w:type="dxa"/>
            <w:tcBorders>
              <w:top w:val="single" w:sz="4" w:space="0" w:color="auto"/>
              <w:left w:val="nil"/>
              <w:bottom w:val="single" w:sz="4" w:space="0" w:color="auto"/>
              <w:right w:val="single" w:sz="4" w:space="0" w:color="auto"/>
            </w:tcBorders>
            <w:shd w:val="clear" w:color="auto" w:fill="011C50"/>
            <w:vAlign w:val="center"/>
            <w:hideMark/>
          </w:tcPr>
          <w:p w14:paraId="2898E184" w14:textId="77777777" w:rsidR="003938E1" w:rsidRPr="006A0747" w:rsidRDefault="003938E1">
            <w:pPr>
              <w:spacing w:after="0" w:line="240" w:lineRule="auto"/>
              <w:jc w:val="center"/>
              <w:rPr>
                <w:rFonts w:ascii="Times New Roman" w:eastAsia="Times New Roman" w:hAnsi="Times New Roman" w:cs="Times New Roman"/>
                <w:b/>
                <w:color w:val="FFFFFF" w:themeColor="background1"/>
                <w:sz w:val="24"/>
                <w:szCs w:val="24"/>
                <w:lang w:eastAsia="es-DO"/>
              </w:rPr>
            </w:pPr>
            <w:r w:rsidRPr="006A0747">
              <w:rPr>
                <w:rFonts w:ascii="Times New Roman" w:eastAsia="Times New Roman" w:hAnsi="Times New Roman" w:cs="Times New Roman"/>
                <w:b/>
                <w:color w:val="FFFFFF" w:themeColor="background1"/>
                <w:sz w:val="24"/>
                <w:szCs w:val="24"/>
                <w:lang w:eastAsia="es-DO"/>
              </w:rPr>
              <w:t>PRODUCTO</w:t>
            </w:r>
          </w:p>
        </w:tc>
        <w:tc>
          <w:tcPr>
            <w:tcW w:w="0" w:type="auto"/>
            <w:tcBorders>
              <w:top w:val="single" w:sz="4" w:space="0" w:color="auto"/>
              <w:left w:val="nil"/>
              <w:bottom w:val="single" w:sz="4" w:space="0" w:color="auto"/>
              <w:right w:val="single" w:sz="4" w:space="0" w:color="auto"/>
            </w:tcBorders>
            <w:shd w:val="clear" w:color="auto" w:fill="011C50"/>
            <w:vAlign w:val="center"/>
            <w:hideMark/>
          </w:tcPr>
          <w:p w14:paraId="0C104F49" w14:textId="77777777" w:rsidR="003938E1" w:rsidRPr="006A0747" w:rsidRDefault="003938E1">
            <w:pPr>
              <w:spacing w:after="0" w:line="240" w:lineRule="auto"/>
              <w:jc w:val="center"/>
              <w:rPr>
                <w:rFonts w:ascii="Times New Roman" w:eastAsia="Times New Roman" w:hAnsi="Times New Roman" w:cs="Times New Roman"/>
                <w:b/>
                <w:color w:val="FFFFFF" w:themeColor="background1"/>
                <w:sz w:val="24"/>
                <w:szCs w:val="24"/>
                <w:lang w:eastAsia="es-DO"/>
              </w:rPr>
            </w:pPr>
            <w:r w:rsidRPr="006A0747">
              <w:rPr>
                <w:rFonts w:ascii="Times New Roman" w:eastAsia="Times New Roman" w:hAnsi="Times New Roman" w:cs="Times New Roman"/>
                <w:b/>
                <w:color w:val="FFFFFF" w:themeColor="background1"/>
                <w:sz w:val="24"/>
                <w:szCs w:val="24"/>
                <w:lang w:eastAsia="es-DO"/>
              </w:rPr>
              <w:t>NOMBRE DEL INDICADOR</w:t>
            </w:r>
          </w:p>
        </w:tc>
        <w:tc>
          <w:tcPr>
            <w:tcW w:w="0" w:type="auto"/>
            <w:tcBorders>
              <w:top w:val="single" w:sz="4" w:space="0" w:color="auto"/>
              <w:left w:val="nil"/>
              <w:bottom w:val="single" w:sz="4" w:space="0" w:color="auto"/>
              <w:right w:val="single" w:sz="4" w:space="0" w:color="auto"/>
            </w:tcBorders>
            <w:shd w:val="clear" w:color="auto" w:fill="011C50"/>
            <w:vAlign w:val="center"/>
            <w:hideMark/>
          </w:tcPr>
          <w:p w14:paraId="68BE5E30" w14:textId="77777777" w:rsidR="003938E1" w:rsidRPr="006A0747" w:rsidRDefault="003938E1">
            <w:pPr>
              <w:spacing w:after="0" w:line="240" w:lineRule="auto"/>
              <w:jc w:val="center"/>
              <w:rPr>
                <w:rFonts w:ascii="Times New Roman" w:eastAsia="Times New Roman" w:hAnsi="Times New Roman" w:cs="Times New Roman"/>
                <w:b/>
                <w:color w:val="FFFFFF" w:themeColor="background1"/>
                <w:sz w:val="24"/>
                <w:szCs w:val="24"/>
                <w:lang w:eastAsia="es-DO"/>
              </w:rPr>
            </w:pPr>
            <w:r w:rsidRPr="006A0747">
              <w:rPr>
                <w:rFonts w:ascii="Times New Roman" w:eastAsia="Times New Roman" w:hAnsi="Times New Roman" w:cs="Times New Roman"/>
                <w:b/>
                <w:color w:val="FFFFFF" w:themeColor="background1"/>
                <w:sz w:val="24"/>
                <w:szCs w:val="24"/>
                <w:lang w:eastAsia="es-DO"/>
              </w:rPr>
              <w:t>FRECUENCIA</w:t>
            </w:r>
          </w:p>
        </w:tc>
        <w:tc>
          <w:tcPr>
            <w:tcW w:w="0" w:type="auto"/>
            <w:tcBorders>
              <w:top w:val="single" w:sz="4" w:space="0" w:color="auto"/>
              <w:left w:val="nil"/>
              <w:bottom w:val="single" w:sz="4" w:space="0" w:color="auto"/>
              <w:right w:val="single" w:sz="4" w:space="0" w:color="auto"/>
            </w:tcBorders>
            <w:shd w:val="clear" w:color="auto" w:fill="011C50"/>
            <w:vAlign w:val="center"/>
            <w:hideMark/>
          </w:tcPr>
          <w:p w14:paraId="6A3039E4" w14:textId="77777777" w:rsidR="003938E1" w:rsidRPr="006A0747" w:rsidRDefault="003938E1">
            <w:pPr>
              <w:spacing w:after="0" w:line="240" w:lineRule="auto"/>
              <w:jc w:val="center"/>
              <w:rPr>
                <w:rFonts w:ascii="Times New Roman" w:eastAsia="Times New Roman" w:hAnsi="Times New Roman" w:cs="Times New Roman"/>
                <w:b/>
                <w:color w:val="FFFFFF" w:themeColor="background1"/>
                <w:sz w:val="24"/>
                <w:szCs w:val="24"/>
                <w:lang w:eastAsia="es-DO"/>
              </w:rPr>
            </w:pPr>
            <w:r w:rsidRPr="006A0747">
              <w:rPr>
                <w:rFonts w:ascii="Times New Roman" w:eastAsia="Times New Roman" w:hAnsi="Times New Roman" w:cs="Times New Roman"/>
                <w:b/>
                <w:color w:val="FFFFFF" w:themeColor="background1"/>
                <w:sz w:val="24"/>
                <w:szCs w:val="24"/>
                <w:lang w:eastAsia="es-DO"/>
              </w:rPr>
              <w:t>LÍNEA BASE</w:t>
            </w:r>
          </w:p>
        </w:tc>
        <w:tc>
          <w:tcPr>
            <w:tcW w:w="0" w:type="auto"/>
            <w:tcBorders>
              <w:top w:val="single" w:sz="4" w:space="0" w:color="auto"/>
              <w:left w:val="nil"/>
              <w:bottom w:val="single" w:sz="4" w:space="0" w:color="auto"/>
              <w:right w:val="single" w:sz="4" w:space="0" w:color="auto"/>
            </w:tcBorders>
            <w:shd w:val="clear" w:color="auto" w:fill="011C50"/>
            <w:vAlign w:val="center"/>
            <w:hideMark/>
          </w:tcPr>
          <w:p w14:paraId="5729D397" w14:textId="77777777" w:rsidR="003938E1" w:rsidRPr="006A0747" w:rsidRDefault="003938E1">
            <w:pPr>
              <w:spacing w:after="0" w:line="240" w:lineRule="auto"/>
              <w:jc w:val="center"/>
              <w:rPr>
                <w:rFonts w:ascii="Times New Roman" w:eastAsia="Times New Roman" w:hAnsi="Times New Roman" w:cs="Times New Roman"/>
                <w:b/>
                <w:color w:val="FFFFFF" w:themeColor="background1"/>
                <w:sz w:val="24"/>
                <w:szCs w:val="24"/>
                <w:lang w:eastAsia="es-DO"/>
              </w:rPr>
            </w:pPr>
            <w:r w:rsidRPr="006A0747">
              <w:rPr>
                <w:rFonts w:ascii="Times New Roman" w:eastAsia="Times New Roman" w:hAnsi="Times New Roman" w:cs="Times New Roman"/>
                <w:b/>
                <w:color w:val="FFFFFF" w:themeColor="background1"/>
                <w:sz w:val="24"/>
                <w:szCs w:val="24"/>
                <w:lang w:eastAsia="es-DO"/>
              </w:rPr>
              <w:t>META</w:t>
            </w:r>
          </w:p>
        </w:tc>
        <w:tc>
          <w:tcPr>
            <w:tcW w:w="0" w:type="auto"/>
            <w:tcBorders>
              <w:top w:val="single" w:sz="4" w:space="0" w:color="auto"/>
              <w:left w:val="nil"/>
              <w:bottom w:val="single" w:sz="4" w:space="0" w:color="auto"/>
              <w:right w:val="single" w:sz="4" w:space="0" w:color="auto"/>
            </w:tcBorders>
            <w:shd w:val="clear" w:color="auto" w:fill="011C50"/>
            <w:vAlign w:val="center"/>
            <w:hideMark/>
          </w:tcPr>
          <w:p w14:paraId="7AA73A0B" w14:textId="77777777" w:rsidR="003938E1" w:rsidRPr="006A0747" w:rsidRDefault="003938E1">
            <w:pPr>
              <w:spacing w:after="0" w:line="240" w:lineRule="auto"/>
              <w:jc w:val="center"/>
              <w:rPr>
                <w:rFonts w:ascii="Times New Roman" w:eastAsia="Times New Roman" w:hAnsi="Times New Roman" w:cs="Times New Roman"/>
                <w:b/>
                <w:color w:val="FFFFFF" w:themeColor="background1"/>
                <w:sz w:val="24"/>
                <w:szCs w:val="24"/>
                <w:lang w:eastAsia="es-DO"/>
              </w:rPr>
            </w:pPr>
            <w:r w:rsidRPr="006A0747">
              <w:rPr>
                <w:rFonts w:ascii="Times New Roman" w:eastAsia="Times New Roman" w:hAnsi="Times New Roman" w:cs="Times New Roman"/>
                <w:b/>
                <w:color w:val="FFFFFF" w:themeColor="background1"/>
                <w:sz w:val="24"/>
                <w:szCs w:val="24"/>
                <w:lang w:eastAsia="es-DO"/>
              </w:rPr>
              <w:t>RESULTADO</w:t>
            </w:r>
          </w:p>
        </w:tc>
        <w:tc>
          <w:tcPr>
            <w:tcW w:w="0" w:type="auto"/>
            <w:tcBorders>
              <w:top w:val="single" w:sz="4" w:space="0" w:color="auto"/>
              <w:left w:val="nil"/>
              <w:bottom w:val="single" w:sz="4" w:space="0" w:color="auto"/>
              <w:right w:val="single" w:sz="4" w:space="0" w:color="auto"/>
            </w:tcBorders>
            <w:shd w:val="clear" w:color="auto" w:fill="011C50"/>
            <w:vAlign w:val="center"/>
            <w:hideMark/>
          </w:tcPr>
          <w:p w14:paraId="7C6AB14D" w14:textId="77777777" w:rsidR="003938E1" w:rsidRPr="006A0747" w:rsidRDefault="003938E1">
            <w:pPr>
              <w:spacing w:after="0" w:line="240" w:lineRule="auto"/>
              <w:jc w:val="center"/>
              <w:rPr>
                <w:rFonts w:ascii="Times New Roman" w:eastAsia="Times New Roman" w:hAnsi="Times New Roman" w:cs="Times New Roman"/>
                <w:b/>
                <w:color w:val="FFFFFF" w:themeColor="background1"/>
                <w:sz w:val="24"/>
                <w:szCs w:val="24"/>
                <w:lang w:eastAsia="es-DO"/>
              </w:rPr>
            </w:pPr>
            <w:r w:rsidRPr="006A0747">
              <w:rPr>
                <w:rFonts w:ascii="Times New Roman" w:eastAsia="Times New Roman" w:hAnsi="Times New Roman" w:cs="Times New Roman"/>
                <w:b/>
                <w:color w:val="FFFFFF" w:themeColor="background1"/>
                <w:sz w:val="24"/>
                <w:szCs w:val="24"/>
                <w:lang w:eastAsia="es-DO"/>
              </w:rPr>
              <w:t xml:space="preserve">PORCENTAJE DE AVANCE </w:t>
            </w:r>
          </w:p>
        </w:tc>
      </w:tr>
      <w:tr w:rsidR="003938E1" w:rsidRPr="006A0747" w14:paraId="1293582A" w14:textId="77777777" w:rsidTr="00665334">
        <w:trPr>
          <w:trHeight w:val="48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1B5EA5ED"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w:t>
            </w:r>
          </w:p>
        </w:tc>
        <w:tc>
          <w:tcPr>
            <w:tcW w:w="1187" w:type="dxa"/>
            <w:tcBorders>
              <w:top w:val="nil"/>
              <w:left w:val="nil"/>
              <w:bottom w:val="single" w:sz="4" w:space="0" w:color="auto"/>
              <w:right w:val="single" w:sz="4" w:space="0" w:color="auto"/>
            </w:tcBorders>
            <w:shd w:val="clear" w:color="auto" w:fill="auto"/>
            <w:noWrap/>
            <w:vAlign w:val="center"/>
            <w:hideMark/>
          </w:tcPr>
          <w:p w14:paraId="191023B5"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Administrativo y Financiero</w:t>
            </w:r>
          </w:p>
        </w:tc>
        <w:tc>
          <w:tcPr>
            <w:tcW w:w="1088" w:type="dxa"/>
            <w:tcBorders>
              <w:top w:val="nil"/>
              <w:left w:val="nil"/>
              <w:bottom w:val="single" w:sz="4" w:space="0" w:color="auto"/>
              <w:right w:val="single" w:sz="4" w:space="0" w:color="auto"/>
            </w:tcBorders>
            <w:shd w:val="clear" w:color="auto" w:fill="auto"/>
            <w:vAlign w:val="center"/>
            <w:hideMark/>
          </w:tcPr>
          <w:p w14:paraId="1B36897C"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Optimización ERP Finanzas</w:t>
            </w:r>
          </w:p>
        </w:tc>
        <w:tc>
          <w:tcPr>
            <w:tcW w:w="0" w:type="auto"/>
            <w:tcBorders>
              <w:top w:val="nil"/>
              <w:left w:val="nil"/>
              <w:bottom w:val="single" w:sz="4" w:space="0" w:color="auto"/>
              <w:right w:val="single" w:sz="4" w:space="0" w:color="auto"/>
            </w:tcBorders>
            <w:shd w:val="clear" w:color="auto" w:fill="auto"/>
            <w:vAlign w:val="center"/>
            <w:hideMark/>
          </w:tcPr>
          <w:p w14:paraId="16450C67"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avance del proyecto según hitos</w:t>
            </w:r>
          </w:p>
        </w:tc>
        <w:tc>
          <w:tcPr>
            <w:tcW w:w="0" w:type="auto"/>
            <w:tcBorders>
              <w:top w:val="nil"/>
              <w:left w:val="nil"/>
              <w:bottom w:val="single" w:sz="4" w:space="0" w:color="auto"/>
              <w:right w:val="single" w:sz="4" w:space="0" w:color="auto"/>
            </w:tcBorders>
            <w:shd w:val="clear" w:color="auto" w:fill="auto"/>
            <w:noWrap/>
            <w:vAlign w:val="center"/>
            <w:hideMark/>
          </w:tcPr>
          <w:p w14:paraId="71F9814A"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0BE1E4BA"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74107C53"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50%</w:t>
            </w:r>
          </w:p>
        </w:tc>
        <w:tc>
          <w:tcPr>
            <w:tcW w:w="0" w:type="auto"/>
            <w:tcBorders>
              <w:top w:val="nil"/>
              <w:left w:val="nil"/>
              <w:bottom w:val="single" w:sz="4" w:space="0" w:color="auto"/>
              <w:right w:val="single" w:sz="4" w:space="0" w:color="auto"/>
            </w:tcBorders>
            <w:shd w:val="clear" w:color="auto" w:fill="auto"/>
            <w:noWrap/>
            <w:vAlign w:val="center"/>
            <w:hideMark/>
          </w:tcPr>
          <w:p w14:paraId="377E644E" w14:textId="4F639B0C" w:rsidR="003938E1" w:rsidRPr="006A0747" w:rsidRDefault="00E24ADE">
            <w:pPr>
              <w:spacing w:after="0" w:line="240" w:lineRule="auto"/>
              <w:jc w:val="center"/>
              <w:rPr>
                <w:rFonts w:ascii="Times New Roman" w:eastAsia="Times New Roman" w:hAnsi="Times New Roman" w:cs="Times New Roman"/>
                <w:color w:val="767171"/>
                <w:sz w:val="24"/>
                <w:szCs w:val="24"/>
                <w:lang w:eastAsia="es-DO"/>
              </w:rPr>
            </w:pPr>
            <w:r>
              <w:rPr>
                <w:rFonts w:ascii="Times New Roman" w:eastAsia="Times New Roman" w:hAnsi="Times New Roman" w:cs="Times New Roman"/>
                <w:color w:val="767171"/>
                <w:sz w:val="24"/>
                <w:szCs w:val="24"/>
                <w:lang w:eastAsia="es-DO"/>
              </w:rPr>
              <w:t>50</w:t>
            </w:r>
            <w:r w:rsidR="003938E1" w:rsidRPr="006A0747">
              <w:rPr>
                <w:rFonts w:ascii="Times New Roman" w:eastAsia="Times New Roman" w:hAnsi="Times New Roman" w:cs="Times New Roman"/>
                <w:color w:val="767171"/>
                <w:sz w:val="24"/>
                <w:szCs w:val="24"/>
                <w:lang w:eastAsia="es-DO"/>
              </w:rPr>
              <w:t>%</w:t>
            </w:r>
          </w:p>
        </w:tc>
        <w:tc>
          <w:tcPr>
            <w:tcW w:w="0" w:type="auto"/>
            <w:tcBorders>
              <w:top w:val="nil"/>
              <w:left w:val="nil"/>
              <w:bottom w:val="single" w:sz="4" w:space="0" w:color="auto"/>
              <w:right w:val="single" w:sz="4" w:space="0" w:color="auto"/>
            </w:tcBorders>
            <w:shd w:val="clear" w:color="auto" w:fill="auto"/>
            <w:noWrap/>
            <w:vAlign w:val="center"/>
            <w:hideMark/>
          </w:tcPr>
          <w:p w14:paraId="06DACA66" w14:textId="4F66CE8A" w:rsidR="003938E1" w:rsidRPr="006A0747" w:rsidRDefault="00E24ADE">
            <w:pPr>
              <w:spacing w:after="0" w:line="240" w:lineRule="auto"/>
              <w:jc w:val="center"/>
              <w:rPr>
                <w:rFonts w:ascii="Times New Roman" w:eastAsia="Times New Roman" w:hAnsi="Times New Roman" w:cs="Times New Roman"/>
                <w:color w:val="767171"/>
                <w:sz w:val="24"/>
                <w:szCs w:val="24"/>
                <w:lang w:eastAsia="es-DO"/>
              </w:rPr>
            </w:pPr>
            <w:r>
              <w:rPr>
                <w:rFonts w:ascii="Times New Roman" w:eastAsia="Times New Roman" w:hAnsi="Times New Roman" w:cs="Times New Roman"/>
                <w:color w:val="767171"/>
                <w:sz w:val="24"/>
                <w:szCs w:val="24"/>
                <w:lang w:eastAsia="es-DO"/>
              </w:rPr>
              <w:t>100</w:t>
            </w:r>
            <w:r w:rsidR="003938E1" w:rsidRPr="006A0747">
              <w:rPr>
                <w:rFonts w:ascii="Times New Roman" w:eastAsia="Times New Roman" w:hAnsi="Times New Roman" w:cs="Times New Roman"/>
                <w:color w:val="767171"/>
                <w:sz w:val="24"/>
                <w:szCs w:val="24"/>
                <w:lang w:eastAsia="es-DO"/>
              </w:rPr>
              <w:t>%</w:t>
            </w:r>
          </w:p>
        </w:tc>
      </w:tr>
      <w:tr w:rsidR="003938E1" w:rsidRPr="006A0747" w14:paraId="32895AD7" w14:textId="77777777" w:rsidTr="00665334">
        <w:trPr>
          <w:trHeight w:val="72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39AA0412"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2</w:t>
            </w:r>
          </w:p>
        </w:tc>
        <w:tc>
          <w:tcPr>
            <w:tcW w:w="1187" w:type="dxa"/>
            <w:tcBorders>
              <w:top w:val="nil"/>
              <w:left w:val="nil"/>
              <w:bottom w:val="single" w:sz="4" w:space="0" w:color="auto"/>
              <w:right w:val="single" w:sz="4" w:space="0" w:color="auto"/>
            </w:tcBorders>
            <w:shd w:val="clear" w:color="auto" w:fill="auto"/>
            <w:noWrap/>
            <w:vAlign w:val="center"/>
            <w:hideMark/>
          </w:tcPr>
          <w:p w14:paraId="4A6B04F3"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Comisión de Ética</w:t>
            </w:r>
          </w:p>
        </w:tc>
        <w:tc>
          <w:tcPr>
            <w:tcW w:w="1088" w:type="dxa"/>
            <w:tcBorders>
              <w:top w:val="nil"/>
              <w:left w:val="nil"/>
              <w:bottom w:val="single" w:sz="4" w:space="0" w:color="auto"/>
              <w:right w:val="single" w:sz="4" w:space="0" w:color="auto"/>
            </w:tcBorders>
            <w:shd w:val="clear" w:color="auto" w:fill="auto"/>
            <w:vAlign w:val="center"/>
            <w:hideMark/>
          </w:tcPr>
          <w:p w14:paraId="06A9B306"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Programa de Actividades en Conmemoración de la Ética</w:t>
            </w:r>
          </w:p>
        </w:tc>
        <w:tc>
          <w:tcPr>
            <w:tcW w:w="0" w:type="auto"/>
            <w:tcBorders>
              <w:top w:val="nil"/>
              <w:left w:val="nil"/>
              <w:bottom w:val="single" w:sz="4" w:space="0" w:color="auto"/>
              <w:right w:val="single" w:sz="4" w:space="0" w:color="auto"/>
            </w:tcBorders>
            <w:shd w:val="clear" w:color="auto" w:fill="auto"/>
            <w:vAlign w:val="center"/>
            <w:hideMark/>
          </w:tcPr>
          <w:p w14:paraId="3745B15E"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implementación del proyecto según hitos</w:t>
            </w:r>
          </w:p>
        </w:tc>
        <w:tc>
          <w:tcPr>
            <w:tcW w:w="0" w:type="auto"/>
            <w:tcBorders>
              <w:top w:val="nil"/>
              <w:left w:val="nil"/>
              <w:bottom w:val="single" w:sz="4" w:space="0" w:color="auto"/>
              <w:right w:val="single" w:sz="4" w:space="0" w:color="auto"/>
            </w:tcBorders>
            <w:shd w:val="clear" w:color="auto" w:fill="auto"/>
            <w:noWrap/>
            <w:vAlign w:val="center"/>
            <w:hideMark/>
          </w:tcPr>
          <w:p w14:paraId="07B221DE"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57C9F666"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79FE7C18" w14:textId="1880505A" w:rsidR="003938E1" w:rsidRPr="006A0747" w:rsidRDefault="00E24ADE">
            <w:pPr>
              <w:spacing w:after="0" w:line="240" w:lineRule="auto"/>
              <w:jc w:val="center"/>
              <w:rPr>
                <w:rFonts w:ascii="Times New Roman" w:eastAsia="Times New Roman" w:hAnsi="Times New Roman" w:cs="Times New Roman"/>
                <w:color w:val="767171"/>
                <w:sz w:val="24"/>
                <w:szCs w:val="24"/>
                <w:lang w:eastAsia="es-DO"/>
              </w:rPr>
            </w:pPr>
            <w:r>
              <w:rPr>
                <w:rFonts w:ascii="Times New Roman" w:eastAsia="Times New Roman" w:hAnsi="Times New Roman" w:cs="Times New Roman"/>
                <w:color w:val="767171"/>
                <w:sz w:val="24"/>
                <w:szCs w:val="24"/>
                <w:lang w:eastAsia="es-DO"/>
              </w:rPr>
              <w:t>100</w:t>
            </w:r>
            <w:r w:rsidR="003938E1" w:rsidRPr="006A0747">
              <w:rPr>
                <w:rFonts w:ascii="Times New Roman" w:eastAsia="Times New Roman" w:hAnsi="Times New Roman" w:cs="Times New Roman"/>
                <w:color w:val="767171"/>
                <w:sz w:val="24"/>
                <w:szCs w:val="24"/>
                <w:lang w:eastAsia="es-DO"/>
              </w:rPr>
              <w:t>%</w:t>
            </w:r>
          </w:p>
        </w:tc>
        <w:tc>
          <w:tcPr>
            <w:tcW w:w="0" w:type="auto"/>
            <w:tcBorders>
              <w:top w:val="nil"/>
              <w:left w:val="nil"/>
              <w:bottom w:val="single" w:sz="4" w:space="0" w:color="auto"/>
              <w:right w:val="single" w:sz="4" w:space="0" w:color="auto"/>
            </w:tcBorders>
            <w:shd w:val="clear" w:color="auto" w:fill="auto"/>
            <w:noWrap/>
            <w:vAlign w:val="center"/>
            <w:hideMark/>
          </w:tcPr>
          <w:p w14:paraId="32EBAB24" w14:textId="3B44A041" w:rsidR="003938E1" w:rsidRPr="006A0747" w:rsidRDefault="00E24ADE">
            <w:pPr>
              <w:spacing w:after="0" w:line="240" w:lineRule="auto"/>
              <w:jc w:val="center"/>
              <w:rPr>
                <w:rFonts w:ascii="Times New Roman" w:eastAsia="Times New Roman" w:hAnsi="Times New Roman" w:cs="Times New Roman"/>
                <w:color w:val="767171"/>
                <w:sz w:val="24"/>
                <w:szCs w:val="24"/>
                <w:lang w:eastAsia="es-DO"/>
              </w:rPr>
            </w:pPr>
            <w:r>
              <w:rPr>
                <w:rFonts w:ascii="Times New Roman" w:eastAsia="Times New Roman" w:hAnsi="Times New Roman" w:cs="Times New Roman"/>
                <w:color w:val="767171"/>
                <w:sz w:val="24"/>
                <w:szCs w:val="24"/>
                <w:lang w:eastAsia="es-DO"/>
              </w:rPr>
              <w:t>100</w:t>
            </w:r>
            <w:r w:rsidR="003938E1" w:rsidRPr="006A0747">
              <w:rPr>
                <w:rFonts w:ascii="Times New Roman" w:eastAsia="Times New Roman" w:hAnsi="Times New Roman" w:cs="Times New Roman"/>
                <w:color w:val="767171"/>
                <w:sz w:val="24"/>
                <w:szCs w:val="24"/>
                <w:lang w:eastAsia="es-DO"/>
              </w:rPr>
              <w:t>%</w:t>
            </w:r>
          </w:p>
        </w:tc>
        <w:tc>
          <w:tcPr>
            <w:tcW w:w="0" w:type="auto"/>
            <w:tcBorders>
              <w:top w:val="nil"/>
              <w:left w:val="nil"/>
              <w:bottom w:val="single" w:sz="4" w:space="0" w:color="auto"/>
              <w:right w:val="single" w:sz="4" w:space="0" w:color="auto"/>
            </w:tcBorders>
            <w:shd w:val="clear" w:color="auto" w:fill="auto"/>
            <w:noWrap/>
            <w:vAlign w:val="center"/>
            <w:hideMark/>
          </w:tcPr>
          <w:p w14:paraId="161158D3"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r>
      <w:tr w:rsidR="003938E1" w:rsidRPr="006A0747" w14:paraId="28A28DBE" w14:textId="77777777" w:rsidTr="00665334">
        <w:trPr>
          <w:trHeight w:val="72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5A6EA8D2"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3</w:t>
            </w:r>
          </w:p>
        </w:tc>
        <w:tc>
          <w:tcPr>
            <w:tcW w:w="1187" w:type="dxa"/>
            <w:tcBorders>
              <w:top w:val="nil"/>
              <w:left w:val="nil"/>
              <w:bottom w:val="single" w:sz="4" w:space="0" w:color="auto"/>
              <w:right w:val="single" w:sz="4" w:space="0" w:color="auto"/>
            </w:tcBorders>
            <w:shd w:val="clear" w:color="auto" w:fill="auto"/>
            <w:noWrap/>
            <w:vAlign w:val="center"/>
            <w:hideMark/>
          </w:tcPr>
          <w:p w14:paraId="624F5B66"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Comunicaciones</w:t>
            </w:r>
          </w:p>
        </w:tc>
        <w:tc>
          <w:tcPr>
            <w:tcW w:w="1088" w:type="dxa"/>
            <w:tcBorders>
              <w:top w:val="nil"/>
              <w:left w:val="nil"/>
              <w:bottom w:val="single" w:sz="4" w:space="0" w:color="auto"/>
              <w:right w:val="single" w:sz="4" w:space="0" w:color="auto"/>
            </w:tcBorders>
            <w:shd w:val="clear" w:color="auto" w:fill="auto"/>
            <w:vAlign w:val="center"/>
            <w:hideMark/>
          </w:tcPr>
          <w:p w14:paraId="19725377"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Informe multimedia Transformación de la SB 2020-2024</w:t>
            </w:r>
          </w:p>
        </w:tc>
        <w:tc>
          <w:tcPr>
            <w:tcW w:w="0" w:type="auto"/>
            <w:tcBorders>
              <w:top w:val="nil"/>
              <w:left w:val="nil"/>
              <w:bottom w:val="single" w:sz="4" w:space="0" w:color="auto"/>
              <w:right w:val="single" w:sz="4" w:space="0" w:color="auto"/>
            </w:tcBorders>
            <w:shd w:val="clear" w:color="auto" w:fill="auto"/>
            <w:vAlign w:val="center"/>
            <w:hideMark/>
          </w:tcPr>
          <w:p w14:paraId="51F8B5ED"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avance según hitos</w:t>
            </w:r>
          </w:p>
        </w:tc>
        <w:tc>
          <w:tcPr>
            <w:tcW w:w="0" w:type="auto"/>
            <w:tcBorders>
              <w:top w:val="nil"/>
              <w:left w:val="nil"/>
              <w:bottom w:val="single" w:sz="4" w:space="0" w:color="auto"/>
              <w:right w:val="single" w:sz="4" w:space="0" w:color="auto"/>
            </w:tcBorders>
            <w:shd w:val="clear" w:color="auto" w:fill="auto"/>
            <w:noWrap/>
            <w:vAlign w:val="center"/>
            <w:hideMark/>
          </w:tcPr>
          <w:p w14:paraId="4D6819B1"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2DAE77EA"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193B12F8"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c>
          <w:tcPr>
            <w:tcW w:w="0" w:type="auto"/>
            <w:tcBorders>
              <w:top w:val="nil"/>
              <w:left w:val="nil"/>
              <w:bottom w:val="single" w:sz="4" w:space="0" w:color="auto"/>
              <w:right w:val="single" w:sz="4" w:space="0" w:color="auto"/>
            </w:tcBorders>
            <w:shd w:val="clear" w:color="auto" w:fill="auto"/>
            <w:noWrap/>
            <w:vAlign w:val="center"/>
            <w:hideMark/>
          </w:tcPr>
          <w:p w14:paraId="0A536819" w14:textId="7B734C9F" w:rsidR="003938E1" w:rsidRPr="006A0747" w:rsidRDefault="00912C28">
            <w:pPr>
              <w:spacing w:after="0" w:line="240" w:lineRule="auto"/>
              <w:jc w:val="center"/>
              <w:rPr>
                <w:rFonts w:ascii="Times New Roman" w:eastAsia="Times New Roman" w:hAnsi="Times New Roman" w:cs="Times New Roman"/>
                <w:color w:val="767171"/>
                <w:sz w:val="24"/>
                <w:szCs w:val="24"/>
                <w:lang w:eastAsia="es-DO"/>
              </w:rPr>
            </w:pPr>
            <w:r>
              <w:rPr>
                <w:rFonts w:ascii="Times New Roman" w:eastAsia="Times New Roman" w:hAnsi="Times New Roman" w:cs="Times New Roman"/>
                <w:color w:val="767171"/>
                <w:sz w:val="24"/>
                <w:szCs w:val="24"/>
                <w:lang w:eastAsia="es-DO"/>
              </w:rPr>
              <w:t>100</w:t>
            </w:r>
            <w:r w:rsidR="003938E1" w:rsidRPr="006A0747">
              <w:rPr>
                <w:rFonts w:ascii="Times New Roman" w:eastAsia="Times New Roman" w:hAnsi="Times New Roman" w:cs="Times New Roman"/>
                <w:color w:val="767171"/>
                <w:sz w:val="24"/>
                <w:szCs w:val="24"/>
                <w:lang w:eastAsia="es-DO"/>
              </w:rPr>
              <w:t>%</w:t>
            </w:r>
          </w:p>
        </w:tc>
        <w:tc>
          <w:tcPr>
            <w:tcW w:w="0" w:type="auto"/>
            <w:tcBorders>
              <w:top w:val="nil"/>
              <w:left w:val="nil"/>
              <w:bottom w:val="single" w:sz="4" w:space="0" w:color="auto"/>
              <w:right w:val="single" w:sz="4" w:space="0" w:color="auto"/>
            </w:tcBorders>
            <w:shd w:val="clear" w:color="auto" w:fill="auto"/>
            <w:noWrap/>
            <w:vAlign w:val="center"/>
            <w:hideMark/>
          </w:tcPr>
          <w:p w14:paraId="3CCD3CCE" w14:textId="1A840BD8" w:rsidR="003938E1" w:rsidRPr="006A0747" w:rsidRDefault="00912C28">
            <w:pPr>
              <w:spacing w:after="0" w:line="240" w:lineRule="auto"/>
              <w:jc w:val="center"/>
              <w:rPr>
                <w:rFonts w:ascii="Times New Roman" w:eastAsia="Times New Roman" w:hAnsi="Times New Roman" w:cs="Times New Roman"/>
                <w:color w:val="767171"/>
                <w:sz w:val="24"/>
                <w:szCs w:val="24"/>
                <w:lang w:eastAsia="es-DO"/>
              </w:rPr>
            </w:pPr>
            <w:r>
              <w:rPr>
                <w:rFonts w:ascii="Times New Roman" w:eastAsia="Times New Roman" w:hAnsi="Times New Roman" w:cs="Times New Roman"/>
                <w:color w:val="767171"/>
                <w:sz w:val="24"/>
                <w:szCs w:val="24"/>
                <w:lang w:eastAsia="es-DO"/>
              </w:rPr>
              <w:t>100</w:t>
            </w:r>
            <w:r w:rsidR="003938E1" w:rsidRPr="006A0747">
              <w:rPr>
                <w:rFonts w:ascii="Times New Roman" w:eastAsia="Times New Roman" w:hAnsi="Times New Roman" w:cs="Times New Roman"/>
                <w:color w:val="767171"/>
                <w:sz w:val="24"/>
                <w:szCs w:val="24"/>
                <w:lang w:eastAsia="es-DO"/>
              </w:rPr>
              <w:t>%</w:t>
            </w:r>
          </w:p>
        </w:tc>
      </w:tr>
      <w:tr w:rsidR="003938E1" w:rsidRPr="006A0747" w14:paraId="60F92FC0" w14:textId="77777777" w:rsidTr="00665334">
        <w:trPr>
          <w:trHeight w:val="72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7F2482DE"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4</w:t>
            </w:r>
          </w:p>
        </w:tc>
        <w:tc>
          <w:tcPr>
            <w:tcW w:w="1187" w:type="dxa"/>
            <w:tcBorders>
              <w:top w:val="nil"/>
              <w:left w:val="nil"/>
              <w:bottom w:val="single" w:sz="4" w:space="0" w:color="auto"/>
              <w:right w:val="single" w:sz="4" w:space="0" w:color="auto"/>
            </w:tcBorders>
            <w:shd w:val="clear" w:color="auto" w:fill="auto"/>
            <w:noWrap/>
            <w:vAlign w:val="center"/>
            <w:hideMark/>
          </w:tcPr>
          <w:p w14:paraId="36BD7E7A"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Consultoría Jurídica</w:t>
            </w:r>
          </w:p>
        </w:tc>
        <w:tc>
          <w:tcPr>
            <w:tcW w:w="1088" w:type="dxa"/>
            <w:tcBorders>
              <w:top w:val="nil"/>
              <w:left w:val="nil"/>
              <w:bottom w:val="single" w:sz="4" w:space="0" w:color="auto"/>
              <w:right w:val="single" w:sz="4" w:space="0" w:color="auto"/>
            </w:tcBorders>
            <w:shd w:val="clear" w:color="auto" w:fill="auto"/>
            <w:vAlign w:val="center"/>
            <w:hideMark/>
          </w:tcPr>
          <w:p w14:paraId="1EA9E3AA"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Interoperabilidad de sistemas con el Registro Inmobiliario - Fase II</w:t>
            </w:r>
          </w:p>
        </w:tc>
        <w:tc>
          <w:tcPr>
            <w:tcW w:w="0" w:type="auto"/>
            <w:tcBorders>
              <w:top w:val="nil"/>
              <w:left w:val="nil"/>
              <w:bottom w:val="single" w:sz="4" w:space="0" w:color="auto"/>
              <w:right w:val="single" w:sz="4" w:space="0" w:color="auto"/>
            </w:tcBorders>
            <w:shd w:val="clear" w:color="auto" w:fill="auto"/>
            <w:vAlign w:val="center"/>
            <w:hideMark/>
          </w:tcPr>
          <w:p w14:paraId="768FC653"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implementación del proyecto según hitos</w:t>
            </w:r>
          </w:p>
        </w:tc>
        <w:tc>
          <w:tcPr>
            <w:tcW w:w="0" w:type="auto"/>
            <w:tcBorders>
              <w:top w:val="nil"/>
              <w:left w:val="nil"/>
              <w:bottom w:val="single" w:sz="4" w:space="0" w:color="auto"/>
              <w:right w:val="single" w:sz="4" w:space="0" w:color="auto"/>
            </w:tcBorders>
            <w:shd w:val="clear" w:color="auto" w:fill="auto"/>
            <w:noWrap/>
            <w:vAlign w:val="center"/>
            <w:hideMark/>
          </w:tcPr>
          <w:p w14:paraId="04B848A1"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2CC70050"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6963BCE6" w14:textId="3117991E" w:rsidR="003938E1" w:rsidRPr="006A0747" w:rsidRDefault="00912C28">
            <w:pPr>
              <w:spacing w:after="0" w:line="240" w:lineRule="auto"/>
              <w:jc w:val="center"/>
              <w:rPr>
                <w:rFonts w:ascii="Times New Roman" w:eastAsia="Times New Roman" w:hAnsi="Times New Roman" w:cs="Times New Roman"/>
                <w:color w:val="767171"/>
                <w:sz w:val="24"/>
                <w:szCs w:val="24"/>
                <w:lang w:eastAsia="es-DO"/>
              </w:rPr>
            </w:pPr>
            <w:r>
              <w:rPr>
                <w:rFonts w:ascii="Times New Roman" w:eastAsia="Times New Roman" w:hAnsi="Times New Roman" w:cs="Times New Roman"/>
                <w:color w:val="767171"/>
                <w:sz w:val="24"/>
                <w:szCs w:val="24"/>
                <w:lang w:eastAsia="es-DO"/>
              </w:rPr>
              <w:t>100</w:t>
            </w:r>
            <w:r w:rsidR="003938E1" w:rsidRPr="006A0747">
              <w:rPr>
                <w:rFonts w:ascii="Times New Roman" w:eastAsia="Times New Roman" w:hAnsi="Times New Roman" w:cs="Times New Roman"/>
                <w:color w:val="767171"/>
                <w:sz w:val="24"/>
                <w:szCs w:val="24"/>
                <w:lang w:eastAsia="es-DO"/>
              </w:rPr>
              <w:t>%</w:t>
            </w:r>
          </w:p>
        </w:tc>
        <w:tc>
          <w:tcPr>
            <w:tcW w:w="0" w:type="auto"/>
            <w:tcBorders>
              <w:top w:val="nil"/>
              <w:left w:val="nil"/>
              <w:bottom w:val="single" w:sz="4" w:space="0" w:color="auto"/>
              <w:right w:val="single" w:sz="4" w:space="0" w:color="auto"/>
            </w:tcBorders>
            <w:shd w:val="clear" w:color="auto" w:fill="auto"/>
            <w:noWrap/>
            <w:vAlign w:val="center"/>
            <w:hideMark/>
          </w:tcPr>
          <w:p w14:paraId="3252BA78" w14:textId="496B787C" w:rsidR="003938E1" w:rsidRPr="006A0747" w:rsidRDefault="00912C28">
            <w:pPr>
              <w:spacing w:after="0" w:line="240" w:lineRule="auto"/>
              <w:jc w:val="center"/>
              <w:rPr>
                <w:rFonts w:ascii="Times New Roman" w:eastAsia="Times New Roman" w:hAnsi="Times New Roman" w:cs="Times New Roman"/>
                <w:color w:val="767171"/>
                <w:sz w:val="24"/>
                <w:szCs w:val="24"/>
                <w:lang w:eastAsia="es-DO"/>
              </w:rPr>
            </w:pPr>
            <w:r>
              <w:rPr>
                <w:rFonts w:ascii="Times New Roman" w:eastAsia="Times New Roman" w:hAnsi="Times New Roman" w:cs="Times New Roman"/>
                <w:color w:val="767171"/>
                <w:sz w:val="24"/>
                <w:szCs w:val="24"/>
                <w:lang w:eastAsia="es-DO"/>
              </w:rPr>
              <w:t>100</w:t>
            </w:r>
            <w:r w:rsidR="003938E1" w:rsidRPr="006A0747">
              <w:rPr>
                <w:rFonts w:ascii="Times New Roman" w:eastAsia="Times New Roman" w:hAnsi="Times New Roman" w:cs="Times New Roman"/>
                <w:color w:val="767171"/>
                <w:sz w:val="24"/>
                <w:szCs w:val="24"/>
                <w:lang w:eastAsia="es-DO"/>
              </w:rPr>
              <w:t>%</w:t>
            </w:r>
          </w:p>
        </w:tc>
        <w:tc>
          <w:tcPr>
            <w:tcW w:w="0" w:type="auto"/>
            <w:tcBorders>
              <w:top w:val="nil"/>
              <w:left w:val="nil"/>
              <w:bottom w:val="single" w:sz="4" w:space="0" w:color="auto"/>
              <w:right w:val="single" w:sz="4" w:space="0" w:color="auto"/>
            </w:tcBorders>
            <w:shd w:val="clear" w:color="auto" w:fill="auto"/>
            <w:noWrap/>
            <w:vAlign w:val="center"/>
            <w:hideMark/>
          </w:tcPr>
          <w:p w14:paraId="2AC84B30" w14:textId="6AA53A0E" w:rsidR="003938E1" w:rsidRPr="006A0747" w:rsidRDefault="00912C28">
            <w:pPr>
              <w:spacing w:after="0" w:line="240" w:lineRule="auto"/>
              <w:jc w:val="center"/>
              <w:rPr>
                <w:rFonts w:ascii="Times New Roman" w:eastAsia="Times New Roman" w:hAnsi="Times New Roman" w:cs="Times New Roman"/>
                <w:color w:val="767171"/>
                <w:sz w:val="24"/>
                <w:szCs w:val="24"/>
                <w:lang w:eastAsia="es-DO"/>
              </w:rPr>
            </w:pPr>
            <w:r>
              <w:rPr>
                <w:rFonts w:ascii="Times New Roman" w:eastAsia="Times New Roman" w:hAnsi="Times New Roman" w:cs="Times New Roman"/>
                <w:color w:val="767171"/>
                <w:sz w:val="24"/>
                <w:szCs w:val="24"/>
                <w:lang w:eastAsia="es-DO"/>
              </w:rPr>
              <w:t>100</w:t>
            </w:r>
            <w:r w:rsidR="003938E1" w:rsidRPr="006A0747">
              <w:rPr>
                <w:rFonts w:ascii="Times New Roman" w:eastAsia="Times New Roman" w:hAnsi="Times New Roman" w:cs="Times New Roman"/>
                <w:color w:val="767171"/>
                <w:sz w:val="24"/>
                <w:szCs w:val="24"/>
                <w:lang w:eastAsia="es-DO"/>
              </w:rPr>
              <w:t>%</w:t>
            </w:r>
          </w:p>
        </w:tc>
      </w:tr>
      <w:tr w:rsidR="003938E1" w:rsidRPr="006A0747" w14:paraId="277583F1" w14:textId="77777777" w:rsidTr="00665334">
        <w:trPr>
          <w:trHeight w:val="72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52A9C53F"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5</w:t>
            </w:r>
          </w:p>
        </w:tc>
        <w:tc>
          <w:tcPr>
            <w:tcW w:w="1187" w:type="dxa"/>
            <w:tcBorders>
              <w:top w:val="nil"/>
              <w:left w:val="nil"/>
              <w:bottom w:val="single" w:sz="4" w:space="0" w:color="auto"/>
              <w:right w:val="single" w:sz="4" w:space="0" w:color="auto"/>
            </w:tcBorders>
            <w:shd w:val="clear" w:color="auto" w:fill="auto"/>
            <w:noWrap/>
            <w:vAlign w:val="center"/>
            <w:hideMark/>
          </w:tcPr>
          <w:p w14:paraId="5600DC53"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Consultoría Jurídica</w:t>
            </w:r>
          </w:p>
        </w:tc>
        <w:tc>
          <w:tcPr>
            <w:tcW w:w="1088" w:type="dxa"/>
            <w:tcBorders>
              <w:top w:val="nil"/>
              <w:left w:val="nil"/>
              <w:bottom w:val="single" w:sz="4" w:space="0" w:color="auto"/>
              <w:right w:val="single" w:sz="4" w:space="0" w:color="auto"/>
            </w:tcBorders>
            <w:shd w:val="clear" w:color="auto" w:fill="auto"/>
            <w:vAlign w:val="center"/>
            <w:hideMark/>
          </w:tcPr>
          <w:p w14:paraId="7A113F34"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 xml:space="preserve">Implementación del Sistema de </w:t>
            </w:r>
            <w:r w:rsidRPr="006A0747">
              <w:rPr>
                <w:rFonts w:ascii="Times New Roman" w:eastAsia="Times New Roman" w:hAnsi="Times New Roman" w:cs="Times New Roman"/>
                <w:color w:val="767171"/>
                <w:sz w:val="24"/>
                <w:szCs w:val="24"/>
                <w:lang w:eastAsia="es-DO"/>
              </w:rPr>
              <w:lastRenderedPageBreak/>
              <w:t>Gestión de Cumplimiento - Fase II</w:t>
            </w:r>
          </w:p>
        </w:tc>
        <w:tc>
          <w:tcPr>
            <w:tcW w:w="0" w:type="auto"/>
            <w:tcBorders>
              <w:top w:val="nil"/>
              <w:left w:val="nil"/>
              <w:bottom w:val="single" w:sz="4" w:space="0" w:color="auto"/>
              <w:right w:val="single" w:sz="4" w:space="0" w:color="auto"/>
            </w:tcBorders>
            <w:shd w:val="clear" w:color="auto" w:fill="auto"/>
            <w:vAlign w:val="center"/>
            <w:hideMark/>
          </w:tcPr>
          <w:p w14:paraId="02B2B30B"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lastRenderedPageBreak/>
              <w:t xml:space="preserve">Porcentaje de implementación del </w:t>
            </w:r>
            <w:r w:rsidRPr="006A0747">
              <w:rPr>
                <w:rFonts w:ascii="Times New Roman" w:eastAsia="Times New Roman" w:hAnsi="Times New Roman" w:cs="Times New Roman"/>
                <w:color w:val="767171"/>
                <w:sz w:val="24"/>
                <w:szCs w:val="24"/>
                <w:lang w:eastAsia="es-DO"/>
              </w:rPr>
              <w:lastRenderedPageBreak/>
              <w:t>proyecto según hitos</w:t>
            </w:r>
          </w:p>
        </w:tc>
        <w:tc>
          <w:tcPr>
            <w:tcW w:w="0" w:type="auto"/>
            <w:tcBorders>
              <w:top w:val="nil"/>
              <w:left w:val="nil"/>
              <w:bottom w:val="single" w:sz="4" w:space="0" w:color="auto"/>
              <w:right w:val="single" w:sz="4" w:space="0" w:color="auto"/>
            </w:tcBorders>
            <w:shd w:val="clear" w:color="auto" w:fill="auto"/>
            <w:noWrap/>
            <w:vAlign w:val="center"/>
            <w:hideMark/>
          </w:tcPr>
          <w:p w14:paraId="1C8B57EF"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lastRenderedPageBreak/>
              <w:t>Anual</w:t>
            </w:r>
          </w:p>
        </w:tc>
        <w:tc>
          <w:tcPr>
            <w:tcW w:w="0" w:type="auto"/>
            <w:tcBorders>
              <w:top w:val="nil"/>
              <w:left w:val="nil"/>
              <w:bottom w:val="single" w:sz="4" w:space="0" w:color="auto"/>
              <w:right w:val="single" w:sz="4" w:space="0" w:color="auto"/>
            </w:tcBorders>
            <w:shd w:val="clear" w:color="auto" w:fill="auto"/>
            <w:noWrap/>
            <w:vAlign w:val="center"/>
            <w:hideMark/>
          </w:tcPr>
          <w:p w14:paraId="28B92260"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61689058"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c>
          <w:tcPr>
            <w:tcW w:w="0" w:type="auto"/>
            <w:tcBorders>
              <w:top w:val="nil"/>
              <w:left w:val="nil"/>
              <w:bottom w:val="single" w:sz="4" w:space="0" w:color="auto"/>
              <w:right w:val="single" w:sz="4" w:space="0" w:color="auto"/>
            </w:tcBorders>
            <w:shd w:val="clear" w:color="auto" w:fill="auto"/>
            <w:noWrap/>
            <w:vAlign w:val="center"/>
            <w:hideMark/>
          </w:tcPr>
          <w:p w14:paraId="03766726"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c>
          <w:tcPr>
            <w:tcW w:w="0" w:type="auto"/>
            <w:tcBorders>
              <w:top w:val="nil"/>
              <w:left w:val="nil"/>
              <w:bottom w:val="single" w:sz="4" w:space="0" w:color="auto"/>
              <w:right w:val="single" w:sz="4" w:space="0" w:color="auto"/>
            </w:tcBorders>
            <w:shd w:val="clear" w:color="auto" w:fill="auto"/>
            <w:noWrap/>
            <w:vAlign w:val="center"/>
            <w:hideMark/>
          </w:tcPr>
          <w:p w14:paraId="705FD4D9"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r>
      <w:tr w:rsidR="003938E1" w:rsidRPr="006A0747" w14:paraId="185B3D09" w14:textId="77777777" w:rsidTr="00665334">
        <w:trPr>
          <w:trHeight w:val="96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625378CF"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6</w:t>
            </w:r>
          </w:p>
        </w:tc>
        <w:tc>
          <w:tcPr>
            <w:tcW w:w="1187" w:type="dxa"/>
            <w:tcBorders>
              <w:top w:val="nil"/>
              <w:left w:val="nil"/>
              <w:bottom w:val="single" w:sz="4" w:space="0" w:color="auto"/>
              <w:right w:val="single" w:sz="4" w:space="0" w:color="auto"/>
            </w:tcBorders>
            <w:shd w:val="clear" w:color="auto" w:fill="auto"/>
            <w:noWrap/>
            <w:vAlign w:val="center"/>
            <w:hideMark/>
          </w:tcPr>
          <w:p w14:paraId="374E893F"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Consultoría Jurídica</w:t>
            </w:r>
          </w:p>
        </w:tc>
        <w:tc>
          <w:tcPr>
            <w:tcW w:w="1088" w:type="dxa"/>
            <w:tcBorders>
              <w:top w:val="nil"/>
              <w:left w:val="nil"/>
              <w:bottom w:val="single" w:sz="4" w:space="0" w:color="auto"/>
              <w:right w:val="single" w:sz="4" w:space="0" w:color="auto"/>
            </w:tcBorders>
            <w:shd w:val="clear" w:color="auto" w:fill="auto"/>
            <w:vAlign w:val="center"/>
            <w:hideMark/>
          </w:tcPr>
          <w:p w14:paraId="5AF40CE1"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Compendio SB de jurisprudencia en derecho bancario y regulación financiera - Fase II</w:t>
            </w:r>
          </w:p>
        </w:tc>
        <w:tc>
          <w:tcPr>
            <w:tcW w:w="0" w:type="auto"/>
            <w:tcBorders>
              <w:top w:val="nil"/>
              <w:left w:val="nil"/>
              <w:bottom w:val="single" w:sz="4" w:space="0" w:color="auto"/>
              <w:right w:val="single" w:sz="4" w:space="0" w:color="auto"/>
            </w:tcBorders>
            <w:shd w:val="clear" w:color="auto" w:fill="auto"/>
            <w:vAlign w:val="center"/>
            <w:hideMark/>
          </w:tcPr>
          <w:p w14:paraId="5F9EE928"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implementación del proyecto según hitos</w:t>
            </w:r>
          </w:p>
        </w:tc>
        <w:tc>
          <w:tcPr>
            <w:tcW w:w="0" w:type="auto"/>
            <w:tcBorders>
              <w:top w:val="nil"/>
              <w:left w:val="nil"/>
              <w:bottom w:val="single" w:sz="4" w:space="0" w:color="auto"/>
              <w:right w:val="single" w:sz="4" w:space="0" w:color="auto"/>
            </w:tcBorders>
            <w:shd w:val="clear" w:color="auto" w:fill="auto"/>
            <w:noWrap/>
            <w:vAlign w:val="center"/>
            <w:hideMark/>
          </w:tcPr>
          <w:p w14:paraId="6E638011"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7A34F286"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5C4903AD"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75%</w:t>
            </w:r>
          </w:p>
        </w:tc>
        <w:tc>
          <w:tcPr>
            <w:tcW w:w="0" w:type="auto"/>
            <w:tcBorders>
              <w:top w:val="nil"/>
              <w:left w:val="nil"/>
              <w:bottom w:val="single" w:sz="4" w:space="0" w:color="auto"/>
              <w:right w:val="single" w:sz="4" w:space="0" w:color="auto"/>
            </w:tcBorders>
            <w:shd w:val="clear" w:color="auto" w:fill="auto"/>
            <w:noWrap/>
            <w:vAlign w:val="center"/>
            <w:hideMark/>
          </w:tcPr>
          <w:p w14:paraId="781EED92"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50%</w:t>
            </w:r>
          </w:p>
        </w:tc>
        <w:tc>
          <w:tcPr>
            <w:tcW w:w="0" w:type="auto"/>
            <w:tcBorders>
              <w:top w:val="nil"/>
              <w:left w:val="nil"/>
              <w:bottom w:val="single" w:sz="4" w:space="0" w:color="auto"/>
              <w:right w:val="single" w:sz="4" w:space="0" w:color="auto"/>
            </w:tcBorders>
            <w:shd w:val="clear" w:color="auto" w:fill="auto"/>
            <w:noWrap/>
            <w:vAlign w:val="center"/>
            <w:hideMark/>
          </w:tcPr>
          <w:p w14:paraId="558CDF31"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67%</w:t>
            </w:r>
          </w:p>
        </w:tc>
      </w:tr>
      <w:tr w:rsidR="003938E1" w:rsidRPr="006A0747" w14:paraId="62888BDC" w14:textId="77777777" w:rsidTr="00665334">
        <w:trPr>
          <w:trHeight w:val="72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7F413AC3"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7</w:t>
            </w:r>
          </w:p>
        </w:tc>
        <w:tc>
          <w:tcPr>
            <w:tcW w:w="1187" w:type="dxa"/>
            <w:tcBorders>
              <w:top w:val="nil"/>
              <w:left w:val="nil"/>
              <w:bottom w:val="single" w:sz="4" w:space="0" w:color="auto"/>
              <w:right w:val="single" w:sz="4" w:space="0" w:color="auto"/>
            </w:tcBorders>
            <w:shd w:val="clear" w:color="auto" w:fill="auto"/>
            <w:noWrap/>
            <w:vAlign w:val="center"/>
            <w:hideMark/>
          </w:tcPr>
          <w:p w14:paraId="04784966"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Estudios Económicos</w:t>
            </w:r>
          </w:p>
        </w:tc>
        <w:tc>
          <w:tcPr>
            <w:tcW w:w="1088" w:type="dxa"/>
            <w:tcBorders>
              <w:top w:val="nil"/>
              <w:left w:val="nil"/>
              <w:bottom w:val="single" w:sz="4" w:space="0" w:color="auto"/>
              <w:right w:val="single" w:sz="4" w:space="0" w:color="auto"/>
            </w:tcBorders>
            <w:shd w:val="clear" w:color="auto" w:fill="auto"/>
            <w:vAlign w:val="center"/>
            <w:hideMark/>
          </w:tcPr>
          <w:p w14:paraId="15A47997"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Integración de motor de alertas y notificaciones con TeamMate+</w:t>
            </w:r>
          </w:p>
        </w:tc>
        <w:tc>
          <w:tcPr>
            <w:tcW w:w="0" w:type="auto"/>
            <w:tcBorders>
              <w:top w:val="nil"/>
              <w:left w:val="nil"/>
              <w:bottom w:val="single" w:sz="4" w:space="0" w:color="auto"/>
              <w:right w:val="single" w:sz="4" w:space="0" w:color="auto"/>
            </w:tcBorders>
            <w:shd w:val="clear" w:color="auto" w:fill="auto"/>
            <w:vAlign w:val="center"/>
            <w:hideMark/>
          </w:tcPr>
          <w:p w14:paraId="61D95DC9"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avances del proyecto</w:t>
            </w:r>
          </w:p>
        </w:tc>
        <w:tc>
          <w:tcPr>
            <w:tcW w:w="0" w:type="auto"/>
            <w:tcBorders>
              <w:top w:val="nil"/>
              <w:left w:val="nil"/>
              <w:bottom w:val="single" w:sz="4" w:space="0" w:color="auto"/>
              <w:right w:val="single" w:sz="4" w:space="0" w:color="auto"/>
            </w:tcBorders>
            <w:shd w:val="clear" w:color="auto" w:fill="auto"/>
            <w:noWrap/>
            <w:vAlign w:val="center"/>
            <w:hideMark/>
          </w:tcPr>
          <w:p w14:paraId="6AEFD03E"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0D14CDC4"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722699C3"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0%</w:t>
            </w:r>
          </w:p>
        </w:tc>
        <w:tc>
          <w:tcPr>
            <w:tcW w:w="0" w:type="auto"/>
            <w:tcBorders>
              <w:top w:val="nil"/>
              <w:left w:val="nil"/>
              <w:bottom w:val="single" w:sz="4" w:space="0" w:color="auto"/>
              <w:right w:val="single" w:sz="4" w:space="0" w:color="auto"/>
            </w:tcBorders>
            <w:shd w:val="clear" w:color="auto" w:fill="auto"/>
            <w:noWrap/>
            <w:vAlign w:val="center"/>
            <w:hideMark/>
          </w:tcPr>
          <w:p w14:paraId="4DE5CB92"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0%</w:t>
            </w:r>
          </w:p>
        </w:tc>
        <w:tc>
          <w:tcPr>
            <w:tcW w:w="0" w:type="auto"/>
            <w:tcBorders>
              <w:top w:val="nil"/>
              <w:left w:val="nil"/>
              <w:bottom w:val="single" w:sz="4" w:space="0" w:color="auto"/>
              <w:right w:val="single" w:sz="4" w:space="0" w:color="auto"/>
            </w:tcBorders>
            <w:shd w:val="clear" w:color="auto" w:fill="auto"/>
            <w:noWrap/>
            <w:vAlign w:val="center"/>
            <w:hideMark/>
          </w:tcPr>
          <w:p w14:paraId="03BF7217"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0%</w:t>
            </w:r>
          </w:p>
        </w:tc>
      </w:tr>
      <w:tr w:rsidR="003938E1" w:rsidRPr="006A0747" w14:paraId="6B9FF9E5" w14:textId="77777777" w:rsidTr="00665334">
        <w:trPr>
          <w:trHeight w:val="48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2B6A56E8"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8</w:t>
            </w:r>
          </w:p>
        </w:tc>
        <w:tc>
          <w:tcPr>
            <w:tcW w:w="1187" w:type="dxa"/>
            <w:tcBorders>
              <w:top w:val="nil"/>
              <w:left w:val="nil"/>
              <w:bottom w:val="single" w:sz="4" w:space="0" w:color="auto"/>
              <w:right w:val="single" w:sz="4" w:space="0" w:color="auto"/>
            </w:tcBorders>
            <w:shd w:val="clear" w:color="auto" w:fill="auto"/>
            <w:noWrap/>
            <w:vAlign w:val="center"/>
            <w:hideMark/>
          </w:tcPr>
          <w:p w14:paraId="2994CFE9"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Estudios Económicos</w:t>
            </w:r>
          </w:p>
        </w:tc>
        <w:tc>
          <w:tcPr>
            <w:tcW w:w="1088" w:type="dxa"/>
            <w:tcBorders>
              <w:top w:val="nil"/>
              <w:left w:val="nil"/>
              <w:bottom w:val="single" w:sz="4" w:space="0" w:color="auto"/>
              <w:right w:val="single" w:sz="4" w:space="0" w:color="auto"/>
            </w:tcBorders>
            <w:shd w:val="clear" w:color="auto" w:fill="auto"/>
            <w:vAlign w:val="center"/>
            <w:hideMark/>
          </w:tcPr>
          <w:p w14:paraId="4CF8D803"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Implementación nuevas funcionalidades a SIMBAD</w:t>
            </w:r>
          </w:p>
        </w:tc>
        <w:tc>
          <w:tcPr>
            <w:tcW w:w="0" w:type="auto"/>
            <w:tcBorders>
              <w:top w:val="nil"/>
              <w:left w:val="nil"/>
              <w:bottom w:val="single" w:sz="4" w:space="0" w:color="auto"/>
              <w:right w:val="single" w:sz="4" w:space="0" w:color="auto"/>
            </w:tcBorders>
            <w:shd w:val="clear" w:color="auto" w:fill="auto"/>
            <w:vAlign w:val="center"/>
            <w:hideMark/>
          </w:tcPr>
          <w:p w14:paraId="0183D80A"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avance del proyecto</w:t>
            </w:r>
          </w:p>
        </w:tc>
        <w:tc>
          <w:tcPr>
            <w:tcW w:w="0" w:type="auto"/>
            <w:tcBorders>
              <w:top w:val="nil"/>
              <w:left w:val="nil"/>
              <w:bottom w:val="single" w:sz="4" w:space="0" w:color="auto"/>
              <w:right w:val="single" w:sz="4" w:space="0" w:color="auto"/>
            </w:tcBorders>
            <w:shd w:val="clear" w:color="auto" w:fill="auto"/>
            <w:noWrap/>
            <w:vAlign w:val="center"/>
            <w:hideMark/>
          </w:tcPr>
          <w:p w14:paraId="3A03AF28"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3A635BDD"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10C7F36C" w14:textId="3BAEBBFD" w:rsidR="003938E1" w:rsidRPr="006A0747" w:rsidRDefault="0049024D">
            <w:pPr>
              <w:spacing w:after="0" w:line="240" w:lineRule="auto"/>
              <w:jc w:val="center"/>
              <w:rPr>
                <w:rFonts w:ascii="Times New Roman" w:eastAsia="Times New Roman" w:hAnsi="Times New Roman" w:cs="Times New Roman"/>
                <w:color w:val="767171"/>
                <w:sz w:val="24"/>
                <w:szCs w:val="24"/>
                <w:lang w:eastAsia="es-DO"/>
              </w:rPr>
            </w:pPr>
            <w:r>
              <w:rPr>
                <w:rFonts w:ascii="Times New Roman" w:eastAsia="Times New Roman" w:hAnsi="Times New Roman" w:cs="Times New Roman"/>
                <w:color w:val="767171"/>
                <w:sz w:val="24"/>
                <w:szCs w:val="24"/>
                <w:lang w:eastAsia="es-DO"/>
              </w:rPr>
              <w:t>80</w:t>
            </w:r>
            <w:r w:rsidR="003938E1" w:rsidRPr="006A0747">
              <w:rPr>
                <w:rFonts w:ascii="Times New Roman" w:eastAsia="Times New Roman" w:hAnsi="Times New Roman" w:cs="Times New Roman"/>
                <w:color w:val="767171"/>
                <w:sz w:val="24"/>
                <w:szCs w:val="24"/>
                <w:lang w:eastAsia="es-DO"/>
              </w:rPr>
              <w:t>%</w:t>
            </w:r>
          </w:p>
        </w:tc>
        <w:tc>
          <w:tcPr>
            <w:tcW w:w="0" w:type="auto"/>
            <w:tcBorders>
              <w:top w:val="nil"/>
              <w:left w:val="nil"/>
              <w:bottom w:val="single" w:sz="4" w:space="0" w:color="auto"/>
              <w:right w:val="single" w:sz="4" w:space="0" w:color="auto"/>
            </w:tcBorders>
            <w:shd w:val="clear" w:color="auto" w:fill="auto"/>
            <w:noWrap/>
            <w:vAlign w:val="center"/>
            <w:hideMark/>
          </w:tcPr>
          <w:p w14:paraId="61D22A4F" w14:textId="3AA9D214" w:rsidR="003938E1" w:rsidRPr="006A0747" w:rsidRDefault="0049024D">
            <w:pPr>
              <w:spacing w:after="0" w:line="240" w:lineRule="auto"/>
              <w:jc w:val="center"/>
              <w:rPr>
                <w:rFonts w:ascii="Times New Roman" w:eastAsia="Times New Roman" w:hAnsi="Times New Roman" w:cs="Times New Roman"/>
                <w:color w:val="767171"/>
                <w:sz w:val="24"/>
                <w:szCs w:val="24"/>
                <w:lang w:eastAsia="es-DO"/>
              </w:rPr>
            </w:pPr>
            <w:r>
              <w:rPr>
                <w:rFonts w:ascii="Times New Roman" w:eastAsia="Times New Roman" w:hAnsi="Times New Roman" w:cs="Times New Roman"/>
                <w:color w:val="767171"/>
                <w:sz w:val="24"/>
                <w:szCs w:val="24"/>
                <w:lang w:eastAsia="es-DO"/>
              </w:rPr>
              <w:t>80</w:t>
            </w:r>
            <w:r w:rsidR="003938E1" w:rsidRPr="006A0747">
              <w:rPr>
                <w:rFonts w:ascii="Times New Roman" w:eastAsia="Times New Roman" w:hAnsi="Times New Roman" w:cs="Times New Roman"/>
                <w:color w:val="767171"/>
                <w:sz w:val="24"/>
                <w:szCs w:val="24"/>
                <w:lang w:eastAsia="es-DO"/>
              </w:rPr>
              <w:t>%</w:t>
            </w:r>
          </w:p>
        </w:tc>
        <w:tc>
          <w:tcPr>
            <w:tcW w:w="0" w:type="auto"/>
            <w:tcBorders>
              <w:top w:val="nil"/>
              <w:left w:val="nil"/>
              <w:bottom w:val="single" w:sz="4" w:space="0" w:color="auto"/>
              <w:right w:val="single" w:sz="4" w:space="0" w:color="auto"/>
            </w:tcBorders>
            <w:shd w:val="clear" w:color="auto" w:fill="auto"/>
            <w:noWrap/>
            <w:vAlign w:val="center"/>
            <w:hideMark/>
          </w:tcPr>
          <w:p w14:paraId="56ADFBC1"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r>
      <w:tr w:rsidR="003938E1" w:rsidRPr="006A0747" w14:paraId="5862DA8C" w14:textId="77777777" w:rsidTr="00665334">
        <w:trPr>
          <w:trHeight w:val="30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7342BDC6"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9</w:t>
            </w:r>
          </w:p>
        </w:tc>
        <w:tc>
          <w:tcPr>
            <w:tcW w:w="1187" w:type="dxa"/>
            <w:tcBorders>
              <w:top w:val="nil"/>
              <w:left w:val="nil"/>
              <w:bottom w:val="single" w:sz="4" w:space="0" w:color="auto"/>
              <w:right w:val="single" w:sz="4" w:space="0" w:color="auto"/>
            </w:tcBorders>
            <w:shd w:val="clear" w:color="auto" w:fill="auto"/>
            <w:noWrap/>
            <w:vAlign w:val="center"/>
            <w:hideMark/>
          </w:tcPr>
          <w:p w14:paraId="6277513C"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Gestión de Edificaciones y Servicios</w:t>
            </w:r>
          </w:p>
        </w:tc>
        <w:tc>
          <w:tcPr>
            <w:tcW w:w="1088" w:type="dxa"/>
            <w:tcBorders>
              <w:top w:val="nil"/>
              <w:left w:val="nil"/>
              <w:bottom w:val="single" w:sz="4" w:space="0" w:color="auto"/>
              <w:right w:val="single" w:sz="4" w:space="0" w:color="auto"/>
            </w:tcBorders>
            <w:shd w:val="clear" w:color="auto" w:fill="auto"/>
            <w:vAlign w:val="center"/>
            <w:hideMark/>
          </w:tcPr>
          <w:p w14:paraId="167451D3"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Readecuación de oficinas SB2</w:t>
            </w:r>
          </w:p>
        </w:tc>
        <w:tc>
          <w:tcPr>
            <w:tcW w:w="0" w:type="auto"/>
            <w:tcBorders>
              <w:top w:val="nil"/>
              <w:left w:val="nil"/>
              <w:bottom w:val="single" w:sz="4" w:space="0" w:color="auto"/>
              <w:right w:val="single" w:sz="4" w:space="0" w:color="auto"/>
            </w:tcBorders>
            <w:shd w:val="clear" w:color="auto" w:fill="auto"/>
            <w:vAlign w:val="center"/>
            <w:hideMark/>
          </w:tcPr>
          <w:p w14:paraId="0773DC21"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avance</w:t>
            </w:r>
          </w:p>
        </w:tc>
        <w:tc>
          <w:tcPr>
            <w:tcW w:w="0" w:type="auto"/>
            <w:tcBorders>
              <w:top w:val="nil"/>
              <w:left w:val="nil"/>
              <w:bottom w:val="single" w:sz="4" w:space="0" w:color="auto"/>
              <w:right w:val="single" w:sz="4" w:space="0" w:color="auto"/>
            </w:tcBorders>
            <w:shd w:val="clear" w:color="auto" w:fill="auto"/>
            <w:noWrap/>
            <w:vAlign w:val="center"/>
            <w:hideMark/>
          </w:tcPr>
          <w:p w14:paraId="02D0949D"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16E20E79"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7951FDB7"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c>
          <w:tcPr>
            <w:tcW w:w="0" w:type="auto"/>
            <w:tcBorders>
              <w:top w:val="nil"/>
              <w:left w:val="nil"/>
              <w:bottom w:val="single" w:sz="4" w:space="0" w:color="auto"/>
              <w:right w:val="single" w:sz="4" w:space="0" w:color="auto"/>
            </w:tcBorders>
            <w:shd w:val="clear" w:color="auto" w:fill="auto"/>
            <w:noWrap/>
            <w:vAlign w:val="center"/>
            <w:hideMark/>
          </w:tcPr>
          <w:p w14:paraId="597F4A71"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c>
          <w:tcPr>
            <w:tcW w:w="0" w:type="auto"/>
            <w:tcBorders>
              <w:top w:val="nil"/>
              <w:left w:val="nil"/>
              <w:bottom w:val="single" w:sz="4" w:space="0" w:color="auto"/>
              <w:right w:val="single" w:sz="4" w:space="0" w:color="auto"/>
            </w:tcBorders>
            <w:shd w:val="clear" w:color="auto" w:fill="auto"/>
            <w:noWrap/>
            <w:vAlign w:val="center"/>
            <w:hideMark/>
          </w:tcPr>
          <w:p w14:paraId="0357BFB9"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r>
      <w:tr w:rsidR="003938E1" w:rsidRPr="006A0747" w14:paraId="25DDB4BD" w14:textId="77777777" w:rsidTr="00665334">
        <w:trPr>
          <w:trHeight w:val="96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63670B7E"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w:t>
            </w:r>
          </w:p>
        </w:tc>
        <w:tc>
          <w:tcPr>
            <w:tcW w:w="1187" w:type="dxa"/>
            <w:tcBorders>
              <w:top w:val="nil"/>
              <w:left w:val="nil"/>
              <w:bottom w:val="single" w:sz="4" w:space="0" w:color="auto"/>
              <w:right w:val="single" w:sz="4" w:space="0" w:color="auto"/>
            </w:tcBorders>
            <w:shd w:val="clear" w:color="auto" w:fill="auto"/>
            <w:noWrap/>
            <w:vAlign w:val="center"/>
            <w:hideMark/>
          </w:tcPr>
          <w:p w14:paraId="0330CA6D"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Gestión de Edificaciones y Servicios</w:t>
            </w:r>
          </w:p>
        </w:tc>
        <w:tc>
          <w:tcPr>
            <w:tcW w:w="1088" w:type="dxa"/>
            <w:tcBorders>
              <w:top w:val="nil"/>
              <w:left w:val="nil"/>
              <w:bottom w:val="single" w:sz="4" w:space="0" w:color="auto"/>
              <w:right w:val="single" w:sz="4" w:space="0" w:color="auto"/>
            </w:tcBorders>
            <w:shd w:val="clear" w:color="auto" w:fill="auto"/>
            <w:vAlign w:val="center"/>
            <w:hideMark/>
          </w:tcPr>
          <w:p w14:paraId="01D26F6C"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 xml:space="preserve">Regularización aceras, retiros y linderos, </w:t>
            </w:r>
            <w:r w:rsidRPr="006A0747">
              <w:rPr>
                <w:rFonts w:ascii="Times New Roman" w:eastAsia="Times New Roman" w:hAnsi="Times New Roman" w:cs="Times New Roman"/>
                <w:color w:val="767171"/>
                <w:sz w:val="24"/>
                <w:szCs w:val="24"/>
                <w:lang w:eastAsia="es-DO"/>
              </w:rPr>
              <w:lastRenderedPageBreak/>
              <w:t>y readecuación acceso peatonal y vehicular en la sede de la SB</w:t>
            </w:r>
          </w:p>
        </w:tc>
        <w:tc>
          <w:tcPr>
            <w:tcW w:w="0" w:type="auto"/>
            <w:tcBorders>
              <w:top w:val="nil"/>
              <w:left w:val="nil"/>
              <w:bottom w:val="single" w:sz="4" w:space="0" w:color="auto"/>
              <w:right w:val="single" w:sz="4" w:space="0" w:color="auto"/>
            </w:tcBorders>
            <w:shd w:val="clear" w:color="auto" w:fill="auto"/>
            <w:vAlign w:val="center"/>
            <w:hideMark/>
          </w:tcPr>
          <w:p w14:paraId="01094214"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lastRenderedPageBreak/>
              <w:t>Porcentaje de avance</w:t>
            </w:r>
          </w:p>
        </w:tc>
        <w:tc>
          <w:tcPr>
            <w:tcW w:w="0" w:type="auto"/>
            <w:tcBorders>
              <w:top w:val="nil"/>
              <w:left w:val="nil"/>
              <w:bottom w:val="single" w:sz="4" w:space="0" w:color="auto"/>
              <w:right w:val="single" w:sz="4" w:space="0" w:color="auto"/>
            </w:tcBorders>
            <w:shd w:val="clear" w:color="auto" w:fill="auto"/>
            <w:noWrap/>
            <w:vAlign w:val="center"/>
            <w:hideMark/>
          </w:tcPr>
          <w:p w14:paraId="5B38BA72"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2A55A10A"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320FCAEF"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c>
          <w:tcPr>
            <w:tcW w:w="0" w:type="auto"/>
            <w:tcBorders>
              <w:top w:val="nil"/>
              <w:left w:val="nil"/>
              <w:bottom w:val="single" w:sz="4" w:space="0" w:color="auto"/>
              <w:right w:val="single" w:sz="4" w:space="0" w:color="auto"/>
            </w:tcBorders>
            <w:shd w:val="clear" w:color="auto" w:fill="auto"/>
            <w:noWrap/>
            <w:vAlign w:val="center"/>
            <w:hideMark/>
          </w:tcPr>
          <w:p w14:paraId="22E9058C"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c>
          <w:tcPr>
            <w:tcW w:w="0" w:type="auto"/>
            <w:tcBorders>
              <w:top w:val="nil"/>
              <w:left w:val="nil"/>
              <w:bottom w:val="single" w:sz="4" w:space="0" w:color="auto"/>
              <w:right w:val="single" w:sz="4" w:space="0" w:color="auto"/>
            </w:tcBorders>
            <w:shd w:val="clear" w:color="auto" w:fill="auto"/>
            <w:noWrap/>
            <w:vAlign w:val="center"/>
            <w:hideMark/>
          </w:tcPr>
          <w:p w14:paraId="608693B7"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r>
      <w:tr w:rsidR="003938E1" w:rsidRPr="006A0747" w14:paraId="6DE60CF7" w14:textId="77777777" w:rsidTr="00665334">
        <w:trPr>
          <w:trHeight w:val="72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456B87A8"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11</w:t>
            </w:r>
          </w:p>
        </w:tc>
        <w:tc>
          <w:tcPr>
            <w:tcW w:w="1187" w:type="dxa"/>
            <w:tcBorders>
              <w:top w:val="nil"/>
              <w:left w:val="nil"/>
              <w:bottom w:val="single" w:sz="4" w:space="0" w:color="auto"/>
              <w:right w:val="single" w:sz="4" w:space="0" w:color="auto"/>
            </w:tcBorders>
            <w:shd w:val="clear" w:color="auto" w:fill="auto"/>
            <w:noWrap/>
            <w:vAlign w:val="center"/>
            <w:hideMark/>
          </w:tcPr>
          <w:p w14:paraId="49401F6F"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Gestión de Edificaciones y Servicios</w:t>
            </w:r>
          </w:p>
        </w:tc>
        <w:tc>
          <w:tcPr>
            <w:tcW w:w="1088" w:type="dxa"/>
            <w:tcBorders>
              <w:top w:val="nil"/>
              <w:left w:val="nil"/>
              <w:bottom w:val="single" w:sz="4" w:space="0" w:color="auto"/>
              <w:right w:val="single" w:sz="4" w:space="0" w:color="auto"/>
            </w:tcBorders>
            <w:shd w:val="clear" w:color="auto" w:fill="auto"/>
            <w:vAlign w:val="center"/>
            <w:hideMark/>
          </w:tcPr>
          <w:p w14:paraId="3C02B247"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Readecuación de oficinas ProUsuario Regional Norte (Santiago)</w:t>
            </w:r>
          </w:p>
        </w:tc>
        <w:tc>
          <w:tcPr>
            <w:tcW w:w="0" w:type="auto"/>
            <w:tcBorders>
              <w:top w:val="nil"/>
              <w:left w:val="nil"/>
              <w:bottom w:val="single" w:sz="4" w:space="0" w:color="auto"/>
              <w:right w:val="single" w:sz="4" w:space="0" w:color="auto"/>
            </w:tcBorders>
            <w:shd w:val="clear" w:color="auto" w:fill="auto"/>
            <w:vAlign w:val="center"/>
            <w:hideMark/>
          </w:tcPr>
          <w:p w14:paraId="4E7E162C"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avance</w:t>
            </w:r>
          </w:p>
        </w:tc>
        <w:tc>
          <w:tcPr>
            <w:tcW w:w="0" w:type="auto"/>
            <w:tcBorders>
              <w:top w:val="nil"/>
              <w:left w:val="nil"/>
              <w:bottom w:val="single" w:sz="4" w:space="0" w:color="auto"/>
              <w:right w:val="single" w:sz="4" w:space="0" w:color="auto"/>
            </w:tcBorders>
            <w:shd w:val="clear" w:color="auto" w:fill="auto"/>
            <w:noWrap/>
            <w:vAlign w:val="center"/>
            <w:hideMark/>
          </w:tcPr>
          <w:p w14:paraId="562581A8"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77EBE48B"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2FAB9285"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c>
          <w:tcPr>
            <w:tcW w:w="0" w:type="auto"/>
            <w:tcBorders>
              <w:top w:val="nil"/>
              <w:left w:val="nil"/>
              <w:bottom w:val="single" w:sz="4" w:space="0" w:color="auto"/>
              <w:right w:val="single" w:sz="4" w:space="0" w:color="auto"/>
            </w:tcBorders>
            <w:shd w:val="clear" w:color="auto" w:fill="auto"/>
            <w:noWrap/>
            <w:vAlign w:val="center"/>
            <w:hideMark/>
          </w:tcPr>
          <w:p w14:paraId="6420D30D"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c>
          <w:tcPr>
            <w:tcW w:w="0" w:type="auto"/>
            <w:tcBorders>
              <w:top w:val="nil"/>
              <w:left w:val="nil"/>
              <w:bottom w:val="single" w:sz="4" w:space="0" w:color="auto"/>
              <w:right w:val="single" w:sz="4" w:space="0" w:color="auto"/>
            </w:tcBorders>
            <w:shd w:val="clear" w:color="auto" w:fill="auto"/>
            <w:noWrap/>
            <w:vAlign w:val="center"/>
            <w:hideMark/>
          </w:tcPr>
          <w:p w14:paraId="5A4D98A6"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r>
      <w:tr w:rsidR="003938E1" w:rsidRPr="006A0747" w14:paraId="44B62E79" w14:textId="77777777" w:rsidTr="00665334">
        <w:trPr>
          <w:trHeight w:val="72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2D8C58D1"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12</w:t>
            </w:r>
          </w:p>
        </w:tc>
        <w:tc>
          <w:tcPr>
            <w:tcW w:w="1187" w:type="dxa"/>
            <w:tcBorders>
              <w:top w:val="nil"/>
              <w:left w:val="nil"/>
              <w:bottom w:val="single" w:sz="4" w:space="0" w:color="auto"/>
              <w:right w:val="single" w:sz="4" w:space="0" w:color="auto"/>
            </w:tcBorders>
            <w:shd w:val="clear" w:color="auto" w:fill="auto"/>
            <w:noWrap/>
            <w:vAlign w:val="center"/>
            <w:hideMark/>
          </w:tcPr>
          <w:p w14:paraId="7C3811C7"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Gestión de Edificaciones y Servicios</w:t>
            </w:r>
          </w:p>
        </w:tc>
        <w:tc>
          <w:tcPr>
            <w:tcW w:w="1088" w:type="dxa"/>
            <w:tcBorders>
              <w:top w:val="nil"/>
              <w:left w:val="nil"/>
              <w:bottom w:val="single" w:sz="4" w:space="0" w:color="auto"/>
              <w:right w:val="single" w:sz="4" w:space="0" w:color="auto"/>
            </w:tcBorders>
            <w:shd w:val="clear" w:color="auto" w:fill="auto"/>
            <w:vAlign w:val="center"/>
            <w:hideMark/>
          </w:tcPr>
          <w:p w14:paraId="0E0F06EB"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Refuerzo Estructural y Readecuación de las Oficinas del Edificio Anexo Supervisión</w:t>
            </w:r>
          </w:p>
        </w:tc>
        <w:tc>
          <w:tcPr>
            <w:tcW w:w="0" w:type="auto"/>
            <w:tcBorders>
              <w:top w:val="nil"/>
              <w:left w:val="nil"/>
              <w:bottom w:val="single" w:sz="4" w:space="0" w:color="auto"/>
              <w:right w:val="single" w:sz="4" w:space="0" w:color="auto"/>
            </w:tcBorders>
            <w:shd w:val="clear" w:color="auto" w:fill="auto"/>
            <w:vAlign w:val="center"/>
            <w:hideMark/>
          </w:tcPr>
          <w:p w14:paraId="71891027"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avance</w:t>
            </w:r>
          </w:p>
        </w:tc>
        <w:tc>
          <w:tcPr>
            <w:tcW w:w="0" w:type="auto"/>
            <w:tcBorders>
              <w:top w:val="nil"/>
              <w:left w:val="nil"/>
              <w:bottom w:val="single" w:sz="4" w:space="0" w:color="auto"/>
              <w:right w:val="single" w:sz="4" w:space="0" w:color="auto"/>
            </w:tcBorders>
            <w:shd w:val="clear" w:color="auto" w:fill="auto"/>
            <w:noWrap/>
            <w:vAlign w:val="center"/>
            <w:hideMark/>
          </w:tcPr>
          <w:p w14:paraId="323D9D82"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00D04917"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5190A80F"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c>
          <w:tcPr>
            <w:tcW w:w="0" w:type="auto"/>
            <w:tcBorders>
              <w:top w:val="nil"/>
              <w:left w:val="nil"/>
              <w:bottom w:val="single" w:sz="4" w:space="0" w:color="auto"/>
              <w:right w:val="single" w:sz="4" w:space="0" w:color="auto"/>
            </w:tcBorders>
            <w:shd w:val="clear" w:color="auto" w:fill="auto"/>
            <w:noWrap/>
            <w:vAlign w:val="center"/>
            <w:hideMark/>
          </w:tcPr>
          <w:p w14:paraId="358C23D7" w14:textId="177EA820" w:rsidR="003938E1" w:rsidRPr="006A0747" w:rsidRDefault="0049024D">
            <w:pPr>
              <w:spacing w:after="0" w:line="240" w:lineRule="auto"/>
              <w:jc w:val="center"/>
              <w:rPr>
                <w:rFonts w:ascii="Times New Roman" w:eastAsia="Times New Roman" w:hAnsi="Times New Roman" w:cs="Times New Roman"/>
                <w:color w:val="767171"/>
                <w:sz w:val="24"/>
                <w:szCs w:val="24"/>
                <w:lang w:eastAsia="es-DO"/>
              </w:rPr>
            </w:pPr>
            <w:r>
              <w:rPr>
                <w:rFonts w:ascii="Times New Roman" w:eastAsia="Times New Roman" w:hAnsi="Times New Roman" w:cs="Times New Roman"/>
                <w:color w:val="767171"/>
                <w:sz w:val="24"/>
                <w:szCs w:val="24"/>
                <w:lang w:eastAsia="es-DO"/>
              </w:rPr>
              <w:t>100</w:t>
            </w:r>
            <w:r w:rsidR="003938E1" w:rsidRPr="006A0747">
              <w:rPr>
                <w:rFonts w:ascii="Times New Roman" w:eastAsia="Times New Roman" w:hAnsi="Times New Roman" w:cs="Times New Roman"/>
                <w:color w:val="767171"/>
                <w:sz w:val="24"/>
                <w:szCs w:val="24"/>
                <w:lang w:eastAsia="es-DO"/>
              </w:rPr>
              <w:t>%</w:t>
            </w:r>
          </w:p>
        </w:tc>
        <w:tc>
          <w:tcPr>
            <w:tcW w:w="0" w:type="auto"/>
            <w:tcBorders>
              <w:top w:val="nil"/>
              <w:left w:val="nil"/>
              <w:bottom w:val="single" w:sz="4" w:space="0" w:color="auto"/>
              <w:right w:val="single" w:sz="4" w:space="0" w:color="auto"/>
            </w:tcBorders>
            <w:shd w:val="clear" w:color="auto" w:fill="auto"/>
            <w:noWrap/>
            <w:vAlign w:val="center"/>
            <w:hideMark/>
          </w:tcPr>
          <w:p w14:paraId="5C47AC9F" w14:textId="269BE443" w:rsidR="003938E1" w:rsidRPr="006A0747" w:rsidRDefault="0049024D">
            <w:pPr>
              <w:spacing w:after="0" w:line="240" w:lineRule="auto"/>
              <w:jc w:val="center"/>
              <w:rPr>
                <w:rFonts w:ascii="Times New Roman" w:eastAsia="Times New Roman" w:hAnsi="Times New Roman" w:cs="Times New Roman"/>
                <w:color w:val="767171"/>
                <w:sz w:val="24"/>
                <w:szCs w:val="24"/>
                <w:lang w:eastAsia="es-DO"/>
              </w:rPr>
            </w:pPr>
            <w:r>
              <w:rPr>
                <w:rFonts w:ascii="Times New Roman" w:eastAsia="Times New Roman" w:hAnsi="Times New Roman" w:cs="Times New Roman"/>
                <w:color w:val="767171"/>
                <w:sz w:val="24"/>
                <w:szCs w:val="24"/>
                <w:lang w:eastAsia="es-DO"/>
              </w:rPr>
              <w:t>100</w:t>
            </w:r>
            <w:r w:rsidR="003938E1" w:rsidRPr="006A0747">
              <w:rPr>
                <w:rFonts w:ascii="Times New Roman" w:eastAsia="Times New Roman" w:hAnsi="Times New Roman" w:cs="Times New Roman"/>
                <w:color w:val="767171"/>
                <w:sz w:val="24"/>
                <w:szCs w:val="24"/>
                <w:lang w:eastAsia="es-DO"/>
              </w:rPr>
              <w:t>%</w:t>
            </w:r>
          </w:p>
        </w:tc>
      </w:tr>
      <w:tr w:rsidR="003938E1" w:rsidRPr="006A0747" w14:paraId="70C21ED5" w14:textId="77777777" w:rsidTr="00665334">
        <w:trPr>
          <w:trHeight w:val="96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1C21A237"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13</w:t>
            </w:r>
          </w:p>
        </w:tc>
        <w:tc>
          <w:tcPr>
            <w:tcW w:w="1187" w:type="dxa"/>
            <w:tcBorders>
              <w:top w:val="nil"/>
              <w:left w:val="nil"/>
              <w:bottom w:val="single" w:sz="4" w:space="0" w:color="auto"/>
              <w:right w:val="single" w:sz="4" w:space="0" w:color="auto"/>
            </w:tcBorders>
            <w:shd w:val="clear" w:color="auto" w:fill="auto"/>
            <w:noWrap/>
            <w:vAlign w:val="center"/>
            <w:hideMark/>
          </w:tcPr>
          <w:p w14:paraId="5158CBAE"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Gestión de Edificaciones y Servicios</w:t>
            </w:r>
          </w:p>
        </w:tc>
        <w:tc>
          <w:tcPr>
            <w:tcW w:w="1088" w:type="dxa"/>
            <w:tcBorders>
              <w:top w:val="nil"/>
              <w:left w:val="nil"/>
              <w:bottom w:val="single" w:sz="4" w:space="0" w:color="auto"/>
              <w:right w:val="single" w:sz="4" w:space="0" w:color="auto"/>
            </w:tcBorders>
            <w:shd w:val="clear" w:color="auto" w:fill="auto"/>
            <w:vAlign w:val="center"/>
            <w:hideMark/>
          </w:tcPr>
          <w:p w14:paraId="568AB8C9"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 xml:space="preserve">Readecuación de la estructura exterior para la eficiencia energética de la edificación en la </w:t>
            </w:r>
            <w:r w:rsidRPr="006A0747">
              <w:rPr>
                <w:rFonts w:ascii="Times New Roman" w:eastAsia="Times New Roman" w:hAnsi="Times New Roman" w:cs="Times New Roman"/>
                <w:color w:val="767171"/>
                <w:sz w:val="24"/>
                <w:szCs w:val="24"/>
                <w:lang w:eastAsia="es-DO"/>
              </w:rPr>
              <w:lastRenderedPageBreak/>
              <w:t xml:space="preserve">SEDE SB </w:t>
            </w:r>
          </w:p>
        </w:tc>
        <w:tc>
          <w:tcPr>
            <w:tcW w:w="0" w:type="auto"/>
            <w:tcBorders>
              <w:top w:val="nil"/>
              <w:left w:val="nil"/>
              <w:bottom w:val="single" w:sz="4" w:space="0" w:color="auto"/>
              <w:right w:val="single" w:sz="4" w:space="0" w:color="auto"/>
            </w:tcBorders>
            <w:shd w:val="clear" w:color="auto" w:fill="auto"/>
            <w:vAlign w:val="center"/>
            <w:hideMark/>
          </w:tcPr>
          <w:p w14:paraId="22DFEA69"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lastRenderedPageBreak/>
              <w:t>Porcentaje de avance</w:t>
            </w:r>
          </w:p>
        </w:tc>
        <w:tc>
          <w:tcPr>
            <w:tcW w:w="0" w:type="auto"/>
            <w:tcBorders>
              <w:top w:val="nil"/>
              <w:left w:val="nil"/>
              <w:bottom w:val="single" w:sz="4" w:space="0" w:color="auto"/>
              <w:right w:val="single" w:sz="4" w:space="0" w:color="auto"/>
            </w:tcBorders>
            <w:shd w:val="clear" w:color="auto" w:fill="auto"/>
            <w:noWrap/>
            <w:vAlign w:val="center"/>
            <w:hideMark/>
          </w:tcPr>
          <w:p w14:paraId="03308D7F"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78B10252"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39B3050B"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c>
          <w:tcPr>
            <w:tcW w:w="0" w:type="auto"/>
            <w:tcBorders>
              <w:top w:val="nil"/>
              <w:left w:val="nil"/>
              <w:bottom w:val="single" w:sz="4" w:space="0" w:color="auto"/>
              <w:right w:val="single" w:sz="4" w:space="0" w:color="auto"/>
            </w:tcBorders>
            <w:shd w:val="clear" w:color="auto" w:fill="auto"/>
            <w:noWrap/>
            <w:vAlign w:val="center"/>
            <w:hideMark/>
          </w:tcPr>
          <w:p w14:paraId="23D54E24"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0%</w:t>
            </w:r>
          </w:p>
        </w:tc>
        <w:tc>
          <w:tcPr>
            <w:tcW w:w="0" w:type="auto"/>
            <w:tcBorders>
              <w:top w:val="nil"/>
              <w:left w:val="nil"/>
              <w:bottom w:val="single" w:sz="4" w:space="0" w:color="auto"/>
              <w:right w:val="single" w:sz="4" w:space="0" w:color="auto"/>
            </w:tcBorders>
            <w:shd w:val="clear" w:color="auto" w:fill="auto"/>
            <w:noWrap/>
            <w:vAlign w:val="center"/>
            <w:hideMark/>
          </w:tcPr>
          <w:p w14:paraId="49237812"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0%</w:t>
            </w:r>
          </w:p>
        </w:tc>
      </w:tr>
      <w:tr w:rsidR="003938E1" w:rsidRPr="006A0747" w14:paraId="008C8F2C" w14:textId="77777777" w:rsidTr="00665334">
        <w:trPr>
          <w:trHeight w:val="96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6225B87A"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14</w:t>
            </w:r>
          </w:p>
        </w:tc>
        <w:tc>
          <w:tcPr>
            <w:tcW w:w="1187" w:type="dxa"/>
            <w:tcBorders>
              <w:top w:val="nil"/>
              <w:left w:val="nil"/>
              <w:bottom w:val="single" w:sz="4" w:space="0" w:color="auto"/>
              <w:right w:val="single" w:sz="4" w:space="0" w:color="auto"/>
            </w:tcBorders>
            <w:shd w:val="clear" w:color="auto" w:fill="auto"/>
            <w:noWrap/>
            <w:vAlign w:val="center"/>
            <w:hideMark/>
          </w:tcPr>
          <w:p w14:paraId="5C231E20"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 xml:space="preserve">Gestión de Riesgo Operacional </w:t>
            </w:r>
          </w:p>
        </w:tc>
        <w:tc>
          <w:tcPr>
            <w:tcW w:w="1088" w:type="dxa"/>
            <w:tcBorders>
              <w:top w:val="nil"/>
              <w:left w:val="nil"/>
              <w:bottom w:val="single" w:sz="4" w:space="0" w:color="auto"/>
              <w:right w:val="single" w:sz="4" w:space="0" w:color="auto"/>
            </w:tcBorders>
            <w:shd w:val="clear" w:color="auto" w:fill="auto"/>
            <w:vAlign w:val="center"/>
            <w:hideMark/>
          </w:tcPr>
          <w:p w14:paraId="4A478A7D"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Implementación del Sistema de Gestión de Continuidad de Negocio (SGCN) de la SB (Fase II)</w:t>
            </w:r>
          </w:p>
        </w:tc>
        <w:tc>
          <w:tcPr>
            <w:tcW w:w="0" w:type="auto"/>
            <w:tcBorders>
              <w:top w:val="nil"/>
              <w:left w:val="nil"/>
              <w:bottom w:val="single" w:sz="4" w:space="0" w:color="auto"/>
              <w:right w:val="single" w:sz="4" w:space="0" w:color="auto"/>
            </w:tcBorders>
            <w:shd w:val="clear" w:color="auto" w:fill="auto"/>
            <w:vAlign w:val="center"/>
            <w:hideMark/>
          </w:tcPr>
          <w:p w14:paraId="3598C796"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Implementación del Sistema</w:t>
            </w:r>
          </w:p>
        </w:tc>
        <w:tc>
          <w:tcPr>
            <w:tcW w:w="0" w:type="auto"/>
            <w:tcBorders>
              <w:top w:val="nil"/>
              <w:left w:val="nil"/>
              <w:bottom w:val="single" w:sz="4" w:space="0" w:color="auto"/>
              <w:right w:val="single" w:sz="4" w:space="0" w:color="auto"/>
            </w:tcBorders>
            <w:shd w:val="clear" w:color="auto" w:fill="auto"/>
            <w:noWrap/>
            <w:vAlign w:val="center"/>
            <w:hideMark/>
          </w:tcPr>
          <w:p w14:paraId="412D87BB"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0ABCDA4B"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0A0F1C0F"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80%</w:t>
            </w:r>
          </w:p>
        </w:tc>
        <w:tc>
          <w:tcPr>
            <w:tcW w:w="0" w:type="auto"/>
            <w:tcBorders>
              <w:top w:val="nil"/>
              <w:left w:val="nil"/>
              <w:bottom w:val="single" w:sz="4" w:space="0" w:color="auto"/>
              <w:right w:val="single" w:sz="4" w:space="0" w:color="auto"/>
            </w:tcBorders>
            <w:shd w:val="clear" w:color="auto" w:fill="auto"/>
            <w:noWrap/>
            <w:vAlign w:val="center"/>
            <w:hideMark/>
          </w:tcPr>
          <w:p w14:paraId="00B41065"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c>
          <w:tcPr>
            <w:tcW w:w="0" w:type="auto"/>
            <w:tcBorders>
              <w:top w:val="nil"/>
              <w:left w:val="nil"/>
              <w:bottom w:val="single" w:sz="4" w:space="0" w:color="auto"/>
              <w:right w:val="single" w:sz="4" w:space="0" w:color="auto"/>
            </w:tcBorders>
            <w:shd w:val="clear" w:color="auto" w:fill="auto"/>
            <w:noWrap/>
            <w:vAlign w:val="center"/>
            <w:hideMark/>
          </w:tcPr>
          <w:p w14:paraId="16E594DD"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125%</w:t>
            </w:r>
          </w:p>
        </w:tc>
      </w:tr>
      <w:tr w:rsidR="003938E1" w:rsidRPr="006A0747" w14:paraId="68685A51" w14:textId="77777777" w:rsidTr="00665334">
        <w:trPr>
          <w:trHeight w:val="48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2B5D4265"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15</w:t>
            </w:r>
          </w:p>
        </w:tc>
        <w:tc>
          <w:tcPr>
            <w:tcW w:w="1187" w:type="dxa"/>
            <w:tcBorders>
              <w:top w:val="nil"/>
              <w:left w:val="nil"/>
              <w:bottom w:val="single" w:sz="4" w:space="0" w:color="auto"/>
              <w:right w:val="single" w:sz="4" w:space="0" w:color="auto"/>
            </w:tcBorders>
            <w:shd w:val="clear" w:color="auto" w:fill="auto"/>
            <w:noWrap/>
            <w:vAlign w:val="center"/>
            <w:hideMark/>
          </w:tcPr>
          <w:p w14:paraId="33C8EFC0"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Gestión Humana</w:t>
            </w:r>
          </w:p>
        </w:tc>
        <w:tc>
          <w:tcPr>
            <w:tcW w:w="1088" w:type="dxa"/>
            <w:tcBorders>
              <w:top w:val="nil"/>
              <w:left w:val="nil"/>
              <w:bottom w:val="single" w:sz="4" w:space="0" w:color="auto"/>
              <w:right w:val="single" w:sz="4" w:space="0" w:color="auto"/>
            </w:tcBorders>
            <w:shd w:val="clear" w:color="auto" w:fill="auto"/>
            <w:vAlign w:val="center"/>
            <w:hideMark/>
          </w:tcPr>
          <w:p w14:paraId="3EA27849"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JARVIS 2.0 – Gestión Humana</w:t>
            </w:r>
          </w:p>
        </w:tc>
        <w:tc>
          <w:tcPr>
            <w:tcW w:w="0" w:type="auto"/>
            <w:tcBorders>
              <w:top w:val="nil"/>
              <w:left w:val="nil"/>
              <w:bottom w:val="single" w:sz="4" w:space="0" w:color="auto"/>
              <w:right w:val="single" w:sz="4" w:space="0" w:color="auto"/>
            </w:tcBorders>
            <w:shd w:val="clear" w:color="auto" w:fill="auto"/>
            <w:vAlign w:val="center"/>
            <w:hideMark/>
          </w:tcPr>
          <w:p w14:paraId="79ED52B2"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avance del proyecto</w:t>
            </w:r>
          </w:p>
        </w:tc>
        <w:tc>
          <w:tcPr>
            <w:tcW w:w="0" w:type="auto"/>
            <w:tcBorders>
              <w:top w:val="nil"/>
              <w:left w:val="nil"/>
              <w:bottom w:val="single" w:sz="4" w:space="0" w:color="auto"/>
              <w:right w:val="single" w:sz="4" w:space="0" w:color="auto"/>
            </w:tcBorders>
            <w:shd w:val="clear" w:color="auto" w:fill="auto"/>
            <w:noWrap/>
            <w:vAlign w:val="center"/>
            <w:hideMark/>
          </w:tcPr>
          <w:p w14:paraId="208A7020"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79FC4008"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5D316CE3"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25%</w:t>
            </w:r>
          </w:p>
        </w:tc>
        <w:tc>
          <w:tcPr>
            <w:tcW w:w="0" w:type="auto"/>
            <w:tcBorders>
              <w:top w:val="nil"/>
              <w:left w:val="nil"/>
              <w:bottom w:val="single" w:sz="4" w:space="0" w:color="auto"/>
              <w:right w:val="single" w:sz="4" w:space="0" w:color="auto"/>
            </w:tcBorders>
            <w:shd w:val="clear" w:color="auto" w:fill="auto"/>
            <w:noWrap/>
            <w:vAlign w:val="center"/>
            <w:hideMark/>
          </w:tcPr>
          <w:p w14:paraId="4C2B3594"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0%</w:t>
            </w:r>
          </w:p>
        </w:tc>
        <w:tc>
          <w:tcPr>
            <w:tcW w:w="0" w:type="auto"/>
            <w:tcBorders>
              <w:top w:val="nil"/>
              <w:left w:val="nil"/>
              <w:bottom w:val="single" w:sz="4" w:space="0" w:color="auto"/>
              <w:right w:val="single" w:sz="4" w:space="0" w:color="auto"/>
            </w:tcBorders>
            <w:shd w:val="clear" w:color="auto" w:fill="auto"/>
            <w:noWrap/>
            <w:vAlign w:val="center"/>
            <w:hideMark/>
          </w:tcPr>
          <w:p w14:paraId="30B344EF"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0%</w:t>
            </w:r>
          </w:p>
        </w:tc>
      </w:tr>
      <w:tr w:rsidR="003938E1" w:rsidRPr="006A0747" w14:paraId="772825FC" w14:textId="77777777" w:rsidTr="00665334">
        <w:trPr>
          <w:trHeight w:val="48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065DB8EF"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16</w:t>
            </w:r>
          </w:p>
        </w:tc>
        <w:tc>
          <w:tcPr>
            <w:tcW w:w="1187" w:type="dxa"/>
            <w:tcBorders>
              <w:top w:val="nil"/>
              <w:left w:val="nil"/>
              <w:bottom w:val="single" w:sz="4" w:space="0" w:color="auto"/>
              <w:right w:val="single" w:sz="4" w:space="0" w:color="auto"/>
            </w:tcBorders>
            <w:shd w:val="clear" w:color="auto" w:fill="auto"/>
            <w:noWrap/>
            <w:vAlign w:val="center"/>
            <w:hideMark/>
          </w:tcPr>
          <w:p w14:paraId="548C64B1"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Gestión Humana</w:t>
            </w:r>
          </w:p>
        </w:tc>
        <w:tc>
          <w:tcPr>
            <w:tcW w:w="1088" w:type="dxa"/>
            <w:tcBorders>
              <w:top w:val="nil"/>
              <w:left w:val="nil"/>
              <w:bottom w:val="single" w:sz="4" w:space="0" w:color="auto"/>
              <w:right w:val="single" w:sz="4" w:space="0" w:color="auto"/>
            </w:tcBorders>
            <w:shd w:val="clear" w:color="auto" w:fill="auto"/>
            <w:vAlign w:val="center"/>
            <w:hideMark/>
          </w:tcPr>
          <w:p w14:paraId="28FFB929"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Plan de Carrera y Ruta de Desarrollo – fase II</w:t>
            </w:r>
          </w:p>
        </w:tc>
        <w:tc>
          <w:tcPr>
            <w:tcW w:w="0" w:type="auto"/>
            <w:tcBorders>
              <w:top w:val="nil"/>
              <w:left w:val="nil"/>
              <w:bottom w:val="single" w:sz="4" w:space="0" w:color="auto"/>
              <w:right w:val="single" w:sz="4" w:space="0" w:color="auto"/>
            </w:tcBorders>
            <w:shd w:val="clear" w:color="auto" w:fill="auto"/>
            <w:vAlign w:val="center"/>
            <w:hideMark/>
          </w:tcPr>
          <w:p w14:paraId="756F3215"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avance del proyecto</w:t>
            </w:r>
          </w:p>
        </w:tc>
        <w:tc>
          <w:tcPr>
            <w:tcW w:w="0" w:type="auto"/>
            <w:tcBorders>
              <w:top w:val="nil"/>
              <w:left w:val="nil"/>
              <w:bottom w:val="single" w:sz="4" w:space="0" w:color="auto"/>
              <w:right w:val="single" w:sz="4" w:space="0" w:color="auto"/>
            </w:tcBorders>
            <w:shd w:val="clear" w:color="auto" w:fill="auto"/>
            <w:noWrap/>
            <w:vAlign w:val="center"/>
            <w:hideMark/>
          </w:tcPr>
          <w:p w14:paraId="45E147D0"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6E8CDDE3"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2D2939D0" w14:textId="56E348D6"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w:t>
            </w:r>
            <w:r w:rsidR="0049024D">
              <w:rPr>
                <w:rFonts w:ascii="Times New Roman" w:eastAsia="Times New Roman" w:hAnsi="Times New Roman" w:cs="Times New Roman"/>
                <w:color w:val="767171"/>
                <w:sz w:val="24"/>
                <w:szCs w:val="24"/>
                <w:lang w:eastAsia="es-DO"/>
              </w:rPr>
              <w:t>0</w:t>
            </w:r>
            <w:r w:rsidRPr="006A0747">
              <w:rPr>
                <w:rFonts w:ascii="Times New Roman" w:eastAsia="Times New Roman" w:hAnsi="Times New Roman" w:cs="Times New Roman"/>
                <w:color w:val="767171"/>
                <w:sz w:val="24"/>
                <w:szCs w:val="24"/>
                <w:lang w:eastAsia="es-DO"/>
              </w:rPr>
              <w:t>%</w:t>
            </w:r>
          </w:p>
        </w:tc>
        <w:tc>
          <w:tcPr>
            <w:tcW w:w="0" w:type="auto"/>
            <w:tcBorders>
              <w:top w:val="nil"/>
              <w:left w:val="nil"/>
              <w:bottom w:val="single" w:sz="4" w:space="0" w:color="auto"/>
              <w:right w:val="single" w:sz="4" w:space="0" w:color="auto"/>
            </w:tcBorders>
            <w:shd w:val="clear" w:color="auto" w:fill="auto"/>
            <w:noWrap/>
            <w:vAlign w:val="center"/>
            <w:hideMark/>
          </w:tcPr>
          <w:p w14:paraId="219BAD37" w14:textId="13DD1EED" w:rsidR="003938E1" w:rsidRPr="006A0747" w:rsidRDefault="0049024D">
            <w:pPr>
              <w:spacing w:after="0" w:line="240" w:lineRule="auto"/>
              <w:jc w:val="center"/>
              <w:rPr>
                <w:rFonts w:ascii="Times New Roman" w:eastAsia="Times New Roman" w:hAnsi="Times New Roman" w:cs="Times New Roman"/>
                <w:color w:val="767171"/>
                <w:sz w:val="24"/>
                <w:szCs w:val="24"/>
                <w:lang w:eastAsia="es-DO"/>
              </w:rPr>
            </w:pPr>
            <w:r>
              <w:rPr>
                <w:rFonts w:ascii="Times New Roman" w:eastAsia="Times New Roman" w:hAnsi="Times New Roman" w:cs="Times New Roman"/>
                <w:color w:val="767171"/>
                <w:sz w:val="24"/>
                <w:szCs w:val="24"/>
                <w:lang w:eastAsia="es-DO"/>
              </w:rPr>
              <w:t>100</w:t>
            </w:r>
            <w:r w:rsidR="003938E1" w:rsidRPr="006A0747">
              <w:rPr>
                <w:rFonts w:ascii="Times New Roman" w:eastAsia="Times New Roman" w:hAnsi="Times New Roman" w:cs="Times New Roman"/>
                <w:color w:val="767171"/>
                <w:sz w:val="24"/>
                <w:szCs w:val="24"/>
                <w:lang w:eastAsia="es-DO"/>
              </w:rPr>
              <w:t>%</w:t>
            </w:r>
          </w:p>
        </w:tc>
        <w:tc>
          <w:tcPr>
            <w:tcW w:w="0" w:type="auto"/>
            <w:tcBorders>
              <w:top w:val="nil"/>
              <w:left w:val="nil"/>
              <w:bottom w:val="single" w:sz="4" w:space="0" w:color="auto"/>
              <w:right w:val="single" w:sz="4" w:space="0" w:color="auto"/>
            </w:tcBorders>
            <w:shd w:val="clear" w:color="auto" w:fill="auto"/>
            <w:noWrap/>
            <w:vAlign w:val="center"/>
            <w:hideMark/>
          </w:tcPr>
          <w:p w14:paraId="6C50E9D9" w14:textId="2C556898" w:rsidR="003938E1" w:rsidRPr="006A0747" w:rsidRDefault="0049024D">
            <w:pPr>
              <w:spacing w:after="0" w:line="240" w:lineRule="auto"/>
              <w:jc w:val="center"/>
              <w:rPr>
                <w:rFonts w:ascii="Times New Roman" w:eastAsia="Times New Roman" w:hAnsi="Times New Roman" w:cs="Times New Roman"/>
                <w:color w:val="767171"/>
                <w:sz w:val="24"/>
                <w:szCs w:val="24"/>
                <w:lang w:eastAsia="es-DO"/>
              </w:rPr>
            </w:pPr>
            <w:r>
              <w:rPr>
                <w:rFonts w:ascii="Times New Roman" w:eastAsia="Times New Roman" w:hAnsi="Times New Roman" w:cs="Times New Roman"/>
                <w:color w:val="767171"/>
                <w:sz w:val="24"/>
                <w:szCs w:val="24"/>
                <w:lang w:eastAsia="es-DO"/>
              </w:rPr>
              <w:t>100</w:t>
            </w:r>
            <w:r w:rsidR="003938E1" w:rsidRPr="006A0747">
              <w:rPr>
                <w:rFonts w:ascii="Times New Roman" w:eastAsia="Times New Roman" w:hAnsi="Times New Roman" w:cs="Times New Roman"/>
                <w:color w:val="767171"/>
                <w:sz w:val="24"/>
                <w:szCs w:val="24"/>
                <w:lang w:eastAsia="es-DO"/>
              </w:rPr>
              <w:t>%</w:t>
            </w:r>
          </w:p>
        </w:tc>
      </w:tr>
      <w:tr w:rsidR="003938E1" w:rsidRPr="006A0747" w14:paraId="37BEFF78" w14:textId="77777777" w:rsidTr="00665334">
        <w:trPr>
          <w:trHeight w:val="72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5A463400"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17</w:t>
            </w:r>
          </w:p>
        </w:tc>
        <w:tc>
          <w:tcPr>
            <w:tcW w:w="1187" w:type="dxa"/>
            <w:tcBorders>
              <w:top w:val="nil"/>
              <w:left w:val="nil"/>
              <w:bottom w:val="single" w:sz="4" w:space="0" w:color="auto"/>
              <w:right w:val="single" w:sz="4" w:space="0" w:color="auto"/>
            </w:tcBorders>
            <w:shd w:val="clear" w:color="auto" w:fill="auto"/>
            <w:noWrap/>
            <w:vAlign w:val="center"/>
            <w:hideMark/>
          </w:tcPr>
          <w:p w14:paraId="5245BCCA"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Monitoreo de Riesgos</w:t>
            </w:r>
          </w:p>
        </w:tc>
        <w:tc>
          <w:tcPr>
            <w:tcW w:w="1088" w:type="dxa"/>
            <w:tcBorders>
              <w:top w:val="nil"/>
              <w:left w:val="nil"/>
              <w:bottom w:val="single" w:sz="4" w:space="0" w:color="auto"/>
              <w:right w:val="single" w:sz="4" w:space="0" w:color="auto"/>
            </w:tcBorders>
            <w:shd w:val="clear" w:color="auto" w:fill="auto"/>
            <w:vAlign w:val="center"/>
            <w:hideMark/>
          </w:tcPr>
          <w:p w14:paraId="58687496"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Evaluación extra-situ de la Gestión Integral de Riesgos de las EIF</w:t>
            </w:r>
          </w:p>
        </w:tc>
        <w:tc>
          <w:tcPr>
            <w:tcW w:w="0" w:type="auto"/>
            <w:tcBorders>
              <w:top w:val="nil"/>
              <w:left w:val="nil"/>
              <w:bottom w:val="single" w:sz="4" w:space="0" w:color="auto"/>
              <w:right w:val="single" w:sz="4" w:space="0" w:color="auto"/>
            </w:tcBorders>
            <w:shd w:val="clear" w:color="auto" w:fill="auto"/>
            <w:vAlign w:val="center"/>
            <w:hideMark/>
          </w:tcPr>
          <w:p w14:paraId="3A4D8B37"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avances del proyecto</w:t>
            </w:r>
          </w:p>
        </w:tc>
        <w:tc>
          <w:tcPr>
            <w:tcW w:w="0" w:type="auto"/>
            <w:tcBorders>
              <w:top w:val="nil"/>
              <w:left w:val="nil"/>
              <w:bottom w:val="single" w:sz="4" w:space="0" w:color="auto"/>
              <w:right w:val="single" w:sz="4" w:space="0" w:color="auto"/>
            </w:tcBorders>
            <w:shd w:val="clear" w:color="auto" w:fill="auto"/>
            <w:noWrap/>
            <w:vAlign w:val="center"/>
            <w:hideMark/>
          </w:tcPr>
          <w:p w14:paraId="4BE285F6"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4C3A050F"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68E0F05B"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w:t>
            </w:r>
          </w:p>
        </w:tc>
        <w:tc>
          <w:tcPr>
            <w:tcW w:w="0" w:type="auto"/>
            <w:tcBorders>
              <w:top w:val="nil"/>
              <w:left w:val="nil"/>
              <w:bottom w:val="single" w:sz="4" w:space="0" w:color="auto"/>
              <w:right w:val="single" w:sz="4" w:space="0" w:color="auto"/>
            </w:tcBorders>
            <w:shd w:val="clear" w:color="auto" w:fill="auto"/>
            <w:noWrap/>
            <w:vAlign w:val="center"/>
            <w:hideMark/>
          </w:tcPr>
          <w:p w14:paraId="1871C015"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w:t>
            </w:r>
          </w:p>
        </w:tc>
        <w:tc>
          <w:tcPr>
            <w:tcW w:w="0" w:type="auto"/>
            <w:tcBorders>
              <w:top w:val="nil"/>
              <w:left w:val="nil"/>
              <w:bottom w:val="single" w:sz="4" w:space="0" w:color="auto"/>
              <w:right w:val="single" w:sz="4" w:space="0" w:color="auto"/>
            </w:tcBorders>
            <w:shd w:val="clear" w:color="auto" w:fill="auto"/>
            <w:noWrap/>
            <w:vAlign w:val="center"/>
            <w:hideMark/>
          </w:tcPr>
          <w:p w14:paraId="5EE2A41E"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r>
      <w:tr w:rsidR="003938E1" w:rsidRPr="006A0747" w14:paraId="6806B6E4" w14:textId="77777777" w:rsidTr="00665334">
        <w:trPr>
          <w:trHeight w:val="96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355B8000"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18</w:t>
            </w:r>
          </w:p>
        </w:tc>
        <w:tc>
          <w:tcPr>
            <w:tcW w:w="1187" w:type="dxa"/>
            <w:tcBorders>
              <w:top w:val="nil"/>
              <w:left w:val="nil"/>
              <w:bottom w:val="single" w:sz="4" w:space="0" w:color="auto"/>
              <w:right w:val="single" w:sz="4" w:space="0" w:color="auto"/>
            </w:tcBorders>
            <w:shd w:val="clear" w:color="auto" w:fill="auto"/>
            <w:noWrap/>
            <w:vAlign w:val="center"/>
            <w:hideMark/>
          </w:tcPr>
          <w:p w14:paraId="124A5EF0"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Monitoreo de Riesgos</w:t>
            </w:r>
          </w:p>
        </w:tc>
        <w:tc>
          <w:tcPr>
            <w:tcW w:w="1088" w:type="dxa"/>
            <w:tcBorders>
              <w:top w:val="nil"/>
              <w:left w:val="nil"/>
              <w:bottom w:val="single" w:sz="4" w:space="0" w:color="auto"/>
              <w:right w:val="single" w:sz="4" w:space="0" w:color="auto"/>
            </w:tcBorders>
            <w:shd w:val="clear" w:color="auto" w:fill="auto"/>
            <w:vAlign w:val="center"/>
            <w:hideMark/>
          </w:tcPr>
          <w:p w14:paraId="4A28D5FC"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 xml:space="preserve">Implementación MRI de la </w:t>
            </w:r>
            <w:r w:rsidRPr="006A0747">
              <w:rPr>
                <w:rFonts w:ascii="Times New Roman" w:eastAsia="Times New Roman" w:hAnsi="Times New Roman" w:cs="Times New Roman"/>
                <w:color w:val="767171"/>
                <w:sz w:val="24"/>
                <w:szCs w:val="24"/>
                <w:lang w:eastAsia="es-DO"/>
              </w:rPr>
              <w:lastRenderedPageBreak/>
              <w:t>Administración Monetaria y Financiera– Fase III y Mejoras SB Interactivo</w:t>
            </w:r>
          </w:p>
        </w:tc>
        <w:tc>
          <w:tcPr>
            <w:tcW w:w="0" w:type="auto"/>
            <w:tcBorders>
              <w:top w:val="nil"/>
              <w:left w:val="nil"/>
              <w:bottom w:val="single" w:sz="4" w:space="0" w:color="auto"/>
              <w:right w:val="single" w:sz="4" w:space="0" w:color="auto"/>
            </w:tcBorders>
            <w:shd w:val="clear" w:color="auto" w:fill="auto"/>
            <w:vAlign w:val="center"/>
            <w:hideMark/>
          </w:tcPr>
          <w:p w14:paraId="1BA5F240"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lastRenderedPageBreak/>
              <w:t xml:space="preserve">Porcentaje de implementación </w:t>
            </w:r>
            <w:r w:rsidRPr="006A0747">
              <w:rPr>
                <w:rFonts w:ascii="Times New Roman" w:eastAsia="Times New Roman" w:hAnsi="Times New Roman" w:cs="Times New Roman"/>
                <w:color w:val="767171"/>
                <w:sz w:val="24"/>
                <w:szCs w:val="24"/>
                <w:lang w:eastAsia="es-DO"/>
              </w:rPr>
              <w:lastRenderedPageBreak/>
              <w:t>del proyecto según hitos.</w:t>
            </w:r>
          </w:p>
        </w:tc>
        <w:tc>
          <w:tcPr>
            <w:tcW w:w="0" w:type="auto"/>
            <w:tcBorders>
              <w:top w:val="nil"/>
              <w:left w:val="nil"/>
              <w:bottom w:val="single" w:sz="4" w:space="0" w:color="auto"/>
              <w:right w:val="single" w:sz="4" w:space="0" w:color="auto"/>
            </w:tcBorders>
            <w:shd w:val="clear" w:color="auto" w:fill="auto"/>
            <w:noWrap/>
            <w:vAlign w:val="center"/>
            <w:hideMark/>
          </w:tcPr>
          <w:p w14:paraId="484B4296"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lastRenderedPageBreak/>
              <w:t>Anual</w:t>
            </w:r>
          </w:p>
        </w:tc>
        <w:tc>
          <w:tcPr>
            <w:tcW w:w="0" w:type="auto"/>
            <w:tcBorders>
              <w:top w:val="nil"/>
              <w:left w:val="nil"/>
              <w:bottom w:val="single" w:sz="4" w:space="0" w:color="auto"/>
              <w:right w:val="single" w:sz="4" w:space="0" w:color="auto"/>
            </w:tcBorders>
            <w:shd w:val="clear" w:color="auto" w:fill="auto"/>
            <w:noWrap/>
            <w:vAlign w:val="center"/>
            <w:hideMark/>
          </w:tcPr>
          <w:p w14:paraId="0A465D52"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4876CAAF"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c>
          <w:tcPr>
            <w:tcW w:w="0" w:type="auto"/>
            <w:tcBorders>
              <w:top w:val="nil"/>
              <w:left w:val="nil"/>
              <w:bottom w:val="single" w:sz="4" w:space="0" w:color="auto"/>
              <w:right w:val="single" w:sz="4" w:space="0" w:color="auto"/>
            </w:tcBorders>
            <w:shd w:val="clear" w:color="auto" w:fill="auto"/>
            <w:noWrap/>
            <w:vAlign w:val="center"/>
            <w:hideMark/>
          </w:tcPr>
          <w:p w14:paraId="104A88BF"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c>
          <w:tcPr>
            <w:tcW w:w="0" w:type="auto"/>
            <w:tcBorders>
              <w:top w:val="nil"/>
              <w:left w:val="nil"/>
              <w:bottom w:val="single" w:sz="4" w:space="0" w:color="auto"/>
              <w:right w:val="single" w:sz="4" w:space="0" w:color="auto"/>
            </w:tcBorders>
            <w:shd w:val="clear" w:color="auto" w:fill="auto"/>
            <w:noWrap/>
            <w:vAlign w:val="center"/>
            <w:hideMark/>
          </w:tcPr>
          <w:p w14:paraId="166CD3D1"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r>
      <w:tr w:rsidR="003938E1" w:rsidRPr="006A0747" w14:paraId="4E8EC325" w14:textId="77777777" w:rsidTr="00665334">
        <w:trPr>
          <w:trHeight w:val="48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64A32AFB"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19</w:t>
            </w:r>
          </w:p>
        </w:tc>
        <w:tc>
          <w:tcPr>
            <w:tcW w:w="1187" w:type="dxa"/>
            <w:tcBorders>
              <w:top w:val="nil"/>
              <w:left w:val="nil"/>
              <w:bottom w:val="single" w:sz="4" w:space="0" w:color="auto"/>
              <w:right w:val="single" w:sz="4" w:space="0" w:color="auto"/>
            </w:tcBorders>
            <w:shd w:val="clear" w:color="auto" w:fill="auto"/>
            <w:noWrap/>
            <w:vAlign w:val="center"/>
            <w:hideMark/>
          </w:tcPr>
          <w:p w14:paraId="62B4DD70"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Monitoreo de Riesgos</w:t>
            </w:r>
          </w:p>
        </w:tc>
        <w:tc>
          <w:tcPr>
            <w:tcW w:w="1088" w:type="dxa"/>
            <w:tcBorders>
              <w:top w:val="nil"/>
              <w:left w:val="nil"/>
              <w:bottom w:val="single" w:sz="4" w:space="0" w:color="auto"/>
              <w:right w:val="single" w:sz="4" w:space="0" w:color="auto"/>
            </w:tcBorders>
            <w:shd w:val="clear" w:color="auto" w:fill="auto"/>
            <w:vAlign w:val="center"/>
            <w:hideMark/>
          </w:tcPr>
          <w:p w14:paraId="4F9FEE00"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Calidad de datos (Fase 2)</w:t>
            </w:r>
          </w:p>
        </w:tc>
        <w:tc>
          <w:tcPr>
            <w:tcW w:w="0" w:type="auto"/>
            <w:tcBorders>
              <w:top w:val="nil"/>
              <w:left w:val="nil"/>
              <w:bottom w:val="single" w:sz="4" w:space="0" w:color="auto"/>
              <w:right w:val="single" w:sz="4" w:space="0" w:color="auto"/>
            </w:tcBorders>
            <w:shd w:val="clear" w:color="auto" w:fill="auto"/>
            <w:vAlign w:val="center"/>
            <w:hideMark/>
          </w:tcPr>
          <w:p w14:paraId="457A4772"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avances del proyecto</w:t>
            </w:r>
          </w:p>
        </w:tc>
        <w:tc>
          <w:tcPr>
            <w:tcW w:w="0" w:type="auto"/>
            <w:tcBorders>
              <w:top w:val="nil"/>
              <w:left w:val="nil"/>
              <w:bottom w:val="single" w:sz="4" w:space="0" w:color="auto"/>
              <w:right w:val="single" w:sz="4" w:space="0" w:color="auto"/>
            </w:tcBorders>
            <w:shd w:val="clear" w:color="auto" w:fill="auto"/>
            <w:noWrap/>
            <w:vAlign w:val="center"/>
            <w:hideMark/>
          </w:tcPr>
          <w:p w14:paraId="7F13CB42"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3569A3EE"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30C2AC2A"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w:t>
            </w:r>
          </w:p>
        </w:tc>
        <w:tc>
          <w:tcPr>
            <w:tcW w:w="0" w:type="auto"/>
            <w:tcBorders>
              <w:top w:val="nil"/>
              <w:left w:val="nil"/>
              <w:bottom w:val="single" w:sz="4" w:space="0" w:color="auto"/>
              <w:right w:val="single" w:sz="4" w:space="0" w:color="auto"/>
            </w:tcBorders>
            <w:shd w:val="clear" w:color="auto" w:fill="auto"/>
            <w:noWrap/>
            <w:vAlign w:val="center"/>
            <w:hideMark/>
          </w:tcPr>
          <w:p w14:paraId="3753A4C5"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0%</w:t>
            </w:r>
          </w:p>
        </w:tc>
        <w:tc>
          <w:tcPr>
            <w:tcW w:w="0" w:type="auto"/>
            <w:tcBorders>
              <w:top w:val="nil"/>
              <w:left w:val="nil"/>
              <w:bottom w:val="single" w:sz="4" w:space="0" w:color="auto"/>
              <w:right w:val="single" w:sz="4" w:space="0" w:color="auto"/>
            </w:tcBorders>
            <w:shd w:val="clear" w:color="auto" w:fill="auto"/>
            <w:noWrap/>
            <w:vAlign w:val="center"/>
            <w:hideMark/>
          </w:tcPr>
          <w:p w14:paraId="1EE4E76B"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0%</w:t>
            </w:r>
          </w:p>
        </w:tc>
      </w:tr>
      <w:tr w:rsidR="003938E1" w:rsidRPr="006A0747" w14:paraId="3787D0A9" w14:textId="77777777" w:rsidTr="00665334">
        <w:trPr>
          <w:trHeight w:val="48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55E14306"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20</w:t>
            </w:r>
          </w:p>
        </w:tc>
        <w:tc>
          <w:tcPr>
            <w:tcW w:w="1187" w:type="dxa"/>
            <w:tcBorders>
              <w:top w:val="nil"/>
              <w:left w:val="nil"/>
              <w:bottom w:val="single" w:sz="4" w:space="0" w:color="auto"/>
              <w:right w:val="single" w:sz="4" w:space="0" w:color="auto"/>
            </w:tcBorders>
            <w:shd w:val="clear" w:color="auto" w:fill="auto"/>
            <w:noWrap/>
            <w:vAlign w:val="center"/>
            <w:hideMark/>
          </w:tcPr>
          <w:p w14:paraId="3DD51C30"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Monitoreo de Riesgos</w:t>
            </w:r>
          </w:p>
        </w:tc>
        <w:tc>
          <w:tcPr>
            <w:tcW w:w="1088" w:type="dxa"/>
            <w:tcBorders>
              <w:top w:val="nil"/>
              <w:left w:val="nil"/>
              <w:bottom w:val="single" w:sz="4" w:space="0" w:color="auto"/>
              <w:right w:val="single" w:sz="4" w:space="0" w:color="auto"/>
            </w:tcBorders>
            <w:shd w:val="clear" w:color="auto" w:fill="auto"/>
            <w:vAlign w:val="center"/>
            <w:hideMark/>
          </w:tcPr>
          <w:p w14:paraId="33A74391"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Implementación de taxonomía verde</w:t>
            </w:r>
          </w:p>
        </w:tc>
        <w:tc>
          <w:tcPr>
            <w:tcW w:w="0" w:type="auto"/>
            <w:tcBorders>
              <w:top w:val="nil"/>
              <w:left w:val="nil"/>
              <w:bottom w:val="single" w:sz="4" w:space="0" w:color="auto"/>
              <w:right w:val="single" w:sz="4" w:space="0" w:color="auto"/>
            </w:tcBorders>
            <w:shd w:val="clear" w:color="auto" w:fill="auto"/>
            <w:vAlign w:val="center"/>
            <w:hideMark/>
          </w:tcPr>
          <w:p w14:paraId="32D7DB42"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avances del proyecto</w:t>
            </w:r>
          </w:p>
        </w:tc>
        <w:tc>
          <w:tcPr>
            <w:tcW w:w="0" w:type="auto"/>
            <w:tcBorders>
              <w:top w:val="nil"/>
              <w:left w:val="nil"/>
              <w:bottom w:val="single" w:sz="4" w:space="0" w:color="auto"/>
              <w:right w:val="single" w:sz="4" w:space="0" w:color="auto"/>
            </w:tcBorders>
            <w:shd w:val="clear" w:color="auto" w:fill="auto"/>
            <w:noWrap/>
            <w:vAlign w:val="center"/>
            <w:hideMark/>
          </w:tcPr>
          <w:p w14:paraId="1E0334B1"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7C09293D"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067FF92F"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65%</w:t>
            </w:r>
          </w:p>
        </w:tc>
        <w:tc>
          <w:tcPr>
            <w:tcW w:w="0" w:type="auto"/>
            <w:tcBorders>
              <w:top w:val="nil"/>
              <w:left w:val="nil"/>
              <w:bottom w:val="single" w:sz="4" w:space="0" w:color="auto"/>
              <w:right w:val="single" w:sz="4" w:space="0" w:color="auto"/>
            </w:tcBorders>
            <w:shd w:val="clear" w:color="auto" w:fill="auto"/>
            <w:noWrap/>
            <w:vAlign w:val="center"/>
            <w:hideMark/>
          </w:tcPr>
          <w:p w14:paraId="76872277"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65%</w:t>
            </w:r>
          </w:p>
        </w:tc>
        <w:tc>
          <w:tcPr>
            <w:tcW w:w="0" w:type="auto"/>
            <w:tcBorders>
              <w:top w:val="nil"/>
              <w:left w:val="nil"/>
              <w:bottom w:val="single" w:sz="4" w:space="0" w:color="auto"/>
              <w:right w:val="single" w:sz="4" w:space="0" w:color="auto"/>
            </w:tcBorders>
            <w:shd w:val="clear" w:color="auto" w:fill="auto"/>
            <w:noWrap/>
            <w:vAlign w:val="center"/>
            <w:hideMark/>
          </w:tcPr>
          <w:p w14:paraId="39421762"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r>
      <w:tr w:rsidR="003938E1" w:rsidRPr="006A0747" w14:paraId="696B237C" w14:textId="77777777" w:rsidTr="00665334">
        <w:trPr>
          <w:trHeight w:val="48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705CB6DD"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21</w:t>
            </w:r>
          </w:p>
        </w:tc>
        <w:tc>
          <w:tcPr>
            <w:tcW w:w="1187" w:type="dxa"/>
            <w:tcBorders>
              <w:top w:val="nil"/>
              <w:left w:val="nil"/>
              <w:bottom w:val="single" w:sz="4" w:space="0" w:color="auto"/>
              <w:right w:val="single" w:sz="4" w:space="0" w:color="auto"/>
            </w:tcBorders>
            <w:shd w:val="clear" w:color="auto" w:fill="auto"/>
            <w:noWrap/>
            <w:vAlign w:val="center"/>
            <w:hideMark/>
          </w:tcPr>
          <w:p w14:paraId="2FE02376"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Oficina de Servicios y Protección al usuario (ProUsuario)</w:t>
            </w:r>
          </w:p>
        </w:tc>
        <w:tc>
          <w:tcPr>
            <w:tcW w:w="1088" w:type="dxa"/>
            <w:tcBorders>
              <w:top w:val="nil"/>
              <w:left w:val="nil"/>
              <w:bottom w:val="single" w:sz="4" w:space="0" w:color="auto"/>
              <w:right w:val="single" w:sz="4" w:space="0" w:color="auto"/>
            </w:tcBorders>
            <w:shd w:val="clear" w:color="auto" w:fill="auto"/>
            <w:vAlign w:val="center"/>
            <w:hideMark/>
          </w:tcPr>
          <w:p w14:paraId="44BD445A"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Estrategia de Servicio Basado en el Modelo Disney</w:t>
            </w:r>
          </w:p>
        </w:tc>
        <w:tc>
          <w:tcPr>
            <w:tcW w:w="0" w:type="auto"/>
            <w:tcBorders>
              <w:top w:val="nil"/>
              <w:left w:val="nil"/>
              <w:bottom w:val="single" w:sz="4" w:space="0" w:color="auto"/>
              <w:right w:val="single" w:sz="4" w:space="0" w:color="auto"/>
            </w:tcBorders>
            <w:shd w:val="clear" w:color="auto" w:fill="auto"/>
            <w:vAlign w:val="center"/>
            <w:hideMark/>
          </w:tcPr>
          <w:p w14:paraId="2BF40C69"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avance del proyecto según hitos</w:t>
            </w:r>
          </w:p>
        </w:tc>
        <w:tc>
          <w:tcPr>
            <w:tcW w:w="0" w:type="auto"/>
            <w:tcBorders>
              <w:top w:val="nil"/>
              <w:left w:val="nil"/>
              <w:bottom w:val="single" w:sz="4" w:space="0" w:color="auto"/>
              <w:right w:val="single" w:sz="4" w:space="0" w:color="auto"/>
            </w:tcBorders>
            <w:shd w:val="clear" w:color="auto" w:fill="auto"/>
            <w:noWrap/>
            <w:vAlign w:val="center"/>
            <w:hideMark/>
          </w:tcPr>
          <w:p w14:paraId="4C8CD835"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524F4EB5"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478B4D58"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65%</w:t>
            </w:r>
          </w:p>
        </w:tc>
        <w:tc>
          <w:tcPr>
            <w:tcW w:w="0" w:type="auto"/>
            <w:tcBorders>
              <w:top w:val="nil"/>
              <w:left w:val="nil"/>
              <w:bottom w:val="single" w:sz="4" w:space="0" w:color="auto"/>
              <w:right w:val="single" w:sz="4" w:space="0" w:color="auto"/>
            </w:tcBorders>
            <w:shd w:val="clear" w:color="auto" w:fill="auto"/>
            <w:noWrap/>
            <w:vAlign w:val="center"/>
            <w:hideMark/>
          </w:tcPr>
          <w:p w14:paraId="46230FC5"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65%</w:t>
            </w:r>
          </w:p>
        </w:tc>
        <w:tc>
          <w:tcPr>
            <w:tcW w:w="0" w:type="auto"/>
            <w:tcBorders>
              <w:top w:val="nil"/>
              <w:left w:val="nil"/>
              <w:bottom w:val="single" w:sz="4" w:space="0" w:color="auto"/>
              <w:right w:val="single" w:sz="4" w:space="0" w:color="auto"/>
            </w:tcBorders>
            <w:shd w:val="clear" w:color="auto" w:fill="auto"/>
            <w:noWrap/>
            <w:vAlign w:val="center"/>
            <w:hideMark/>
          </w:tcPr>
          <w:p w14:paraId="4A20DA7F"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r>
      <w:tr w:rsidR="003938E1" w:rsidRPr="006A0747" w14:paraId="0279C2BA" w14:textId="77777777" w:rsidTr="00665334">
        <w:trPr>
          <w:trHeight w:val="48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4E3D34B9"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22</w:t>
            </w:r>
          </w:p>
        </w:tc>
        <w:tc>
          <w:tcPr>
            <w:tcW w:w="1187" w:type="dxa"/>
            <w:tcBorders>
              <w:top w:val="nil"/>
              <w:left w:val="nil"/>
              <w:bottom w:val="single" w:sz="4" w:space="0" w:color="auto"/>
              <w:right w:val="single" w:sz="4" w:space="0" w:color="auto"/>
            </w:tcBorders>
            <w:shd w:val="clear" w:color="auto" w:fill="auto"/>
            <w:noWrap/>
            <w:vAlign w:val="center"/>
            <w:hideMark/>
          </w:tcPr>
          <w:p w14:paraId="1D1C6D88"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Oficina de Servicios y Protección al usuario (ProUsuario)</w:t>
            </w:r>
          </w:p>
        </w:tc>
        <w:tc>
          <w:tcPr>
            <w:tcW w:w="1088" w:type="dxa"/>
            <w:tcBorders>
              <w:top w:val="nil"/>
              <w:left w:val="nil"/>
              <w:bottom w:val="single" w:sz="4" w:space="0" w:color="auto"/>
              <w:right w:val="single" w:sz="4" w:space="0" w:color="auto"/>
            </w:tcBorders>
            <w:shd w:val="clear" w:color="auto" w:fill="auto"/>
            <w:vAlign w:val="center"/>
            <w:hideMark/>
          </w:tcPr>
          <w:p w14:paraId="66A2C974"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Educación Financiera en Línea- ProUsuario</w:t>
            </w:r>
          </w:p>
        </w:tc>
        <w:tc>
          <w:tcPr>
            <w:tcW w:w="0" w:type="auto"/>
            <w:tcBorders>
              <w:top w:val="nil"/>
              <w:left w:val="nil"/>
              <w:bottom w:val="single" w:sz="4" w:space="0" w:color="auto"/>
              <w:right w:val="single" w:sz="4" w:space="0" w:color="auto"/>
            </w:tcBorders>
            <w:shd w:val="clear" w:color="auto" w:fill="auto"/>
            <w:vAlign w:val="center"/>
            <w:hideMark/>
          </w:tcPr>
          <w:p w14:paraId="0E17592F"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avance del proyecto según hitos</w:t>
            </w:r>
          </w:p>
        </w:tc>
        <w:tc>
          <w:tcPr>
            <w:tcW w:w="0" w:type="auto"/>
            <w:tcBorders>
              <w:top w:val="nil"/>
              <w:left w:val="nil"/>
              <w:bottom w:val="single" w:sz="4" w:space="0" w:color="auto"/>
              <w:right w:val="single" w:sz="4" w:space="0" w:color="auto"/>
            </w:tcBorders>
            <w:shd w:val="clear" w:color="auto" w:fill="auto"/>
            <w:noWrap/>
            <w:vAlign w:val="center"/>
            <w:hideMark/>
          </w:tcPr>
          <w:p w14:paraId="30C52516"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162C7BA3"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438FC9FF"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c>
          <w:tcPr>
            <w:tcW w:w="0" w:type="auto"/>
            <w:tcBorders>
              <w:top w:val="nil"/>
              <w:left w:val="nil"/>
              <w:bottom w:val="single" w:sz="4" w:space="0" w:color="auto"/>
              <w:right w:val="single" w:sz="4" w:space="0" w:color="auto"/>
            </w:tcBorders>
            <w:shd w:val="clear" w:color="auto" w:fill="auto"/>
            <w:noWrap/>
            <w:vAlign w:val="center"/>
            <w:hideMark/>
          </w:tcPr>
          <w:p w14:paraId="7E4514CC"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c>
          <w:tcPr>
            <w:tcW w:w="0" w:type="auto"/>
            <w:tcBorders>
              <w:top w:val="nil"/>
              <w:left w:val="nil"/>
              <w:bottom w:val="single" w:sz="4" w:space="0" w:color="auto"/>
              <w:right w:val="single" w:sz="4" w:space="0" w:color="auto"/>
            </w:tcBorders>
            <w:shd w:val="clear" w:color="auto" w:fill="auto"/>
            <w:noWrap/>
            <w:vAlign w:val="center"/>
            <w:hideMark/>
          </w:tcPr>
          <w:p w14:paraId="3B3BDC28"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r>
      <w:tr w:rsidR="003938E1" w:rsidRPr="006A0747" w14:paraId="0B0C25F4" w14:textId="77777777" w:rsidTr="00665334">
        <w:trPr>
          <w:trHeight w:val="72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14300508"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23</w:t>
            </w:r>
          </w:p>
        </w:tc>
        <w:tc>
          <w:tcPr>
            <w:tcW w:w="1187" w:type="dxa"/>
            <w:tcBorders>
              <w:top w:val="nil"/>
              <w:left w:val="nil"/>
              <w:bottom w:val="single" w:sz="4" w:space="0" w:color="auto"/>
              <w:right w:val="single" w:sz="4" w:space="0" w:color="auto"/>
            </w:tcBorders>
            <w:shd w:val="clear" w:color="auto" w:fill="auto"/>
            <w:noWrap/>
            <w:vAlign w:val="center"/>
            <w:hideMark/>
          </w:tcPr>
          <w:p w14:paraId="113DC4E0"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 xml:space="preserve">Planificación y Relaciones </w:t>
            </w:r>
            <w:r w:rsidRPr="006A0747">
              <w:rPr>
                <w:rFonts w:ascii="Times New Roman" w:eastAsia="Times New Roman" w:hAnsi="Times New Roman" w:cs="Times New Roman"/>
                <w:color w:val="767171"/>
                <w:sz w:val="24"/>
                <w:szCs w:val="24"/>
                <w:lang w:eastAsia="es-DO"/>
              </w:rPr>
              <w:lastRenderedPageBreak/>
              <w:t xml:space="preserve">Interinstitucionales </w:t>
            </w:r>
          </w:p>
        </w:tc>
        <w:tc>
          <w:tcPr>
            <w:tcW w:w="1088" w:type="dxa"/>
            <w:tcBorders>
              <w:top w:val="nil"/>
              <w:left w:val="nil"/>
              <w:bottom w:val="single" w:sz="4" w:space="0" w:color="auto"/>
              <w:right w:val="single" w:sz="4" w:space="0" w:color="auto"/>
            </w:tcBorders>
            <w:shd w:val="clear" w:color="auto" w:fill="auto"/>
            <w:vAlign w:val="center"/>
            <w:hideMark/>
          </w:tcPr>
          <w:p w14:paraId="09B67C00"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lastRenderedPageBreak/>
              <w:t>Escuela SB</w:t>
            </w:r>
          </w:p>
        </w:tc>
        <w:tc>
          <w:tcPr>
            <w:tcW w:w="0" w:type="auto"/>
            <w:tcBorders>
              <w:top w:val="nil"/>
              <w:left w:val="nil"/>
              <w:bottom w:val="single" w:sz="4" w:space="0" w:color="auto"/>
              <w:right w:val="single" w:sz="4" w:space="0" w:color="auto"/>
            </w:tcBorders>
            <w:shd w:val="clear" w:color="auto" w:fill="auto"/>
            <w:vAlign w:val="center"/>
            <w:hideMark/>
          </w:tcPr>
          <w:p w14:paraId="38BFCF70"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calificaciones promedi</w:t>
            </w:r>
            <w:r w:rsidRPr="006A0747">
              <w:rPr>
                <w:rFonts w:ascii="Times New Roman" w:eastAsia="Times New Roman" w:hAnsi="Times New Roman" w:cs="Times New Roman"/>
                <w:color w:val="767171"/>
                <w:sz w:val="24"/>
                <w:szCs w:val="24"/>
                <w:lang w:eastAsia="es-DO"/>
              </w:rPr>
              <w:lastRenderedPageBreak/>
              <w:t>o de evaluación de desempeño.</w:t>
            </w:r>
          </w:p>
        </w:tc>
        <w:tc>
          <w:tcPr>
            <w:tcW w:w="0" w:type="auto"/>
            <w:tcBorders>
              <w:top w:val="nil"/>
              <w:left w:val="nil"/>
              <w:bottom w:val="single" w:sz="4" w:space="0" w:color="auto"/>
              <w:right w:val="single" w:sz="4" w:space="0" w:color="auto"/>
            </w:tcBorders>
            <w:shd w:val="clear" w:color="auto" w:fill="auto"/>
            <w:noWrap/>
            <w:vAlign w:val="center"/>
            <w:hideMark/>
          </w:tcPr>
          <w:p w14:paraId="3185C172"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lastRenderedPageBreak/>
              <w:t>Anual</w:t>
            </w:r>
          </w:p>
        </w:tc>
        <w:tc>
          <w:tcPr>
            <w:tcW w:w="0" w:type="auto"/>
            <w:tcBorders>
              <w:top w:val="nil"/>
              <w:left w:val="nil"/>
              <w:bottom w:val="single" w:sz="4" w:space="0" w:color="auto"/>
              <w:right w:val="single" w:sz="4" w:space="0" w:color="auto"/>
            </w:tcBorders>
            <w:shd w:val="clear" w:color="auto" w:fill="auto"/>
            <w:noWrap/>
            <w:vAlign w:val="center"/>
            <w:hideMark/>
          </w:tcPr>
          <w:p w14:paraId="735B105F"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0790042D"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80%</w:t>
            </w:r>
          </w:p>
        </w:tc>
        <w:tc>
          <w:tcPr>
            <w:tcW w:w="0" w:type="auto"/>
            <w:tcBorders>
              <w:top w:val="nil"/>
              <w:left w:val="nil"/>
              <w:bottom w:val="single" w:sz="4" w:space="0" w:color="auto"/>
              <w:right w:val="single" w:sz="4" w:space="0" w:color="auto"/>
            </w:tcBorders>
            <w:shd w:val="clear" w:color="auto" w:fill="auto"/>
            <w:noWrap/>
            <w:vAlign w:val="center"/>
            <w:hideMark/>
          </w:tcPr>
          <w:p w14:paraId="3AFCE8F9"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80%</w:t>
            </w:r>
          </w:p>
        </w:tc>
        <w:tc>
          <w:tcPr>
            <w:tcW w:w="0" w:type="auto"/>
            <w:tcBorders>
              <w:top w:val="nil"/>
              <w:left w:val="nil"/>
              <w:bottom w:val="single" w:sz="4" w:space="0" w:color="auto"/>
              <w:right w:val="single" w:sz="4" w:space="0" w:color="auto"/>
            </w:tcBorders>
            <w:shd w:val="clear" w:color="auto" w:fill="auto"/>
            <w:noWrap/>
            <w:vAlign w:val="center"/>
            <w:hideMark/>
          </w:tcPr>
          <w:p w14:paraId="13825BE5"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r>
      <w:tr w:rsidR="003938E1" w:rsidRPr="006A0747" w14:paraId="6DCB2F64" w14:textId="77777777" w:rsidTr="00665334">
        <w:trPr>
          <w:trHeight w:val="48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6C18B93C"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24</w:t>
            </w:r>
          </w:p>
        </w:tc>
        <w:tc>
          <w:tcPr>
            <w:tcW w:w="1187" w:type="dxa"/>
            <w:tcBorders>
              <w:top w:val="nil"/>
              <w:left w:val="nil"/>
              <w:bottom w:val="single" w:sz="4" w:space="0" w:color="auto"/>
              <w:right w:val="single" w:sz="4" w:space="0" w:color="auto"/>
            </w:tcBorders>
            <w:shd w:val="clear" w:color="auto" w:fill="auto"/>
            <w:noWrap/>
            <w:vAlign w:val="center"/>
            <w:hideMark/>
          </w:tcPr>
          <w:p w14:paraId="0B872A76"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Registros y Autorizaciones</w:t>
            </w:r>
          </w:p>
        </w:tc>
        <w:tc>
          <w:tcPr>
            <w:tcW w:w="1088" w:type="dxa"/>
            <w:tcBorders>
              <w:top w:val="nil"/>
              <w:left w:val="nil"/>
              <w:bottom w:val="single" w:sz="4" w:space="0" w:color="auto"/>
              <w:right w:val="single" w:sz="4" w:space="0" w:color="auto"/>
            </w:tcBorders>
            <w:shd w:val="clear" w:color="auto" w:fill="auto"/>
            <w:vAlign w:val="center"/>
            <w:hideMark/>
          </w:tcPr>
          <w:p w14:paraId="5B74A77D"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Mejoras aplicativo Hoja de vida de entidades</w:t>
            </w:r>
          </w:p>
        </w:tc>
        <w:tc>
          <w:tcPr>
            <w:tcW w:w="0" w:type="auto"/>
            <w:tcBorders>
              <w:top w:val="nil"/>
              <w:left w:val="nil"/>
              <w:bottom w:val="single" w:sz="4" w:space="0" w:color="auto"/>
              <w:right w:val="single" w:sz="4" w:space="0" w:color="auto"/>
            </w:tcBorders>
            <w:shd w:val="clear" w:color="auto" w:fill="auto"/>
            <w:vAlign w:val="center"/>
            <w:hideMark/>
          </w:tcPr>
          <w:p w14:paraId="254A5036"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avances según hitos</w:t>
            </w:r>
          </w:p>
        </w:tc>
        <w:tc>
          <w:tcPr>
            <w:tcW w:w="0" w:type="auto"/>
            <w:tcBorders>
              <w:top w:val="nil"/>
              <w:left w:val="nil"/>
              <w:bottom w:val="single" w:sz="4" w:space="0" w:color="auto"/>
              <w:right w:val="single" w:sz="4" w:space="0" w:color="auto"/>
            </w:tcBorders>
            <w:shd w:val="clear" w:color="auto" w:fill="auto"/>
            <w:noWrap/>
            <w:vAlign w:val="center"/>
            <w:hideMark/>
          </w:tcPr>
          <w:p w14:paraId="2EF3ED60"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5EE659D5"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4611380A"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60%</w:t>
            </w:r>
          </w:p>
        </w:tc>
        <w:tc>
          <w:tcPr>
            <w:tcW w:w="0" w:type="auto"/>
            <w:tcBorders>
              <w:top w:val="nil"/>
              <w:left w:val="nil"/>
              <w:bottom w:val="single" w:sz="4" w:space="0" w:color="auto"/>
              <w:right w:val="single" w:sz="4" w:space="0" w:color="auto"/>
            </w:tcBorders>
            <w:shd w:val="clear" w:color="auto" w:fill="auto"/>
            <w:noWrap/>
            <w:vAlign w:val="center"/>
            <w:hideMark/>
          </w:tcPr>
          <w:p w14:paraId="1D9FB48C"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60%</w:t>
            </w:r>
          </w:p>
        </w:tc>
        <w:tc>
          <w:tcPr>
            <w:tcW w:w="0" w:type="auto"/>
            <w:tcBorders>
              <w:top w:val="nil"/>
              <w:left w:val="nil"/>
              <w:bottom w:val="single" w:sz="4" w:space="0" w:color="auto"/>
              <w:right w:val="single" w:sz="4" w:space="0" w:color="auto"/>
            </w:tcBorders>
            <w:shd w:val="clear" w:color="auto" w:fill="auto"/>
            <w:noWrap/>
            <w:vAlign w:val="center"/>
            <w:hideMark/>
          </w:tcPr>
          <w:p w14:paraId="12DE1B54"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r>
      <w:tr w:rsidR="003938E1" w:rsidRPr="006A0747" w14:paraId="6AB1C601" w14:textId="77777777" w:rsidTr="00665334">
        <w:trPr>
          <w:trHeight w:val="72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26E61347"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25</w:t>
            </w:r>
          </w:p>
        </w:tc>
        <w:tc>
          <w:tcPr>
            <w:tcW w:w="1187" w:type="dxa"/>
            <w:tcBorders>
              <w:top w:val="nil"/>
              <w:left w:val="nil"/>
              <w:bottom w:val="single" w:sz="4" w:space="0" w:color="auto"/>
              <w:right w:val="single" w:sz="4" w:space="0" w:color="auto"/>
            </w:tcBorders>
            <w:shd w:val="clear" w:color="auto" w:fill="auto"/>
            <w:noWrap/>
            <w:vAlign w:val="center"/>
            <w:hideMark/>
          </w:tcPr>
          <w:p w14:paraId="637E5FAF"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Regulación</w:t>
            </w:r>
          </w:p>
        </w:tc>
        <w:tc>
          <w:tcPr>
            <w:tcW w:w="1088" w:type="dxa"/>
            <w:tcBorders>
              <w:top w:val="nil"/>
              <w:left w:val="nil"/>
              <w:bottom w:val="single" w:sz="4" w:space="0" w:color="auto"/>
              <w:right w:val="single" w:sz="4" w:space="0" w:color="auto"/>
            </w:tcBorders>
            <w:shd w:val="clear" w:color="auto" w:fill="auto"/>
            <w:vAlign w:val="center"/>
            <w:hideMark/>
          </w:tcPr>
          <w:p w14:paraId="0229B510"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Propuesta de Reglamento Riesgo de Tasa de Interés en el Libro Bancario (IRRBB)</w:t>
            </w:r>
          </w:p>
        </w:tc>
        <w:tc>
          <w:tcPr>
            <w:tcW w:w="0" w:type="auto"/>
            <w:tcBorders>
              <w:top w:val="nil"/>
              <w:left w:val="nil"/>
              <w:bottom w:val="single" w:sz="4" w:space="0" w:color="auto"/>
              <w:right w:val="single" w:sz="4" w:space="0" w:color="auto"/>
            </w:tcBorders>
            <w:shd w:val="clear" w:color="auto" w:fill="auto"/>
            <w:vAlign w:val="center"/>
            <w:hideMark/>
          </w:tcPr>
          <w:p w14:paraId="1513DD4A"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avance del proyecto según hitos</w:t>
            </w:r>
          </w:p>
        </w:tc>
        <w:tc>
          <w:tcPr>
            <w:tcW w:w="0" w:type="auto"/>
            <w:tcBorders>
              <w:top w:val="nil"/>
              <w:left w:val="nil"/>
              <w:bottom w:val="single" w:sz="4" w:space="0" w:color="auto"/>
              <w:right w:val="single" w:sz="4" w:space="0" w:color="auto"/>
            </w:tcBorders>
            <w:shd w:val="clear" w:color="auto" w:fill="auto"/>
            <w:noWrap/>
            <w:vAlign w:val="center"/>
            <w:hideMark/>
          </w:tcPr>
          <w:p w14:paraId="361D1563"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14CA359C"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2C774F74"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60%</w:t>
            </w:r>
          </w:p>
        </w:tc>
        <w:tc>
          <w:tcPr>
            <w:tcW w:w="0" w:type="auto"/>
            <w:tcBorders>
              <w:top w:val="nil"/>
              <w:left w:val="nil"/>
              <w:bottom w:val="single" w:sz="4" w:space="0" w:color="auto"/>
              <w:right w:val="single" w:sz="4" w:space="0" w:color="auto"/>
            </w:tcBorders>
            <w:shd w:val="clear" w:color="auto" w:fill="auto"/>
            <w:noWrap/>
            <w:vAlign w:val="center"/>
            <w:hideMark/>
          </w:tcPr>
          <w:p w14:paraId="782FEE4D"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60%</w:t>
            </w:r>
          </w:p>
        </w:tc>
        <w:tc>
          <w:tcPr>
            <w:tcW w:w="0" w:type="auto"/>
            <w:tcBorders>
              <w:top w:val="nil"/>
              <w:left w:val="nil"/>
              <w:bottom w:val="single" w:sz="4" w:space="0" w:color="auto"/>
              <w:right w:val="single" w:sz="4" w:space="0" w:color="auto"/>
            </w:tcBorders>
            <w:shd w:val="clear" w:color="auto" w:fill="auto"/>
            <w:noWrap/>
            <w:vAlign w:val="center"/>
            <w:hideMark/>
          </w:tcPr>
          <w:p w14:paraId="61D60605"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r>
      <w:tr w:rsidR="003938E1" w:rsidRPr="006A0747" w14:paraId="6DCF4383" w14:textId="77777777" w:rsidTr="00665334">
        <w:trPr>
          <w:trHeight w:val="72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41060C8C"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26</w:t>
            </w:r>
          </w:p>
        </w:tc>
        <w:tc>
          <w:tcPr>
            <w:tcW w:w="1187" w:type="dxa"/>
            <w:tcBorders>
              <w:top w:val="nil"/>
              <w:left w:val="nil"/>
              <w:bottom w:val="single" w:sz="4" w:space="0" w:color="auto"/>
              <w:right w:val="single" w:sz="4" w:space="0" w:color="auto"/>
            </w:tcBorders>
            <w:shd w:val="clear" w:color="auto" w:fill="auto"/>
            <w:noWrap/>
            <w:vAlign w:val="center"/>
            <w:hideMark/>
          </w:tcPr>
          <w:p w14:paraId="201C3E30"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Regulación</w:t>
            </w:r>
          </w:p>
        </w:tc>
        <w:tc>
          <w:tcPr>
            <w:tcW w:w="1088" w:type="dxa"/>
            <w:tcBorders>
              <w:top w:val="nil"/>
              <w:left w:val="nil"/>
              <w:bottom w:val="single" w:sz="4" w:space="0" w:color="auto"/>
              <w:right w:val="single" w:sz="4" w:space="0" w:color="auto"/>
            </w:tcBorders>
            <w:shd w:val="clear" w:color="auto" w:fill="auto"/>
            <w:vAlign w:val="center"/>
            <w:hideMark/>
          </w:tcPr>
          <w:p w14:paraId="768A7D6B"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Propuesta de modificación de Reglamento Riesgo de Liquidez (RL)</w:t>
            </w:r>
          </w:p>
        </w:tc>
        <w:tc>
          <w:tcPr>
            <w:tcW w:w="0" w:type="auto"/>
            <w:tcBorders>
              <w:top w:val="nil"/>
              <w:left w:val="nil"/>
              <w:bottom w:val="single" w:sz="4" w:space="0" w:color="auto"/>
              <w:right w:val="single" w:sz="4" w:space="0" w:color="auto"/>
            </w:tcBorders>
            <w:shd w:val="clear" w:color="auto" w:fill="auto"/>
            <w:vAlign w:val="center"/>
            <w:hideMark/>
          </w:tcPr>
          <w:p w14:paraId="39FA64BD"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avance del proyecto según hitos</w:t>
            </w:r>
          </w:p>
        </w:tc>
        <w:tc>
          <w:tcPr>
            <w:tcW w:w="0" w:type="auto"/>
            <w:tcBorders>
              <w:top w:val="nil"/>
              <w:left w:val="nil"/>
              <w:bottom w:val="single" w:sz="4" w:space="0" w:color="auto"/>
              <w:right w:val="single" w:sz="4" w:space="0" w:color="auto"/>
            </w:tcBorders>
            <w:shd w:val="clear" w:color="auto" w:fill="auto"/>
            <w:noWrap/>
            <w:vAlign w:val="center"/>
            <w:hideMark/>
          </w:tcPr>
          <w:p w14:paraId="55F76BAB"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0FEA6421"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2E0FF3C5"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60%</w:t>
            </w:r>
          </w:p>
        </w:tc>
        <w:tc>
          <w:tcPr>
            <w:tcW w:w="0" w:type="auto"/>
            <w:tcBorders>
              <w:top w:val="nil"/>
              <w:left w:val="nil"/>
              <w:bottom w:val="single" w:sz="4" w:space="0" w:color="auto"/>
              <w:right w:val="single" w:sz="4" w:space="0" w:color="auto"/>
            </w:tcBorders>
            <w:shd w:val="clear" w:color="auto" w:fill="auto"/>
            <w:noWrap/>
            <w:vAlign w:val="center"/>
            <w:hideMark/>
          </w:tcPr>
          <w:p w14:paraId="3507A5BB"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60%</w:t>
            </w:r>
          </w:p>
        </w:tc>
        <w:tc>
          <w:tcPr>
            <w:tcW w:w="0" w:type="auto"/>
            <w:tcBorders>
              <w:top w:val="nil"/>
              <w:left w:val="nil"/>
              <w:bottom w:val="single" w:sz="4" w:space="0" w:color="auto"/>
              <w:right w:val="single" w:sz="4" w:space="0" w:color="auto"/>
            </w:tcBorders>
            <w:shd w:val="clear" w:color="auto" w:fill="auto"/>
            <w:noWrap/>
            <w:vAlign w:val="center"/>
            <w:hideMark/>
          </w:tcPr>
          <w:p w14:paraId="016DD69F"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r>
      <w:tr w:rsidR="003938E1" w:rsidRPr="006A0747" w14:paraId="1739BB62" w14:textId="77777777" w:rsidTr="00665334">
        <w:trPr>
          <w:trHeight w:val="72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435DE9CF"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27</w:t>
            </w:r>
          </w:p>
        </w:tc>
        <w:tc>
          <w:tcPr>
            <w:tcW w:w="1187" w:type="dxa"/>
            <w:tcBorders>
              <w:top w:val="nil"/>
              <w:left w:val="nil"/>
              <w:bottom w:val="single" w:sz="4" w:space="0" w:color="auto"/>
              <w:right w:val="single" w:sz="4" w:space="0" w:color="auto"/>
            </w:tcBorders>
            <w:shd w:val="clear" w:color="auto" w:fill="auto"/>
            <w:noWrap/>
            <w:vAlign w:val="center"/>
            <w:hideMark/>
          </w:tcPr>
          <w:p w14:paraId="04DF7AE7"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Regulación</w:t>
            </w:r>
          </w:p>
        </w:tc>
        <w:tc>
          <w:tcPr>
            <w:tcW w:w="1088" w:type="dxa"/>
            <w:tcBorders>
              <w:top w:val="nil"/>
              <w:left w:val="nil"/>
              <w:bottom w:val="single" w:sz="4" w:space="0" w:color="auto"/>
              <w:right w:val="single" w:sz="4" w:space="0" w:color="auto"/>
            </w:tcBorders>
            <w:shd w:val="clear" w:color="auto" w:fill="auto"/>
            <w:vAlign w:val="center"/>
            <w:hideMark/>
          </w:tcPr>
          <w:p w14:paraId="0C7A9516"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 xml:space="preserve">Propuesta de modificación de Reglamento Riesgo de </w:t>
            </w:r>
            <w:r w:rsidRPr="006A0747">
              <w:rPr>
                <w:rFonts w:ascii="Times New Roman" w:eastAsia="Times New Roman" w:hAnsi="Times New Roman" w:cs="Times New Roman"/>
                <w:color w:val="767171"/>
                <w:sz w:val="24"/>
                <w:szCs w:val="24"/>
                <w:lang w:eastAsia="es-DO"/>
              </w:rPr>
              <w:lastRenderedPageBreak/>
              <w:t>Mercado (RM)</w:t>
            </w:r>
          </w:p>
        </w:tc>
        <w:tc>
          <w:tcPr>
            <w:tcW w:w="0" w:type="auto"/>
            <w:tcBorders>
              <w:top w:val="nil"/>
              <w:left w:val="nil"/>
              <w:bottom w:val="single" w:sz="4" w:space="0" w:color="auto"/>
              <w:right w:val="single" w:sz="4" w:space="0" w:color="auto"/>
            </w:tcBorders>
            <w:shd w:val="clear" w:color="auto" w:fill="auto"/>
            <w:vAlign w:val="center"/>
            <w:hideMark/>
          </w:tcPr>
          <w:p w14:paraId="55B62410"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lastRenderedPageBreak/>
              <w:t>Porcentaje de avance del proyecto según hitos</w:t>
            </w:r>
          </w:p>
        </w:tc>
        <w:tc>
          <w:tcPr>
            <w:tcW w:w="0" w:type="auto"/>
            <w:tcBorders>
              <w:top w:val="nil"/>
              <w:left w:val="nil"/>
              <w:bottom w:val="single" w:sz="4" w:space="0" w:color="auto"/>
              <w:right w:val="single" w:sz="4" w:space="0" w:color="auto"/>
            </w:tcBorders>
            <w:shd w:val="clear" w:color="auto" w:fill="auto"/>
            <w:noWrap/>
            <w:vAlign w:val="center"/>
            <w:hideMark/>
          </w:tcPr>
          <w:p w14:paraId="4792670F"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56887DD8"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4D50A7AD"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60%</w:t>
            </w:r>
          </w:p>
        </w:tc>
        <w:tc>
          <w:tcPr>
            <w:tcW w:w="0" w:type="auto"/>
            <w:tcBorders>
              <w:top w:val="nil"/>
              <w:left w:val="nil"/>
              <w:bottom w:val="single" w:sz="4" w:space="0" w:color="auto"/>
              <w:right w:val="single" w:sz="4" w:space="0" w:color="auto"/>
            </w:tcBorders>
            <w:shd w:val="clear" w:color="auto" w:fill="auto"/>
            <w:noWrap/>
            <w:vAlign w:val="center"/>
            <w:hideMark/>
          </w:tcPr>
          <w:p w14:paraId="2A3D7A61"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60%</w:t>
            </w:r>
          </w:p>
        </w:tc>
        <w:tc>
          <w:tcPr>
            <w:tcW w:w="0" w:type="auto"/>
            <w:tcBorders>
              <w:top w:val="nil"/>
              <w:left w:val="nil"/>
              <w:bottom w:val="single" w:sz="4" w:space="0" w:color="auto"/>
              <w:right w:val="single" w:sz="4" w:space="0" w:color="auto"/>
            </w:tcBorders>
            <w:shd w:val="clear" w:color="auto" w:fill="auto"/>
            <w:noWrap/>
            <w:vAlign w:val="center"/>
            <w:hideMark/>
          </w:tcPr>
          <w:p w14:paraId="138CAF9C"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r>
      <w:tr w:rsidR="003938E1" w:rsidRPr="006A0747" w14:paraId="5DA9CB14" w14:textId="77777777" w:rsidTr="00665334">
        <w:trPr>
          <w:trHeight w:val="72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1CD64B90"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28</w:t>
            </w:r>
          </w:p>
        </w:tc>
        <w:tc>
          <w:tcPr>
            <w:tcW w:w="1187" w:type="dxa"/>
            <w:tcBorders>
              <w:top w:val="nil"/>
              <w:left w:val="nil"/>
              <w:bottom w:val="single" w:sz="4" w:space="0" w:color="auto"/>
              <w:right w:val="single" w:sz="4" w:space="0" w:color="auto"/>
            </w:tcBorders>
            <w:shd w:val="clear" w:color="auto" w:fill="auto"/>
            <w:noWrap/>
            <w:vAlign w:val="center"/>
            <w:hideMark/>
          </w:tcPr>
          <w:p w14:paraId="641D8630"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Regulación</w:t>
            </w:r>
          </w:p>
        </w:tc>
        <w:tc>
          <w:tcPr>
            <w:tcW w:w="1088" w:type="dxa"/>
            <w:tcBorders>
              <w:top w:val="nil"/>
              <w:left w:val="nil"/>
              <w:bottom w:val="single" w:sz="4" w:space="0" w:color="auto"/>
              <w:right w:val="single" w:sz="4" w:space="0" w:color="auto"/>
            </w:tcBorders>
            <w:shd w:val="clear" w:color="auto" w:fill="auto"/>
            <w:vAlign w:val="center"/>
            <w:hideMark/>
          </w:tcPr>
          <w:p w14:paraId="5BB1C617"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Modificación del Manual de Contabilidad para Entidades Supervisadas. Fase I, parte B</w:t>
            </w:r>
          </w:p>
        </w:tc>
        <w:tc>
          <w:tcPr>
            <w:tcW w:w="0" w:type="auto"/>
            <w:tcBorders>
              <w:top w:val="nil"/>
              <w:left w:val="nil"/>
              <w:bottom w:val="single" w:sz="4" w:space="0" w:color="auto"/>
              <w:right w:val="single" w:sz="4" w:space="0" w:color="auto"/>
            </w:tcBorders>
            <w:shd w:val="clear" w:color="auto" w:fill="auto"/>
            <w:vAlign w:val="center"/>
            <w:hideMark/>
          </w:tcPr>
          <w:p w14:paraId="4E093459"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avance del proyecto según hitos</w:t>
            </w:r>
          </w:p>
        </w:tc>
        <w:tc>
          <w:tcPr>
            <w:tcW w:w="0" w:type="auto"/>
            <w:tcBorders>
              <w:top w:val="nil"/>
              <w:left w:val="nil"/>
              <w:bottom w:val="single" w:sz="4" w:space="0" w:color="auto"/>
              <w:right w:val="single" w:sz="4" w:space="0" w:color="auto"/>
            </w:tcBorders>
            <w:shd w:val="clear" w:color="auto" w:fill="auto"/>
            <w:noWrap/>
            <w:vAlign w:val="center"/>
            <w:hideMark/>
          </w:tcPr>
          <w:p w14:paraId="522A2BEC"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36E3E4A9"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5FC7FEC2"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0%</w:t>
            </w:r>
          </w:p>
        </w:tc>
        <w:tc>
          <w:tcPr>
            <w:tcW w:w="0" w:type="auto"/>
            <w:tcBorders>
              <w:top w:val="nil"/>
              <w:left w:val="nil"/>
              <w:bottom w:val="single" w:sz="4" w:space="0" w:color="auto"/>
              <w:right w:val="single" w:sz="4" w:space="0" w:color="auto"/>
            </w:tcBorders>
            <w:shd w:val="clear" w:color="auto" w:fill="auto"/>
            <w:noWrap/>
            <w:vAlign w:val="center"/>
            <w:hideMark/>
          </w:tcPr>
          <w:p w14:paraId="168550BD"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0%</w:t>
            </w:r>
          </w:p>
        </w:tc>
        <w:tc>
          <w:tcPr>
            <w:tcW w:w="0" w:type="auto"/>
            <w:tcBorders>
              <w:top w:val="nil"/>
              <w:left w:val="nil"/>
              <w:bottom w:val="single" w:sz="4" w:space="0" w:color="auto"/>
              <w:right w:val="single" w:sz="4" w:space="0" w:color="auto"/>
            </w:tcBorders>
            <w:shd w:val="clear" w:color="auto" w:fill="auto"/>
            <w:noWrap/>
            <w:vAlign w:val="center"/>
            <w:hideMark/>
          </w:tcPr>
          <w:p w14:paraId="13772A98"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0%</w:t>
            </w:r>
          </w:p>
        </w:tc>
      </w:tr>
      <w:tr w:rsidR="003938E1" w:rsidRPr="006A0747" w14:paraId="241F65F7" w14:textId="77777777" w:rsidTr="00665334">
        <w:trPr>
          <w:trHeight w:val="72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55E0B181"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29</w:t>
            </w:r>
          </w:p>
        </w:tc>
        <w:tc>
          <w:tcPr>
            <w:tcW w:w="1187" w:type="dxa"/>
            <w:tcBorders>
              <w:top w:val="nil"/>
              <w:left w:val="nil"/>
              <w:bottom w:val="single" w:sz="4" w:space="0" w:color="auto"/>
              <w:right w:val="single" w:sz="4" w:space="0" w:color="auto"/>
            </w:tcBorders>
            <w:shd w:val="clear" w:color="auto" w:fill="auto"/>
            <w:noWrap/>
            <w:vAlign w:val="center"/>
            <w:hideMark/>
          </w:tcPr>
          <w:p w14:paraId="280689A4"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Regulación</w:t>
            </w:r>
          </w:p>
        </w:tc>
        <w:tc>
          <w:tcPr>
            <w:tcW w:w="1088" w:type="dxa"/>
            <w:tcBorders>
              <w:top w:val="nil"/>
              <w:left w:val="nil"/>
              <w:bottom w:val="single" w:sz="4" w:space="0" w:color="auto"/>
              <w:right w:val="single" w:sz="4" w:space="0" w:color="auto"/>
            </w:tcBorders>
            <w:shd w:val="clear" w:color="auto" w:fill="auto"/>
            <w:vAlign w:val="center"/>
            <w:hideMark/>
          </w:tcPr>
          <w:p w14:paraId="1DDB2203"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Instructivo para las Sociedades de Información Crediticia (SIC)</w:t>
            </w:r>
          </w:p>
        </w:tc>
        <w:tc>
          <w:tcPr>
            <w:tcW w:w="0" w:type="auto"/>
            <w:tcBorders>
              <w:top w:val="nil"/>
              <w:left w:val="nil"/>
              <w:bottom w:val="single" w:sz="4" w:space="0" w:color="auto"/>
              <w:right w:val="single" w:sz="4" w:space="0" w:color="auto"/>
            </w:tcBorders>
            <w:shd w:val="clear" w:color="auto" w:fill="auto"/>
            <w:vAlign w:val="center"/>
            <w:hideMark/>
          </w:tcPr>
          <w:p w14:paraId="7AB480DD"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avance del proyecto según hitos</w:t>
            </w:r>
          </w:p>
        </w:tc>
        <w:tc>
          <w:tcPr>
            <w:tcW w:w="0" w:type="auto"/>
            <w:tcBorders>
              <w:top w:val="nil"/>
              <w:left w:val="nil"/>
              <w:bottom w:val="single" w:sz="4" w:space="0" w:color="auto"/>
              <w:right w:val="single" w:sz="4" w:space="0" w:color="auto"/>
            </w:tcBorders>
            <w:shd w:val="clear" w:color="auto" w:fill="auto"/>
            <w:noWrap/>
            <w:vAlign w:val="center"/>
            <w:hideMark/>
          </w:tcPr>
          <w:p w14:paraId="79C08BD4"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6AC1336F"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10DF0710"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c>
          <w:tcPr>
            <w:tcW w:w="0" w:type="auto"/>
            <w:tcBorders>
              <w:top w:val="nil"/>
              <w:left w:val="nil"/>
              <w:bottom w:val="single" w:sz="4" w:space="0" w:color="auto"/>
              <w:right w:val="single" w:sz="4" w:space="0" w:color="auto"/>
            </w:tcBorders>
            <w:shd w:val="clear" w:color="auto" w:fill="auto"/>
            <w:noWrap/>
            <w:vAlign w:val="center"/>
            <w:hideMark/>
          </w:tcPr>
          <w:p w14:paraId="571EAD34" w14:textId="2C0F8B4E" w:rsidR="003938E1" w:rsidRPr="006A0747" w:rsidRDefault="00485BE2">
            <w:pPr>
              <w:spacing w:after="0" w:line="240" w:lineRule="auto"/>
              <w:jc w:val="center"/>
              <w:rPr>
                <w:rFonts w:ascii="Times New Roman" w:eastAsia="Times New Roman" w:hAnsi="Times New Roman" w:cs="Times New Roman"/>
                <w:color w:val="767171"/>
                <w:sz w:val="24"/>
                <w:szCs w:val="24"/>
                <w:lang w:eastAsia="es-DO"/>
              </w:rPr>
            </w:pPr>
            <w:r>
              <w:rPr>
                <w:rFonts w:ascii="Times New Roman" w:eastAsia="Times New Roman" w:hAnsi="Times New Roman" w:cs="Times New Roman"/>
                <w:color w:val="767171"/>
                <w:sz w:val="24"/>
                <w:szCs w:val="24"/>
                <w:lang w:eastAsia="es-DO"/>
              </w:rPr>
              <w:t>100</w:t>
            </w:r>
            <w:r w:rsidR="003938E1" w:rsidRPr="006A0747">
              <w:rPr>
                <w:rFonts w:ascii="Times New Roman" w:eastAsia="Times New Roman" w:hAnsi="Times New Roman" w:cs="Times New Roman"/>
                <w:color w:val="767171"/>
                <w:sz w:val="24"/>
                <w:szCs w:val="24"/>
                <w:lang w:eastAsia="es-DO"/>
              </w:rPr>
              <w:t>%</w:t>
            </w:r>
          </w:p>
        </w:tc>
        <w:tc>
          <w:tcPr>
            <w:tcW w:w="0" w:type="auto"/>
            <w:tcBorders>
              <w:top w:val="nil"/>
              <w:left w:val="nil"/>
              <w:bottom w:val="single" w:sz="4" w:space="0" w:color="auto"/>
              <w:right w:val="single" w:sz="4" w:space="0" w:color="auto"/>
            </w:tcBorders>
            <w:shd w:val="clear" w:color="auto" w:fill="auto"/>
            <w:noWrap/>
            <w:vAlign w:val="center"/>
            <w:hideMark/>
          </w:tcPr>
          <w:p w14:paraId="4EE78D2A" w14:textId="61F2A9D3" w:rsidR="003938E1" w:rsidRPr="006A0747" w:rsidRDefault="00485BE2">
            <w:pPr>
              <w:spacing w:after="0" w:line="240" w:lineRule="auto"/>
              <w:jc w:val="center"/>
              <w:rPr>
                <w:rFonts w:ascii="Times New Roman" w:eastAsia="Times New Roman" w:hAnsi="Times New Roman" w:cs="Times New Roman"/>
                <w:color w:val="767171"/>
                <w:sz w:val="24"/>
                <w:szCs w:val="24"/>
                <w:lang w:eastAsia="es-DO"/>
              </w:rPr>
            </w:pPr>
            <w:r>
              <w:rPr>
                <w:rFonts w:ascii="Times New Roman" w:eastAsia="Times New Roman" w:hAnsi="Times New Roman" w:cs="Times New Roman"/>
                <w:color w:val="767171"/>
                <w:sz w:val="24"/>
                <w:szCs w:val="24"/>
                <w:lang w:eastAsia="es-DO"/>
              </w:rPr>
              <w:t>100</w:t>
            </w:r>
            <w:r w:rsidR="003938E1" w:rsidRPr="006A0747">
              <w:rPr>
                <w:rFonts w:ascii="Times New Roman" w:eastAsia="Times New Roman" w:hAnsi="Times New Roman" w:cs="Times New Roman"/>
                <w:color w:val="767171"/>
                <w:sz w:val="24"/>
                <w:szCs w:val="24"/>
                <w:lang w:eastAsia="es-DO"/>
              </w:rPr>
              <w:t>%</w:t>
            </w:r>
          </w:p>
        </w:tc>
      </w:tr>
      <w:tr w:rsidR="003938E1" w:rsidRPr="006A0747" w14:paraId="340089A1" w14:textId="77777777" w:rsidTr="00665334">
        <w:trPr>
          <w:trHeight w:val="48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6397892C"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30</w:t>
            </w:r>
          </w:p>
        </w:tc>
        <w:tc>
          <w:tcPr>
            <w:tcW w:w="1187" w:type="dxa"/>
            <w:tcBorders>
              <w:top w:val="nil"/>
              <w:left w:val="nil"/>
              <w:bottom w:val="single" w:sz="4" w:space="0" w:color="auto"/>
              <w:right w:val="single" w:sz="4" w:space="0" w:color="auto"/>
            </w:tcBorders>
            <w:shd w:val="clear" w:color="auto" w:fill="auto"/>
            <w:noWrap/>
            <w:vAlign w:val="center"/>
            <w:hideMark/>
          </w:tcPr>
          <w:p w14:paraId="47765206"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Regulación</w:t>
            </w:r>
          </w:p>
        </w:tc>
        <w:tc>
          <w:tcPr>
            <w:tcW w:w="1088" w:type="dxa"/>
            <w:tcBorders>
              <w:top w:val="nil"/>
              <w:left w:val="nil"/>
              <w:bottom w:val="single" w:sz="4" w:space="0" w:color="auto"/>
              <w:right w:val="single" w:sz="4" w:space="0" w:color="auto"/>
            </w:tcBorders>
            <w:shd w:val="clear" w:color="auto" w:fill="auto"/>
            <w:vAlign w:val="center"/>
            <w:hideMark/>
          </w:tcPr>
          <w:p w14:paraId="21357F62"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Instructivo de Aplicación del Reglamento Cambiario</w:t>
            </w:r>
          </w:p>
        </w:tc>
        <w:tc>
          <w:tcPr>
            <w:tcW w:w="0" w:type="auto"/>
            <w:tcBorders>
              <w:top w:val="nil"/>
              <w:left w:val="nil"/>
              <w:bottom w:val="single" w:sz="4" w:space="0" w:color="auto"/>
              <w:right w:val="single" w:sz="4" w:space="0" w:color="auto"/>
            </w:tcBorders>
            <w:shd w:val="clear" w:color="auto" w:fill="auto"/>
            <w:vAlign w:val="center"/>
            <w:hideMark/>
          </w:tcPr>
          <w:p w14:paraId="1C6485DB"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avance del proyecto según hitos</w:t>
            </w:r>
          </w:p>
        </w:tc>
        <w:tc>
          <w:tcPr>
            <w:tcW w:w="0" w:type="auto"/>
            <w:tcBorders>
              <w:top w:val="nil"/>
              <w:left w:val="nil"/>
              <w:bottom w:val="single" w:sz="4" w:space="0" w:color="auto"/>
              <w:right w:val="single" w:sz="4" w:space="0" w:color="auto"/>
            </w:tcBorders>
            <w:shd w:val="clear" w:color="auto" w:fill="auto"/>
            <w:noWrap/>
            <w:vAlign w:val="center"/>
            <w:hideMark/>
          </w:tcPr>
          <w:p w14:paraId="576FDF53"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79D758E7"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557A8962"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80%</w:t>
            </w:r>
          </w:p>
        </w:tc>
        <w:tc>
          <w:tcPr>
            <w:tcW w:w="0" w:type="auto"/>
            <w:tcBorders>
              <w:top w:val="nil"/>
              <w:left w:val="nil"/>
              <w:bottom w:val="single" w:sz="4" w:space="0" w:color="auto"/>
              <w:right w:val="single" w:sz="4" w:space="0" w:color="auto"/>
            </w:tcBorders>
            <w:shd w:val="clear" w:color="auto" w:fill="auto"/>
            <w:noWrap/>
            <w:vAlign w:val="center"/>
            <w:hideMark/>
          </w:tcPr>
          <w:p w14:paraId="58F54AFE"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80%</w:t>
            </w:r>
          </w:p>
        </w:tc>
        <w:tc>
          <w:tcPr>
            <w:tcW w:w="0" w:type="auto"/>
            <w:tcBorders>
              <w:top w:val="nil"/>
              <w:left w:val="nil"/>
              <w:bottom w:val="single" w:sz="4" w:space="0" w:color="auto"/>
              <w:right w:val="single" w:sz="4" w:space="0" w:color="auto"/>
            </w:tcBorders>
            <w:shd w:val="clear" w:color="auto" w:fill="auto"/>
            <w:noWrap/>
            <w:vAlign w:val="center"/>
            <w:hideMark/>
          </w:tcPr>
          <w:p w14:paraId="554ADCAC"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r>
      <w:tr w:rsidR="003938E1" w:rsidRPr="006A0747" w14:paraId="591F1DA9" w14:textId="77777777" w:rsidTr="00665334">
        <w:trPr>
          <w:trHeight w:val="48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13ACA27C"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31</w:t>
            </w:r>
          </w:p>
        </w:tc>
        <w:tc>
          <w:tcPr>
            <w:tcW w:w="1187" w:type="dxa"/>
            <w:tcBorders>
              <w:top w:val="nil"/>
              <w:left w:val="nil"/>
              <w:bottom w:val="single" w:sz="4" w:space="0" w:color="auto"/>
              <w:right w:val="single" w:sz="4" w:space="0" w:color="auto"/>
            </w:tcBorders>
            <w:shd w:val="clear" w:color="auto" w:fill="auto"/>
            <w:noWrap/>
            <w:vAlign w:val="center"/>
            <w:hideMark/>
          </w:tcPr>
          <w:p w14:paraId="60E21CFA"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Regulación</w:t>
            </w:r>
          </w:p>
        </w:tc>
        <w:tc>
          <w:tcPr>
            <w:tcW w:w="1088" w:type="dxa"/>
            <w:tcBorders>
              <w:top w:val="nil"/>
              <w:left w:val="nil"/>
              <w:bottom w:val="single" w:sz="4" w:space="0" w:color="auto"/>
              <w:right w:val="single" w:sz="4" w:space="0" w:color="auto"/>
            </w:tcBorders>
            <w:shd w:val="clear" w:color="auto" w:fill="auto"/>
            <w:vAlign w:val="center"/>
            <w:hideMark/>
          </w:tcPr>
          <w:p w14:paraId="5D7E89EC"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Instructivo de Aplicación del Reglamento de Microcréditos</w:t>
            </w:r>
          </w:p>
        </w:tc>
        <w:tc>
          <w:tcPr>
            <w:tcW w:w="0" w:type="auto"/>
            <w:tcBorders>
              <w:top w:val="nil"/>
              <w:left w:val="nil"/>
              <w:bottom w:val="single" w:sz="4" w:space="0" w:color="auto"/>
              <w:right w:val="single" w:sz="4" w:space="0" w:color="auto"/>
            </w:tcBorders>
            <w:shd w:val="clear" w:color="auto" w:fill="auto"/>
            <w:vAlign w:val="center"/>
            <w:hideMark/>
          </w:tcPr>
          <w:p w14:paraId="5A7DFA2D"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avance del proyecto según hitos</w:t>
            </w:r>
          </w:p>
        </w:tc>
        <w:tc>
          <w:tcPr>
            <w:tcW w:w="0" w:type="auto"/>
            <w:tcBorders>
              <w:top w:val="nil"/>
              <w:left w:val="nil"/>
              <w:bottom w:val="single" w:sz="4" w:space="0" w:color="auto"/>
              <w:right w:val="single" w:sz="4" w:space="0" w:color="auto"/>
            </w:tcBorders>
            <w:shd w:val="clear" w:color="auto" w:fill="auto"/>
            <w:noWrap/>
            <w:vAlign w:val="center"/>
            <w:hideMark/>
          </w:tcPr>
          <w:p w14:paraId="2DF36937"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6E1826CA"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2F94FBFC"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c>
          <w:tcPr>
            <w:tcW w:w="0" w:type="auto"/>
            <w:tcBorders>
              <w:top w:val="nil"/>
              <w:left w:val="nil"/>
              <w:bottom w:val="single" w:sz="4" w:space="0" w:color="auto"/>
              <w:right w:val="single" w:sz="4" w:space="0" w:color="auto"/>
            </w:tcBorders>
            <w:shd w:val="clear" w:color="auto" w:fill="auto"/>
            <w:noWrap/>
            <w:vAlign w:val="center"/>
            <w:hideMark/>
          </w:tcPr>
          <w:p w14:paraId="0193BBE8" w14:textId="2C6DAC90" w:rsidR="003938E1" w:rsidRPr="006A0747" w:rsidRDefault="00485BE2">
            <w:pPr>
              <w:spacing w:after="0" w:line="240" w:lineRule="auto"/>
              <w:jc w:val="center"/>
              <w:rPr>
                <w:rFonts w:ascii="Times New Roman" w:eastAsia="Times New Roman" w:hAnsi="Times New Roman" w:cs="Times New Roman"/>
                <w:color w:val="767171"/>
                <w:sz w:val="24"/>
                <w:szCs w:val="24"/>
                <w:lang w:eastAsia="es-DO"/>
              </w:rPr>
            </w:pPr>
            <w:r>
              <w:rPr>
                <w:rFonts w:ascii="Times New Roman" w:eastAsia="Times New Roman" w:hAnsi="Times New Roman" w:cs="Times New Roman"/>
                <w:color w:val="767171"/>
                <w:sz w:val="24"/>
                <w:szCs w:val="24"/>
                <w:lang w:eastAsia="es-DO"/>
              </w:rPr>
              <w:t>80</w:t>
            </w:r>
            <w:r w:rsidR="003938E1" w:rsidRPr="006A0747">
              <w:rPr>
                <w:rFonts w:ascii="Times New Roman" w:eastAsia="Times New Roman" w:hAnsi="Times New Roman" w:cs="Times New Roman"/>
                <w:color w:val="767171"/>
                <w:sz w:val="24"/>
                <w:szCs w:val="24"/>
                <w:lang w:eastAsia="es-DO"/>
              </w:rPr>
              <w:t>%</w:t>
            </w:r>
          </w:p>
        </w:tc>
        <w:tc>
          <w:tcPr>
            <w:tcW w:w="0" w:type="auto"/>
            <w:tcBorders>
              <w:top w:val="nil"/>
              <w:left w:val="nil"/>
              <w:bottom w:val="single" w:sz="4" w:space="0" w:color="auto"/>
              <w:right w:val="single" w:sz="4" w:space="0" w:color="auto"/>
            </w:tcBorders>
            <w:shd w:val="clear" w:color="auto" w:fill="auto"/>
            <w:noWrap/>
            <w:vAlign w:val="center"/>
            <w:hideMark/>
          </w:tcPr>
          <w:p w14:paraId="1B9C6017" w14:textId="760377D6" w:rsidR="003938E1" w:rsidRPr="006A0747" w:rsidRDefault="00BC3E7B">
            <w:pPr>
              <w:spacing w:after="0" w:line="240" w:lineRule="auto"/>
              <w:jc w:val="center"/>
              <w:rPr>
                <w:rFonts w:ascii="Times New Roman" w:eastAsia="Times New Roman" w:hAnsi="Times New Roman" w:cs="Times New Roman"/>
                <w:color w:val="767171"/>
                <w:sz w:val="24"/>
                <w:szCs w:val="24"/>
                <w:lang w:eastAsia="es-DO"/>
              </w:rPr>
            </w:pPr>
            <w:r>
              <w:rPr>
                <w:rFonts w:ascii="Times New Roman" w:eastAsia="Times New Roman" w:hAnsi="Times New Roman" w:cs="Times New Roman"/>
                <w:color w:val="767171"/>
                <w:sz w:val="24"/>
                <w:szCs w:val="24"/>
                <w:lang w:eastAsia="es-DO"/>
              </w:rPr>
              <w:t>80</w:t>
            </w:r>
            <w:r w:rsidR="003938E1" w:rsidRPr="006A0747">
              <w:rPr>
                <w:rFonts w:ascii="Times New Roman" w:eastAsia="Times New Roman" w:hAnsi="Times New Roman" w:cs="Times New Roman"/>
                <w:color w:val="767171"/>
                <w:sz w:val="24"/>
                <w:szCs w:val="24"/>
                <w:lang w:eastAsia="es-DO"/>
              </w:rPr>
              <w:t>%</w:t>
            </w:r>
          </w:p>
        </w:tc>
      </w:tr>
      <w:tr w:rsidR="003938E1" w:rsidRPr="006A0747" w14:paraId="7C43163A" w14:textId="77777777" w:rsidTr="00665334">
        <w:trPr>
          <w:trHeight w:val="96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19C1B06E"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32</w:t>
            </w:r>
          </w:p>
        </w:tc>
        <w:tc>
          <w:tcPr>
            <w:tcW w:w="1187" w:type="dxa"/>
            <w:tcBorders>
              <w:top w:val="nil"/>
              <w:left w:val="nil"/>
              <w:bottom w:val="single" w:sz="4" w:space="0" w:color="auto"/>
              <w:right w:val="single" w:sz="4" w:space="0" w:color="auto"/>
            </w:tcBorders>
            <w:shd w:val="clear" w:color="auto" w:fill="auto"/>
            <w:noWrap/>
            <w:vAlign w:val="center"/>
            <w:hideMark/>
          </w:tcPr>
          <w:p w14:paraId="369A2774"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Regulación</w:t>
            </w:r>
          </w:p>
        </w:tc>
        <w:tc>
          <w:tcPr>
            <w:tcW w:w="1088" w:type="dxa"/>
            <w:tcBorders>
              <w:top w:val="nil"/>
              <w:left w:val="nil"/>
              <w:bottom w:val="single" w:sz="4" w:space="0" w:color="auto"/>
              <w:right w:val="single" w:sz="4" w:space="0" w:color="auto"/>
            </w:tcBorders>
            <w:shd w:val="clear" w:color="auto" w:fill="auto"/>
            <w:vAlign w:val="center"/>
            <w:hideMark/>
          </w:tcPr>
          <w:p w14:paraId="52E86F85"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 xml:space="preserve">Instructivo de Prevención de </w:t>
            </w:r>
            <w:r w:rsidRPr="006A0747">
              <w:rPr>
                <w:rFonts w:ascii="Times New Roman" w:eastAsia="Times New Roman" w:hAnsi="Times New Roman" w:cs="Times New Roman"/>
                <w:color w:val="767171"/>
                <w:sz w:val="24"/>
                <w:szCs w:val="24"/>
                <w:lang w:eastAsia="es-DO"/>
              </w:rPr>
              <w:lastRenderedPageBreak/>
              <w:t>Lavado de Activos y Financiamiento del Terrorismo</w:t>
            </w:r>
          </w:p>
        </w:tc>
        <w:tc>
          <w:tcPr>
            <w:tcW w:w="0" w:type="auto"/>
            <w:tcBorders>
              <w:top w:val="nil"/>
              <w:left w:val="nil"/>
              <w:bottom w:val="single" w:sz="4" w:space="0" w:color="auto"/>
              <w:right w:val="single" w:sz="4" w:space="0" w:color="auto"/>
            </w:tcBorders>
            <w:shd w:val="clear" w:color="auto" w:fill="auto"/>
            <w:vAlign w:val="center"/>
            <w:hideMark/>
          </w:tcPr>
          <w:p w14:paraId="3A0B2E1D"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lastRenderedPageBreak/>
              <w:t xml:space="preserve">Porcentaje de avance del </w:t>
            </w:r>
            <w:r w:rsidRPr="006A0747">
              <w:rPr>
                <w:rFonts w:ascii="Times New Roman" w:eastAsia="Times New Roman" w:hAnsi="Times New Roman" w:cs="Times New Roman"/>
                <w:color w:val="767171"/>
                <w:sz w:val="24"/>
                <w:szCs w:val="24"/>
                <w:lang w:eastAsia="es-DO"/>
              </w:rPr>
              <w:lastRenderedPageBreak/>
              <w:t>proyecto según hitos</w:t>
            </w:r>
          </w:p>
        </w:tc>
        <w:tc>
          <w:tcPr>
            <w:tcW w:w="0" w:type="auto"/>
            <w:tcBorders>
              <w:top w:val="nil"/>
              <w:left w:val="nil"/>
              <w:bottom w:val="single" w:sz="4" w:space="0" w:color="auto"/>
              <w:right w:val="single" w:sz="4" w:space="0" w:color="auto"/>
            </w:tcBorders>
            <w:shd w:val="clear" w:color="auto" w:fill="auto"/>
            <w:noWrap/>
            <w:vAlign w:val="center"/>
            <w:hideMark/>
          </w:tcPr>
          <w:p w14:paraId="59F4DE7B"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lastRenderedPageBreak/>
              <w:t>Anual</w:t>
            </w:r>
          </w:p>
        </w:tc>
        <w:tc>
          <w:tcPr>
            <w:tcW w:w="0" w:type="auto"/>
            <w:tcBorders>
              <w:top w:val="nil"/>
              <w:left w:val="nil"/>
              <w:bottom w:val="single" w:sz="4" w:space="0" w:color="auto"/>
              <w:right w:val="single" w:sz="4" w:space="0" w:color="auto"/>
            </w:tcBorders>
            <w:shd w:val="clear" w:color="auto" w:fill="auto"/>
            <w:noWrap/>
            <w:vAlign w:val="center"/>
            <w:hideMark/>
          </w:tcPr>
          <w:p w14:paraId="22080D9F"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29FF46AF"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60%</w:t>
            </w:r>
          </w:p>
        </w:tc>
        <w:tc>
          <w:tcPr>
            <w:tcW w:w="0" w:type="auto"/>
            <w:tcBorders>
              <w:top w:val="nil"/>
              <w:left w:val="nil"/>
              <w:bottom w:val="single" w:sz="4" w:space="0" w:color="auto"/>
              <w:right w:val="single" w:sz="4" w:space="0" w:color="auto"/>
            </w:tcBorders>
            <w:shd w:val="clear" w:color="auto" w:fill="auto"/>
            <w:noWrap/>
            <w:vAlign w:val="center"/>
            <w:hideMark/>
          </w:tcPr>
          <w:p w14:paraId="41476AB6"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50%</w:t>
            </w:r>
          </w:p>
        </w:tc>
        <w:tc>
          <w:tcPr>
            <w:tcW w:w="0" w:type="auto"/>
            <w:tcBorders>
              <w:top w:val="nil"/>
              <w:left w:val="nil"/>
              <w:bottom w:val="single" w:sz="4" w:space="0" w:color="auto"/>
              <w:right w:val="single" w:sz="4" w:space="0" w:color="auto"/>
            </w:tcBorders>
            <w:shd w:val="clear" w:color="auto" w:fill="auto"/>
            <w:noWrap/>
            <w:vAlign w:val="center"/>
            <w:hideMark/>
          </w:tcPr>
          <w:p w14:paraId="6BD5985D"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83%</w:t>
            </w:r>
          </w:p>
        </w:tc>
      </w:tr>
      <w:tr w:rsidR="003938E1" w:rsidRPr="006A0747" w14:paraId="41E6F0E6" w14:textId="77777777" w:rsidTr="00665334">
        <w:trPr>
          <w:trHeight w:val="144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34B8A562"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33</w:t>
            </w:r>
          </w:p>
        </w:tc>
        <w:tc>
          <w:tcPr>
            <w:tcW w:w="1187" w:type="dxa"/>
            <w:tcBorders>
              <w:top w:val="nil"/>
              <w:left w:val="nil"/>
              <w:bottom w:val="single" w:sz="4" w:space="0" w:color="auto"/>
              <w:right w:val="single" w:sz="4" w:space="0" w:color="auto"/>
            </w:tcBorders>
            <w:shd w:val="clear" w:color="auto" w:fill="auto"/>
            <w:noWrap/>
            <w:vAlign w:val="center"/>
            <w:hideMark/>
          </w:tcPr>
          <w:p w14:paraId="2AAD7340"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Regulación</w:t>
            </w:r>
          </w:p>
        </w:tc>
        <w:tc>
          <w:tcPr>
            <w:tcW w:w="1088" w:type="dxa"/>
            <w:tcBorders>
              <w:top w:val="nil"/>
              <w:left w:val="nil"/>
              <w:bottom w:val="single" w:sz="4" w:space="0" w:color="auto"/>
              <w:right w:val="single" w:sz="4" w:space="0" w:color="auto"/>
            </w:tcBorders>
            <w:shd w:val="clear" w:color="auto" w:fill="auto"/>
            <w:vAlign w:val="center"/>
            <w:hideMark/>
          </w:tcPr>
          <w:p w14:paraId="5B2B1F23"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Instructivo sobre la Información Anual Requerida a las Firmas de Auditores Externos para la Actualización en el Registro de la Superintendencia de Bancos</w:t>
            </w:r>
          </w:p>
        </w:tc>
        <w:tc>
          <w:tcPr>
            <w:tcW w:w="0" w:type="auto"/>
            <w:tcBorders>
              <w:top w:val="nil"/>
              <w:left w:val="nil"/>
              <w:bottom w:val="single" w:sz="4" w:space="0" w:color="auto"/>
              <w:right w:val="single" w:sz="4" w:space="0" w:color="auto"/>
            </w:tcBorders>
            <w:shd w:val="clear" w:color="auto" w:fill="auto"/>
            <w:vAlign w:val="center"/>
            <w:hideMark/>
          </w:tcPr>
          <w:p w14:paraId="20566718"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avance del proyecto según hitos</w:t>
            </w:r>
          </w:p>
        </w:tc>
        <w:tc>
          <w:tcPr>
            <w:tcW w:w="0" w:type="auto"/>
            <w:tcBorders>
              <w:top w:val="nil"/>
              <w:left w:val="nil"/>
              <w:bottom w:val="single" w:sz="4" w:space="0" w:color="auto"/>
              <w:right w:val="single" w:sz="4" w:space="0" w:color="auto"/>
            </w:tcBorders>
            <w:shd w:val="clear" w:color="auto" w:fill="auto"/>
            <w:noWrap/>
            <w:vAlign w:val="center"/>
            <w:hideMark/>
          </w:tcPr>
          <w:p w14:paraId="2DBDD458"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6687F887"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0956349A"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50%</w:t>
            </w:r>
          </w:p>
        </w:tc>
        <w:tc>
          <w:tcPr>
            <w:tcW w:w="0" w:type="auto"/>
            <w:tcBorders>
              <w:top w:val="nil"/>
              <w:left w:val="nil"/>
              <w:bottom w:val="single" w:sz="4" w:space="0" w:color="auto"/>
              <w:right w:val="single" w:sz="4" w:space="0" w:color="auto"/>
            </w:tcBorders>
            <w:shd w:val="clear" w:color="auto" w:fill="auto"/>
            <w:noWrap/>
            <w:vAlign w:val="center"/>
            <w:hideMark/>
          </w:tcPr>
          <w:p w14:paraId="4B2CBE74"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50%</w:t>
            </w:r>
          </w:p>
        </w:tc>
        <w:tc>
          <w:tcPr>
            <w:tcW w:w="0" w:type="auto"/>
            <w:tcBorders>
              <w:top w:val="nil"/>
              <w:left w:val="nil"/>
              <w:bottom w:val="single" w:sz="4" w:space="0" w:color="auto"/>
              <w:right w:val="single" w:sz="4" w:space="0" w:color="auto"/>
            </w:tcBorders>
            <w:shd w:val="clear" w:color="auto" w:fill="auto"/>
            <w:noWrap/>
            <w:vAlign w:val="center"/>
            <w:hideMark/>
          </w:tcPr>
          <w:p w14:paraId="0E933F10"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r>
      <w:tr w:rsidR="003938E1" w:rsidRPr="006A0747" w14:paraId="11510A34" w14:textId="77777777" w:rsidTr="00665334">
        <w:trPr>
          <w:trHeight w:val="120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53B48836"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34</w:t>
            </w:r>
          </w:p>
        </w:tc>
        <w:tc>
          <w:tcPr>
            <w:tcW w:w="1187" w:type="dxa"/>
            <w:tcBorders>
              <w:top w:val="nil"/>
              <w:left w:val="nil"/>
              <w:bottom w:val="single" w:sz="4" w:space="0" w:color="auto"/>
              <w:right w:val="single" w:sz="4" w:space="0" w:color="auto"/>
            </w:tcBorders>
            <w:shd w:val="clear" w:color="auto" w:fill="auto"/>
            <w:noWrap/>
            <w:vAlign w:val="center"/>
            <w:hideMark/>
          </w:tcPr>
          <w:p w14:paraId="4FDA6598"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Sanciones</w:t>
            </w:r>
          </w:p>
        </w:tc>
        <w:tc>
          <w:tcPr>
            <w:tcW w:w="1088" w:type="dxa"/>
            <w:tcBorders>
              <w:top w:val="nil"/>
              <w:left w:val="nil"/>
              <w:bottom w:val="single" w:sz="4" w:space="0" w:color="auto"/>
              <w:right w:val="single" w:sz="4" w:space="0" w:color="auto"/>
            </w:tcBorders>
            <w:shd w:val="clear" w:color="auto" w:fill="auto"/>
            <w:vAlign w:val="center"/>
            <w:hideMark/>
          </w:tcPr>
          <w:p w14:paraId="08785A3B"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 xml:space="preserve">Talleres de formación sobre el procedimiento administrativo sancionador para las entidades </w:t>
            </w:r>
            <w:r w:rsidRPr="006A0747">
              <w:rPr>
                <w:rFonts w:ascii="Times New Roman" w:eastAsia="Times New Roman" w:hAnsi="Times New Roman" w:cs="Times New Roman"/>
                <w:color w:val="767171"/>
                <w:sz w:val="24"/>
                <w:szCs w:val="24"/>
                <w:lang w:eastAsia="es-DO"/>
              </w:rPr>
              <w:lastRenderedPageBreak/>
              <w:t>supervisadas.</w:t>
            </w:r>
          </w:p>
        </w:tc>
        <w:tc>
          <w:tcPr>
            <w:tcW w:w="0" w:type="auto"/>
            <w:tcBorders>
              <w:top w:val="nil"/>
              <w:left w:val="nil"/>
              <w:bottom w:val="single" w:sz="4" w:space="0" w:color="auto"/>
              <w:right w:val="single" w:sz="4" w:space="0" w:color="auto"/>
            </w:tcBorders>
            <w:shd w:val="clear" w:color="auto" w:fill="auto"/>
            <w:vAlign w:val="center"/>
            <w:hideMark/>
          </w:tcPr>
          <w:p w14:paraId="0C2A2D07"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lastRenderedPageBreak/>
              <w:t>Porcentaje del indicador según hitos</w:t>
            </w:r>
          </w:p>
        </w:tc>
        <w:tc>
          <w:tcPr>
            <w:tcW w:w="0" w:type="auto"/>
            <w:tcBorders>
              <w:top w:val="nil"/>
              <w:left w:val="nil"/>
              <w:bottom w:val="single" w:sz="4" w:space="0" w:color="auto"/>
              <w:right w:val="single" w:sz="4" w:space="0" w:color="auto"/>
            </w:tcBorders>
            <w:shd w:val="clear" w:color="auto" w:fill="auto"/>
            <w:noWrap/>
            <w:vAlign w:val="center"/>
            <w:hideMark/>
          </w:tcPr>
          <w:p w14:paraId="490E23BC"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3E7DB3FF"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776F0929"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50%</w:t>
            </w:r>
          </w:p>
        </w:tc>
        <w:tc>
          <w:tcPr>
            <w:tcW w:w="0" w:type="auto"/>
            <w:tcBorders>
              <w:top w:val="nil"/>
              <w:left w:val="nil"/>
              <w:bottom w:val="single" w:sz="4" w:space="0" w:color="auto"/>
              <w:right w:val="single" w:sz="4" w:space="0" w:color="auto"/>
            </w:tcBorders>
            <w:shd w:val="clear" w:color="auto" w:fill="auto"/>
            <w:noWrap/>
            <w:vAlign w:val="center"/>
            <w:hideMark/>
          </w:tcPr>
          <w:p w14:paraId="79BF6DB1"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50%</w:t>
            </w:r>
          </w:p>
        </w:tc>
        <w:tc>
          <w:tcPr>
            <w:tcW w:w="0" w:type="auto"/>
            <w:tcBorders>
              <w:top w:val="nil"/>
              <w:left w:val="nil"/>
              <w:bottom w:val="single" w:sz="4" w:space="0" w:color="auto"/>
              <w:right w:val="single" w:sz="4" w:space="0" w:color="auto"/>
            </w:tcBorders>
            <w:shd w:val="clear" w:color="auto" w:fill="auto"/>
            <w:noWrap/>
            <w:vAlign w:val="center"/>
            <w:hideMark/>
          </w:tcPr>
          <w:p w14:paraId="3FE00C9F"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r>
      <w:tr w:rsidR="003938E1" w:rsidRPr="006A0747" w14:paraId="3117DDF9" w14:textId="77777777" w:rsidTr="00665334">
        <w:trPr>
          <w:trHeight w:val="96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6D012995"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35</w:t>
            </w:r>
          </w:p>
        </w:tc>
        <w:tc>
          <w:tcPr>
            <w:tcW w:w="1187" w:type="dxa"/>
            <w:tcBorders>
              <w:top w:val="nil"/>
              <w:left w:val="nil"/>
              <w:bottom w:val="single" w:sz="4" w:space="0" w:color="auto"/>
              <w:right w:val="single" w:sz="4" w:space="0" w:color="auto"/>
            </w:tcBorders>
            <w:shd w:val="clear" w:color="auto" w:fill="auto"/>
            <w:noWrap/>
            <w:vAlign w:val="center"/>
            <w:hideMark/>
          </w:tcPr>
          <w:p w14:paraId="60A517E9"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Secretaría</w:t>
            </w:r>
          </w:p>
        </w:tc>
        <w:tc>
          <w:tcPr>
            <w:tcW w:w="1088" w:type="dxa"/>
            <w:tcBorders>
              <w:top w:val="nil"/>
              <w:left w:val="nil"/>
              <w:bottom w:val="single" w:sz="4" w:space="0" w:color="auto"/>
              <w:right w:val="single" w:sz="4" w:space="0" w:color="auto"/>
            </w:tcBorders>
            <w:shd w:val="clear" w:color="auto" w:fill="auto"/>
            <w:vAlign w:val="center"/>
            <w:hideMark/>
          </w:tcPr>
          <w:p w14:paraId="38933D4E"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Desarrollo Sistema de Gestión Documental para áreas misionales de la SB (2da fase)</w:t>
            </w:r>
          </w:p>
        </w:tc>
        <w:tc>
          <w:tcPr>
            <w:tcW w:w="0" w:type="auto"/>
            <w:tcBorders>
              <w:top w:val="nil"/>
              <w:left w:val="nil"/>
              <w:bottom w:val="single" w:sz="4" w:space="0" w:color="auto"/>
              <w:right w:val="single" w:sz="4" w:space="0" w:color="auto"/>
            </w:tcBorders>
            <w:shd w:val="clear" w:color="auto" w:fill="auto"/>
            <w:vAlign w:val="center"/>
            <w:hideMark/>
          </w:tcPr>
          <w:p w14:paraId="03A3B640"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avance según hitos programados</w:t>
            </w:r>
          </w:p>
        </w:tc>
        <w:tc>
          <w:tcPr>
            <w:tcW w:w="0" w:type="auto"/>
            <w:tcBorders>
              <w:top w:val="nil"/>
              <w:left w:val="nil"/>
              <w:bottom w:val="single" w:sz="4" w:space="0" w:color="auto"/>
              <w:right w:val="single" w:sz="4" w:space="0" w:color="auto"/>
            </w:tcBorders>
            <w:shd w:val="clear" w:color="auto" w:fill="auto"/>
            <w:noWrap/>
            <w:vAlign w:val="center"/>
            <w:hideMark/>
          </w:tcPr>
          <w:p w14:paraId="3A9371B8"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457E69B9"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1DAABBCB"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50%</w:t>
            </w:r>
          </w:p>
        </w:tc>
        <w:tc>
          <w:tcPr>
            <w:tcW w:w="0" w:type="auto"/>
            <w:tcBorders>
              <w:top w:val="nil"/>
              <w:left w:val="nil"/>
              <w:bottom w:val="single" w:sz="4" w:space="0" w:color="auto"/>
              <w:right w:val="single" w:sz="4" w:space="0" w:color="auto"/>
            </w:tcBorders>
            <w:shd w:val="clear" w:color="auto" w:fill="auto"/>
            <w:noWrap/>
            <w:vAlign w:val="center"/>
            <w:hideMark/>
          </w:tcPr>
          <w:p w14:paraId="39F32F91" w14:textId="6D405A2C" w:rsidR="003938E1" w:rsidRPr="006A0747" w:rsidRDefault="007A693E">
            <w:pPr>
              <w:spacing w:after="0" w:line="240" w:lineRule="auto"/>
              <w:jc w:val="center"/>
              <w:rPr>
                <w:rFonts w:ascii="Times New Roman" w:eastAsia="Times New Roman" w:hAnsi="Times New Roman" w:cs="Times New Roman"/>
                <w:color w:val="767171"/>
                <w:sz w:val="24"/>
                <w:szCs w:val="24"/>
                <w:lang w:eastAsia="es-DO"/>
              </w:rPr>
            </w:pPr>
            <w:r>
              <w:rPr>
                <w:rFonts w:ascii="Times New Roman" w:eastAsia="Times New Roman" w:hAnsi="Times New Roman" w:cs="Times New Roman"/>
                <w:color w:val="767171"/>
                <w:sz w:val="24"/>
                <w:szCs w:val="24"/>
                <w:lang w:eastAsia="es-DO"/>
              </w:rPr>
              <w:t>50</w:t>
            </w:r>
            <w:r w:rsidR="003938E1" w:rsidRPr="006A0747">
              <w:rPr>
                <w:rFonts w:ascii="Times New Roman" w:eastAsia="Times New Roman" w:hAnsi="Times New Roman" w:cs="Times New Roman"/>
                <w:color w:val="767171"/>
                <w:sz w:val="24"/>
                <w:szCs w:val="24"/>
                <w:lang w:eastAsia="es-DO"/>
              </w:rPr>
              <w:t>%</w:t>
            </w:r>
          </w:p>
        </w:tc>
        <w:tc>
          <w:tcPr>
            <w:tcW w:w="0" w:type="auto"/>
            <w:tcBorders>
              <w:top w:val="nil"/>
              <w:left w:val="nil"/>
              <w:bottom w:val="single" w:sz="4" w:space="0" w:color="auto"/>
              <w:right w:val="single" w:sz="4" w:space="0" w:color="auto"/>
            </w:tcBorders>
            <w:shd w:val="clear" w:color="auto" w:fill="auto"/>
            <w:noWrap/>
            <w:vAlign w:val="center"/>
            <w:hideMark/>
          </w:tcPr>
          <w:p w14:paraId="417498D4" w14:textId="53084029" w:rsidR="003938E1" w:rsidRPr="006A0747" w:rsidRDefault="007A693E">
            <w:pPr>
              <w:spacing w:after="0" w:line="240" w:lineRule="auto"/>
              <w:jc w:val="center"/>
              <w:rPr>
                <w:rFonts w:ascii="Times New Roman" w:eastAsia="Times New Roman" w:hAnsi="Times New Roman" w:cs="Times New Roman"/>
                <w:color w:val="767171"/>
                <w:sz w:val="24"/>
                <w:szCs w:val="24"/>
                <w:lang w:eastAsia="es-DO"/>
              </w:rPr>
            </w:pPr>
            <w:r>
              <w:rPr>
                <w:rFonts w:ascii="Times New Roman" w:eastAsia="Times New Roman" w:hAnsi="Times New Roman" w:cs="Times New Roman"/>
                <w:color w:val="767171"/>
                <w:sz w:val="24"/>
                <w:szCs w:val="24"/>
                <w:lang w:eastAsia="es-DO"/>
              </w:rPr>
              <w:t>100</w:t>
            </w:r>
            <w:r w:rsidR="003938E1" w:rsidRPr="006A0747">
              <w:rPr>
                <w:rFonts w:ascii="Times New Roman" w:eastAsia="Times New Roman" w:hAnsi="Times New Roman" w:cs="Times New Roman"/>
                <w:color w:val="767171"/>
                <w:sz w:val="24"/>
                <w:szCs w:val="24"/>
                <w:lang w:eastAsia="es-DO"/>
              </w:rPr>
              <w:t>%</w:t>
            </w:r>
          </w:p>
        </w:tc>
      </w:tr>
      <w:tr w:rsidR="003938E1" w:rsidRPr="006A0747" w14:paraId="0EED564F" w14:textId="77777777" w:rsidTr="00665334">
        <w:trPr>
          <w:trHeight w:val="120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7BAB74F1"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36</w:t>
            </w:r>
          </w:p>
        </w:tc>
        <w:tc>
          <w:tcPr>
            <w:tcW w:w="1187" w:type="dxa"/>
            <w:tcBorders>
              <w:top w:val="nil"/>
              <w:left w:val="nil"/>
              <w:bottom w:val="single" w:sz="4" w:space="0" w:color="auto"/>
              <w:right w:val="single" w:sz="4" w:space="0" w:color="auto"/>
            </w:tcBorders>
            <w:shd w:val="clear" w:color="auto" w:fill="auto"/>
            <w:noWrap/>
            <w:vAlign w:val="center"/>
            <w:hideMark/>
          </w:tcPr>
          <w:p w14:paraId="7BB2396F"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Seguridad de la Información</w:t>
            </w:r>
          </w:p>
        </w:tc>
        <w:tc>
          <w:tcPr>
            <w:tcW w:w="1088" w:type="dxa"/>
            <w:tcBorders>
              <w:top w:val="nil"/>
              <w:left w:val="nil"/>
              <w:bottom w:val="single" w:sz="4" w:space="0" w:color="auto"/>
              <w:right w:val="single" w:sz="4" w:space="0" w:color="auto"/>
            </w:tcBorders>
            <w:shd w:val="clear" w:color="auto" w:fill="auto"/>
            <w:vAlign w:val="center"/>
            <w:hideMark/>
          </w:tcPr>
          <w:p w14:paraId="7F524923"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Implementación de Sistema de Gestión de Seguridad de la Información y Certificación bajo el estándar ISO 27001:2022</w:t>
            </w:r>
          </w:p>
        </w:tc>
        <w:tc>
          <w:tcPr>
            <w:tcW w:w="0" w:type="auto"/>
            <w:tcBorders>
              <w:top w:val="nil"/>
              <w:left w:val="nil"/>
              <w:bottom w:val="single" w:sz="4" w:space="0" w:color="auto"/>
              <w:right w:val="single" w:sz="4" w:space="0" w:color="auto"/>
            </w:tcBorders>
            <w:shd w:val="clear" w:color="auto" w:fill="auto"/>
            <w:vAlign w:val="center"/>
            <w:hideMark/>
          </w:tcPr>
          <w:p w14:paraId="12CCC0A0"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implementación según hitos</w:t>
            </w:r>
          </w:p>
        </w:tc>
        <w:tc>
          <w:tcPr>
            <w:tcW w:w="0" w:type="auto"/>
            <w:tcBorders>
              <w:top w:val="nil"/>
              <w:left w:val="nil"/>
              <w:bottom w:val="single" w:sz="4" w:space="0" w:color="auto"/>
              <w:right w:val="single" w:sz="4" w:space="0" w:color="auto"/>
            </w:tcBorders>
            <w:shd w:val="clear" w:color="auto" w:fill="auto"/>
            <w:noWrap/>
            <w:vAlign w:val="center"/>
            <w:hideMark/>
          </w:tcPr>
          <w:p w14:paraId="540665CF"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147C8C12"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0916482A"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c>
          <w:tcPr>
            <w:tcW w:w="0" w:type="auto"/>
            <w:tcBorders>
              <w:top w:val="nil"/>
              <w:left w:val="nil"/>
              <w:bottom w:val="single" w:sz="4" w:space="0" w:color="auto"/>
              <w:right w:val="single" w:sz="4" w:space="0" w:color="auto"/>
            </w:tcBorders>
            <w:shd w:val="clear" w:color="auto" w:fill="auto"/>
            <w:noWrap/>
            <w:vAlign w:val="center"/>
            <w:hideMark/>
          </w:tcPr>
          <w:p w14:paraId="36DB1A85"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c>
          <w:tcPr>
            <w:tcW w:w="0" w:type="auto"/>
            <w:tcBorders>
              <w:top w:val="nil"/>
              <w:left w:val="nil"/>
              <w:bottom w:val="single" w:sz="4" w:space="0" w:color="auto"/>
              <w:right w:val="single" w:sz="4" w:space="0" w:color="auto"/>
            </w:tcBorders>
            <w:shd w:val="clear" w:color="auto" w:fill="auto"/>
            <w:noWrap/>
            <w:vAlign w:val="center"/>
            <w:hideMark/>
          </w:tcPr>
          <w:p w14:paraId="0E95410D"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r>
      <w:tr w:rsidR="003938E1" w:rsidRPr="006A0747" w14:paraId="1A2AEC53" w14:textId="77777777" w:rsidTr="00665334">
        <w:trPr>
          <w:trHeight w:val="72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4214CC39"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37</w:t>
            </w:r>
          </w:p>
        </w:tc>
        <w:tc>
          <w:tcPr>
            <w:tcW w:w="1187" w:type="dxa"/>
            <w:tcBorders>
              <w:top w:val="nil"/>
              <w:left w:val="nil"/>
              <w:bottom w:val="single" w:sz="4" w:space="0" w:color="auto"/>
              <w:right w:val="single" w:sz="4" w:space="0" w:color="auto"/>
            </w:tcBorders>
            <w:shd w:val="clear" w:color="auto" w:fill="auto"/>
            <w:noWrap/>
            <w:vAlign w:val="center"/>
            <w:hideMark/>
          </w:tcPr>
          <w:p w14:paraId="32EB7109"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Subgerencia de Supervisión</w:t>
            </w:r>
          </w:p>
        </w:tc>
        <w:tc>
          <w:tcPr>
            <w:tcW w:w="1088" w:type="dxa"/>
            <w:tcBorders>
              <w:top w:val="nil"/>
              <w:left w:val="nil"/>
              <w:bottom w:val="single" w:sz="4" w:space="0" w:color="auto"/>
              <w:right w:val="single" w:sz="4" w:space="0" w:color="auto"/>
            </w:tcBorders>
            <w:shd w:val="clear" w:color="auto" w:fill="auto"/>
            <w:vAlign w:val="center"/>
            <w:hideMark/>
          </w:tcPr>
          <w:p w14:paraId="0D5C474E"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Plantillas para las Notas de Rating con granulari</w:t>
            </w:r>
            <w:r w:rsidRPr="006A0747">
              <w:rPr>
                <w:rFonts w:ascii="Times New Roman" w:eastAsia="Times New Roman" w:hAnsi="Times New Roman" w:cs="Times New Roman"/>
                <w:color w:val="767171"/>
                <w:sz w:val="24"/>
                <w:szCs w:val="24"/>
                <w:lang w:eastAsia="es-DO"/>
              </w:rPr>
              <w:lastRenderedPageBreak/>
              <w:t>dad (Fase 2)</w:t>
            </w:r>
          </w:p>
        </w:tc>
        <w:tc>
          <w:tcPr>
            <w:tcW w:w="0" w:type="auto"/>
            <w:tcBorders>
              <w:top w:val="nil"/>
              <w:left w:val="nil"/>
              <w:bottom w:val="single" w:sz="4" w:space="0" w:color="auto"/>
              <w:right w:val="single" w:sz="4" w:space="0" w:color="auto"/>
            </w:tcBorders>
            <w:shd w:val="clear" w:color="auto" w:fill="auto"/>
            <w:vAlign w:val="center"/>
            <w:hideMark/>
          </w:tcPr>
          <w:p w14:paraId="2828376E"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lastRenderedPageBreak/>
              <w:t>Porcentaje de avance según hitos</w:t>
            </w:r>
          </w:p>
        </w:tc>
        <w:tc>
          <w:tcPr>
            <w:tcW w:w="0" w:type="auto"/>
            <w:tcBorders>
              <w:top w:val="nil"/>
              <w:left w:val="nil"/>
              <w:bottom w:val="single" w:sz="4" w:space="0" w:color="auto"/>
              <w:right w:val="single" w:sz="4" w:space="0" w:color="auto"/>
            </w:tcBorders>
            <w:shd w:val="clear" w:color="auto" w:fill="auto"/>
            <w:noWrap/>
            <w:vAlign w:val="center"/>
            <w:hideMark/>
          </w:tcPr>
          <w:p w14:paraId="29E3445D"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0EC26F9E"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5440ACFB"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0%</w:t>
            </w:r>
          </w:p>
        </w:tc>
        <w:tc>
          <w:tcPr>
            <w:tcW w:w="0" w:type="auto"/>
            <w:tcBorders>
              <w:top w:val="nil"/>
              <w:left w:val="nil"/>
              <w:bottom w:val="single" w:sz="4" w:space="0" w:color="auto"/>
              <w:right w:val="single" w:sz="4" w:space="0" w:color="auto"/>
            </w:tcBorders>
            <w:shd w:val="clear" w:color="auto" w:fill="auto"/>
            <w:noWrap/>
            <w:vAlign w:val="center"/>
            <w:hideMark/>
          </w:tcPr>
          <w:p w14:paraId="5038F5F2"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0%</w:t>
            </w:r>
          </w:p>
        </w:tc>
        <w:tc>
          <w:tcPr>
            <w:tcW w:w="0" w:type="auto"/>
            <w:tcBorders>
              <w:top w:val="nil"/>
              <w:left w:val="nil"/>
              <w:bottom w:val="single" w:sz="4" w:space="0" w:color="auto"/>
              <w:right w:val="single" w:sz="4" w:space="0" w:color="auto"/>
            </w:tcBorders>
            <w:shd w:val="clear" w:color="auto" w:fill="auto"/>
            <w:noWrap/>
            <w:vAlign w:val="center"/>
            <w:hideMark/>
          </w:tcPr>
          <w:p w14:paraId="344019CF"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0%</w:t>
            </w:r>
          </w:p>
        </w:tc>
      </w:tr>
      <w:tr w:rsidR="003938E1" w:rsidRPr="006A0747" w14:paraId="35622B75" w14:textId="77777777" w:rsidTr="00665334">
        <w:trPr>
          <w:trHeight w:val="48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7BB8E29F"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38</w:t>
            </w:r>
          </w:p>
        </w:tc>
        <w:tc>
          <w:tcPr>
            <w:tcW w:w="1187" w:type="dxa"/>
            <w:tcBorders>
              <w:top w:val="nil"/>
              <w:left w:val="nil"/>
              <w:bottom w:val="single" w:sz="4" w:space="0" w:color="auto"/>
              <w:right w:val="single" w:sz="4" w:space="0" w:color="auto"/>
            </w:tcBorders>
            <w:shd w:val="clear" w:color="auto" w:fill="auto"/>
            <w:noWrap/>
            <w:vAlign w:val="center"/>
            <w:hideMark/>
          </w:tcPr>
          <w:p w14:paraId="7EDAEFFC"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Subgerencia de Supervisión</w:t>
            </w:r>
          </w:p>
        </w:tc>
        <w:tc>
          <w:tcPr>
            <w:tcW w:w="1088" w:type="dxa"/>
            <w:tcBorders>
              <w:top w:val="nil"/>
              <w:left w:val="nil"/>
              <w:bottom w:val="single" w:sz="4" w:space="0" w:color="auto"/>
              <w:right w:val="single" w:sz="4" w:space="0" w:color="auto"/>
            </w:tcBorders>
            <w:shd w:val="clear" w:color="auto" w:fill="auto"/>
            <w:vAlign w:val="center"/>
            <w:hideMark/>
          </w:tcPr>
          <w:p w14:paraId="30358B10"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Aplicativo Gobierno de Entidades</w:t>
            </w:r>
          </w:p>
        </w:tc>
        <w:tc>
          <w:tcPr>
            <w:tcW w:w="0" w:type="auto"/>
            <w:tcBorders>
              <w:top w:val="nil"/>
              <w:left w:val="nil"/>
              <w:bottom w:val="single" w:sz="4" w:space="0" w:color="auto"/>
              <w:right w:val="single" w:sz="4" w:space="0" w:color="auto"/>
            </w:tcBorders>
            <w:shd w:val="clear" w:color="auto" w:fill="auto"/>
            <w:vAlign w:val="center"/>
            <w:hideMark/>
          </w:tcPr>
          <w:p w14:paraId="1124A9AD"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avance según hitos</w:t>
            </w:r>
          </w:p>
        </w:tc>
        <w:tc>
          <w:tcPr>
            <w:tcW w:w="0" w:type="auto"/>
            <w:tcBorders>
              <w:top w:val="nil"/>
              <w:left w:val="nil"/>
              <w:bottom w:val="single" w:sz="4" w:space="0" w:color="auto"/>
              <w:right w:val="single" w:sz="4" w:space="0" w:color="auto"/>
            </w:tcBorders>
            <w:shd w:val="clear" w:color="auto" w:fill="auto"/>
            <w:noWrap/>
            <w:vAlign w:val="center"/>
            <w:hideMark/>
          </w:tcPr>
          <w:p w14:paraId="468E028D"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5104B79C"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3D04B416"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c>
          <w:tcPr>
            <w:tcW w:w="0" w:type="auto"/>
            <w:tcBorders>
              <w:top w:val="nil"/>
              <w:left w:val="nil"/>
              <w:bottom w:val="single" w:sz="4" w:space="0" w:color="auto"/>
              <w:right w:val="single" w:sz="4" w:space="0" w:color="auto"/>
            </w:tcBorders>
            <w:shd w:val="clear" w:color="auto" w:fill="auto"/>
            <w:noWrap/>
            <w:vAlign w:val="center"/>
            <w:hideMark/>
          </w:tcPr>
          <w:p w14:paraId="787D96B7"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c>
          <w:tcPr>
            <w:tcW w:w="0" w:type="auto"/>
            <w:tcBorders>
              <w:top w:val="nil"/>
              <w:left w:val="nil"/>
              <w:bottom w:val="single" w:sz="4" w:space="0" w:color="auto"/>
              <w:right w:val="single" w:sz="4" w:space="0" w:color="auto"/>
            </w:tcBorders>
            <w:shd w:val="clear" w:color="auto" w:fill="auto"/>
            <w:noWrap/>
            <w:vAlign w:val="center"/>
            <w:hideMark/>
          </w:tcPr>
          <w:p w14:paraId="050BEBD0"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r>
      <w:tr w:rsidR="003938E1" w:rsidRPr="006A0747" w14:paraId="2440CF71" w14:textId="77777777" w:rsidTr="00665334">
        <w:trPr>
          <w:trHeight w:val="72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1229F761"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39</w:t>
            </w:r>
          </w:p>
        </w:tc>
        <w:tc>
          <w:tcPr>
            <w:tcW w:w="1187" w:type="dxa"/>
            <w:tcBorders>
              <w:top w:val="nil"/>
              <w:left w:val="nil"/>
              <w:bottom w:val="single" w:sz="4" w:space="0" w:color="auto"/>
              <w:right w:val="single" w:sz="4" w:space="0" w:color="auto"/>
            </w:tcBorders>
            <w:shd w:val="clear" w:color="auto" w:fill="auto"/>
            <w:noWrap/>
            <w:vAlign w:val="center"/>
            <w:hideMark/>
          </w:tcPr>
          <w:p w14:paraId="6F040FD7"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Subgerencia de Supervisión</w:t>
            </w:r>
          </w:p>
        </w:tc>
        <w:tc>
          <w:tcPr>
            <w:tcW w:w="1088" w:type="dxa"/>
            <w:tcBorders>
              <w:top w:val="nil"/>
              <w:left w:val="nil"/>
              <w:bottom w:val="single" w:sz="4" w:space="0" w:color="auto"/>
              <w:right w:val="single" w:sz="4" w:space="0" w:color="auto"/>
            </w:tcBorders>
            <w:shd w:val="clear" w:color="auto" w:fill="auto"/>
            <w:vAlign w:val="center"/>
            <w:hideMark/>
          </w:tcPr>
          <w:p w14:paraId="09E08F83"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Herramienta para el muestreo de cartera de créditos</w:t>
            </w:r>
          </w:p>
        </w:tc>
        <w:tc>
          <w:tcPr>
            <w:tcW w:w="0" w:type="auto"/>
            <w:tcBorders>
              <w:top w:val="nil"/>
              <w:left w:val="nil"/>
              <w:bottom w:val="single" w:sz="4" w:space="0" w:color="auto"/>
              <w:right w:val="single" w:sz="4" w:space="0" w:color="auto"/>
            </w:tcBorders>
            <w:shd w:val="clear" w:color="auto" w:fill="auto"/>
            <w:vAlign w:val="center"/>
            <w:hideMark/>
          </w:tcPr>
          <w:p w14:paraId="06EE575B"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 xml:space="preserve">Porcentaje de </w:t>
            </w:r>
            <w:proofErr w:type="spellStart"/>
            <w:r w:rsidRPr="006A0747">
              <w:rPr>
                <w:rFonts w:ascii="Times New Roman" w:eastAsia="Times New Roman" w:hAnsi="Times New Roman" w:cs="Times New Roman"/>
                <w:color w:val="767171"/>
                <w:sz w:val="24"/>
                <w:szCs w:val="24"/>
                <w:lang w:eastAsia="es-DO"/>
              </w:rPr>
              <w:t>springs</w:t>
            </w:r>
            <w:proofErr w:type="spellEnd"/>
            <w:r w:rsidRPr="006A0747">
              <w:rPr>
                <w:rFonts w:ascii="Times New Roman" w:eastAsia="Times New Roman" w:hAnsi="Times New Roman" w:cs="Times New Roman"/>
                <w:color w:val="767171"/>
                <w:sz w:val="24"/>
                <w:szCs w:val="24"/>
                <w:lang w:eastAsia="es-DO"/>
              </w:rPr>
              <w:t xml:space="preserve"> concluidos</w:t>
            </w:r>
          </w:p>
        </w:tc>
        <w:tc>
          <w:tcPr>
            <w:tcW w:w="0" w:type="auto"/>
            <w:tcBorders>
              <w:top w:val="nil"/>
              <w:left w:val="nil"/>
              <w:bottom w:val="single" w:sz="4" w:space="0" w:color="auto"/>
              <w:right w:val="single" w:sz="4" w:space="0" w:color="auto"/>
            </w:tcBorders>
            <w:shd w:val="clear" w:color="auto" w:fill="auto"/>
            <w:noWrap/>
            <w:vAlign w:val="center"/>
            <w:hideMark/>
          </w:tcPr>
          <w:p w14:paraId="0099EB78"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2BEB10EB"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73F4D54B"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0%</w:t>
            </w:r>
          </w:p>
        </w:tc>
        <w:tc>
          <w:tcPr>
            <w:tcW w:w="0" w:type="auto"/>
            <w:tcBorders>
              <w:top w:val="nil"/>
              <w:left w:val="nil"/>
              <w:bottom w:val="single" w:sz="4" w:space="0" w:color="auto"/>
              <w:right w:val="single" w:sz="4" w:space="0" w:color="auto"/>
            </w:tcBorders>
            <w:shd w:val="clear" w:color="auto" w:fill="auto"/>
            <w:noWrap/>
            <w:vAlign w:val="center"/>
            <w:hideMark/>
          </w:tcPr>
          <w:p w14:paraId="12A7A65B"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0%</w:t>
            </w:r>
          </w:p>
        </w:tc>
        <w:tc>
          <w:tcPr>
            <w:tcW w:w="0" w:type="auto"/>
            <w:tcBorders>
              <w:top w:val="nil"/>
              <w:left w:val="nil"/>
              <w:bottom w:val="single" w:sz="4" w:space="0" w:color="auto"/>
              <w:right w:val="single" w:sz="4" w:space="0" w:color="auto"/>
            </w:tcBorders>
            <w:shd w:val="clear" w:color="auto" w:fill="auto"/>
            <w:noWrap/>
            <w:vAlign w:val="center"/>
            <w:hideMark/>
          </w:tcPr>
          <w:p w14:paraId="44A5B5EB"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0%</w:t>
            </w:r>
          </w:p>
        </w:tc>
      </w:tr>
      <w:tr w:rsidR="003938E1" w:rsidRPr="006A0747" w14:paraId="7B086E9A" w14:textId="77777777" w:rsidTr="00665334">
        <w:trPr>
          <w:trHeight w:val="72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6562D812"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40</w:t>
            </w:r>
          </w:p>
        </w:tc>
        <w:tc>
          <w:tcPr>
            <w:tcW w:w="1187" w:type="dxa"/>
            <w:tcBorders>
              <w:top w:val="nil"/>
              <w:left w:val="nil"/>
              <w:bottom w:val="single" w:sz="4" w:space="0" w:color="auto"/>
              <w:right w:val="single" w:sz="4" w:space="0" w:color="auto"/>
            </w:tcBorders>
            <w:shd w:val="clear" w:color="auto" w:fill="auto"/>
            <w:noWrap/>
            <w:vAlign w:val="center"/>
            <w:hideMark/>
          </w:tcPr>
          <w:p w14:paraId="1C082952"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Subgerencia de Supervisión</w:t>
            </w:r>
          </w:p>
        </w:tc>
        <w:tc>
          <w:tcPr>
            <w:tcW w:w="1088" w:type="dxa"/>
            <w:tcBorders>
              <w:top w:val="nil"/>
              <w:left w:val="nil"/>
              <w:bottom w:val="single" w:sz="4" w:space="0" w:color="auto"/>
              <w:right w:val="single" w:sz="4" w:space="0" w:color="auto"/>
            </w:tcBorders>
            <w:shd w:val="clear" w:color="auto" w:fill="auto"/>
            <w:vAlign w:val="center"/>
            <w:hideMark/>
          </w:tcPr>
          <w:p w14:paraId="0025EF28"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Actualización del Marco de Supervisión Basada en Riesgos (Toronto Centre)</w:t>
            </w:r>
          </w:p>
        </w:tc>
        <w:tc>
          <w:tcPr>
            <w:tcW w:w="0" w:type="auto"/>
            <w:tcBorders>
              <w:top w:val="nil"/>
              <w:left w:val="nil"/>
              <w:bottom w:val="single" w:sz="4" w:space="0" w:color="auto"/>
              <w:right w:val="single" w:sz="4" w:space="0" w:color="auto"/>
            </w:tcBorders>
            <w:shd w:val="clear" w:color="auto" w:fill="auto"/>
            <w:vAlign w:val="center"/>
            <w:hideMark/>
          </w:tcPr>
          <w:p w14:paraId="4A548621"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guías de supervisión actualizadas e integradas al proceso</w:t>
            </w:r>
          </w:p>
        </w:tc>
        <w:tc>
          <w:tcPr>
            <w:tcW w:w="0" w:type="auto"/>
            <w:tcBorders>
              <w:top w:val="nil"/>
              <w:left w:val="nil"/>
              <w:bottom w:val="single" w:sz="4" w:space="0" w:color="auto"/>
              <w:right w:val="single" w:sz="4" w:space="0" w:color="auto"/>
            </w:tcBorders>
            <w:shd w:val="clear" w:color="auto" w:fill="auto"/>
            <w:noWrap/>
            <w:vAlign w:val="center"/>
            <w:hideMark/>
          </w:tcPr>
          <w:p w14:paraId="27AA8D76"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5501B830"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3E03FEDA"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30%</w:t>
            </w:r>
          </w:p>
        </w:tc>
        <w:tc>
          <w:tcPr>
            <w:tcW w:w="0" w:type="auto"/>
            <w:tcBorders>
              <w:top w:val="nil"/>
              <w:left w:val="nil"/>
              <w:bottom w:val="single" w:sz="4" w:space="0" w:color="auto"/>
              <w:right w:val="single" w:sz="4" w:space="0" w:color="auto"/>
            </w:tcBorders>
            <w:shd w:val="clear" w:color="auto" w:fill="auto"/>
            <w:noWrap/>
            <w:vAlign w:val="center"/>
            <w:hideMark/>
          </w:tcPr>
          <w:p w14:paraId="3A54BCE0"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30%</w:t>
            </w:r>
          </w:p>
        </w:tc>
        <w:tc>
          <w:tcPr>
            <w:tcW w:w="0" w:type="auto"/>
            <w:tcBorders>
              <w:top w:val="nil"/>
              <w:left w:val="nil"/>
              <w:bottom w:val="single" w:sz="4" w:space="0" w:color="auto"/>
              <w:right w:val="single" w:sz="4" w:space="0" w:color="auto"/>
            </w:tcBorders>
            <w:shd w:val="clear" w:color="auto" w:fill="auto"/>
            <w:noWrap/>
            <w:vAlign w:val="center"/>
            <w:hideMark/>
          </w:tcPr>
          <w:p w14:paraId="5FDEA262"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r>
      <w:tr w:rsidR="003938E1" w:rsidRPr="006A0747" w14:paraId="53D7252C" w14:textId="77777777" w:rsidTr="00665334">
        <w:trPr>
          <w:trHeight w:val="48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0D880475"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41</w:t>
            </w:r>
          </w:p>
        </w:tc>
        <w:tc>
          <w:tcPr>
            <w:tcW w:w="1187" w:type="dxa"/>
            <w:tcBorders>
              <w:top w:val="nil"/>
              <w:left w:val="nil"/>
              <w:bottom w:val="single" w:sz="4" w:space="0" w:color="auto"/>
              <w:right w:val="single" w:sz="4" w:space="0" w:color="auto"/>
            </w:tcBorders>
            <w:shd w:val="clear" w:color="auto" w:fill="auto"/>
            <w:noWrap/>
            <w:vAlign w:val="center"/>
            <w:hideMark/>
          </w:tcPr>
          <w:p w14:paraId="361FAF62"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Supervisión de Entidades No Sistémicas</w:t>
            </w:r>
          </w:p>
        </w:tc>
        <w:tc>
          <w:tcPr>
            <w:tcW w:w="1088" w:type="dxa"/>
            <w:tcBorders>
              <w:top w:val="nil"/>
              <w:left w:val="nil"/>
              <w:bottom w:val="single" w:sz="4" w:space="0" w:color="auto"/>
              <w:right w:val="single" w:sz="4" w:space="0" w:color="auto"/>
            </w:tcBorders>
            <w:shd w:val="clear" w:color="auto" w:fill="auto"/>
            <w:vAlign w:val="center"/>
            <w:hideMark/>
          </w:tcPr>
          <w:p w14:paraId="789802E3"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Supervisión de Entidades No Sistémicas: Microcréditos</w:t>
            </w:r>
          </w:p>
        </w:tc>
        <w:tc>
          <w:tcPr>
            <w:tcW w:w="0" w:type="auto"/>
            <w:tcBorders>
              <w:top w:val="nil"/>
              <w:left w:val="nil"/>
              <w:bottom w:val="single" w:sz="4" w:space="0" w:color="auto"/>
              <w:right w:val="single" w:sz="4" w:space="0" w:color="auto"/>
            </w:tcBorders>
            <w:shd w:val="clear" w:color="auto" w:fill="auto"/>
            <w:vAlign w:val="center"/>
            <w:hideMark/>
          </w:tcPr>
          <w:p w14:paraId="7AB3B8D2"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Avance según Supervisión</w:t>
            </w:r>
          </w:p>
        </w:tc>
        <w:tc>
          <w:tcPr>
            <w:tcW w:w="0" w:type="auto"/>
            <w:tcBorders>
              <w:top w:val="nil"/>
              <w:left w:val="nil"/>
              <w:bottom w:val="single" w:sz="4" w:space="0" w:color="auto"/>
              <w:right w:val="single" w:sz="4" w:space="0" w:color="auto"/>
            </w:tcBorders>
            <w:shd w:val="clear" w:color="auto" w:fill="auto"/>
            <w:noWrap/>
            <w:vAlign w:val="center"/>
            <w:hideMark/>
          </w:tcPr>
          <w:p w14:paraId="5BC641F4"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5FDD1C9C"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409F66E3"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50%</w:t>
            </w:r>
          </w:p>
        </w:tc>
        <w:tc>
          <w:tcPr>
            <w:tcW w:w="0" w:type="auto"/>
            <w:tcBorders>
              <w:top w:val="nil"/>
              <w:left w:val="nil"/>
              <w:bottom w:val="single" w:sz="4" w:space="0" w:color="auto"/>
              <w:right w:val="single" w:sz="4" w:space="0" w:color="auto"/>
            </w:tcBorders>
            <w:shd w:val="clear" w:color="auto" w:fill="auto"/>
            <w:noWrap/>
            <w:vAlign w:val="center"/>
            <w:hideMark/>
          </w:tcPr>
          <w:p w14:paraId="3E3AE09E"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50%</w:t>
            </w:r>
          </w:p>
        </w:tc>
        <w:tc>
          <w:tcPr>
            <w:tcW w:w="0" w:type="auto"/>
            <w:tcBorders>
              <w:top w:val="nil"/>
              <w:left w:val="nil"/>
              <w:bottom w:val="single" w:sz="4" w:space="0" w:color="auto"/>
              <w:right w:val="single" w:sz="4" w:space="0" w:color="auto"/>
            </w:tcBorders>
            <w:shd w:val="clear" w:color="auto" w:fill="auto"/>
            <w:noWrap/>
            <w:vAlign w:val="center"/>
            <w:hideMark/>
          </w:tcPr>
          <w:p w14:paraId="73C7D22E"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r>
      <w:tr w:rsidR="003938E1" w:rsidRPr="006A0747" w14:paraId="6EF2C64D" w14:textId="77777777" w:rsidTr="00665334">
        <w:trPr>
          <w:trHeight w:val="96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7FB9E990"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42</w:t>
            </w:r>
          </w:p>
        </w:tc>
        <w:tc>
          <w:tcPr>
            <w:tcW w:w="1187" w:type="dxa"/>
            <w:tcBorders>
              <w:top w:val="nil"/>
              <w:left w:val="nil"/>
              <w:bottom w:val="single" w:sz="4" w:space="0" w:color="auto"/>
              <w:right w:val="single" w:sz="4" w:space="0" w:color="auto"/>
            </w:tcBorders>
            <w:shd w:val="clear" w:color="auto" w:fill="auto"/>
            <w:noWrap/>
            <w:vAlign w:val="center"/>
            <w:hideMark/>
          </w:tcPr>
          <w:p w14:paraId="1A423EB0"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Supervisión de Entidades No Sistémicas</w:t>
            </w:r>
          </w:p>
        </w:tc>
        <w:tc>
          <w:tcPr>
            <w:tcW w:w="1088" w:type="dxa"/>
            <w:tcBorders>
              <w:top w:val="nil"/>
              <w:left w:val="nil"/>
              <w:bottom w:val="single" w:sz="4" w:space="0" w:color="auto"/>
              <w:right w:val="single" w:sz="4" w:space="0" w:color="auto"/>
            </w:tcBorders>
            <w:shd w:val="clear" w:color="auto" w:fill="auto"/>
            <w:vAlign w:val="center"/>
            <w:hideMark/>
          </w:tcPr>
          <w:p w14:paraId="7A6BA5B3"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 xml:space="preserve">Supervisión Entidades No Sistémicas: Agentes de </w:t>
            </w:r>
            <w:r w:rsidRPr="006A0747">
              <w:rPr>
                <w:rFonts w:ascii="Times New Roman" w:eastAsia="Times New Roman" w:hAnsi="Times New Roman" w:cs="Times New Roman"/>
                <w:color w:val="767171"/>
                <w:sz w:val="24"/>
                <w:szCs w:val="24"/>
                <w:lang w:eastAsia="es-DO"/>
              </w:rPr>
              <w:lastRenderedPageBreak/>
              <w:t>Cambio, Remesadoras, SIC y otros.</w:t>
            </w:r>
          </w:p>
        </w:tc>
        <w:tc>
          <w:tcPr>
            <w:tcW w:w="0" w:type="auto"/>
            <w:tcBorders>
              <w:top w:val="nil"/>
              <w:left w:val="nil"/>
              <w:bottom w:val="single" w:sz="4" w:space="0" w:color="auto"/>
              <w:right w:val="single" w:sz="4" w:space="0" w:color="auto"/>
            </w:tcBorders>
            <w:shd w:val="clear" w:color="auto" w:fill="auto"/>
            <w:vAlign w:val="center"/>
            <w:hideMark/>
          </w:tcPr>
          <w:p w14:paraId="0EC0B3F9"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lastRenderedPageBreak/>
              <w:t>Porcentaje de Avance según Supervisión</w:t>
            </w:r>
          </w:p>
        </w:tc>
        <w:tc>
          <w:tcPr>
            <w:tcW w:w="0" w:type="auto"/>
            <w:tcBorders>
              <w:top w:val="nil"/>
              <w:left w:val="nil"/>
              <w:bottom w:val="single" w:sz="4" w:space="0" w:color="auto"/>
              <w:right w:val="single" w:sz="4" w:space="0" w:color="auto"/>
            </w:tcBorders>
            <w:shd w:val="clear" w:color="auto" w:fill="auto"/>
            <w:noWrap/>
            <w:vAlign w:val="center"/>
            <w:hideMark/>
          </w:tcPr>
          <w:p w14:paraId="11C51952"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51692BAA"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4ABD0088"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48%</w:t>
            </w:r>
          </w:p>
        </w:tc>
        <w:tc>
          <w:tcPr>
            <w:tcW w:w="0" w:type="auto"/>
            <w:tcBorders>
              <w:top w:val="nil"/>
              <w:left w:val="nil"/>
              <w:bottom w:val="single" w:sz="4" w:space="0" w:color="auto"/>
              <w:right w:val="single" w:sz="4" w:space="0" w:color="auto"/>
            </w:tcBorders>
            <w:shd w:val="clear" w:color="auto" w:fill="auto"/>
            <w:noWrap/>
            <w:vAlign w:val="center"/>
            <w:hideMark/>
          </w:tcPr>
          <w:p w14:paraId="4FCA5133"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48%</w:t>
            </w:r>
          </w:p>
        </w:tc>
        <w:tc>
          <w:tcPr>
            <w:tcW w:w="0" w:type="auto"/>
            <w:tcBorders>
              <w:top w:val="nil"/>
              <w:left w:val="nil"/>
              <w:bottom w:val="single" w:sz="4" w:space="0" w:color="auto"/>
              <w:right w:val="single" w:sz="4" w:space="0" w:color="auto"/>
            </w:tcBorders>
            <w:shd w:val="clear" w:color="auto" w:fill="auto"/>
            <w:noWrap/>
            <w:vAlign w:val="center"/>
            <w:hideMark/>
          </w:tcPr>
          <w:p w14:paraId="1F99EBAB"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r>
      <w:tr w:rsidR="003938E1" w:rsidRPr="006A0747" w14:paraId="50BAC9ED" w14:textId="77777777" w:rsidTr="00665334">
        <w:trPr>
          <w:trHeight w:val="72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72AE673D"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43</w:t>
            </w:r>
          </w:p>
        </w:tc>
        <w:tc>
          <w:tcPr>
            <w:tcW w:w="1187" w:type="dxa"/>
            <w:tcBorders>
              <w:top w:val="nil"/>
              <w:left w:val="nil"/>
              <w:bottom w:val="single" w:sz="4" w:space="0" w:color="auto"/>
              <w:right w:val="single" w:sz="4" w:space="0" w:color="auto"/>
            </w:tcBorders>
            <w:shd w:val="clear" w:color="auto" w:fill="auto"/>
            <w:noWrap/>
            <w:vAlign w:val="center"/>
            <w:hideMark/>
          </w:tcPr>
          <w:p w14:paraId="27BB8553"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Supervisión de Entidades No Sistémicas</w:t>
            </w:r>
          </w:p>
        </w:tc>
        <w:tc>
          <w:tcPr>
            <w:tcW w:w="1088" w:type="dxa"/>
            <w:tcBorders>
              <w:top w:val="nil"/>
              <w:left w:val="nil"/>
              <w:bottom w:val="single" w:sz="4" w:space="0" w:color="auto"/>
              <w:right w:val="single" w:sz="4" w:space="0" w:color="auto"/>
            </w:tcBorders>
            <w:shd w:val="clear" w:color="auto" w:fill="auto"/>
            <w:vAlign w:val="center"/>
            <w:hideMark/>
          </w:tcPr>
          <w:p w14:paraId="5FF685DC"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Supervisión Entidades No Sistémicas: Asociaciones de Ahorros &amp; Préstamos Norte</w:t>
            </w:r>
          </w:p>
        </w:tc>
        <w:tc>
          <w:tcPr>
            <w:tcW w:w="0" w:type="auto"/>
            <w:tcBorders>
              <w:top w:val="nil"/>
              <w:left w:val="nil"/>
              <w:bottom w:val="single" w:sz="4" w:space="0" w:color="auto"/>
              <w:right w:val="single" w:sz="4" w:space="0" w:color="auto"/>
            </w:tcBorders>
            <w:shd w:val="clear" w:color="auto" w:fill="auto"/>
            <w:vAlign w:val="center"/>
            <w:hideMark/>
          </w:tcPr>
          <w:p w14:paraId="0F7A386B"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Avance según Supervisión</w:t>
            </w:r>
          </w:p>
        </w:tc>
        <w:tc>
          <w:tcPr>
            <w:tcW w:w="0" w:type="auto"/>
            <w:tcBorders>
              <w:top w:val="nil"/>
              <w:left w:val="nil"/>
              <w:bottom w:val="single" w:sz="4" w:space="0" w:color="auto"/>
              <w:right w:val="single" w:sz="4" w:space="0" w:color="auto"/>
            </w:tcBorders>
            <w:shd w:val="clear" w:color="auto" w:fill="auto"/>
            <w:noWrap/>
            <w:vAlign w:val="center"/>
            <w:hideMark/>
          </w:tcPr>
          <w:p w14:paraId="5ED31F23"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645E5961"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1297CC03"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50%</w:t>
            </w:r>
          </w:p>
        </w:tc>
        <w:tc>
          <w:tcPr>
            <w:tcW w:w="0" w:type="auto"/>
            <w:tcBorders>
              <w:top w:val="nil"/>
              <w:left w:val="nil"/>
              <w:bottom w:val="single" w:sz="4" w:space="0" w:color="auto"/>
              <w:right w:val="single" w:sz="4" w:space="0" w:color="auto"/>
            </w:tcBorders>
            <w:shd w:val="clear" w:color="auto" w:fill="auto"/>
            <w:noWrap/>
            <w:vAlign w:val="center"/>
            <w:hideMark/>
          </w:tcPr>
          <w:p w14:paraId="647A4689"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50%</w:t>
            </w:r>
          </w:p>
        </w:tc>
        <w:tc>
          <w:tcPr>
            <w:tcW w:w="0" w:type="auto"/>
            <w:tcBorders>
              <w:top w:val="nil"/>
              <w:left w:val="nil"/>
              <w:bottom w:val="single" w:sz="4" w:space="0" w:color="auto"/>
              <w:right w:val="single" w:sz="4" w:space="0" w:color="auto"/>
            </w:tcBorders>
            <w:shd w:val="clear" w:color="auto" w:fill="auto"/>
            <w:noWrap/>
            <w:vAlign w:val="center"/>
            <w:hideMark/>
          </w:tcPr>
          <w:p w14:paraId="41F0DF7E"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r>
      <w:tr w:rsidR="003938E1" w:rsidRPr="006A0747" w14:paraId="288F42D6" w14:textId="77777777" w:rsidTr="00665334">
        <w:trPr>
          <w:trHeight w:val="72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28E16B2E"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44</w:t>
            </w:r>
          </w:p>
        </w:tc>
        <w:tc>
          <w:tcPr>
            <w:tcW w:w="1187" w:type="dxa"/>
            <w:tcBorders>
              <w:top w:val="nil"/>
              <w:left w:val="nil"/>
              <w:bottom w:val="single" w:sz="4" w:space="0" w:color="auto"/>
              <w:right w:val="single" w:sz="4" w:space="0" w:color="auto"/>
            </w:tcBorders>
            <w:shd w:val="clear" w:color="auto" w:fill="auto"/>
            <w:noWrap/>
            <w:vAlign w:val="center"/>
            <w:hideMark/>
          </w:tcPr>
          <w:p w14:paraId="6AD994A2"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Supervisión de Entidades No Sistémicas</w:t>
            </w:r>
          </w:p>
        </w:tc>
        <w:tc>
          <w:tcPr>
            <w:tcW w:w="1088" w:type="dxa"/>
            <w:tcBorders>
              <w:top w:val="nil"/>
              <w:left w:val="nil"/>
              <w:bottom w:val="single" w:sz="4" w:space="0" w:color="auto"/>
              <w:right w:val="single" w:sz="4" w:space="0" w:color="auto"/>
            </w:tcBorders>
            <w:shd w:val="clear" w:color="auto" w:fill="auto"/>
            <w:vAlign w:val="center"/>
            <w:hideMark/>
          </w:tcPr>
          <w:p w14:paraId="3827EB49"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Supervisión Entidades No Sistémicas: Asociaciones de Ahorros y Préstamos Sur</w:t>
            </w:r>
          </w:p>
        </w:tc>
        <w:tc>
          <w:tcPr>
            <w:tcW w:w="0" w:type="auto"/>
            <w:tcBorders>
              <w:top w:val="nil"/>
              <w:left w:val="nil"/>
              <w:bottom w:val="single" w:sz="4" w:space="0" w:color="auto"/>
              <w:right w:val="single" w:sz="4" w:space="0" w:color="auto"/>
            </w:tcBorders>
            <w:shd w:val="clear" w:color="auto" w:fill="auto"/>
            <w:vAlign w:val="center"/>
            <w:hideMark/>
          </w:tcPr>
          <w:p w14:paraId="6E7A20AA"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Avance según Supervisión</w:t>
            </w:r>
          </w:p>
        </w:tc>
        <w:tc>
          <w:tcPr>
            <w:tcW w:w="0" w:type="auto"/>
            <w:tcBorders>
              <w:top w:val="nil"/>
              <w:left w:val="nil"/>
              <w:bottom w:val="single" w:sz="4" w:space="0" w:color="auto"/>
              <w:right w:val="single" w:sz="4" w:space="0" w:color="auto"/>
            </w:tcBorders>
            <w:shd w:val="clear" w:color="auto" w:fill="auto"/>
            <w:noWrap/>
            <w:vAlign w:val="center"/>
            <w:hideMark/>
          </w:tcPr>
          <w:p w14:paraId="5E440F18"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7403F6F0"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5725529E"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50%</w:t>
            </w:r>
          </w:p>
        </w:tc>
        <w:tc>
          <w:tcPr>
            <w:tcW w:w="0" w:type="auto"/>
            <w:tcBorders>
              <w:top w:val="nil"/>
              <w:left w:val="nil"/>
              <w:bottom w:val="single" w:sz="4" w:space="0" w:color="auto"/>
              <w:right w:val="single" w:sz="4" w:space="0" w:color="auto"/>
            </w:tcBorders>
            <w:shd w:val="clear" w:color="auto" w:fill="auto"/>
            <w:noWrap/>
            <w:vAlign w:val="center"/>
            <w:hideMark/>
          </w:tcPr>
          <w:p w14:paraId="4DDF53EF"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50%</w:t>
            </w:r>
          </w:p>
        </w:tc>
        <w:tc>
          <w:tcPr>
            <w:tcW w:w="0" w:type="auto"/>
            <w:tcBorders>
              <w:top w:val="nil"/>
              <w:left w:val="nil"/>
              <w:bottom w:val="single" w:sz="4" w:space="0" w:color="auto"/>
              <w:right w:val="single" w:sz="4" w:space="0" w:color="auto"/>
            </w:tcBorders>
            <w:shd w:val="clear" w:color="auto" w:fill="auto"/>
            <w:noWrap/>
            <w:vAlign w:val="center"/>
            <w:hideMark/>
          </w:tcPr>
          <w:p w14:paraId="0BA3DE2E"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r>
      <w:tr w:rsidR="003938E1" w:rsidRPr="006A0747" w14:paraId="28846B37" w14:textId="77777777" w:rsidTr="00665334">
        <w:trPr>
          <w:trHeight w:val="72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1B03C118"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45</w:t>
            </w:r>
          </w:p>
        </w:tc>
        <w:tc>
          <w:tcPr>
            <w:tcW w:w="1187" w:type="dxa"/>
            <w:tcBorders>
              <w:top w:val="nil"/>
              <w:left w:val="nil"/>
              <w:bottom w:val="single" w:sz="4" w:space="0" w:color="auto"/>
              <w:right w:val="single" w:sz="4" w:space="0" w:color="auto"/>
            </w:tcBorders>
            <w:shd w:val="clear" w:color="auto" w:fill="auto"/>
            <w:noWrap/>
            <w:vAlign w:val="center"/>
            <w:hideMark/>
          </w:tcPr>
          <w:p w14:paraId="7A1375C7"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Supervisión de Entidades No Sistémicas</w:t>
            </w:r>
          </w:p>
        </w:tc>
        <w:tc>
          <w:tcPr>
            <w:tcW w:w="1088" w:type="dxa"/>
            <w:tcBorders>
              <w:top w:val="nil"/>
              <w:left w:val="nil"/>
              <w:bottom w:val="single" w:sz="4" w:space="0" w:color="auto"/>
              <w:right w:val="single" w:sz="4" w:space="0" w:color="auto"/>
            </w:tcBorders>
            <w:shd w:val="clear" w:color="auto" w:fill="auto"/>
            <w:vAlign w:val="center"/>
            <w:hideMark/>
          </w:tcPr>
          <w:p w14:paraId="579A5F1C"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Supervisión Entidades No Sistémicas: Corporaciones y otros</w:t>
            </w:r>
          </w:p>
        </w:tc>
        <w:tc>
          <w:tcPr>
            <w:tcW w:w="0" w:type="auto"/>
            <w:tcBorders>
              <w:top w:val="nil"/>
              <w:left w:val="nil"/>
              <w:bottom w:val="single" w:sz="4" w:space="0" w:color="auto"/>
              <w:right w:val="single" w:sz="4" w:space="0" w:color="auto"/>
            </w:tcBorders>
            <w:shd w:val="clear" w:color="auto" w:fill="auto"/>
            <w:vAlign w:val="center"/>
            <w:hideMark/>
          </w:tcPr>
          <w:p w14:paraId="583F8CE9"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Avance según Supervisión</w:t>
            </w:r>
          </w:p>
        </w:tc>
        <w:tc>
          <w:tcPr>
            <w:tcW w:w="0" w:type="auto"/>
            <w:tcBorders>
              <w:top w:val="nil"/>
              <w:left w:val="nil"/>
              <w:bottom w:val="single" w:sz="4" w:space="0" w:color="auto"/>
              <w:right w:val="single" w:sz="4" w:space="0" w:color="auto"/>
            </w:tcBorders>
            <w:shd w:val="clear" w:color="auto" w:fill="auto"/>
            <w:noWrap/>
            <w:vAlign w:val="center"/>
            <w:hideMark/>
          </w:tcPr>
          <w:p w14:paraId="190DBB63"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3EDA784B"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5E4598FB"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45%</w:t>
            </w:r>
          </w:p>
        </w:tc>
        <w:tc>
          <w:tcPr>
            <w:tcW w:w="0" w:type="auto"/>
            <w:tcBorders>
              <w:top w:val="nil"/>
              <w:left w:val="nil"/>
              <w:bottom w:val="single" w:sz="4" w:space="0" w:color="auto"/>
              <w:right w:val="single" w:sz="4" w:space="0" w:color="auto"/>
            </w:tcBorders>
            <w:shd w:val="clear" w:color="auto" w:fill="auto"/>
            <w:noWrap/>
            <w:vAlign w:val="center"/>
            <w:hideMark/>
          </w:tcPr>
          <w:p w14:paraId="2F0AB6D1"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25%</w:t>
            </w:r>
          </w:p>
        </w:tc>
        <w:tc>
          <w:tcPr>
            <w:tcW w:w="0" w:type="auto"/>
            <w:tcBorders>
              <w:top w:val="nil"/>
              <w:left w:val="nil"/>
              <w:bottom w:val="single" w:sz="4" w:space="0" w:color="auto"/>
              <w:right w:val="single" w:sz="4" w:space="0" w:color="auto"/>
            </w:tcBorders>
            <w:shd w:val="clear" w:color="auto" w:fill="auto"/>
            <w:noWrap/>
            <w:vAlign w:val="center"/>
            <w:hideMark/>
          </w:tcPr>
          <w:p w14:paraId="49143D67"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56%</w:t>
            </w:r>
          </w:p>
        </w:tc>
      </w:tr>
      <w:tr w:rsidR="003938E1" w:rsidRPr="006A0747" w14:paraId="19E48C69" w14:textId="77777777" w:rsidTr="00665334">
        <w:trPr>
          <w:trHeight w:val="48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7B11EBCD"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46</w:t>
            </w:r>
          </w:p>
        </w:tc>
        <w:tc>
          <w:tcPr>
            <w:tcW w:w="1187" w:type="dxa"/>
            <w:tcBorders>
              <w:top w:val="nil"/>
              <w:left w:val="nil"/>
              <w:bottom w:val="single" w:sz="4" w:space="0" w:color="auto"/>
              <w:right w:val="single" w:sz="4" w:space="0" w:color="auto"/>
            </w:tcBorders>
            <w:shd w:val="clear" w:color="auto" w:fill="auto"/>
            <w:noWrap/>
            <w:vAlign w:val="center"/>
            <w:hideMark/>
          </w:tcPr>
          <w:p w14:paraId="79901AF8"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 xml:space="preserve">Supervisión de Entidades </w:t>
            </w:r>
            <w:r w:rsidRPr="006A0747">
              <w:rPr>
                <w:rFonts w:ascii="Times New Roman" w:eastAsia="Times New Roman" w:hAnsi="Times New Roman" w:cs="Times New Roman"/>
                <w:color w:val="767171"/>
                <w:sz w:val="24"/>
                <w:szCs w:val="24"/>
                <w:lang w:eastAsia="es-DO"/>
              </w:rPr>
              <w:lastRenderedPageBreak/>
              <w:t>No Sistémicas</w:t>
            </w:r>
          </w:p>
        </w:tc>
        <w:tc>
          <w:tcPr>
            <w:tcW w:w="1088" w:type="dxa"/>
            <w:tcBorders>
              <w:top w:val="nil"/>
              <w:left w:val="nil"/>
              <w:bottom w:val="single" w:sz="4" w:space="0" w:color="auto"/>
              <w:right w:val="single" w:sz="4" w:space="0" w:color="auto"/>
            </w:tcBorders>
            <w:shd w:val="clear" w:color="auto" w:fill="auto"/>
            <w:vAlign w:val="center"/>
            <w:hideMark/>
          </w:tcPr>
          <w:p w14:paraId="286793E8"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lastRenderedPageBreak/>
              <w:t xml:space="preserve">Supervisión Entidades </w:t>
            </w:r>
            <w:r w:rsidRPr="006A0747">
              <w:rPr>
                <w:rFonts w:ascii="Times New Roman" w:eastAsia="Times New Roman" w:hAnsi="Times New Roman" w:cs="Times New Roman"/>
                <w:color w:val="767171"/>
                <w:sz w:val="24"/>
                <w:szCs w:val="24"/>
                <w:lang w:eastAsia="es-DO"/>
              </w:rPr>
              <w:lastRenderedPageBreak/>
              <w:t>No Sistémicas: Crédito Vehicular</w:t>
            </w:r>
          </w:p>
        </w:tc>
        <w:tc>
          <w:tcPr>
            <w:tcW w:w="0" w:type="auto"/>
            <w:tcBorders>
              <w:top w:val="nil"/>
              <w:left w:val="nil"/>
              <w:bottom w:val="single" w:sz="4" w:space="0" w:color="auto"/>
              <w:right w:val="single" w:sz="4" w:space="0" w:color="auto"/>
            </w:tcBorders>
            <w:shd w:val="clear" w:color="auto" w:fill="auto"/>
            <w:vAlign w:val="center"/>
            <w:hideMark/>
          </w:tcPr>
          <w:p w14:paraId="28A1EFD8"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lastRenderedPageBreak/>
              <w:t xml:space="preserve">Porcentaje de Avance </w:t>
            </w:r>
            <w:r w:rsidRPr="006A0747">
              <w:rPr>
                <w:rFonts w:ascii="Times New Roman" w:eastAsia="Times New Roman" w:hAnsi="Times New Roman" w:cs="Times New Roman"/>
                <w:color w:val="767171"/>
                <w:sz w:val="24"/>
                <w:szCs w:val="24"/>
                <w:lang w:eastAsia="es-DO"/>
              </w:rPr>
              <w:lastRenderedPageBreak/>
              <w:t>según Supervisión</w:t>
            </w:r>
          </w:p>
        </w:tc>
        <w:tc>
          <w:tcPr>
            <w:tcW w:w="0" w:type="auto"/>
            <w:tcBorders>
              <w:top w:val="nil"/>
              <w:left w:val="nil"/>
              <w:bottom w:val="single" w:sz="4" w:space="0" w:color="auto"/>
              <w:right w:val="single" w:sz="4" w:space="0" w:color="auto"/>
            </w:tcBorders>
            <w:shd w:val="clear" w:color="auto" w:fill="auto"/>
            <w:noWrap/>
            <w:vAlign w:val="center"/>
            <w:hideMark/>
          </w:tcPr>
          <w:p w14:paraId="677AECA9"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lastRenderedPageBreak/>
              <w:t>Anual</w:t>
            </w:r>
          </w:p>
        </w:tc>
        <w:tc>
          <w:tcPr>
            <w:tcW w:w="0" w:type="auto"/>
            <w:tcBorders>
              <w:top w:val="nil"/>
              <w:left w:val="nil"/>
              <w:bottom w:val="single" w:sz="4" w:space="0" w:color="auto"/>
              <w:right w:val="single" w:sz="4" w:space="0" w:color="auto"/>
            </w:tcBorders>
            <w:shd w:val="clear" w:color="auto" w:fill="auto"/>
            <w:noWrap/>
            <w:vAlign w:val="center"/>
            <w:hideMark/>
          </w:tcPr>
          <w:p w14:paraId="71D5FC43"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393B939F"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25%</w:t>
            </w:r>
          </w:p>
        </w:tc>
        <w:tc>
          <w:tcPr>
            <w:tcW w:w="0" w:type="auto"/>
            <w:tcBorders>
              <w:top w:val="nil"/>
              <w:left w:val="nil"/>
              <w:bottom w:val="single" w:sz="4" w:space="0" w:color="auto"/>
              <w:right w:val="single" w:sz="4" w:space="0" w:color="auto"/>
            </w:tcBorders>
            <w:shd w:val="clear" w:color="auto" w:fill="auto"/>
            <w:noWrap/>
            <w:vAlign w:val="center"/>
            <w:hideMark/>
          </w:tcPr>
          <w:p w14:paraId="3D9B0936"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25%</w:t>
            </w:r>
          </w:p>
        </w:tc>
        <w:tc>
          <w:tcPr>
            <w:tcW w:w="0" w:type="auto"/>
            <w:tcBorders>
              <w:top w:val="nil"/>
              <w:left w:val="nil"/>
              <w:bottom w:val="single" w:sz="4" w:space="0" w:color="auto"/>
              <w:right w:val="single" w:sz="4" w:space="0" w:color="auto"/>
            </w:tcBorders>
            <w:shd w:val="clear" w:color="auto" w:fill="auto"/>
            <w:noWrap/>
            <w:vAlign w:val="center"/>
            <w:hideMark/>
          </w:tcPr>
          <w:p w14:paraId="7FBD3D45"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r>
      <w:tr w:rsidR="003938E1" w:rsidRPr="006A0747" w14:paraId="4F6F859B" w14:textId="77777777" w:rsidTr="00665334">
        <w:trPr>
          <w:trHeight w:val="72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6FEB53DC"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47</w:t>
            </w:r>
          </w:p>
        </w:tc>
        <w:tc>
          <w:tcPr>
            <w:tcW w:w="1187" w:type="dxa"/>
            <w:tcBorders>
              <w:top w:val="nil"/>
              <w:left w:val="nil"/>
              <w:bottom w:val="single" w:sz="4" w:space="0" w:color="auto"/>
              <w:right w:val="single" w:sz="4" w:space="0" w:color="auto"/>
            </w:tcBorders>
            <w:shd w:val="clear" w:color="auto" w:fill="auto"/>
            <w:noWrap/>
            <w:vAlign w:val="center"/>
            <w:hideMark/>
          </w:tcPr>
          <w:p w14:paraId="31FD1635"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Supervisión de Entidades No Sistémicas</w:t>
            </w:r>
          </w:p>
        </w:tc>
        <w:tc>
          <w:tcPr>
            <w:tcW w:w="1088" w:type="dxa"/>
            <w:tcBorders>
              <w:top w:val="nil"/>
              <w:left w:val="nil"/>
              <w:bottom w:val="single" w:sz="4" w:space="0" w:color="auto"/>
              <w:right w:val="single" w:sz="4" w:space="0" w:color="auto"/>
            </w:tcBorders>
            <w:shd w:val="clear" w:color="auto" w:fill="auto"/>
            <w:vAlign w:val="center"/>
            <w:hideMark/>
          </w:tcPr>
          <w:p w14:paraId="5549CFB0"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Supervisión Entidades No Sistémicas: Bancos Múltiples Emergentes</w:t>
            </w:r>
          </w:p>
        </w:tc>
        <w:tc>
          <w:tcPr>
            <w:tcW w:w="0" w:type="auto"/>
            <w:tcBorders>
              <w:top w:val="nil"/>
              <w:left w:val="nil"/>
              <w:bottom w:val="single" w:sz="4" w:space="0" w:color="auto"/>
              <w:right w:val="single" w:sz="4" w:space="0" w:color="auto"/>
            </w:tcBorders>
            <w:shd w:val="clear" w:color="auto" w:fill="auto"/>
            <w:vAlign w:val="center"/>
            <w:hideMark/>
          </w:tcPr>
          <w:p w14:paraId="0BB16403"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Avance según Supervisión</w:t>
            </w:r>
          </w:p>
        </w:tc>
        <w:tc>
          <w:tcPr>
            <w:tcW w:w="0" w:type="auto"/>
            <w:tcBorders>
              <w:top w:val="nil"/>
              <w:left w:val="nil"/>
              <w:bottom w:val="single" w:sz="4" w:space="0" w:color="auto"/>
              <w:right w:val="single" w:sz="4" w:space="0" w:color="auto"/>
            </w:tcBorders>
            <w:shd w:val="clear" w:color="auto" w:fill="auto"/>
            <w:noWrap/>
            <w:vAlign w:val="center"/>
            <w:hideMark/>
          </w:tcPr>
          <w:p w14:paraId="2F568F19"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26BC7AEA"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27C42BC4"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50%</w:t>
            </w:r>
          </w:p>
        </w:tc>
        <w:tc>
          <w:tcPr>
            <w:tcW w:w="0" w:type="auto"/>
            <w:tcBorders>
              <w:top w:val="nil"/>
              <w:left w:val="nil"/>
              <w:bottom w:val="single" w:sz="4" w:space="0" w:color="auto"/>
              <w:right w:val="single" w:sz="4" w:space="0" w:color="auto"/>
            </w:tcBorders>
            <w:shd w:val="clear" w:color="auto" w:fill="auto"/>
            <w:noWrap/>
            <w:vAlign w:val="center"/>
            <w:hideMark/>
          </w:tcPr>
          <w:p w14:paraId="2BCFBFFE"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50%</w:t>
            </w:r>
          </w:p>
        </w:tc>
        <w:tc>
          <w:tcPr>
            <w:tcW w:w="0" w:type="auto"/>
            <w:tcBorders>
              <w:top w:val="nil"/>
              <w:left w:val="nil"/>
              <w:bottom w:val="single" w:sz="4" w:space="0" w:color="auto"/>
              <w:right w:val="single" w:sz="4" w:space="0" w:color="auto"/>
            </w:tcBorders>
            <w:shd w:val="clear" w:color="auto" w:fill="auto"/>
            <w:noWrap/>
            <w:vAlign w:val="center"/>
            <w:hideMark/>
          </w:tcPr>
          <w:p w14:paraId="5C05392E"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r>
      <w:tr w:rsidR="003938E1" w:rsidRPr="006A0747" w14:paraId="10B82885" w14:textId="77777777" w:rsidTr="00665334">
        <w:trPr>
          <w:trHeight w:val="48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04657ABB"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48</w:t>
            </w:r>
          </w:p>
        </w:tc>
        <w:tc>
          <w:tcPr>
            <w:tcW w:w="1187" w:type="dxa"/>
            <w:tcBorders>
              <w:top w:val="nil"/>
              <w:left w:val="nil"/>
              <w:bottom w:val="single" w:sz="4" w:space="0" w:color="auto"/>
              <w:right w:val="single" w:sz="4" w:space="0" w:color="auto"/>
            </w:tcBorders>
            <w:shd w:val="clear" w:color="auto" w:fill="auto"/>
            <w:noWrap/>
            <w:vAlign w:val="center"/>
            <w:hideMark/>
          </w:tcPr>
          <w:p w14:paraId="44220F3B"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Supervisión de Entidades No Sistémicas</w:t>
            </w:r>
          </w:p>
        </w:tc>
        <w:tc>
          <w:tcPr>
            <w:tcW w:w="1088" w:type="dxa"/>
            <w:tcBorders>
              <w:top w:val="nil"/>
              <w:left w:val="nil"/>
              <w:bottom w:val="single" w:sz="4" w:space="0" w:color="auto"/>
              <w:right w:val="single" w:sz="4" w:space="0" w:color="auto"/>
            </w:tcBorders>
            <w:shd w:val="clear" w:color="auto" w:fill="auto"/>
            <w:vAlign w:val="center"/>
            <w:hideMark/>
          </w:tcPr>
          <w:p w14:paraId="69AF2638"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Supervisión Entidades No Sistémicas: Regionales</w:t>
            </w:r>
          </w:p>
        </w:tc>
        <w:tc>
          <w:tcPr>
            <w:tcW w:w="0" w:type="auto"/>
            <w:tcBorders>
              <w:top w:val="nil"/>
              <w:left w:val="nil"/>
              <w:bottom w:val="single" w:sz="4" w:space="0" w:color="auto"/>
              <w:right w:val="single" w:sz="4" w:space="0" w:color="auto"/>
            </w:tcBorders>
            <w:shd w:val="clear" w:color="auto" w:fill="auto"/>
            <w:vAlign w:val="center"/>
            <w:hideMark/>
          </w:tcPr>
          <w:p w14:paraId="7F5A1FBC"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Avance según Supervisión</w:t>
            </w:r>
          </w:p>
        </w:tc>
        <w:tc>
          <w:tcPr>
            <w:tcW w:w="0" w:type="auto"/>
            <w:tcBorders>
              <w:top w:val="nil"/>
              <w:left w:val="nil"/>
              <w:bottom w:val="single" w:sz="4" w:space="0" w:color="auto"/>
              <w:right w:val="single" w:sz="4" w:space="0" w:color="auto"/>
            </w:tcBorders>
            <w:shd w:val="clear" w:color="auto" w:fill="auto"/>
            <w:noWrap/>
            <w:vAlign w:val="center"/>
            <w:hideMark/>
          </w:tcPr>
          <w:p w14:paraId="3F8076FE"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3E61C651"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4801D550"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45%</w:t>
            </w:r>
          </w:p>
        </w:tc>
        <w:tc>
          <w:tcPr>
            <w:tcW w:w="0" w:type="auto"/>
            <w:tcBorders>
              <w:top w:val="nil"/>
              <w:left w:val="nil"/>
              <w:bottom w:val="single" w:sz="4" w:space="0" w:color="auto"/>
              <w:right w:val="single" w:sz="4" w:space="0" w:color="auto"/>
            </w:tcBorders>
            <w:shd w:val="clear" w:color="auto" w:fill="auto"/>
            <w:noWrap/>
            <w:vAlign w:val="center"/>
            <w:hideMark/>
          </w:tcPr>
          <w:p w14:paraId="09612745" w14:textId="6BDDDDB5" w:rsidR="003938E1" w:rsidRPr="006A0747" w:rsidRDefault="007701BF">
            <w:pPr>
              <w:spacing w:after="0" w:line="240" w:lineRule="auto"/>
              <w:jc w:val="center"/>
              <w:rPr>
                <w:rFonts w:ascii="Times New Roman" w:eastAsia="Times New Roman" w:hAnsi="Times New Roman" w:cs="Times New Roman"/>
                <w:color w:val="767171"/>
                <w:sz w:val="24"/>
                <w:szCs w:val="24"/>
                <w:lang w:eastAsia="es-DO"/>
              </w:rPr>
            </w:pPr>
            <w:r>
              <w:rPr>
                <w:rFonts w:ascii="Times New Roman" w:eastAsia="Times New Roman" w:hAnsi="Times New Roman" w:cs="Times New Roman"/>
                <w:color w:val="767171"/>
                <w:sz w:val="24"/>
                <w:szCs w:val="24"/>
                <w:lang w:eastAsia="es-DO"/>
              </w:rPr>
              <w:t>45</w:t>
            </w:r>
            <w:r w:rsidR="003938E1" w:rsidRPr="006A0747">
              <w:rPr>
                <w:rFonts w:ascii="Times New Roman" w:eastAsia="Times New Roman" w:hAnsi="Times New Roman" w:cs="Times New Roman"/>
                <w:color w:val="767171"/>
                <w:sz w:val="24"/>
                <w:szCs w:val="24"/>
                <w:lang w:eastAsia="es-DO"/>
              </w:rPr>
              <w:t>%</w:t>
            </w:r>
          </w:p>
        </w:tc>
        <w:tc>
          <w:tcPr>
            <w:tcW w:w="0" w:type="auto"/>
            <w:tcBorders>
              <w:top w:val="nil"/>
              <w:left w:val="nil"/>
              <w:bottom w:val="single" w:sz="4" w:space="0" w:color="auto"/>
              <w:right w:val="single" w:sz="4" w:space="0" w:color="auto"/>
            </w:tcBorders>
            <w:shd w:val="clear" w:color="auto" w:fill="auto"/>
            <w:noWrap/>
            <w:vAlign w:val="center"/>
            <w:hideMark/>
          </w:tcPr>
          <w:p w14:paraId="6F2C474C" w14:textId="4DD348D3" w:rsidR="003938E1" w:rsidRPr="006A0747" w:rsidRDefault="007701BF">
            <w:pPr>
              <w:spacing w:after="0" w:line="240" w:lineRule="auto"/>
              <w:jc w:val="center"/>
              <w:rPr>
                <w:rFonts w:ascii="Times New Roman" w:eastAsia="Times New Roman" w:hAnsi="Times New Roman" w:cs="Times New Roman"/>
                <w:color w:val="767171"/>
                <w:sz w:val="24"/>
                <w:szCs w:val="24"/>
                <w:lang w:eastAsia="es-DO"/>
              </w:rPr>
            </w:pPr>
            <w:r>
              <w:rPr>
                <w:rFonts w:ascii="Times New Roman" w:eastAsia="Times New Roman" w:hAnsi="Times New Roman" w:cs="Times New Roman"/>
                <w:color w:val="767171"/>
                <w:sz w:val="24"/>
                <w:szCs w:val="24"/>
                <w:lang w:eastAsia="es-DO"/>
              </w:rPr>
              <w:t>100</w:t>
            </w:r>
            <w:r w:rsidR="003938E1" w:rsidRPr="006A0747">
              <w:rPr>
                <w:rFonts w:ascii="Times New Roman" w:eastAsia="Times New Roman" w:hAnsi="Times New Roman" w:cs="Times New Roman"/>
                <w:color w:val="767171"/>
                <w:sz w:val="24"/>
                <w:szCs w:val="24"/>
                <w:lang w:eastAsia="es-DO"/>
              </w:rPr>
              <w:t>%</w:t>
            </w:r>
          </w:p>
        </w:tc>
      </w:tr>
      <w:tr w:rsidR="003938E1" w:rsidRPr="006A0747" w14:paraId="2C1D10A4" w14:textId="77777777" w:rsidTr="00665334">
        <w:trPr>
          <w:trHeight w:val="72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03F73E2D"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49</w:t>
            </w:r>
          </w:p>
        </w:tc>
        <w:tc>
          <w:tcPr>
            <w:tcW w:w="1187" w:type="dxa"/>
            <w:tcBorders>
              <w:top w:val="nil"/>
              <w:left w:val="nil"/>
              <w:bottom w:val="single" w:sz="4" w:space="0" w:color="auto"/>
              <w:right w:val="single" w:sz="4" w:space="0" w:color="auto"/>
            </w:tcBorders>
            <w:shd w:val="clear" w:color="auto" w:fill="auto"/>
            <w:noWrap/>
            <w:vAlign w:val="center"/>
            <w:hideMark/>
          </w:tcPr>
          <w:p w14:paraId="3F18FF3E"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Supervisión de Entidades Sistémicas</w:t>
            </w:r>
          </w:p>
        </w:tc>
        <w:tc>
          <w:tcPr>
            <w:tcW w:w="1088" w:type="dxa"/>
            <w:tcBorders>
              <w:top w:val="nil"/>
              <w:left w:val="nil"/>
              <w:bottom w:val="single" w:sz="4" w:space="0" w:color="auto"/>
              <w:right w:val="single" w:sz="4" w:space="0" w:color="auto"/>
            </w:tcBorders>
            <w:shd w:val="clear" w:color="auto" w:fill="auto"/>
            <w:vAlign w:val="center"/>
            <w:hideMark/>
          </w:tcPr>
          <w:p w14:paraId="3D04BE85"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Supervisión de entidades sistémicas globales - canasta 5</w:t>
            </w:r>
          </w:p>
        </w:tc>
        <w:tc>
          <w:tcPr>
            <w:tcW w:w="0" w:type="auto"/>
            <w:tcBorders>
              <w:top w:val="nil"/>
              <w:left w:val="nil"/>
              <w:bottom w:val="single" w:sz="4" w:space="0" w:color="auto"/>
              <w:right w:val="single" w:sz="4" w:space="0" w:color="auto"/>
            </w:tcBorders>
            <w:shd w:val="clear" w:color="auto" w:fill="auto"/>
            <w:vAlign w:val="center"/>
            <w:hideMark/>
          </w:tcPr>
          <w:p w14:paraId="7A0DDBB7"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ejecución según hitos</w:t>
            </w:r>
          </w:p>
        </w:tc>
        <w:tc>
          <w:tcPr>
            <w:tcW w:w="0" w:type="auto"/>
            <w:tcBorders>
              <w:top w:val="nil"/>
              <w:left w:val="nil"/>
              <w:bottom w:val="single" w:sz="4" w:space="0" w:color="auto"/>
              <w:right w:val="single" w:sz="4" w:space="0" w:color="auto"/>
            </w:tcBorders>
            <w:shd w:val="clear" w:color="auto" w:fill="auto"/>
            <w:noWrap/>
            <w:vAlign w:val="center"/>
            <w:hideMark/>
          </w:tcPr>
          <w:p w14:paraId="00B2EECD"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6B7FD090"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217116F5"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60%</w:t>
            </w:r>
          </w:p>
        </w:tc>
        <w:tc>
          <w:tcPr>
            <w:tcW w:w="0" w:type="auto"/>
            <w:tcBorders>
              <w:top w:val="nil"/>
              <w:left w:val="nil"/>
              <w:bottom w:val="single" w:sz="4" w:space="0" w:color="auto"/>
              <w:right w:val="single" w:sz="4" w:space="0" w:color="auto"/>
            </w:tcBorders>
            <w:shd w:val="clear" w:color="auto" w:fill="auto"/>
            <w:noWrap/>
            <w:vAlign w:val="center"/>
            <w:hideMark/>
          </w:tcPr>
          <w:p w14:paraId="0A8A7093"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60%</w:t>
            </w:r>
          </w:p>
        </w:tc>
        <w:tc>
          <w:tcPr>
            <w:tcW w:w="0" w:type="auto"/>
            <w:tcBorders>
              <w:top w:val="nil"/>
              <w:left w:val="nil"/>
              <w:bottom w:val="single" w:sz="4" w:space="0" w:color="auto"/>
              <w:right w:val="single" w:sz="4" w:space="0" w:color="auto"/>
            </w:tcBorders>
            <w:shd w:val="clear" w:color="auto" w:fill="auto"/>
            <w:noWrap/>
            <w:vAlign w:val="center"/>
            <w:hideMark/>
          </w:tcPr>
          <w:p w14:paraId="7C0D7A63"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r>
      <w:tr w:rsidR="003938E1" w:rsidRPr="006A0747" w14:paraId="57EEBBD5" w14:textId="77777777" w:rsidTr="00665334">
        <w:trPr>
          <w:trHeight w:val="48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721433F9"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50</w:t>
            </w:r>
          </w:p>
        </w:tc>
        <w:tc>
          <w:tcPr>
            <w:tcW w:w="1187" w:type="dxa"/>
            <w:tcBorders>
              <w:top w:val="nil"/>
              <w:left w:val="nil"/>
              <w:bottom w:val="single" w:sz="4" w:space="0" w:color="auto"/>
              <w:right w:val="single" w:sz="4" w:space="0" w:color="auto"/>
            </w:tcBorders>
            <w:shd w:val="clear" w:color="auto" w:fill="auto"/>
            <w:noWrap/>
            <w:vAlign w:val="center"/>
            <w:hideMark/>
          </w:tcPr>
          <w:p w14:paraId="0C1AD3D7"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Supervisión de Entidades Sistémicas</w:t>
            </w:r>
          </w:p>
        </w:tc>
        <w:tc>
          <w:tcPr>
            <w:tcW w:w="1088" w:type="dxa"/>
            <w:tcBorders>
              <w:top w:val="nil"/>
              <w:left w:val="nil"/>
              <w:bottom w:val="single" w:sz="4" w:space="0" w:color="auto"/>
              <w:right w:val="single" w:sz="4" w:space="0" w:color="auto"/>
            </w:tcBorders>
            <w:shd w:val="clear" w:color="auto" w:fill="auto"/>
            <w:vAlign w:val="center"/>
            <w:hideMark/>
          </w:tcPr>
          <w:p w14:paraId="7C3DA6A9"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Supervisión de Entidades Sistémicas II - Canasta 3</w:t>
            </w:r>
          </w:p>
        </w:tc>
        <w:tc>
          <w:tcPr>
            <w:tcW w:w="0" w:type="auto"/>
            <w:tcBorders>
              <w:top w:val="nil"/>
              <w:left w:val="nil"/>
              <w:bottom w:val="single" w:sz="4" w:space="0" w:color="auto"/>
              <w:right w:val="single" w:sz="4" w:space="0" w:color="auto"/>
            </w:tcBorders>
            <w:shd w:val="clear" w:color="auto" w:fill="auto"/>
            <w:vAlign w:val="center"/>
            <w:hideMark/>
          </w:tcPr>
          <w:p w14:paraId="642F8D24"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Supervisión realizada según hitos</w:t>
            </w:r>
          </w:p>
        </w:tc>
        <w:tc>
          <w:tcPr>
            <w:tcW w:w="0" w:type="auto"/>
            <w:tcBorders>
              <w:top w:val="nil"/>
              <w:left w:val="nil"/>
              <w:bottom w:val="single" w:sz="4" w:space="0" w:color="auto"/>
              <w:right w:val="single" w:sz="4" w:space="0" w:color="auto"/>
            </w:tcBorders>
            <w:shd w:val="clear" w:color="auto" w:fill="auto"/>
            <w:noWrap/>
            <w:vAlign w:val="center"/>
            <w:hideMark/>
          </w:tcPr>
          <w:p w14:paraId="0F467FB7"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1E9E3698"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36A13804"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50%</w:t>
            </w:r>
          </w:p>
        </w:tc>
        <w:tc>
          <w:tcPr>
            <w:tcW w:w="0" w:type="auto"/>
            <w:tcBorders>
              <w:top w:val="nil"/>
              <w:left w:val="nil"/>
              <w:bottom w:val="single" w:sz="4" w:space="0" w:color="auto"/>
              <w:right w:val="single" w:sz="4" w:space="0" w:color="auto"/>
            </w:tcBorders>
            <w:shd w:val="clear" w:color="auto" w:fill="auto"/>
            <w:noWrap/>
            <w:vAlign w:val="center"/>
            <w:hideMark/>
          </w:tcPr>
          <w:p w14:paraId="61EEC047"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50%</w:t>
            </w:r>
          </w:p>
        </w:tc>
        <w:tc>
          <w:tcPr>
            <w:tcW w:w="0" w:type="auto"/>
            <w:tcBorders>
              <w:top w:val="nil"/>
              <w:left w:val="nil"/>
              <w:bottom w:val="single" w:sz="4" w:space="0" w:color="auto"/>
              <w:right w:val="single" w:sz="4" w:space="0" w:color="auto"/>
            </w:tcBorders>
            <w:shd w:val="clear" w:color="auto" w:fill="auto"/>
            <w:noWrap/>
            <w:vAlign w:val="center"/>
            <w:hideMark/>
          </w:tcPr>
          <w:p w14:paraId="1F5340EE"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r>
      <w:tr w:rsidR="003938E1" w:rsidRPr="006A0747" w14:paraId="654B0A9D" w14:textId="77777777" w:rsidTr="00665334">
        <w:trPr>
          <w:trHeight w:val="48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7CA8BE41"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51</w:t>
            </w:r>
          </w:p>
        </w:tc>
        <w:tc>
          <w:tcPr>
            <w:tcW w:w="1187" w:type="dxa"/>
            <w:tcBorders>
              <w:top w:val="nil"/>
              <w:left w:val="nil"/>
              <w:bottom w:val="single" w:sz="4" w:space="0" w:color="auto"/>
              <w:right w:val="single" w:sz="4" w:space="0" w:color="auto"/>
            </w:tcBorders>
            <w:shd w:val="clear" w:color="auto" w:fill="auto"/>
            <w:noWrap/>
            <w:vAlign w:val="center"/>
            <w:hideMark/>
          </w:tcPr>
          <w:p w14:paraId="7097C8AF"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Supervisión de Entidades Sistémicas</w:t>
            </w:r>
          </w:p>
        </w:tc>
        <w:tc>
          <w:tcPr>
            <w:tcW w:w="1088" w:type="dxa"/>
            <w:tcBorders>
              <w:top w:val="nil"/>
              <w:left w:val="nil"/>
              <w:bottom w:val="single" w:sz="4" w:space="0" w:color="auto"/>
              <w:right w:val="single" w:sz="4" w:space="0" w:color="auto"/>
            </w:tcBorders>
            <w:shd w:val="clear" w:color="auto" w:fill="auto"/>
            <w:vAlign w:val="center"/>
            <w:hideMark/>
          </w:tcPr>
          <w:p w14:paraId="09FAD232"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Supervisión de Asociaciones Sistémica</w:t>
            </w:r>
            <w:r w:rsidRPr="006A0747">
              <w:rPr>
                <w:rFonts w:ascii="Times New Roman" w:eastAsia="Times New Roman" w:hAnsi="Times New Roman" w:cs="Times New Roman"/>
                <w:color w:val="767171"/>
                <w:sz w:val="24"/>
                <w:szCs w:val="24"/>
                <w:lang w:eastAsia="es-DO"/>
              </w:rPr>
              <w:lastRenderedPageBreak/>
              <w:t>s - Canasta 6</w:t>
            </w:r>
          </w:p>
        </w:tc>
        <w:tc>
          <w:tcPr>
            <w:tcW w:w="0" w:type="auto"/>
            <w:tcBorders>
              <w:top w:val="nil"/>
              <w:left w:val="nil"/>
              <w:bottom w:val="single" w:sz="4" w:space="0" w:color="auto"/>
              <w:right w:val="single" w:sz="4" w:space="0" w:color="auto"/>
            </w:tcBorders>
            <w:shd w:val="clear" w:color="auto" w:fill="auto"/>
            <w:vAlign w:val="center"/>
            <w:hideMark/>
          </w:tcPr>
          <w:p w14:paraId="765E7BF0"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lastRenderedPageBreak/>
              <w:t>Porcentaje de ejecución según hitos</w:t>
            </w:r>
          </w:p>
        </w:tc>
        <w:tc>
          <w:tcPr>
            <w:tcW w:w="0" w:type="auto"/>
            <w:tcBorders>
              <w:top w:val="nil"/>
              <w:left w:val="nil"/>
              <w:bottom w:val="single" w:sz="4" w:space="0" w:color="auto"/>
              <w:right w:val="single" w:sz="4" w:space="0" w:color="auto"/>
            </w:tcBorders>
            <w:shd w:val="clear" w:color="auto" w:fill="auto"/>
            <w:noWrap/>
            <w:vAlign w:val="center"/>
            <w:hideMark/>
          </w:tcPr>
          <w:p w14:paraId="21C593BC"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33C15C5A"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1C00C65C"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50%</w:t>
            </w:r>
          </w:p>
        </w:tc>
        <w:tc>
          <w:tcPr>
            <w:tcW w:w="0" w:type="auto"/>
            <w:tcBorders>
              <w:top w:val="nil"/>
              <w:left w:val="nil"/>
              <w:bottom w:val="single" w:sz="4" w:space="0" w:color="auto"/>
              <w:right w:val="single" w:sz="4" w:space="0" w:color="auto"/>
            </w:tcBorders>
            <w:shd w:val="clear" w:color="auto" w:fill="auto"/>
            <w:noWrap/>
            <w:vAlign w:val="center"/>
            <w:hideMark/>
          </w:tcPr>
          <w:p w14:paraId="64C66CD8"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50%</w:t>
            </w:r>
          </w:p>
        </w:tc>
        <w:tc>
          <w:tcPr>
            <w:tcW w:w="0" w:type="auto"/>
            <w:tcBorders>
              <w:top w:val="nil"/>
              <w:left w:val="nil"/>
              <w:bottom w:val="single" w:sz="4" w:space="0" w:color="auto"/>
              <w:right w:val="single" w:sz="4" w:space="0" w:color="auto"/>
            </w:tcBorders>
            <w:shd w:val="clear" w:color="auto" w:fill="auto"/>
            <w:noWrap/>
            <w:vAlign w:val="center"/>
            <w:hideMark/>
          </w:tcPr>
          <w:p w14:paraId="2B4A87DE"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r>
      <w:tr w:rsidR="003938E1" w:rsidRPr="006A0747" w14:paraId="276DB794" w14:textId="77777777" w:rsidTr="00665334">
        <w:trPr>
          <w:trHeight w:val="48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0AE3275E"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52</w:t>
            </w:r>
          </w:p>
        </w:tc>
        <w:tc>
          <w:tcPr>
            <w:tcW w:w="1187" w:type="dxa"/>
            <w:tcBorders>
              <w:top w:val="nil"/>
              <w:left w:val="nil"/>
              <w:bottom w:val="single" w:sz="4" w:space="0" w:color="auto"/>
              <w:right w:val="single" w:sz="4" w:space="0" w:color="auto"/>
            </w:tcBorders>
            <w:shd w:val="clear" w:color="auto" w:fill="auto"/>
            <w:noWrap/>
            <w:vAlign w:val="center"/>
            <w:hideMark/>
          </w:tcPr>
          <w:p w14:paraId="4769FE11"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Supervisión de Entidades Sistémicas</w:t>
            </w:r>
          </w:p>
        </w:tc>
        <w:tc>
          <w:tcPr>
            <w:tcW w:w="1088" w:type="dxa"/>
            <w:tcBorders>
              <w:top w:val="nil"/>
              <w:left w:val="nil"/>
              <w:bottom w:val="single" w:sz="4" w:space="0" w:color="auto"/>
              <w:right w:val="single" w:sz="4" w:space="0" w:color="auto"/>
            </w:tcBorders>
            <w:shd w:val="clear" w:color="auto" w:fill="auto"/>
            <w:vAlign w:val="center"/>
            <w:hideMark/>
          </w:tcPr>
          <w:p w14:paraId="48449F80"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Supervisión de Entidades Estatales - Canasta 1</w:t>
            </w:r>
          </w:p>
        </w:tc>
        <w:tc>
          <w:tcPr>
            <w:tcW w:w="0" w:type="auto"/>
            <w:tcBorders>
              <w:top w:val="nil"/>
              <w:left w:val="nil"/>
              <w:bottom w:val="single" w:sz="4" w:space="0" w:color="auto"/>
              <w:right w:val="single" w:sz="4" w:space="0" w:color="auto"/>
            </w:tcBorders>
            <w:shd w:val="clear" w:color="auto" w:fill="auto"/>
            <w:vAlign w:val="center"/>
            <w:hideMark/>
          </w:tcPr>
          <w:p w14:paraId="0BA7DCBA"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Ejecución según hitos</w:t>
            </w:r>
          </w:p>
        </w:tc>
        <w:tc>
          <w:tcPr>
            <w:tcW w:w="0" w:type="auto"/>
            <w:tcBorders>
              <w:top w:val="nil"/>
              <w:left w:val="nil"/>
              <w:bottom w:val="single" w:sz="4" w:space="0" w:color="auto"/>
              <w:right w:val="single" w:sz="4" w:space="0" w:color="auto"/>
            </w:tcBorders>
            <w:shd w:val="clear" w:color="auto" w:fill="auto"/>
            <w:noWrap/>
            <w:vAlign w:val="center"/>
            <w:hideMark/>
          </w:tcPr>
          <w:p w14:paraId="41CB7C46"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366B65D1"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512DDB57"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35%</w:t>
            </w:r>
          </w:p>
        </w:tc>
        <w:tc>
          <w:tcPr>
            <w:tcW w:w="0" w:type="auto"/>
            <w:tcBorders>
              <w:top w:val="nil"/>
              <w:left w:val="nil"/>
              <w:bottom w:val="single" w:sz="4" w:space="0" w:color="auto"/>
              <w:right w:val="single" w:sz="4" w:space="0" w:color="auto"/>
            </w:tcBorders>
            <w:shd w:val="clear" w:color="auto" w:fill="auto"/>
            <w:noWrap/>
            <w:vAlign w:val="center"/>
            <w:hideMark/>
          </w:tcPr>
          <w:p w14:paraId="67447F55"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35%</w:t>
            </w:r>
          </w:p>
        </w:tc>
        <w:tc>
          <w:tcPr>
            <w:tcW w:w="0" w:type="auto"/>
            <w:tcBorders>
              <w:top w:val="nil"/>
              <w:left w:val="nil"/>
              <w:bottom w:val="single" w:sz="4" w:space="0" w:color="auto"/>
              <w:right w:val="single" w:sz="4" w:space="0" w:color="auto"/>
            </w:tcBorders>
            <w:shd w:val="clear" w:color="auto" w:fill="auto"/>
            <w:noWrap/>
            <w:vAlign w:val="center"/>
            <w:hideMark/>
          </w:tcPr>
          <w:p w14:paraId="49D5BAD7"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r>
      <w:tr w:rsidR="003938E1" w:rsidRPr="006A0747" w14:paraId="0F7A36A7" w14:textId="77777777" w:rsidTr="00665334">
        <w:trPr>
          <w:trHeight w:val="48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37286AB4"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53</w:t>
            </w:r>
          </w:p>
        </w:tc>
        <w:tc>
          <w:tcPr>
            <w:tcW w:w="1187" w:type="dxa"/>
            <w:tcBorders>
              <w:top w:val="nil"/>
              <w:left w:val="nil"/>
              <w:bottom w:val="single" w:sz="4" w:space="0" w:color="auto"/>
              <w:right w:val="single" w:sz="4" w:space="0" w:color="auto"/>
            </w:tcBorders>
            <w:shd w:val="clear" w:color="auto" w:fill="auto"/>
            <w:noWrap/>
            <w:vAlign w:val="center"/>
            <w:hideMark/>
          </w:tcPr>
          <w:p w14:paraId="24924F3D"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Supervisión de Entidades Sistémicas</w:t>
            </w:r>
          </w:p>
        </w:tc>
        <w:tc>
          <w:tcPr>
            <w:tcW w:w="1088" w:type="dxa"/>
            <w:tcBorders>
              <w:top w:val="nil"/>
              <w:left w:val="nil"/>
              <w:bottom w:val="single" w:sz="4" w:space="0" w:color="auto"/>
              <w:right w:val="single" w:sz="4" w:space="0" w:color="auto"/>
            </w:tcBorders>
            <w:shd w:val="clear" w:color="auto" w:fill="auto"/>
            <w:vAlign w:val="center"/>
            <w:hideMark/>
          </w:tcPr>
          <w:p w14:paraId="1BF69474"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Supervisión de Entidades Sistémicas III - Canasta 4</w:t>
            </w:r>
          </w:p>
        </w:tc>
        <w:tc>
          <w:tcPr>
            <w:tcW w:w="0" w:type="auto"/>
            <w:tcBorders>
              <w:top w:val="nil"/>
              <w:left w:val="nil"/>
              <w:bottom w:val="single" w:sz="4" w:space="0" w:color="auto"/>
              <w:right w:val="single" w:sz="4" w:space="0" w:color="auto"/>
            </w:tcBorders>
            <w:shd w:val="clear" w:color="auto" w:fill="auto"/>
            <w:vAlign w:val="center"/>
            <w:hideMark/>
          </w:tcPr>
          <w:p w14:paraId="5DA9EFF2"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Ejecución según Hitos</w:t>
            </w:r>
          </w:p>
        </w:tc>
        <w:tc>
          <w:tcPr>
            <w:tcW w:w="0" w:type="auto"/>
            <w:tcBorders>
              <w:top w:val="nil"/>
              <w:left w:val="nil"/>
              <w:bottom w:val="single" w:sz="4" w:space="0" w:color="auto"/>
              <w:right w:val="single" w:sz="4" w:space="0" w:color="auto"/>
            </w:tcBorders>
            <w:shd w:val="clear" w:color="auto" w:fill="auto"/>
            <w:noWrap/>
            <w:vAlign w:val="center"/>
            <w:hideMark/>
          </w:tcPr>
          <w:p w14:paraId="5B66ED88"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16B35359"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7891481B"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50%</w:t>
            </w:r>
          </w:p>
        </w:tc>
        <w:tc>
          <w:tcPr>
            <w:tcW w:w="0" w:type="auto"/>
            <w:tcBorders>
              <w:top w:val="nil"/>
              <w:left w:val="nil"/>
              <w:bottom w:val="single" w:sz="4" w:space="0" w:color="auto"/>
              <w:right w:val="single" w:sz="4" w:space="0" w:color="auto"/>
            </w:tcBorders>
            <w:shd w:val="clear" w:color="auto" w:fill="auto"/>
            <w:noWrap/>
            <w:vAlign w:val="center"/>
            <w:hideMark/>
          </w:tcPr>
          <w:p w14:paraId="78883EA6"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50%</w:t>
            </w:r>
          </w:p>
        </w:tc>
        <w:tc>
          <w:tcPr>
            <w:tcW w:w="0" w:type="auto"/>
            <w:tcBorders>
              <w:top w:val="nil"/>
              <w:left w:val="nil"/>
              <w:bottom w:val="single" w:sz="4" w:space="0" w:color="auto"/>
              <w:right w:val="single" w:sz="4" w:space="0" w:color="auto"/>
            </w:tcBorders>
            <w:shd w:val="clear" w:color="auto" w:fill="auto"/>
            <w:noWrap/>
            <w:vAlign w:val="center"/>
            <w:hideMark/>
          </w:tcPr>
          <w:p w14:paraId="1DD8567A"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r>
      <w:tr w:rsidR="003938E1" w:rsidRPr="006A0747" w14:paraId="7155093F" w14:textId="77777777" w:rsidTr="00665334">
        <w:trPr>
          <w:trHeight w:val="48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5E8F5E36"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54</w:t>
            </w:r>
          </w:p>
        </w:tc>
        <w:tc>
          <w:tcPr>
            <w:tcW w:w="1187" w:type="dxa"/>
            <w:tcBorders>
              <w:top w:val="nil"/>
              <w:left w:val="nil"/>
              <w:bottom w:val="single" w:sz="4" w:space="0" w:color="auto"/>
              <w:right w:val="single" w:sz="4" w:space="0" w:color="auto"/>
            </w:tcBorders>
            <w:shd w:val="clear" w:color="auto" w:fill="auto"/>
            <w:noWrap/>
            <w:vAlign w:val="center"/>
            <w:hideMark/>
          </w:tcPr>
          <w:p w14:paraId="3D1E2AA3"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Supervisión de Entidades Sistémicas</w:t>
            </w:r>
          </w:p>
        </w:tc>
        <w:tc>
          <w:tcPr>
            <w:tcW w:w="1088" w:type="dxa"/>
            <w:tcBorders>
              <w:top w:val="nil"/>
              <w:left w:val="nil"/>
              <w:bottom w:val="single" w:sz="4" w:space="0" w:color="auto"/>
              <w:right w:val="single" w:sz="4" w:space="0" w:color="auto"/>
            </w:tcBorders>
            <w:shd w:val="clear" w:color="auto" w:fill="auto"/>
            <w:vAlign w:val="center"/>
            <w:hideMark/>
          </w:tcPr>
          <w:p w14:paraId="49569411"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Supervisión Entidades Sistémicas Canasta 2</w:t>
            </w:r>
          </w:p>
        </w:tc>
        <w:tc>
          <w:tcPr>
            <w:tcW w:w="0" w:type="auto"/>
            <w:tcBorders>
              <w:top w:val="nil"/>
              <w:left w:val="nil"/>
              <w:bottom w:val="single" w:sz="4" w:space="0" w:color="auto"/>
              <w:right w:val="single" w:sz="4" w:space="0" w:color="auto"/>
            </w:tcBorders>
            <w:shd w:val="clear" w:color="auto" w:fill="auto"/>
            <w:vAlign w:val="center"/>
            <w:hideMark/>
          </w:tcPr>
          <w:p w14:paraId="197B3CC0"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ejecución realizadas según hitos</w:t>
            </w:r>
          </w:p>
        </w:tc>
        <w:tc>
          <w:tcPr>
            <w:tcW w:w="0" w:type="auto"/>
            <w:tcBorders>
              <w:top w:val="nil"/>
              <w:left w:val="nil"/>
              <w:bottom w:val="single" w:sz="4" w:space="0" w:color="auto"/>
              <w:right w:val="single" w:sz="4" w:space="0" w:color="auto"/>
            </w:tcBorders>
            <w:shd w:val="clear" w:color="auto" w:fill="auto"/>
            <w:noWrap/>
            <w:vAlign w:val="center"/>
            <w:hideMark/>
          </w:tcPr>
          <w:p w14:paraId="27D64CCC"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634CE6AE"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183A805F"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45%</w:t>
            </w:r>
          </w:p>
        </w:tc>
        <w:tc>
          <w:tcPr>
            <w:tcW w:w="0" w:type="auto"/>
            <w:tcBorders>
              <w:top w:val="nil"/>
              <w:left w:val="nil"/>
              <w:bottom w:val="single" w:sz="4" w:space="0" w:color="auto"/>
              <w:right w:val="single" w:sz="4" w:space="0" w:color="auto"/>
            </w:tcBorders>
            <w:shd w:val="clear" w:color="auto" w:fill="auto"/>
            <w:noWrap/>
            <w:vAlign w:val="center"/>
            <w:hideMark/>
          </w:tcPr>
          <w:p w14:paraId="175B8A37"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45%</w:t>
            </w:r>
          </w:p>
        </w:tc>
        <w:tc>
          <w:tcPr>
            <w:tcW w:w="0" w:type="auto"/>
            <w:tcBorders>
              <w:top w:val="nil"/>
              <w:left w:val="nil"/>
              <w:bottom w:val="single" w:sz="4" w:space="0" w:color="auto"/>
              <w:right w:val="single" w:sz="4" w:space="0" w:color="auto"/>
            </w:tcBorders>
            <w:shd w:val="clear" w:color="auto" w:fill="auto"/>
            <w:noWrap/>
            <w:vAlign w:val="center"/>
            <w:hideMark/>
          </w:tcPr>
          <w:p w14:paraId="2DD22152"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r>
      <w:tr w:rsidR="003938E1" w:rsidRPr="006A0747" w14:paraId="4FAA1475" w14:textId="77777777" w:rsidTr="00665334">
        <w:trPr>
          <w:trHeight w:val="48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6650BA82"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55</w:t>
            </w:r>
          </w:p>
        </w:tc>
        <w:tc>
          <w:tcPr>
            <w:tcW w:w="1187" w:type="dxa"/>
            <w:tcBorders>
              <w:top w:val="nil"/>
              <w:left w:val="nil"/>
              <w:bottom w:val="single" w:sz="4" w:space="0" w:color="auto"/>
              <w:right w:val="single" w:sz="4" w:space="0" w:color="auto"/>
            </w:tcBorders>
            <w:shd w:val="clear" w:color="auto" w:fill="auto"/>
            <w:noWrap/>
            <w:vAlign w:val="center"/>
            <w:hideMark/>
          </w:tcPr>
          <w:p w14:paraId="420FFA8C"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Supervisión del Mercado Fiduciario</w:t>
            </w:r>
          </w:p>
        </w:tc>
        <w:tc>
          <w:tcPr>
            <w:tcW w:w="1088" w:type="dxa"/>
            <w:tcBorders>
              <w:top w:val="nil"/>
              <w:left w:val="nil"/>
              <w:bottom w:val="single" w:sz="4" w:space="0" w:color="auto"/>
              <w:right w:val="single" w:sz="4" w:space="0" w:color="auto"/>
            </w:tcBorders>
            <w:shd w:val="clear" w:color="auto" w:fill="auto"/>
            <w:vAlign w:val="center"/>
            <w:hideMark/>
          </w:tcPr>
          <w:p w14:paraId="7A0BA738"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Supervisión de Entidades Fiduciarias</w:t>
            </w:r>
          </w:p>
        </w:tc>
        <w:tc>
          <w:tcPr>
            <w:tcW w:w="0" w:type="auto"/>
            <w:tcBorders>
              <w:top w:val="nil"/>
              <w:left w:val="nil"/>
              <w:bottom w:val="single" w:sz="4" w:space="0" w:color="auto"/>
              <w:right w:val="single" w:sz="4" w:space="0" w:color="auto"/>
            </w:tcBorders>
            <w:shd w:val="clear" w:color="auto" w:fill="auto"/>
            <w:vAlign w:val="center"/>
            <w:hideMark/>
          </w:tcPr>
          <w:p w14:paraId="2C1B11CC"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avance según hitos</w:t>
            </w:r>
          </w:p>
        </w:tc>
        <w:tc>
          <w:tcPr>
            <w:tcW w:w="0" w:type="auto"/>
            <w:tcBorders>
              <w:top w:val="nil"/>
              <w:left w:val="nil"/>
              <w:bottom w:val="single" w:sz="4" w:space="0" w:color="auto"/>
              <w:right w:val="single" w:sz="4" w:space="0" w:color="auto"/>
            </w:tcBorders>
            <w:shd w:val="clear" w:color="auto" w:fill="auto"/>
            <w:noWrap/>
            <w:vAlign w:val="center"/>
            <w:hideMark/>
          </w:tcPr>
          <w:p w14:paraId="25867BBA"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33456663"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0875B950"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40%</w:t>
            </w:r>
          </w:p>
        </w:tc>
        <w:tc>
          <w:tcPr>
            <w:tcW w:w="0" w:type="auto"/>
            <w:tcBorders>
              <w:top w:val="nil"/>
              <w:left w:val="nil"/>
              <w:bottom w:val="single" w:sz="4" w:space="0" w:color="auto"/>
              <w:right w:val="single" w:sz="4" w:space="0" w:color="auto"/>
            </w:tcBorders>
            <w:shd w:val="clear" w:color="auto" w:fill="auto"/>
            <w:noWrap/>
            <w:vAlign w:val="center"/>
            <w:hideMark/>
          </w:tcPr>
          <w:p w14:paraId="2752E145"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40%</w:t>
            </w:r>
          </w:p>
        </w:tc>
        <w:tc>
          <w:tcPr>
            <w:tcW w:w="0" w:type="auto"/>
            <w:tcBorders>
              <w:top w:val="nil"/>
              <w:left w:val="nil"/>
              <w:bottom w:val="single" w:sz="4" w:space="0" w:color="auto"/>
              <w:right w:val="single" w:sz="4" w:space="0" w:color="auto"/>
            </w:tcBorders>
            <w:shd w:val="clear" w:color="auto" w:fill="auto"/>
            <w:noWrap/>
            <w:vAlign w:val="center"/>
            <w:hideMark/>
          </w:tcPr>
          <w:p w14:paraId="3198D82D"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r>
      <w:tr w:rsidR="003938E1" w:rsidRPr="006A0747" w14:paraId="70528C26" w14:textId="77777777" w:rsidTr="00665334">
        <w:trPr>
          <w:trHeight w:val="72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4ADFABBD"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56</w:t>
            </w:r>
          </w:p>
        </w:tc>
        <w:tc>
          <w:tcPr>
            <w:tcW w:w="1187" w:type="dxa"/>
            <w:tcBorders>
              <w:top w:val="nil"/>
              <w:left w:val="nil"/>
              <w:bottom w:val="single" w:sz="4" w:space="0" w:color="auto"/>
              <w:right w:val="single" w:sz="4" w:space="0" w:color="auto"/>
            </w:tcBorders>
            <w:shd w:val="clear" w:color="auto" w:fill="auto"/>
            <w:noWrap/>
            <w:vAlign w:val="center"/>
            <w:hideMark/>
          </w:tcPr>
          <w:p w14:paraId="01CC4655"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Supervisión Entidades Régimen Especial</w:t>
            </w:r>
          </w:p>
        </w:tc>
        <w:tc>
          <w:tcPr>
            <w:tcW w:w="1088" w:type="dxa"/>
            <w:tcBorders>
              <w:top w:val="nil"/>
              <w:left w:val="nil"/>
              <w:bottom w:val="single" w:sz="4" w:space="0" w:color="auto"/>
              <w:right w:val="single" w:sz="4" w:space="0" w:color="auto"/>
            </w:tcBorders>
            <w:shd w:val="clear" w:color="auto" w:fill="auto"/>
            <w:vAlign w:val="center"/>
            <w:hideMark/>
          </w:tcPr>
          <w:p w14:paraId="14B2E819"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Supervisión de Bancos de Ahorro y Crédito bajo régimen especial</w:t>
            </w:r>
          </w:p>
        </w:tc>
        <w:tc>
          <w:tcPr>
            <w:tcW w:w="0" w:type="auto"/>
            <w:tcBorders>
              <w:top w:val="nil"/>
              <w:left w:val="nil"/>
              <w:bottom w:val="single" w:sz="4" w:space="0" w:color="auto"/>
              <w:right w:val="single" w:sz="4" w:space="0" w:color="auto"/>
            </w:tcBorders>
            <w:shd w:val="clear" w:color="auto" w:fill="auto"/>
            <w:vAlign w:val="center"/>
            <w:hideMark/>
          </w:tcPr>
          <w:p w14:paraId="2E7EC9EC"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supervisiones realizadas según hitos</w:t>
            </w:r>
          </w:p>
        </w:tc>
        <w:tc>
          <w:tcPr>
            <w:tcW w:w="0" w:type="auto"/>
            <w:tcBorders>
              <w:top w:val="nil"/>
              <w:left w:val="nil"/>
              <w:bottom w:val="single" w:sz="4" w:space="0" w:color="auto"/>
              <w:right w:val="single" w:sz="4" w:space="0" w:color="auto"/>
            </w:tcBorders>
            <w:shd w:val="clear" w:color="auto" w:fill="auto"/>
            <w:noWrap/>
            <w:vAlign w:val="center"/>
            <w:hideMark/>
          </w:tcPr>
          <w:p w14:paraId="51152E1D"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3496DE09"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1AD0CE65"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50%</w:t>
            </w:r>
          </w:p>
        </w:tc>
        <w:tc>
          <w:tcPr>
            <w:tcW w:w="0" w:type="auto"/>
            <w:tcBorders>
              <w:top w:val="nil"/>
              <w:left w:val="nil"/>
              <w:bottom w:val="single" w:sz="4" w:space="0" w:color="auto"/>
              <w:right w:val="single" w:sz="4" w:space="0" w:color="auto"/>
            </w:tcBorders>
            <w:shd w:val="clear" w:color="auto" w:fill="auto"/>
            <w:noWrap/>
            <w:vAlign w:val="center"/>
            <w:hideMark/>
          </w:tcPr>
          <w:p w14:paraId="578ACB56"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50%</w:t>
            </w:r>
          </w:p>
        </w:tc>
        <w:tc>
          <w:tcPr>
            <w:tcW w:w="0" w:type="auto"/>
            <w:tcBorders>
              <w:top w:val="nil"/>
              <w:left w:val="nil"/>
              <w:bottom w:val="single" w:sz="4" w:space="0" w:color="auto"/>
              <w:right w:val="single" w:sz="4" w:space="0" w:color="auto"/>
            </w:tcBorders>
            <w:shd w:val="clear" w:color="auto" w:fill="auto"/>
            <w:noWrap/>
            <w:vAlign w:val="center"/>
            <w:hideMark/>
          </w:tcPr>
          <w:p w14:paraId="02A7897F"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r>
      <w:tr w:rsidR="003938E1" w:rsidRPr="006A0747" w14:paraId="3B6F16E9" w14:textId="77777777" w:rsidTr="00665334">
        <w:trPr>
          <w:trHeight w:val="48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29D784CB"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57</w:t>
            </w:r>
          </w:p>
        </w:tc>
        <w:tc>
          <w:tcPr>
            <w:tcW w:w="1187" w:type="dxa"/>
            <w:tcBorders>
              <w:top w:val="nil"/>
              <w:left w:val="nil"/>
              <w:bottom w:val="single" w:sz="4" w:space="0" w:color="auto"/>
              <w:right w:val="single" w:sz="4" w:space="0" w:color="auto"/>
            </w:tcBorders>
            <w:shd w:val="clear" w:color="auto" w:fill="auto"/>
            <w:noWrap/>
            <w:vAlign w:val="center"/>
            <w:hideMark/>
          </w:tcPr>
          <w:p w14:paraId="4C0E3B62"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Supervisión Entidades Régimen Especial</w:t>
            </w:r>
          </w:p>
        </w:tc>
        <w:tc>
          <w:tcPr>
            <w:tcW w:w="1088" w:type="dxa"/>
            <w:tcBorders>
              <w:top w:val="nil"/>
              <w:left w:val="nil"/>
              <w:bottom w:val="single" w:sz="4" w:space="0" w:color="auto"/>
              <w:right w:val="single" w:sz="4" w:space="0" w:color="auto"/>
            </w:tcBorders>
            <w:shd w:val="clear" w:color="auto" w:fill="auto"/>
            <w:vAlign w:val="center"/>
            <w:hideMark/>
          </w:tcPr>
          <w:p w14:paraId="5908FE0F"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 xml:space="preserve">Supervisión de Corporación de Crédito </w:t>
            </w:r>
            <w:r w:rsidRPr="006A0747">
              <w:rPr>
                <w:rFonts w:ascii="Times New Roman" w:eastAsia="Times New Roman" w:hAnsi="Times New Roman" w:cs="Times New Roman"/>
                <w:color w:val="767171"/>
                <w:sz w:val="24"/>
                <w:szCs w:val="24"/>
                <w:lang w:eastAsia="es-DO"/>
              </w:rPr>
              <w:lastRenderedPageBreak/>
              <w:t>bajo régimen especial</w:t>
            </w:r>
          </w:p>
        </w:tc>
        <w:tc>
          <w:tcPr>
            <w:tcW w:w="0" w:type="auto"/>
            <w:tcBorders>
              <w:top w:val="nil"/>
              <w:left w:val="nil"/>
              <w:bottom w:val="single" w:sz="4" w:space="0" w:color="auto"/>
              <w:right w:val="single" w:sz="4" w:space="0" w:color="auto"/>
            </w:tcBorders>
            <w:shd w:val="clear" w:color="auto" w:fill="auto"/>
            <w:vAlign w:val="center"/>
            <w:hideMark/>
          </w:tcPr>
          <w:p w14:paraId="49076F06"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lastRenderedPageBreak/>
              <w:t>Porcentaje de supervisiones realizada</w:t>
            </w:r>
            <w:r w:rsidRPr="006A0747">
              <w:rPr>
                <w:rFonts w:ascii="Times New Roman" w:eastAsia="Times New Roman" w:hAnsi="Times New Roman" w:cs="Times New Roman"/>
                <w:color w:val="767171"/>
                <w:sz w:val="24"/>
                <w:szCs w:val="24"/>
                <w:lang w:eastAsia="es-DO"/>
              </w:rPr>
              <w:lastRenderedPageBreak/>
              <w:t>s según hitos</w:t>
            </w:r>
          </w:p>
        </w:tc>
        <w:tc>
          <w:tcPr>
            <w:tcW w:w="0" w:type="auto"/>
            <w:tcBorders>
              <w:top w:val="nil"/>
              <w:left w:val="nil"/>
              <w:bottom w:val="single" w:sz="4" w:space="0" w:color="auto"/>
              <w:right w:val="single" w:sz="4" w:space="0" w:color="auto"/>
            </w:tcBorders>
            <w:shd w:val="clear" w:color="auto" w:fill="auto"/>
            <w:noWrap/>
            <w:vAlign w:val="center"/>
            <w:hideMark/>
          </w:tcPr>
          <w:p w14:paraId="3D3B1066"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lastRenderedPageBreak/>
              <w:t>Anual</w:t>
            </w:r>
          </w:p>
        </w:tc>
        <w:tc>
          <w:tcPr>
            <w:tcW w:w="0" w:type="auto"/>
            <w:tcBorders>
              <w:top w:val="nil"/>
              <w:left w:val="nil"/>
              <w:bottom w:val="single" w:sz="4" w:space="0" w:color="auto"/>
              <w:right w:val="single" w:sz="4" w:space="0" w:color="auto"/>
            </w:tcBorders>
            <w:shd w:val="clear" w:color="auto" w:fill="auto"/>
            <w:noWrap/>
            <w:vAlign w:val="center"/>
            <w:hideMark/>
          </w:tcPr>
          <w:p w14:paraId="1DF0DD04"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3C5BB2A0"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c>
          <w:tcPr>
            <w:tcW w:w="0" w:type="auto"/>
            <w:tcBorders>
              <w:top w:val="nil"/>
              <w:left w:val="nil"/>
              <w:bottom w:val="single" w:sz="4" w:space="0" w:color="auto"/>
              <w:right w:val="single" w:sz="4" w:space="0" w:color="auto"/>
            </w:tcBorders>
            <w:shd w:val="clear" w:color="auto" w:fill="auto"/>
            <w:noWrap/>
            <w:vAlign w:val="center"/>
            <w:hideMark/>
          </w:tcPr>
          <w:p w14:paraId="24E08B9A"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c>
          <w:tcPr>
            <w:tcW w:w="0" w:type="auto"/>
            <w:tcBorders>
              <w:top w:val="nil"/>
              <w:left w:val="nil"/>
              <w:bottom w:val="single" w:sz="4" w:space="0" w:color="auto"/>
              <w:right w:val="single" w:sz="4" w:space="0" w:color="auto"/>
            </w:tcBorders>
            <w:shd w:val="clear" w:color="auto" w:fill="auto"/>
            <w:noWrap/>
            <w:vAlign w:val="center"/>
            <w:hideMark/>
          </w:tcPr>
          <w:p w14:paraId="555866DD"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r>
      <w:tr w:rsidR="003938E1" w:rsidRPr="006A0747" w14:paraId="7D2CBE12" w14:textId="77777777" w:rsidTr="00665334">
        <w:trPr>
          <w:trHeight w:val="72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2FCEAE54"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58</w:t>
            </w:r>
          </w:p>
        </w:tc>
        <w:tc>
          <w:tcPr>
            <w:tcW w:w="1187" w:type="dxa"/>
            <w:tcBorders>
              <w:top w:val="nil"/>
              <w:left w:val="nil"/>
              <w:bottom w:val="single" w:sz="4" w:space="0" w:color="auto"/>
              <w:right w:val="single" w:sz="4" w:space="0" w:color="auto"/>
            </w:tcBorders>
            <w:shd w:val="clear" w:color="auto" w:fill="auto"/>
            <w:noWrap/>
            <w:vAlign w:val="center"/>
            <w:hideMark/>
          </w:tcPr>
          <w:p w14:paraId="2702A382"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Supervisión Entidades Régimen Especial</w:t>
            </w:r>
          </w:p>
        </w:tc>
        <w:tc>
          <w:tcPr>
            <w:tcW w:w="1088" w:type="dxa"/>
            <w:tcBorders>
              <w:top w:val="nil"/>
              <w:left w:val="nil"/>
              <w:bottom w:val="single" w:sz="4" w:space="0" w:color="auto"/>
              <w:right w:val="single" w:sz="4" w:space="0" w:color="auto"/>
            </w:tcBorders>
            <w:shd w:val="clear" w:color="auto" w:fill="auto"/>
            <w:vAlign w:val="center"/>
            <w:hideMark/>
          </w:tcPr>
          <w:p w14:paraId="2B4787A5"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Elaboración procedimiento de disolución de entidades de intermediación financiera</w:t>
            </w:r>
          </w:p>
        </w:tc>
        <w:tc>
          <w:tcPr>
            <w:tcW w:w="0" w:type="auto"/>
            <w:tcBorders>
              <w:top w:val="nil"/>
              <w:left w:val="nil"/>
              <w:bottom w:val="single" w:sz="4" w:space="0" w:color="auto"/>
              <w:right w:val="single" w:sz="4" w:space="0" w:color="auto"/>
            </w:tcBorders>
            <w:shd w:val="clear" w:color="auto" w:fill="auto"/>
            <w:vAlign w:val="center"/>
            <w:hideMark/>
          </w:tcPr>
          <w:p w14:paraId="722BA17A"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implementación según hitos</w:t>
            </w:r>
          </w:p>
        </w:tc>
        <w:tc>
          <w:tcPr>
            <w:tcW w:w="0" w:type="auto"/>
            <w:tcBorders>
              <w:top w:val="nil"/>
              <w:left w:val="nil"/>
              <w:bottom w:val="single" w:sz="4" w:space="0" w:color="auto"/>
              <w:right w:val="single" w:sz="4" w:space="0" w:color="auto"/>
            </w:tcBorders>
            <w:shd w:val="clear" w:color="auto" w:fill="auto"/>
            <w:noWrap/>
            <w:vAlign w:val="center"/>
            <w:hideMark/>
          </w:tcPr>
          <w:p w14:paraId="0EDEABAD"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0F6CC41F"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5AAC9C8C"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0%</w:t>
            </w:r>
          </w:p>
        </w:tc>
        <w:tc>
          <w:tcPr>
            <w:tcW w:w="0" w:type="auto"/>
            <w:tcBorders>
              <w:top w:val="nil"/>
              <w:left w:val="nil"/>
              <w:bottom w:val="single" w:sz="4" w:space="0" w:color="auto"/>
              <w:right w:val="single" w:sz="4" w:space="0" w:color="auto"/>
            </w:tcBorders>
            <w:shd w:val="clear" w:color="auto" w:fill="auto"/>
            <w:noWrap/>
            <w:vAlign w:val="center"/>
            <w:hideMark/>
          </w:tcPr>
          <w:p w14:paraId="2AFE850C"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0%</w:t>
            </w:r>
          </w:p>
        </w:tc>
        <w:tc>
          <w:tcPr>
            <w:tcW w:w="0" w:type="auto"/>
            <w:tcBorders>
              <w:top w:val="nil"/>
              <w:left w:val="nil"/>
              <w:bottom w:val="single" w:sz="4" w:space="0" w:color="auto"/>
              <w:right w:val="single" w:sz="4" w:space="0" w:color="auto"/>
            </w:tcBorders>
            <w:shd w:val="clear" w:color="auto" w:fill="auto"/>
            <w:noWrap/>
            <w:vAlign w:val="center"/>
            <w:hideMark/>
          </w:tcPr>
          <w:p w14:paraId="0142DD34"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0%</w:t>
            </w:r>
          </w:p>
        </w:tc>
      </w:tr>
      <w:tr w:rsidR="003938E1" w:rsidRPr="006A0747" w14:paraId="755EBAB2" w14:textId="77777777" w:rsidTr="00665334">
        <w:trPr>
          <w:trHeight w:val="48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3884C2DC"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59</w:t>
            </w:r>
          </w:p>
        </w:tc>
        <w:tc>
          <w:tcPr>
            <w:tcW w:w="1187" w:type="dxa"/>
            <w:tcBorders>
              <w:top w:val="nil"/>
              <w:left w:val="nil"/>
              <w:bottom w:val="single" w:sz="4" w:space="0" w:color="auto"/>
              <w:right w:val="single" w:sz="4" w:space="0" w:color="auto"/>
            </w:tcBorders>
            <w:shd w:val="clear" w:color="auto" w:fill="auto"/>
            <w:noWrap/>
            <w:vAlign w:val="center"/>
            <w:hideMark/>
          </w:tcPr>
          <w:p w14:paraId="58343CC6"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Supervisión Prevención Lavado de Activos y Financiamiento al Terrorismo (PLAFT)</w:t>
            </w:r>
          </w:p>
        </w:tc>
        <w:tc>
          <w:tcPr>
            <w:tcW w:w="1088" w:type="dxa"/>
            <w:tcBorders>
              <w:top w:val="nil"/>
              <w:left w:val="nil"/>
              <w:bottom w:val="single" w:sz="4" w:space="0" w:color="auto"/>
              <w:right w:val="single" w:sz="4" w:space="0" w:color="auto"/>
            </w:tcBorders>
            <w:shd w:val="clear" w:color="auto" w:fill="auto"/>
            <w:vAlign w:val="center"/>
            <w:hideMark/>
          </w:tcPr>
          <w:p w14:paraId="670C6360"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Supervisión In situ</w:t>
            </w:r>
          </w:p>
        </w:tc>
        <w:tc>
          <w:tcPr>
            <w:tcW w:w="0" w:type="auto"/>
            <w:tcBorders>
              <w:top w:val="nil"/>
              <w:left w:val="nil"/>
              <w:bottom w:val="single" w:sz="4" w:space="0" w:color="auto"/>
              <w:right w:val="single" w:sz="4" w:space="0" w:color="auto"/>
            </w:tcBorders>
            <w:shd w:val="clear" w:color="auto" w:fill="auto"/>
            <w:vAlign w:val="center"/>
            <w:hideMark/>
          </w:tcPr>
          <w:p w14:paraId="614D45D8"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ejecución según hito</w:t>
            </w:r>
          </w:p>
        </w:tc>
        <w:tc>
          <w:tcPr>
            <w:tcW w:w="0" w:type="auto"/>
            <w:tcBorders>
              <w:top w:val="nil"/>
              <w:left w:val="nil"/>
              <w:bottom w:val="single" w:sz="4" w:space="0" w:color="auto"/>
              <w:right w:val="single" w:sz="4" w:space="0" w:color="auto"/>
            </w:tcBorders>
            <w:shd w:val="clear" w:color="auto" w:fill="auto"/>
            <w:noWrap/>
            <w:vAlign w:val="center"/>
            <w:hideMark/>
          </w:tcPr>
          <w:p w14:paraId="6C7D65DA"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21B95C1A"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5F0F0751"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40%</w:t>
            </w:r>
          </w:p>
        </w:tc>
        <w:tc>
          <w:tcPr>
            <w:tcW w:w="0" w:type="auto"/>
            <w:tcBorders>
              <w:top w:val="nil"/>
              <w:left w:val="nil"/>
              <w:bottom w:val="single" w:sz="4" w:space="0" w:color="auto"/>
              <w:right w:val="single" w:sz="4" w:space="0" w:color="auto"/>
            </w:tcBorders>
            <w:shd w:val="clear" w:color="auto" w:fill="auto"/>
            <w:noWrap/>
            <w:vAlign w:val="center"/>
            <w:hideMark/>
          </w:tcPr>
          <w:p w14:paraId="5E989F44"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40%</w:t>
            </w:r>
          </w:p>
        </w:tc>
        <w:tc>
          <w:tcPr>
            <w:tcW w:w="0" w:type="auto"/>
            <w:tcBorders>
              <w:top w:val="nil"/>
              <w:left w:val="nil"/>
              <w:bottom w:val="single" w:sz="4" w:space="0" w:color="auto"/>
              <w:right w:val="single" w:sz="4" w:space="0" w:color="auto"/>
            </w:tcBorders>
            <w:shd w:val="clear" w:color="auto" w:fill="auto"/>
            <w:noWrap/>
            <w:vAlign w:val="center"/>
            <w:hideMark/>
          </w:tcPr>
          <w:p w14:paraId="2022E2AD"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r>
      <w:tr w:rsidR="003938E1" w:rsidRPr="006A0747" w14:paraId="1A8CF6A4" w14:textId="77777777" w:rsidTr="00665334">
        <w:trPr>
          <w:trHeight w:val="48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4E2D332D"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60</w:t>
            </w:r>
          </w:p>
        </w:tc>
        <w:tc>
          <w:tcPr>
            <w:tcW w:w="1187" w:type="dxa"/>
            <w:tcBorders>
              <w:top w:val="nil"/>
              <w:left w:val="nil"/>
              <w:bottom w:val="single" w:sz="4" w:space="0" w:color="auto"/>
              <w:right w:val="single" w:sz="4" w:space="0" w:color="auto"/>
            </w:tcBorders>
            <w:shd w:val="clear" w:color="auto" w:fill="auto"/>
            <w:noWrap/>
            <w:vAlign w:val="center"/>
            <w:hideMark/>
          </w:tcPr>
          <w:p w14:paraId="37113092"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Supervisión Prevención Lavado de Activos y Financiamiento al Terrorismo (PLAFT)</w:t>
            </w:r>
          </w:p>
        </w:tc>
        <w:tc>
          <w:tcPr>
            <w:tcW w:w="1088" w:type="dxa"/>
            <w:tcBorders>
              <w:top w:val="nil"/>
              <w:left w:val="nil"/>
              <w:bottom w:val="single" w:sz="4" w:space="0" w:color="auto"/>
              <w:right w:val="single" w:sz="4" w:space="0" w:color="auto"/>
            </w:tcBorders>
            <w:shd w:val="clear" w:color="auto" w:fill="auto"/>
            <w:vAlign w:val="center"/>
            <w:hideMark/>
          </w:tcPr>
          <w:p w14:paraId="2981281C"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Supervisión Extra Situ</w:t>
            </w:r>
          </w:p>
        </w:tc>
        <w:tc>
          <w:tcPr>
            <w:tcW w:w="0" w:type="auto"/>
            <w:tcBorders>
              <w:top w:val="nil"/>
              <w:left w:val="nil"/>
              <w:bottom w:val="single" w:sz="4" w:space="0" w:color="auto"/>
              <w:right w:val="single" w:sz="4" w:space="0" w:color="auto"/>
            </w:tcBorders>
            <w:shd w:val="clear" w:color="auto" w:fill="auto"/>
            <w:vAlign w:val="center"/>
            <w:hideMark/>
          </w:tcPr>
          <w:p w14:paraId="5AEC7032"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ejecución según hito</w:t>
            </w:r>
          </w:p>
        </w:tc>
        <w:tc>
          <w:tcPr>
            <w:tcW w:w="0" w:type="auto"/>
            <w:tcBorders>
              <w:top w:val="nil"/>
              <w:left w:val="nil"/>
              <w:bottom w:val="single" w:sz="4" w:space="0" w:color="auto"/>
              <w:right w:val="single" w:sz="4" w:space="0" w:color="auto"/>
            </w:tcBorders>
            <w:shd w:val="clear" w:color="auto" w:fill="auto"/>
            <w:noWrap/>
            <w:vAlign w:val="center"/>
            <w:hideMark/>
          </w:tcPr>
          <w:p w14:paraId="3B990694"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789E427D"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6A69B6BC"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0%</w:t>
            </w:r>
          </w:p>
        </w:tc>
        <w:tc>
          <w:tcPr>
            <w:tcW w:w="0" w:type="auto"/>
            <w:tcBorders>
              <w:top w:val="nil"/>
              <w:left w:val="nil"/>
              <w:bottom w:val="single" w:sz="4" w:space="0" w:color="auto"/>
              <w:right w:val="single" w:sz="4" w:space="0" w:color="auto"/>
            </w:tcBorders>
            <w:shd w:val="clear" w:color="auto" w:fill="auto"/>
            <w:noWrap/>
            <w:vAlign w:val="center"/>
            <w:hideMark/>
          </w:tcPr>
          <w:p w14:paraId="749437EA"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0%</w:t>
            </w:r>
          </w:p>
        </w:tc>
        <w:tc>
          <w:tcPr>
            <w:tcW w:w="0" w:type="auto"/>
            <w:tcBorders>
              <w:top w:val="nil"/>
              <w:left w:val="nil"/>
              <w:bottom w:val="single" w:sz="4" w:space="0" w:color="auto"/>
              <w:right w:val="single" w:sz="4" w:space="0" w:color="auto"/>
            </w:tcBorders>
            <w:shd w:val="clear" w:color="auto" w:fill="auto"/>
            <w:noWrap/>
            <w:vAlign w:val="center"/>
            <w:hideMark/>
          </w:tcPr>
          <w:p w14:paraId="7532023E"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0%</w:t>
            </w:r>
          </w:p>
        </w:tc>
      </w:tr>
      <w:tr w:rsidR="003938E1" w:rsidRPr="006A0747" w14:paraId="35A1F89A" w14:textId="77777777" w:rsidTr="00665334">
        <w:trPr>
          <w:trHeight w:val="48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2CDEBDA2"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61</w:t>
            </w:r>
          </w:p>
        </w:tc>
        <w:tc>
          <w:tcPr>
            <w:tcW w:w="1187" w:type="dxa"/>
            <w:tcBorders>
              <w:top w:val="nil"/>
              <w:left w:val="nil"/>
              <w:bottom w:val="single" w:sz="4" w:space="0" w:color="auto"/>
              <w:right w:val="single" w:sz="4" w:space="0" w:color="auto"/>
            </w:tcBorders>
            <w:shd w:val="clear" w:color="auto" w:fill="auto"/>
            <w:noWrap/>
            <w:vAlign w:val="center"/>
            <w:hideMark/>
          </w:tcPr>
          <w:p w14:paraId="781DB156"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Supervisión Prevenció</w:t>
            </w:r>
            <w:r w:rsidRPr="006A0747">
              <w:rPr>
                <w:rFonts w:ascii="Times New Roman" w:eastAsia="Times New Roman" w:hAnsi="Times New Roman" w:cs="Times New Roman"/>
                <w:color w:val="767171"/>
                <w:sz w:val="24"/>
                <w:szCs w:val="24"/>
                <w:lang w:eastAsia="es-DO"/>
              </w:rPr>
              <w:lastRenderedPageBreak/>
              <w:t>n Lavado de Activos y Financiamiento al Terrorismo (PLAFT)</w:t>
            </w:r>
          </w:p>
        </w:tc>
        <w:tc>
          <w:tcPr>
            <w:tcW w:w="1088" w:type="dxa"/>
            <w:tcBorders>
              <w:top w:val="nil"/>
              <w:left w:val="nil"/>
              <w:bottom w:val="single" w:sz="4" w:space="0" w:color="auto"/>
              <w:right w:val="single" w:sz="4" w:space="0" w:color="auto"/>
            </w:tcBorders>
            <w:shd w:val="clear" w:color="auto" w:fill="auto"/>
            <w:vAlign w:val="center"/>
            <w:hideMark/>
          </w:tcPr>
          <w:p w14:paraId="26292701"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lastRenderedPageBreak/>
              <w:t>Inspección Temática</w:t>
            </w:r>
          </w:p>
        </w:tc>
        <w:tc>
          <w:tcPr>
            <w:tcW w:w="0" w:type="auto"/>
            <w:tcBorders>
              <w:top w:val="nil"/>
              <w:left w:val="nil"/>
              <w:bottom w:val="single" w:sz="4" w:space="0" w:color="auto"/>
              <w:right w:val="single" w:sz="4" w:space="0" w:color="auto"/>
            </w:tcBorders>
            <w:shd w:val="clear" w:color="auto" w:fill="auto"/>
            <w:vAlign w:val="center"/>
            <w:hideMark/>
          </w:tcPr>
          <w:p w14:paraId="13CA2775"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ejecució</w:t>
            </w:r>
            <w:r w:rsidRPr="006A0747">
              <w:rPr>
                <w:rFonts w:ascii="Times New Roman" w:eastAsia="Times New Roman" w:hAnsi="Times New Roman" w:cs="Times New Roman"/>
                <w:color w:val="767171"/>
                <w:sz w:val="24"/>
                <w:szCs w:val="24"/>
                <w:lang w:eastAsia="es-DO"/>
              </w:rPr>
              <w:lastRenderedPageBreak/>
              <w:t>n según hito</w:t>
            </w:r>
          </w:p>
        </w:tc>
        <w:tc>
          <w:tcPr>
            <w:tcW w:w="0" w:type="auto"/>
            <w:tcBorders>
              <w:top w:val="nil"/>
              <w:left w:val="nil"/>
              <w:bottom w:val="single" w:sz="4" w:space="0" w:color="auto"/>
              <w:right w:val="single" w:sz="4" w:space="0" w:color="auto"/>
            </w:tcBorders>
            <w:shd w:val="clear" w:color="auto" w:fill="auto"/>
            <w:noWrap/>
            <w:vAlign w:val="center"/>
            <w:hideMark/>
          </w:tcPr>
          <w:p w14:paraId="4D588207"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lastRenderedPageBreak/>
              <w:t>Anual</w:t>
            </w:r>
          </w:p>
        </w:tc>
        <w:tc>
          <w:tcPr>
            <w:tcW w:w="0" w:type="auto"/>
            <w:tcBorders>
              <w:top w:val="nil"/>
              <w:left w:val="nil"/>
              <w:bottom w:val="single" w:sz="4" w:space="0" w:color="auto"/>
              <w:right w:val="single" w:sz="4" w:space="0" w:color="auto"/>
            </w:tcBorders>
            <w:shd w:val="clear" w:color="auto" w:fill="auto"/>
            <w:noWrap/>
            <w:vAlign w:val="center"/>
            <w:hideMark/>
          </w:tcPr>
          <w:p w14:paraId="57812E2B"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11D5097B"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5%</w:t>
            </w:r>
          </w:p>
        </w:tc>
        <w:tc>
          <w:tcPr>
            <w:tcW w:w="0" w:type="auto"/>
            <w:tcBorders>
              <w:top w:val="nil"/>
              <w:left w:val="nil"/>
              <w:bottom w:val="single" w:sz="4" w:space="0" w:color="auto"/>
              <w:right w:val="single" w:sz="4" w:space="0" w:color="auto"/>
            </w:tcBorders>
            <w:shd w:val="clear" w:color="auto" w:fill="auto"/>
            <w:noWrap/>
            <w:vAlign w:val="center"/>
            <w:hideMark/>
          </w:tcPr>
          <w:p w14:paraId="34D96FB4"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5%</w:t>
            </w:r>
          </w:p>
        </w:tc>
        <w:tc>
          <w:tcPr>
            <w:tcW w:w="0" w:type="auto"/>
            <w:tcBorders>
              <w:top w:val="nil"/>
              <w:left w:val="nil"/>
              <w:bottom w:val="single" w:sz="4" w:space="0" w:color="auto"/>
              <w:right w:val="single" w:sz="4" w:space="0" w:color="auto"/>
            </w:tcBorders>
            <w:shd w:val="clear" w:color="auto" w:fill="auto"/>
            <w:noWrap/>
            <w:vAlign w:val="center"/>
            <w:hideMark/>
          </w:tcPr>
          <w:p w14:paraId="149F12D4"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r>
      <w:tr w:rsidR="003938E1" w:rsidRPr="006A0747" w14:paraId="7ACCE5A6" w14:textId="77777777" w:rsidTr="00665334">
        <w:trPr>
          <w:trHeight w:val="48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21CAFE85"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62</w:t>
            </w:r>
          </w:p>
        </w:tc>
        <w:tc>
          <w:tcPr>
            <w:tcW w:w="1187" w:type="dxa"/>
            <w:tcBorders>
              <w:top w:val="nil"/>
              <w:left w:val="nil"/>
              <w:bottom w:val="single" w:sz="4" w:space="0" w:color="auto"/>
              <w:right w:val="single" w:sz="4" w:space="0" w:color="auto"/>
            </w:tcBorders>
            <w:shd w:val="clear" w:color="auto" w:fill="auto"/>
            <w:noWrap/>
            <w:vAlign w:val="center"/>
            <w:hideMark/>
          </w:tcPr>
          <w:p w14:paraId="0392EE3D"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Supervisión Prevención Lavado de Activos y Financiamiento al Terrorismo (PLAFT)</w:t>
            </w:r>
          </w:p>
        </w:tc>
        <w:tc>
          <w:tcPr>
            <w:tcW w:w="1088" w:type="dxa"/>
            <w:tcBorders>
              <w:top w:val="nil"/>
              <w:left w:val="nil"/>
              <w:bottom w:val="single" w:sz="4" w:space="0" w:color="auto"/>
              <w:right w:val="single" w:sz="4" w:space="0" w:color="auto"/>
            </w:tcBorders>
            <w:shd w:val="clear" w:color="auto" w:fill="auto"/>
            <w:vAlign w:val="center"/>
            <w:hideMark/>
          </w:tcPr>
          <w:p w14:paraId="36CA5D4C"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Diagnóstico PLAFT</w:t>
            </w:r>
          </w:p>
        </w:tc>
        <w:tc>
          <w:tcPr>
            <w:tcW w:w="0" w:type="auto"/>
            <w:tcBorders>
              <w:top w:val="nil"/>
              <w:left w:val="nil"/>
              <w:bottom w:val="single" w:sz="4" w:space="0" w:color="auto"/>
              <w:right w:val="single" w:sz="4" w:space="0" w:color="auto"/>
            </w:tcBorders>
            <w:shd w:val="clear" w:color="auto" w:fill="auto"/>
            <w:vAlign w:val="center"/>
            <w:hideMark/>
          </w:tcPr>
          <w:p w14:paraId="0C69FCDC"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ejecución según hito</w:t>
            </w:r>
          </w:p>
        </w:tc>
        <w:tc>
          <w:tcPr>
            <w:tcW w:w="0" w:type="auto"/>
            <w:tcBorders>
              <w:top w:val="nil"/>
              <w:left w:val="nil"/>
              <w:bottom w:val="single" w:sz="4" w:space="0" w:color="auto"/>
              <w:right w:val="single" w:sz="4" w:space="0" w:color="auto"/>
            </w:tcBorders>
            <w:shd w:val="clear" w:color="auto" w:fill="auto"/>
            <w:noWrap/>
            <w:vAlign w:val="center"/>
            <w:hideMark/>
          </w:tcPr>
          <w:p w14:paraId="59164C00"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476E9229"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77EA19E4"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50%</w:t>
            </w:r>
          </w:p>
        </w:tc>
        <w:tc>
          <w:tcPr>
            <w:tcW w:w="0" w:type="auto"/>
            <w:tcBorders>
              <w:top w:val="nil"/>
              <w:left w:val="nil"/>
              <w:bottom w:val="single" w:sz="4" w:space="0" w:color="auto"/>
              <w:right w:val="single" w:sz="4" w:space="0" w:color="auto"/>
            </w:tcBorders>
            <w:shd w:val="clear" w:color="auto" w:fill="auto"/>
            <w:noWrap/>
            <w:vAlign w:val="center"/>
            <w:hideMark/>
          </w:tcPr>
          <w:p w14:paraId="6AF0285A"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50%</w:t>
            </w:r>
          </w:p>
        </w:tc>
        <w:tc>
          <w:tcPr>
            <w:tcW w:w="0" w:type="auto"/>
            <w:tcBorders>
              <w:top w:val="nil"/>
              <w:left w:val="nil"/>
              <w:bottom w:val="single" w:sz="4" w:space="0" w:color="auto"/>
              <w:right w:val="single" w:sz="4" w:space="0" w:color="auto"/>
            </w:tcBorders>
            <w:shd w:val="clear" w:color="auto" w:fill="auto"/>
            <w:noWrap/>
            <w:vAlign w:val="center"/>
            <w:hideMark/>
          </w:tcPr>
          <w:p w14:paraId="1A48ED86"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r>
      <w:tr w:rsidR="003938E1" w:rsidRPr="006A0747" w14:paraId="5CE74435" w14:textId="77777777" w:rsidTr="00665334">
        <w:trPr>
          <w:trHeight w:val="96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21930572"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63</w:t>
            </w:r>
          </w:p>
        </w:tc>
        <w:tc>
          <w:tcPr>
            <w:tcW w:w="1187" w:type="dxa"/>
            <w:tcBorders>
              <w:top w:val="nil"/>
              <w:left w:val="nil"/>
              <w:bottom w:val="single" w:sz="4" w:space="0" w:color="auto"/>
              <w:right w:val="single" w:sz="4" w:space="0" w:color="auto"/>
            </w:tcBorders>
            <w:shd w:val="clear" w:color="auto" w:fill="auto"/>
            <w:noWrap/>
            <w:vAlign w:val="center"/>
            <w:hideMark/>
          </w:tcPr>
          <w:p w14:paraId="2044AEDF"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Transformación y Desarrollo Operacional</w:t>
            </w:r>
          </w:p>
        </w:tc>
        <w:tc>
          <w:tcPr>
            <w:tcW w:w="1088" w:type="dxa"/>
            <w:tcBorders>
              <w:top w:val="nil"/>
              <w:left w:val="nil"/>
              <w:bottom w:val="single" w:sz="4" w:space="0" w:color="auto"/>
              <w:right w:val="single" w:sz="4" w:space="0" w:color="auto"/>
            </w:tcBorders>
            <w:shd w:val="clear" w:color="auto" w:fill="auto"/>
            <w:vAlign w:val="center"/>
            <w:hideMark/>
          </w:tcPr>
          <w:p w14:paraId="05F56D4B"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Certificación ISO 9001-2015 de los departamentos de:  1. Regulación, Monitoreo de Riesgos (ETAPA 3)</w:t>
            </w:r>
          </w:p>
        </w:tc>
        <w:tc>
          <w:tcPr>
            <w:tcW w:w="0" w:type="auto"/>
            <w:tcBorders>
              <w:top w:val="nil"/>
              <w:left w:val="nil"/>
              <w:bottom w:val="single" w:sz="4" w:space="0" w:color="auto"/>
              <w:right w:val="single" w:sz="4" w:space="0" w:color="auto"/>
            </w:tcBorders>
            <w:shd w:val="clear" w:color="auto" w:fill="auto"/>
            <w:vAlign w:val="center"/>
            <w:hideMark/>
          </w:tcPr>
          <w:p w14:paraId="336E8647"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Porcentaje de implementación de la norma</w:t>
            </w:r>
          </w:p>
        </w:tc>
        <w:tc>
          <w:tcPr>
            <w:tcW w:w="0" w:type="auto"/>
            <w:tcBorders>
              <w:top w:val="nil"/>
              <w:left w:val="nil"/>
              <w:bottom w:val="single" w:sz="4" w:space="0" w:color="auto"/>
              <w:right w:val="single" w:sz="4" w:space="0" w:color="auto"/>
            </w:tcBorders>
            <w:shd w:val="clear" w:color="auto" w:fill="auto"/>
            <w:noWrap/>
            <w:vAlign w:val="center"/>
            <w:hideMark/>
          </w:tcPr>
          <w:p w14:paraId="322215D4"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60AC3D28"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4AB30AE3"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90%</w:t>
            </w:r>
          </w:p>
        </w:tc>
        <w:tc>
          <w:tcPr>
            <w:tcW w:w="0" w:type="auto"/>
            <w:tcBorders>
              <w:top w:val="nil"/>
              <w:left w:val="nil"/>
              <w:bottom w:val="single" w:sz="4" w:space="0" w:color="auto"/>
              <w:right w:val="single" w:sz="4" w:space="0" w:color="auto"/>
            </w:tcBorders>
            <w:shd w:val="clear" w:color="auto" w:fill="auto"/>
            <w:noWrap/>
            <w:vAlign w:val="center"/>
            <w:hideMark/>
          </w:tcPr>
          <w:p w14:paraId="51B57AC2"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c>
          <w:tcPr>
            <w:tcW w:w="0" w:type="auto"/>
            <w:tcBorders>
              <w:top w:val="nil"/>
              <w:left w:val="nil"/>
              <w:bottom w:val="single" w:sz="4" w:space="0" w:color="auto"/>
              <w:right w:val="single" w:sz="4" w:space="0" w:color="auto"/>
            </w:tcBorders>
            <w:shd w:val="clear" w:color="auto" w:fill="auto"/>
            <w:noWrap/>
            <w:vAlign w:val="center"/>
            <w:hideMark/>
          </w:tcPr>
          <w:p w14:paraId="3A334B94"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111%</w:t>
            </w:r>
          </w:p>
        </w:tc>
      </w:tr>
      <w:tr w:rsidR="003938E1" w:rsidRPr="006A0747" w14:paraId="7ED8A789" w14:textId="77777777" w:rsidTr="00665334">
        <w:trPr>
          <w:trHeight w:val="72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2F307E1F"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64</w:t>
            </w:r>
          </w:p>
        </w:tc>
        <w:tc>
          <w:tcPr>
            <w:tcW w:w="1187" w:type="dxa"/>
            <w:tcBorders>
              <w:top w:val="nil"/>
              <w:left w:val="nil"/>
              <w:bottom w:val="single" w:sz="4" w:space="0" w:color="auto"/>
              <w:right w:val="single" w:sz="4" w:space="0" w:color="auto"/>
            </w:tcBorders>
            <w:shd w:val="clear" w:color="auto" w:fill="auto"/>
            <w:noWrap/>
            <w:vAlign w:val="center"/>
            <w:hideMark/>
          </w:tcPr>
          <w:p w14:paraId="72632F12"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Transformación y Desarrollo Operacional</w:t>
            </w:r>
          </w:p>
        </w:tc>
        <w:tc>
          <w:tcPr>
            <w:tcW w:w="1088" w:type="dxa"/>
            <w:tcBorders>
              <w:top w:val="nil"/>
              <w:left w:val="nil"/>
              <w:bottom w:val="single" w:sz="4" w:space="0" w:color="auto"/>
              <w:right w:val="single" w:sz="4" w:space="0" w:color="auto"/>
            </w:tcBorders>
            <w:shd w:val="clear" w:color="auto" w:fill="auto"/>
            <w:vAlign w:val="center"/>
            <w:hideMark/>
          </w:tcPr>
          <w:p w14:paraId="6211AE23"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 xml:space="preserve">Continuidad de automatización con BPM </w:t>
            </w:r>
            <w:r w:rsidRPr="006A0747">
              <w:rPr>
                <w:rFonts w:ascii="Times New Roman" w:eastAsia="Times New Roman" w:hAnsi="Times New Roman" w:cs="Times New Roman"/>
                <w:color w:val="767171"/>
                <w:sz w:val="24"/>
                <w:szCs w:val="24"/>
                <w:lang w:eastAsia="es-DO"/>
              </w:rPr>
              <w:lastRenderedPageBreak/>
              <w:t>etapas I y II</w:t>
            </w:r>
          </w:p>
        </w:tc>
        <w:tc>
          <w:tcPr>
            <w:tcW w:w="0" w:type="auto"/>
            <w:tcBorders>
              <w:top w:val="nil"/>
              <w:left w:val="nil"/>
              <w:bottom w:val="single" w:sz="4" w:space="0" w:color="auto"/>
              <w:right w:val="single" w:sz="4" w:space="0" w:color="auto"/>
            </w:tcBorders>
            <w:shd w:val="clear" w:color="auto" w:fill="auto"/>
            <w:vAlign w:val="center"/>
            <w:hideMark/>
          </w:tcPr>
          <w:p w14:paraId="5B52646E"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lastRenderedPageBreak/>
              <w:t>Porcentaje de ejecución según hito</w:t>
            </w:r>
          </w:p>
        </w:tc>
        <w:tc>
          <w:tcPr>
            <w:tcW w:w="0" w:type="auto"/>
            <w:tcBorders>
              <w:top w:val="nil"/>
              <w:left w:val="nil"/>
              <w:bottom w:val="single" w:sz="4" w:space="0" w:color="auto"/>
              <w:right w:val="single" w:sz="4" w:space="0" w:color="auto"/>
            </w:tcBorders>
            <w:shd w:val="clear" w:color="auto" w:fill="auto"/>
            <w:noWrap/>
            <w:vAlign w:val="center"/>
            <w:hideMark/>
          </w:tcPr>
          <w:p w14:paraId="02E3C980"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77B5D870"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n/a</w:t>
            </w:r>
          </w:p>
        </w:tc>
        <w:tc>
          <w:tcPr>
            <w:tcW w:w="0" w:type="auto"/>
            <w:tcBorders>
              <w:top w:val="nil"/>
              <w:left w:val="nil"/>
              <w:bottom w:val="single" w:sz="4" w:space="0" w:color="auto"/>
              <w:right w:val="single" w:sz="4" w:space="0" w:color="auto"/>
            </w:tcBorders>
            <w:shd w:val="clear" w:color="auto" w:fill="auto"/>
            <w:noWrap/>
            <w:vAlign w:val="center"/>
            <w:hideMark/>
          </w:tcPr>
          <w:p w14:paraId="163D2F96"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40%</w:t>
            </w:r>
          </w:p>
        </w:tc>
        <w:tc>
          <w:tcPr>
            <w:tcW w:w="0" w:type="auto"/>
            <w:tcBorders>
              <w:top w:val="nil"/>
              <w:left w:val="nil"/>
              <w:bottom w:val="single" w:sz="4" w:space="0" w:color="auto"/>
              <w:right w:val="single" w:sz="4" w:space="0" w:color="auto"/>
            </w:tcBorders>
            <w:shd w:val="clear" w:color="auto" w:fill="auto"/>
            <w:noWrap/>
            <w:vAlign w:val="center"/>
            <w:hideMark/>
          </w:tcPr>
          <w:p w14:paraId="44575174"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40%</w:t>
            </w:r>
          </w:p>
        </w:tc>
        <w:tc>
          <w:tcPr>
            <w:tcW w:w="0" w:type="auto"/>
            <w:tcBorders>
              <w:top w:val="nil"/>
              <w:left w:val="nil"/>
              <w:bottom w:val="single" w:sz="4" w:space="0" w:color="auto"/>
              <w:right w:val="single" w:sz="4" w:space="0" w:color="auto"/>
            </w:tcBorders>
            <w:shd w:val="clear" w:color="auto" w:fill="auto"/>
            <w:noWrap/>
            <w:vAlign w:val="center"/>
            <w:hideMark/>
          </w:tcPr>
          <w:p w14:paraId="64DC9F50" w14:textId="77777777" w:rsidR="003938E1" w:rsidRPr="006A0747" w:rsidRDefault="003938E1">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100%</w:t>
            </w:r>
          </w:p>
        </w:tc>
      </w:tr>
    </w:tbl>
    <w:p w14:paraId="6853E73E" w14:textId="2DA5D683" w:rsidR="00665334" w:rsidRPr="006A0747" w:rsidRDefault="00665334" w:rsidP="00665334">
      <w:pPr>
        <w:spacing w:after="0"/>
        <w:jc w:val="center"/>
        <w:rPr>
          <w:rFonts w:ascii="Times New Roman" w:hAnsi="Times New Roman" w:cs="Times New Roman"/>
          <w:i/>
          <w:color w:val="767177"/>
          <w:spacing w:val="20"/>
          <w:sz w:val="18"/>
          <w:szCs w:val="18"/>
        </w:rPr>
      </w:pPr>
      <w:r w:rsidRPr="006A0747">
        <w:rPr>
          <w:rFonts w:ascii="Times New Roman" w:hAnsi="Times New Roman" w:cs="Times New Roman"/>
          <w:b/>
          <w:i/>
          <w:color w:val="767177"/>
          <w:spacing w:val="20"/>
          <w:sz w:val="18"/>
          <w:szCs w:val="18"/>
        </w:rPr>
        <w:t>Fuente</w:t>
      </w:r>
      <w:r w:rsidRPr="006A0747">
        <w:rPr>
          <w:rFonts w:ascii="Times New Roman" w:hAnsi="Times New Roman" w:cs="Times New Roman"/>
          <w:i/>
          <w:color w:val="767177"/>
          <w:spacing w:val="20"/>
          <w:sz w:val="18"/>
          <w:szCs w:val="18"/>
        </w:rPr>
        <w:t xml:space="preserve">: Departamento </w:t>
      </w:r>
      <w:r w:rsidR="00690A34" w:rsidRPr="006A0747">
        <w:rPr>
          <w:rFonts w:ascii="Times New Roman" w:hAnsi="Times New Roman" w:cs="Times New Roman"/>
          <w:i/>
          <w:color w:val="767177"/>
          <w:spacing w:val="20"/>
          <w:sz w:val="18"/>
          <w:szCs w:val="18"/>
        </w:rPr>
        <w:t>Planificación y Desarrollo de la</w:t>
      </w:r>
      <w:r w:rsidRPr="006A0747">
        <w:rPr>
          <w:rFonts w:ascii="Times New Roman" w:hAnsi="Times New Roman" w:cs="Times New Roman"/>
          <w:i/>
          <w:color w:val="767177"/>
          <w:spacing w:val="20"/>
          <w:sz w:val="18"/>
          <w:szCs w:val="18"/>
        </w:rPr>
        <w:t xml:space="preserve"> Superintendencia de Bancos de la República Dominicana. 2024</w:t>
      </w:r>
    </w:p>
    <w:p w14:paraId="5EAB08E3" w14:textId="77777777" w:rsidR="00DF300E" w:rsidRPr="006A0747" w:rsidRDefault="00DF300E" w:rsidP="0088087A">
      <w:pPr>
        <w:rPr>
          <w:rFonts w:ascii="Times New Roman" w:hAnsi="Times New Roman" w:cs="Times New Roman"/>
          <w:sz w:val="24"/>
          <w:szCs w:val="24"/>
        </w:rPr>
      </w:pPr>
    </w:p>
    <w:p w14:paraId="66C03BF0" w14:textId="32DBAA53" w:rsidR="0088087A" w:rsidRPr="006A0747" w:rsidRDefault="0088087A" w:rsidP="002B1214">
      <w:pPr>
        <w:pStyle w:val="Ttulo2"/>
        <w:numPr>
          <w:ilvl w:val="1"/>
          <w:numId w:val="17"/>
        </w:numPr>
        <w:jc w:val="center"/>
        <w:rPr>
          <w:rFonts w:ascii="Times New Roman" w:eastAsia="Calibri" w:hAnsi="Times New Roman" w:cs="Times New Roman"/>
          <w:b/>
          <w:color w:val="767171"/>
          <w:spacing w:val="20"/>
          <w:sz w:val="24"/>
          <w:szCs w:val="24"/>
        </w:rPr>
      </w:pPr>
      <w:bookmarkStart w:id="78" w:name="_Toc185275023"/>
      <w:r w:rsidRPr="006A0747">
        <w:rPr>
          <w:rFonts w:ascii="Times New Roman" w:eastAsia="Calibri" w:hAnsi="Times New Roman" w:cs="Times New Roman"/>
          <w:b/>
          <w:color w:val="767171"/>
          <w:spacing w:val="20"/>
          <w:sz w:val="24"/>
          <w:szCs w:val="24"/>
        </w:rPr>
        <w:t>Plan Anual de Compras y Contrataciones</w:t>
      </w:r>
      <w:r w:rsidR="00DF6061" w:rsidRPr="006A0747">
        <w:rPr>
          <w:rFonts w:ascii="Times New Roman" w:eastAsia="Calibri" w:hAnsi="Times New Roman" w:cs="Times New Roman"/>
          <w:b/>
          <w:color w:val="767171"/>
          <w:spacing w:val="20"/>
          <w:sz w:val="24"/>
          <w:szCs w:val="24"/>
        </w:rPr>
        <w:t xml:space="preserve"> </w:t>
      </w:r>
      <w:r w:rsidR="005C105F">
        <w:rPr>
          <w:rFonts w:ascii="Times New Roman" w:eastAsia="Calibri" w:hAnsi="Times New Roman" w:cs="Times New Roman"/>
          <w:b/>
          <w:color w:val="767171"/>
          <w:spacing w:val="20"/>
          <w:sz w:val="24"/>
          <w:szCs w:val="24"/>
        </w:rPr>
        <w:t>– Enero -</w:t>
      </w:r>
      <w:r w:rsidR="007D4873" w:rsidRPr="006A0747">
        <w:rPr>
          <w:rFonts w:ascii="Times New Roman" w:eastAsia="Calibri" w:hAnsi="Times New Roman" w:cs="Times New Roman"/>
          <w:b/>
          <w:color w:val="767171"/>
          <w:spacing w:val="20"/>
          <w:sz w:val="24"/>
          <w:szCs w:val="24"/>
        </w:rPr>
        <w:t xml:space="preserve"> </w:t>
      </w:r>
      <w:r w:rsidR="000A3564">
        <w:rPr>
          <w:rFonts w:ascii="Times New Roman" w:eastAsia="Calibri" w:hAnsi="Times New Roman" w:cs="Times New Roman"/>
          <w:b/>
          <w:color w:val="767171"/>
          <w:spacing w:val="20"/>
          <w:sz w:val="24"/>
          <w:szCs w:val="24"/>
        </w:rPr>
        <w:t xml:space="preserve">Diciembre </w:t>
      </w:r>
      <w:r w:rsidRPr="006A0747">
        <w:rPr>
          <w:rFonts w:ascii="Times New Roman" w:eastAsia="Calibri" w:hAnsi="Times New Roman" w:cs="Times New Roman"/>
          <w:b/>
          <w:color w:val="767171"/>
          <w:spacing w:val="20"/>
          <w:sz w:val="24"/>
          <w:szCs w:val="24"/>
        </w:rPr>
        <w:t>2024</w:t>
      </w:r>
      <w:bookmarkEnd w:id="78"/>
      <w:r w:rsidRPr="006A0747">
        <w:fldChar w:fldCharType="begin"/>
      </w:r>
      <w:r w:rsidRPr="006A0747">
        <w:instrText xml:space="preserve"> LINK Excel.SheetMacroEnabled.12 "C:\\Users\\roperez\\AppData\\Local\\Microsoft\\Windows\\INetCache\\Content.Outlook\\T9KAE2LW\\PACC_2021_V1 (1).xlsm" "RESUMEN!F6C2:F39C3" \a \f 5 \h  \* MERGEFORMAT </w:instrText>
      </w:r>
      <w:r w:rsidRPr="006A0747">
        <w:fldChar w:fldCharType="separat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3520"/>
      </w:tblGrid>
      <w:tr w:rsidR="0088087A" w:rsidRPr="006A0747" w14:paraId="5A1BE964" w14:textId="77777777" w:rsidTr="00AE127E">
        <w:trPr>
          <w:trHeight w:val="300"/>
          <w:jc w:val="center"/>
        </w:trPr>
        <w:tc>
          <w:tcPr>
            <w:tcW w:w="0" w:type="auto"/>
            <w:gridSpan w:val="2"/>
            <w:shd w:val="clear" w:color="auto" w:fill="011C50"/>
            <w:hideMark/>
          </w:tcPr>
          <w:p w14:paraId="77C84C16" w14:textId="77777777" w:rsidR="0088087A" w:rsidRPr="006A0747" w:rsidRDefault="0088087A">
            <w:pPr>
              <w:spacing w:line="360" w:lineRule="auto"/>
              <w:jc w:val="center"/>
              <w:rPr>
                <w:rFonts w:ascii="Times New Roman" w:hAnsi="Times New Roman" w:cs="Times New Roman"/>
                <w:b/>
                <w:bCs/>
                <w:sz w:val="24"/>
                <w:szCs w:val="24"/>
              </w:rPr>
            </w:pPr>
            <w:r w:rsidRPr="006A0747">
              <w:rPr>
                <w:rFonts w:ascii="Times New Roman" w:hAnsi="Times New Roman" w:cs="Times New Roman"/>
                <w:b/>
                <w:bCs/>
                <w:color w:val="FFFFFF" w:themeColor="background1"/>
                <w:sz w:val="24"/>
                <w:szCs w:val="24"/>
              </w:rPr>
              <w:t>Datos de Cabecera PACC</w:t>
            </w:r>
          </w:p>
        </w:tc>
      </w:tr>
      <w:tr w:rsidR="004E7B6C" w:rsidRPr="006A0747" w14:paraId="426141DD" w14:textId="77777777">
        <w:trPr>
          <w:trHeight w:val="360"/>
          <w:jc w:val="center"/>
        </w:trPr>
        <w:tc>
          <w:tcPr>
            <w:tcW w:w="4390" w:type="dxa"/>
            <w:shd w:val="clear" w:color="auto" w:fill="auto"/>
            <w:hideMark/>
          </w:tcPr>
          <w:p w14:paraId="7BD595D7" w14:textId="77777777" w:rsidR="004E7B6C" w:rsidRPr="006A0747" w:rsidRDefault="004E7B6C" w:rsidP="004E7B6C">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Monto Estimado Total</w:t>
            </w:r>
          </w:p>
        </w:tc>
        <w:tc>
          <w:tcPr>
            <w:tcW w:w="3520" w:type="dxa"/>
            <w:shd w:val="clear" w:color="auto" w:fill="auto"/>
            <w:noWrap/>
            <w:hideMark/>
          </w:tcPr>
          <w:p w14:paraId="4BE24441" w14:textId="747D23F1" w:rsidR="004E7B6C" w:rsidRPr="006A0747" w:rsidRDefault="004E7B6C" w:rsidP="004E7B6C">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RD$427,436,986.93</w:t>
            </w:r>
          </w:p>
        </w:tc>
      </w:tr>
      <w:tr w:rsidR="004E7B6C" w:rsidRPr="006A0747" w14:paraId="1F7A3AEA" w14:textId="77777777">
        <w:trPr>
          <w:trHeight w:val="360"/>
          <w:jc w:val="center"/>
        </w:trPr>
        <w:tc>
          <w:tcPr>
            <w:tcW w:w="4390" w:type="dxa"/>
            <w:shd w:val="clear" w:color="auto" w:fill="auto"/>
            <w:hideMark/>
          </w:tcPr>
          <w:p w14:paraId="2828835E" w14:textId="77777777" w:rsidR="004E7B6C" w:rsidRPr="006A0747" w:rsidRDefault="004E7B6C" w:rsidP="004E7B6C">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Cantidad De Procesos Registrados</w:t>
            </w:r>
          </w:p>
        </w:tc>
        <w:tc>
          <w:tcPr>
            <w:tcW w:w="3520" w:type="dxa"/>
            <w:shd w:val="clear" w:color="auto" w:fill="auto"/>
            <w:noWrap/>
            <w:hideMark/>
          </w:tcPr>
          <w:p w14:paraId="35447CF3" w14:textId="3ADCF3A7" w:rsidR="004E7B6C" w:rsidRPr="006A0747" w:rsidRDefault="004E7B6C" w:rsidP="004E7B6C">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268</w:t>
            </w:r>
          </w:p>
        </w:tc>
      </w:tr>
      <w:tr w:rsidR="004E7B6C" w:rsidRPr="006A0747" w14:paraId="4D8592CD" w14:textId="77777777">
        <w:trPr>
          <w:trHeight w:val="360"/>
          <w:jc w:val="center"/>
        </w:trPr>
        <w:tc>
          <w:tcPr>
            <w:tcW w:w="4390" w:type="dxa"/>
            <w:shd w:val="clear" w:color="auto" w:fill="auto"/>
            <w:hideMark/>
          </w:tcPr>
          <w:p w14:paraId="2F32E52C" w14:textId="77777777" w:rsidR="004E7B6C" w:rsidRPr="006A0747" w:rsidRDefault="004E7B6C" w:rsidP="004E7B6C">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Capítulo</w:t>
            </w:r>
          </w:p>
        </w:tc>
        <w:tc>
          <w:tcPr>
            <w:tcW w:w="3520" w:type="dxa"/>
            <w:shd w:val="clear" w:color="auto" w:fill="auto"/>
            <w:noWrap/>
            <w:hideMark/>
          </w:tcPr>
          <w:p w14:paraId="4E8E8B5F" w14:textId="3B6BF33E" w:rsidR="004E7B6C" w:rsidRPr="006A0747" w:rsidRDefault="004E7B6C" w:rsidP="004E7B6C">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5126</w:t>
            </w:r>
          </w:p>
        </w:tc>
      </w:tr>
      <w:tr w:rsidR="004E7B6C" w:rsidRPr="006A0747" w14:paraId="1782CF77" w14:textId="77777777">
        <w:trPr>
          <w:trHeight w:val="360"/>
          <w:jc w:val="center"/>
        </w:trPr>
        <w:tc>
          <w:tcPr>
            <w:tcW w:w="4390" w:type="dxa"/>
            <w:shd w:val="clear" w:color="auto" w:fill="auto"/>
            <w:hideMark/>
          </w:tcPr>
          <w:p w14:paraId="185DB3C4" w14:textId="77777777" w:rsidR="004E7B6C" w:rsidRPr="006A0747" w:rsidRDefault="004E7B6C" w:rsidP="004E7B6C">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Sub-Capítulo</w:t>
            </w:r>
          </w:p>
        </w:tc>
        <w:tc>
          <w:tcPr>
            <w:tcW w:w="3520" w:type="dxa"/>
            <w:shd w:val="clear" w:color="auto" w:fill="auto"/>
            <w:noWrap/>
            <w:hideMark/>
          </w:tcPr>
          <w:p w14:paraId="5DC63241" w14:textId="6358D870" w:rsidR="004E7B6C" w:rsidRPr="006A0747" w:rsidRDefault="004E7B6C" w:rsidP="004E7B6C">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01</w:t>
            </w:r>
          </w:p>
        </w:tc>
      </w:tr>
      <w:tr w:rsidR="004E7B6C" w:rsidRPr="006A0747" w14:paraId="3E3838C9" w14:textId="77777777">
        <w:trPr>
          <w:trHeight w:val="360"/>
          <w:jc w:val="center"/>
        </w:trPr>
        <w:tc>
          <w:tcPr>
            <w:tcW w:w="4390" w:type="dxa"/>
            <w:shd w:val="clear" w:color="auto" w:fill="auto"/>
            <w:hideMark/>
          </w:tcPr>
          <w:p w14:paraId="105DD8A2" w14:textId="77777777" w:rsidR="004E7B6C" w:rsidRPr="006A0747" w:rsidRDefault="004E7B6C" w:rsidP="004E7B6C">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Unidad Ejecutora</w:t>
            </w:r>
          </w:p>
        </w:tc>
        <w:tc>
          <w:tcPr>
            <w:tcW w:w="3520" w:type="dxa"/>
            <w:shd w:val="clear" w:color="auto" w:fill="auto"/>
            <w:noWrap/>
            <w:hideMark/>
          </w:tcPr>
          <w:p w14:paraId="7B4C6E81" w14:textId="1D0D68FE" w:rsidR="004E7B6C" w:rsidRPr="006A0747" w:rsidRDefault="004E7B6C" w:rsidP="004E7B6C">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0001</w:t>
            </w:r>
          </w:p>
        </w:tc>
      </w:tr>
      <w:tr w:rsidR="004E7B6C" w:rsidRPr="006A0747" w14:paraId="7C78F358" w14:textId="77777777">
        <w:trPr>
          <w:trHeight w:val="330"/>
          <w:jc w:val="center"/>
        </w:trPr>
        <w:tc>
          <w:tcPr>
            <w:tcW w:w="4390" w:type="dxa"/>
            <w:shd w:val="clear" w:color="auto" w:fill="auto"/>
            <w:hideMark/>
          </w:tcPr>
          <w:p w14:paraId="0DE73C7B" w14:textId="77777777" w:rsidR="004E7B6C" w:rsidRPr="006A0747" w:rsidRDefault="004E7B6C" w:rsidP="004E7B6C">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Unidad De Compra</w:t>
            </w:r>
          </w:p>
        </w:tc>
        <w:tc>
          <w:tcPr>
            <w:tcW w:w="3520" w:type="dxa"/>
            <w:shd w:val="clear" w:color="auto" w:fill="auto"/>
            <w:noWrap/>
            <w:hideMark/>
          </w:tcPr>
          <w:p w14:paraId="7B07FCC4" w14:textId="5284DA4D" w:rsidR="004E7B6C" w:rsidRPr="006A0747" w:rsidRDefault="004E7B6C" w:rsidP="004E7B6C">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Superintendencia de Bancos</w:t>
            </w:r>
          </w:p>
        </w:tc>
      </w:tr>
      <w:tr w:rsidR="004E7B6C" w:rsidRPr="006A0747" w14:paraId="6F0D93E2" w14:textId="77777777">
        <w:trPr>
          <w:trHeight w:val="53"/>
          <w:jc w:val="center"/>
        </w:trPr>
        <w:tc>
          <w:tcPr>
            <w:tcW w:w="4390" w:type="dxa"/>
            <w:shd w:val="clear" w:color="auto" w:fill="auto"/>
            <w:hideMark/>
          </w:tcPr>
          <w:p w14:paraId="471C78D2" w14:textId="77777777" w:rsidR="004E7B6C" w:rsidRPr="006A0747" w:rsidRDefault="004E7B6C" w:rsidP="004E7B6C">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Año Fiscal</w:t>
            </w:r>
          </w:p>
        </w:tc>
        <w:tc>
          <w:tcPr>
            <w:tcW w:w="3520" w:type="dxa"/>
            <w:shd w:val="clear" w:color="auto" w:fill="auto"/>
            <w:noWrap/>
            <w:hideMark/>
          </w:tcPr>
          <w:p w14:paraId="2A53E1E3" w14:textId="18319045" w:rsidR="004E7B6C" w:rsidRPr="006A0747" w:rsidRDefault="004E7B6C" w:rsidP="004E7B6C">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2024</w:t>
            </w:r>
          </w:p>
        </w:tc>
      </w:tr>
      <w:tr w:rsidR="0088087A" w:rsidRPr="006A0747" w14:paraId="05901000" w14:textId="77777777">
        <w:trPr>
          <w:trHeight w:val="330"/>
          <w:jc w:val="center"/>
        </w:trPr>
        <w:tc>
          <w:tcPr>
            <w:tcW w:w="4390" w:type="dxa"/>
            <w:shd w:val="clear" w:color="auto" w:fill="auto"/>
            <w:hideMark/>
          </w:tcPr>
          <w:p w14:paraId="76EF3DCF" w14:textId="77777777" w:rsidR="0088087A" w:rsidRPr="006A0747" w:rsidRDefault="0088087A">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Fecha Aprobación</w:t>
            </w:r>
          </w:p>
        </w:tc>
        <w:tc>
          <w:tcPr>
            <w:tcW w:w="3520" w:type="dxa"/>
            <w:shd w:val="clear" w:color="auto" w:fill="auto"/>
            <w:noWrap/>
            <w:hideMark/>
          </w:tcPr>
          <w:p w14:paraId="53232004" w14:textId="12434038" w:rsidR="0088087A" w:rsidRPr="006A0747" w:rsidRDefault="007A2600">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w:t>
            </w:r>
          </w:p>
        </w:tc>
      </w:tr>
      <w:tr w:rsidR="0088087A" w:rsidRPr="006A0747" w14:paraId="7A0CDE91" w14:textId="77777777" w:rsidTr="00AE127E">
        <w:trPr>
          <w:trHeight w:val="300"/>
          <w:jc w:val="center"/>
        </w:trPr>
        <w:tc>
          <w:tcPr>
            <w:tcW w:w="0" w:type="auto"/>
            <w:gridSpan w:val="2"/>
            <w:shd w:val="clear" w:color="auto" w:fill="011C50"/>
            <w:hideMark/>
          </w:tcPr>
          <w:p w14:paraId="02C27B9D" w14:textId="77777777" w:rsidR="0088087A" w:rsidRPr="006A0747" w:rsidRDefault="0088087A">
            <w:pPr>
              <w:spacing w:line="240" w:lineRule="auto"/>
              <w:jc w:val="center"/>
              <w:rPr>
                <w:rFonts w:ascii="Times New Roman" w:hAnsi="Times New Roman" w:cs="Times New Roman"/>
                <w:b/>
                <w:bCs/>
                <w:color w:val="FFFFFF"/>
                <w:sz w:val="24"/>
                <w:szCs w:val="24"/>
              </w:rPr>
            </w:pPr>
            <w:r w:rsidRPr="006A0747">
              <w:rPr>
                <w:rFonts w:ascii="Times New Roman" w:hAnsi="Times New Roman" w:cs="Times New Roman"/>
                <w:b/>
                <w:bCs/>
                <w:color w:val="FFFFFF"/>
                <w:sz w:val="24"/>
                <w:szCs w:val="24"/>
              </w:rPr>
              <w:t>Montos Estimados según Objeto De Contratación</w:t>
            </w:r>
          </w:p>
        </w:tc>
      </w:tr>
      <w:tr w:rsidR="000A6038" w:rsidRPr="006A0747" w14:paraId="0BC4BDBA" w14:textId="77777777">
        <w:trPr>
          <w:trHeight w:val="300"/>
          <w:jc w:val="center"/>
        </w:trPr>
        <w:tc>
          <w:tcPr>
            <w:tcW w:w="4390" w:type="dxa"/>
            <w:shd w:val="clear" w:color="auto" w:fill="auto"/>
            <w:hideMark/>
          </w:tcPr>
          <w:p w14:paraId="5AC36B25" w14:textId="77777777" w:rsidR="000A6038" w:rsidRPr="006A0747" w:rsidRDefault="000A6038" w:rsidP="000A6038">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Bienes</w:t>
            </w:r>
          </w:p>
        </w:tc>
        <w:tc>
          <w:tcPr>
            <w:tcW w:w="3520" w:type="dxa"/>
            <w:shd w:val="clear" w:color="auto" w:fill="auto"/>
            <w:noWrap/>
            <w:hideMark/>
          </w:tcPr>
          <w:p w14:paraId="15F24EC6" w14:textId="77777777" w:rsidR="000A6038" w:rsidRPr="006A0747" w:rsidRDefault="000A6038" w:rsidP="000A6038">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RD$186,062,484.66</w:t>
            </w:r>
          </w:p>
        </w:tc>
      </w:tr>
      <w:tr w:rsidR="000A6038" w:rsidRPr="006A0747" w14:paraId="118CCD24" w14:textId="77777777">
        <w:trPr>
          <w:trHeight w:val="300"/>
          <w:jc w:val="center"/>
        </w:trPr>
        <w:tc>
          <w:tcPr>
            <w:tcW w:w="4390" w:type="dxa"/>
            <w:shd w:val="clear" w:color="auto" w:fill="auto"/>
            <w:hideMark/>
          </w:tcPr>
          <w:p w14:paraId="15AF3A1A" w14:textId="77777777" w:rsidR="000A6038" w:rsidRPr="006A0747" w:rsidRDefault="000A6038" w:rsidP="000A6038">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Obras</w:t>
            </w:r>
          </w:p>
        </w:tc>
        <w:tc>
          <w:tcPr>
            <w:tcW w:w="3520" w:type="dxa"/>
            <w:shd w:val="clear" w:color="auto" w:fill="auto"/>
            <w:noWrap/>
            <w:hideMark/>
          </w:tcPr>
          <w:p w14:paraId="7E54AD64" w14:textId="77777777" w:rsidR="000A6038" w:rsidRPr="006A0747" w:rsidRDefault="000A6038" w:rsidP="000A6038">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 xml:space="preserve">RD$12,000,000.00 </w:t>
            </w:r>
          </w:p>
        </w:tc>
      </w:tr>
      <w:tr w:rsidR="000A6038" w:rsidRPr="006A0747" w14:paraId="10BAFA71" w14:textId="77777777">
        <w:trPr>
          <w:trHeight w:val="300"/>
          <w:jc w:val="center"/>
        </w:trPr>
        <w:tc>
          <w:tcPr>
            <w:tcW w:w="4390" w:type="dxa"/>
            <w:shd w:val="clear" w:color="auto" w:fill="auto"/>
            <w:hideMark/>
          </w:tcPr>
          <w:p w14:paraId="61A6A2A3" w14:textId="77777777" w:rsidR="000A6038" w:rsidRPr="006A0747" w:rsidRDefault="000A6038" w:rsidP="000A6038">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Servicios</w:t>
            </w:r>
          </w:p>
        </w:tc>
        <w:tc>
          <w:tcPr>
            <w:tcW w:w="3520" w:type="dxa"/>
            <w:shd w:val="clear" w:color="auto" w:fill="auto"/>
            <w:noWrap/>
            <w:hideMark/>
          </w:tcPr>
          <w:p w14:paraId="50BA28C5" w14:textId="77777777" w:rsidR="000A6038" w:rsidRPr="006A0747" w:rsidRDefault="000A6038" w:rsidP="000A6038">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RD$220,107,802.27</w:t>
            </w:r>
          </w:p>
        </w:tc>
      </w:tr>
      <w:tr w:rsidR="000A6038" w:rsidRPr="006A0747" w14:paraId="0F0C9436" w14:textId="77777777">
        <w:trPr>
          <w:trHeight w:val="300"/>
          <w:jc w:val="center"/>
        </w:trPr>
        <w:tc>
          <w:tcPr>
            <w:tcW w:w="4390" w:type="dxa"/>
            <w:shd w:val="clear" w:color="auto" w:fill="auto"/>
            <w:hideMark/>
          </w:tcPr>
          <w:p w14:paraId="7026719A" w14:textId="77777777" w:rsidR="000A6038" w:rsidRPr="006A0747" w:rsidRDefault="000A6038" w:rsidP="000A6038">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Servicios: Consultoría</w:t>
            </w:r>
          </w:p>
        </w:tc>
        <w:tc>
          <w:tcPr>
            <w:tcW w:w="3520" w:type="dxa"/>
            <w:shd w:val="clear" w:color="auto" w:fill="auto"/>
            <w:noWrap/>
            <w:hideMark/>
          </w:tcPr>
          <w:p w14:paraId="0DE115C3" w14:textId="77777777" w:rsidR="000A6038" w:rsidRPr="006A0747" w:rsidRDefault="000A6038" w:rsidP="000A6038">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RD$9,266,700.00</w:t>
            </w:r>
          </w:p>
        </w:tc>
      </w:tr>
      <w:tr w:rsidR="0088087A" w:rsidRPr="006A0747" w14:paraId="650318E9" w14:textId="77777777">
        <w:trPr>
          <w:trHeight w:val="300"/>
          <w:jc w:val="center"/>
        </w:trPr>
        <w:tc>
          <w:tcPr>
            <w:tcW w:w="4390" w:type="dxa"/>
            <w:shd w:val="clear" w:color="auto" w:fill="auto"/>
            <w:hideMark/>
          </w:tcPr>
          <w:p w14:paraId="709EA232" w14:textId="77777777" w:rsidR="0088087A" w:rsidRPr="006A0747" w:rsidRDefault="0088087A">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Servicios: Consultoría basada en la calidad de los servicios</w:t>
            </w:r>
          </w:p>
        </w:tc>
        <w:tc>
          <w:tcPr>
            <w:tcW w:w="3520" w:type="dxa"/>
            <w:shd w:val="clear" w:color="auto" w:fill="auto"/>
            <w:noWrap/>
            <w:vAlign w:val="bottom"/>
            <w:hideMark/>
          </w:tcPr>
          <w:p w14:paraId="10C15C6A" w14:textId="77777777" w:rsidR="0088087A" w:rsidRPr="006A0747" w:rsidRDefault="0088087A">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 xml:space="preserve"> RD$                                                                                      -   </w:t>
            </w:r>
          </w:p>
        </w:tc>
      </w:tr>
      <w:tr w:rsidR="0088087A" w:rsidRPr="006A0747" w14:paraId="14D6BA47" w14:textId="77777777" w:rsidTr="00AE127E">
        <w:trPr>
          <w:trHeight w:val="300"/>
          <w:jc w:val="center"/>
        </w:trPr>
        <w:tc>
          <w:tcPr>
            <w:tcW w:w="0" w:type="auto"/>
            <w:gridSpan w:val="2"/>
            <w:shd w:val="clear" w:color="auto" w:fill="011C50"/>
            <w:hideMark/>
          </w:tcPr>
          <w:p w14:paraId="42DF8AA5" w14:textId="77777777" w:rsidR="0088087A" w:rsidRPr="006A0747" w:rsidRDefault="0088087A">
            <w:pPr>
              <w:spacing w:line="240" w:lineRule="auto"/>
              <w:jc w:val="center"/>
              <w:rPr>
                <w:rFonts w:ascii="Times New Roman" w:hAnsi="Times New Roman" w:cs="Times New Roman"/>
                <w:b/>
                <w:bCs/>
                <w:color w:val="FFFFFF" w:themeColor="background1"/>
                <w:sz w:val="24"/>
                <w:szCs w:val="24"/>
              </w:rPr>
            </w:pPr>
            <w:r w:rsidRPr="006A0747">
              <w:rPr>
                <w:rFonts w:ascii="Times New Roman" w:hAnsi="Times New Roman" w:cs="Times New Roman"/>
                <w:b/>
                <w:bCs/>
                <w:color w:val="FFFFFF" w:themeColor="background1"/>
                <w:sz w:val="24"/>
                <w:szCs w:val="24"/>
              </w:rPr>
              <w:t>Montos Estimados según Clasificación MIPYME</w:t>
            </w:r>
          </w:p>
        </w:tc>
      </w:tr>
      <w:tr w:rsidR="00905906" w:rsidRPr="006A0747" w14:paraId="761DD4AB" w14:textId="77777777">
        <w:trPr>
          <w:trHeight w:val="300"/>
          <w:jc w:val="center"/>
        </w:trPr>
        <w:tc>
          <w:tcPr>
            <w:tcW w:w="4390" w:type="dxa"/>
            <w:shd w:val="clear" w:color="auto" w:fill="auto"/>
            <w:hideMark/>
          </w:tcPr>
          <w:p w14:paraId="0CB50392" w14:textId="77777777" w:rsidR="00905906" w:rsidRPr="006A0747" w:rsidRDefault="00905906" w:rsidP="00905906">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MIPYME</w:t>
            </w:r>
          </w:p>
        </w:tc>
        <w:tc>
          <w:tcPr>
            <w:tcW w:w="3520" w:type="dxa"/>
            <w:shd w:val="clear" w:color="auto" w:fill="auto"/>
            <w:noWrap/>
            <w:hideMark/>
          </w:tcPr>
          <w:p w14:paraId="1756C059" w14:textId="77777777" w:rsidR="00905906" w:rsidRPr="006A0747" w:rsidRDefault="00905906" w:rsidP="00905906">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RD$71,671,180.64</w:t>
            </w:r>
          </w:p>
        </w:tc>
      </w:tr>
      <w:tr w:rsidR="00905906" w:rsidRPr="006A0747" w14:paraId="524531FD" w14:textId="77777777">
        <w:trPr>
          <w:trHeight w:val="300"/>
          <w:jc w:val="center"/>
        </w:trPr>
        <w:tc>
          <w:tcPr>
            <w:tcW w:w="4390" w:type="dxa"/>
            <w:shd w:val="clear" w:color="auto" w:fill="auto"/>
            <w:hideMark/>
          </w:tcPr>
          <w:p w14:paraId="7174A91E" w14:textId="77777777" w:rsidR="00905906" w:rsidRPr="006A0747" w:rsidRDefault="00905906" w:rsidP="00905906">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MIPYME Mujer</w:t>
            </w:r>
          </w:p>
        </w:tc>
        <w:tc>
          <w:tcPr>
            <w:tcW w:w="3520" w:type="dxa"/>
            <w:shd w:val="clear" w:color="auto" w:fill="auto"/>
            <w:noWrap/>
            <w:hideMark/>
          </w:tcPr>
          <w:p w14:paraId="2388CDA0" w14:textId="77777777" w:rsidR="00905906" w:rsidRPr="006A0747" w:rsidRDefault="00905906" w:rsidP="00905906">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RD$29,187,616.03</w:t>
            </w:r>
          </w:p>
        </w:tc>
      </w:tr>
      <w:tr w:rsidR="00905906" w:rsidRPr="006A0747" w14:paraId="75ECEB6D" w14:textId="77777777">
        <w:trPr>
          <w:trHeight w:val="300"/>
          <w:jc w:val="center"/>
        </w:trPr>
        <w:tc>
          <w:tcPr>
            <w:tcW w:w="4390" w:type="dxa"/>
            <w:shd w:val="clear" w:color="auto" w:fill="auto"/>
            <w:hideMark/>
          </w:tcPr>
          <w:p w14:paraId="439B9FF6" w14:textId="77777777" w:rsidR="00905906" w:rsidRPr="006A0747" w:rsidRDefault="00905906" w:rsidP="00905906">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No MIPYME</w:t>
            </w:r>
          </w:p>
        </w:tc>
        <w:tc>
          <w:tcPr>
            <w:tcW w:w="3520" w:type="dxa"/>
            <w:shd w:val="clear" w:color="auto" w:fill="auto"/>
            <w:noWrap/>
            <w:hideMark/>
          </w:tcPr>
          <w:p w14:paraId="44546D2B" w14:textId="77777777" w:rsidR="00905906" w:rsidRPr="006A0747" w:rsidRDefault="00905906" w:rsidP="00905906">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RD$326,578,190.26</w:t>
            </w:r>
          </w:p>
        </w:tc>
      </w:tr>
      <w:tr w:rsidR="0088087A" w:rsidRPr="006A0747" w14:paraId="671AF43D" w14:textId="77777777" w:rsidTr="00AE127E">
        <w:trPr>
          <w:trHeight w:val="300"/>
          <w:tblHeader/>
          <w:jc w:val="center"/>
        </w:trPr>
        <w:tc>
          <w:tcPr>
            <w:tcW w:w="0" w:type="auto"/>
            <w:gridSpan w:val="2"/>
            <w:shd w:val="clear" w:color="auto" w:fill="011C50"/>
            <w:hideMark/>
          </w:tcPr>
          <w:p w14:paraId="3E47E4A2" w14:textId="77777777" w:rsidR="0088087A" w:rsidRPr="006A0747" w:rsidRDefault="0088087A">
            <w:pPr>
              <w:spacing w:line="240" w:lineRule="auto"/>
              <w:jc w:val="center"/>
              <w:rPr>
                <w:rFonts w:ascii="Times New Roman" w:hAnsi="Times New Roman" w:cs="Times New Roman"/>
                <w:b/>
                <w:bCs/>
                <w:color w:val="FFFFFF"/>
                <w:sz w:val="24"/>
                <w:szCs w:val="24"/>
              </w:rPr>
            </w:pPr>
            <w:r w:rsidRPr="006A0747">
              <w:rPr>
                <w:rFonts w:ascii="Times New Roman" w:hAnsi="Times New Roman" w:cs="Times New Roman"/>
                <w:b/>
                <w:bCs/>
                <w:color w:val="FFFFFF"/>
                <w:sz w:val="24"/>
                <w:szCs w:val="24"/>
              </w:rPr>
              <w:lastRenderedPageBreak/>
              <w:t>Montos Estimados según Tipo De Procedimiento</w:t>
            </w:r>
          </w:p>
        </w:tc>
      </w:tr>
      <w:tr w:rsidR="00CC062A" w:rsidRPr="006A0747" w14:paraId="4EF769D7" w14:textId="77777777">
        <w:trPr>
          <w:trHeight w:val="300"/>
          <w:jc w:val="center"/>
        </w:trPr>
        <w:tc>
          <w:tcPr>
            <w:tcW w:w="4390" w:type="dxa"/>
            <w:shd w:val="clear" w:color="auto" w:fill="auto"/>
            <w:hideMark/>
          </w:tcPr>
          <w:p w14:paraId="1018BCC0" w14:textId="77777777" w:rsidR="00CC062A" w:rsidRPr="006A0747" w:rsidRDefault="00CC062A" w:rsidP="00CC062A">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Compras por debajo del umbral</w:t>
            </w:r>
          </w:p>
        </w:tc>
        <w:tc>
          <w:tcPr>
            <w:tcW w:w="3520" w:type="dxa"/>
            <w:shd w:val="clear" w:color="auto" w:fill="auto"/>
            <w:noWrap/>
            <w:hideMark/>
          </w:tcPr>
          <w:p w14:paraId="200DDD81" w14:textId="77777777" w:rsidR="00CC062A" w:rsidRPr="006A0747" w:rsidRDefault="00CC062A" w:rsidP="00CC062A">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RD$17,341,705.34</w:t>
            </w:r>
          </w:p>
        </w:tc>
      </w:tr>
      <w:tr w:rsidR="00CC062A" w:rsidRPr="006A0747" w14:paraId="6DBD3C9A" w14:textId="77777777">
        <w:trPr>
          <w:trHeight w:val="300"/>
          <w:jc w:val="center"/>
        </w:trPr>
        <w:tc>
          <w:tcPr>
            <w:tcW w:w="4390" w:type="dxa"/>
            <w:shd w:val="clear" w:color="auto" w:fill="auto"/>
            <w:hideMark/>
          </w:tcPr>
          <w:p w14:paraId="04A43DFE" w14:textId="77777777" w:rsidR="00CC062A" w:rsidRPr="006A0747" w:rsidRDefault="00CC062A" w:rsidP="00CC062A">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Compra Menor</w:t>
            </w:r>
          </w:p>
        </w:tc>
        <w:tc>
          <w:tcPr>
            <w:tcW w:w="3520" w:type="dxa"/>
            <w:shd w:val="clear" w:color="auto" w:fill="auto"/>
            <w:noWrap/>
            <w:hideMark/>
          </w:tcPr>
          <w:p w14:paraId="2BEAE76E" w14:textId="77777777" w:rsidR="00CC062A" w:rsidRPr="006A0747" w:rsidRDefault="00CC062A" w:rsidP="00CC062A">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RD$124,795,716.91</w:t>
            </w:r>
          </w:p>
        </w:tc>
      </w:tr>
      <w:tr w:rsidR="00CC062A" w:rsidRPr="006A0747" w14:paraId="21CADBFE" w14:textId="77777777">
        <w:trPr>
          <w:trHeight w:val="300"/>
          <w:jc w:val="center"/>
        </w:trPr>
        <w:tc>
          <w:tcPr>
            <w:tcW w:w="4390" w:type="dxa"/>
            <w:shd w:val="clear" w:color="auto" w:fill="auto"/>
            <w:hideMark/>
          </w:tcPr>
          <w:p w14:paraId="0FCAD164" w14:textId="77777777" w:rsidR="00CC062A" w:rsidRPr="006A0747" w:rsidRDefault="00CC062A" w:rsidP="00CC062A">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Comparación de Precios</w:t>
            </w:r>
          </w:p>
        </w:tc>
        <w:tc>
          <w:tcPr>
            <w:tcW w:w="3520" w:type="dxa"/>
            <w:shd w:val="clear" w:color="auto" w:fill="auto"/>
            <w:noWrap/>
            <w:hideMark/>
          </w:tcPr>
          <w:p w14:paraId="72CF9D1A" w14:textId="77777777" w:rsidR="00CC062A" w:rsidRPr="006A0747" w:rsidRDefault="00CC062A" w:rsidP="00CC062A">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RD$51,510,074.99</w:t>
            </w:r>
          </w:p>
        </w:tc>
      </w:tr>
      <w:tr w:rsidR="00CC062A" w:rsidRPr="006A0747" w14:paraId="2BBA6649" w14:textId="77777777">
        <w:trPr>
          <w:trHeight w:val="300"/>
          <w:jc w:val="center"/>
        </w:trPr>
        <w:tc>
          <w:tcPr>
            <w:tcW w:w="4390" w:type="dxa"/>
            <w:shd w:val="clear" w:color="auto" w:fill="auto"/>
            <w:hideMark/>
          </w:tcPr>
          <w:p w14:paraId="7E666853" w14:textId="77777777" w:rsidR="00CC062A" w:rsidRPr="006A0747" w:rsidRDefault="00CC062A" w:rsidP="00CC062A">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Licitación Pública</w:t>
            </w:r>
          </w:p>
        </w:tc>
        <w:tc>
          <w:tcPr>
            <w:tcW w:w="3520" w:type="dxa"/>
            <w:shd w:val="clear" w:color="auto" w:fill="auto"/>
            <w:noWrap/>
            <w:hideMark/>
          </w:tcPr>
          <w:p w14:paraId="39BD3C2D" w14:textId="77777777" w:rsidR="00CC062A" w:rsidRPr="006A0747" w:rsidRDefault="00CC062A" w:rsidP="00CC062A">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RD$46,492,000.00</w:t>
            </w:r>
          </w:p>
        </w:tc>
      </w:tr>
      <w:tr w:rsidR="00CC062A" w:rsidRPr="006A0747" w14:paraId="7EFF7636" w14:textId="77777777">
        <w:trPr>
          <w:trHeight w:val="300"/>
          <w:jc w:val="center"/>
        </w:trPr>
        <w:tc>
          <w:tcPr>
            <w:tcW w:w="4390" w:type="dxa"/>
            <w:shd w:val="clear" w:color="auto" w:fill="auto"/>
            <w:hideMark/>
          </w:tcPr>
          <w:p w14:paraId="28F2D37D" w14:textId="77777777" w:rsidR="00CC062A" w:rsidRPr="006A0747" w:rsidRDefault="00CC062A" w:rsidP="00CC062A">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Licitación Pública Internacional</w:t>
            </w:r>
          </w:p>
        </w:tc>
        <w:tc>
          <w:tcPr>
            <w:tcW w:w="3520" w:type="dxa"/>
            <w:shd w:val="clear" w:color="auto" w:fill="auto"/>
            <w:noWrap/>
            <w:hideMark/>
          </w:tcPr>
          <w:p w14:paraId="06A83B81" w14:textId="77777777" w:rsidR="00CC062A" w:rsidRPr="006A0747" w:rsidRDefault="00CC062A" w:rsidP="00CC062A">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 xml:space="preserve"> RD$-   </w:t>
            </w:r>
          </w:p>
        </w:tc>
      </w:tr>
      <w:tr w:rsidR="00CC062A" w:rsidRPr="006A0747" w14:paraId="25A5B521" w14:textId="77777777">
        <w:trPr>
          <w:trHeight w:val="70"/>
          <w:jc w:val="center"/>
        </w:trPr>
        <w:tc>
          <w:tcPr>
            <w:tcW w:w="4390" w:type="dxa"/>
            <w:shd w:val="clear" w:color="auto" w:fill="auto"/>
            <w:hideMark/>
          </w:tcPr>
          <w:p w14:paraId="2966F838" w14:textId="77777777" w:rsidR="00CC062A" w:rsidRPr="006A0747" w:rsidRDefault="00CC062A" w:rsidP="00CC062A">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Licitación Restringida</w:t>
            </w:r>
          </w:p>
        </w:tc>
        <w:tc>
          <w:tcPr>
            <w:tcW w:w="3520" w:type="dxa"/>
            <w:shd w:val="clear" w:color="auto" w:fill="auto"/>
            <w:noWrap/>
            <w:hideMark/>
          </w:tcPr>
          <w:p w14:paraId="6E4D46E5" w14:textId="77777777" w:rsidR="00CC062A" w:rsidRPr="006A0747" w:rsidRDefault="00CC062A" w:rsidP="00CC062A">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 xml:space="preserve"> RD$-   </w:t>
            </w:r>
          </w:p>
        </w:tc>
      </w:tr>
      <w:tr w:rsidR="00CC062A" w:rsidRPr="006A0747" w14:paraId="24E5C894" w14:textId="77777777">
        <w:trPr>
          <w:trHeight w:val="70"/>
          <w:jc w:val="center"/>
        </w:trPr>
        <w:tc>
          <w:tcPr>
            <w:tcW w:w="4390" w:type="dxa"/>
            <w:shd w:val="clear" w:color="auto" w:fill="auto"/>
            <w:hideMark/>
          </w:tcPr>
          <w:p w14:paraId="6122893B" w14:textId="77777777" w:rsidR="00CC062A" w:rsidRPr="006A0747" w:rsidRDefault="00CC062A" w:rsidP="00CC062A">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Sorteo de Obras</w:t>
            </w:r>
          </w:p>
        </w:tc>
        <w:tc>
          <w:tcPr>
            <w:tcW w:w="3520" w:type="dxa"/>
            <w:shd w:val="clear" w:color="auto" w:fill="auto"/>
            <w:noWrap/>
            <w:hideMark/>
          </w:tcPr>
          <w:p w14:paraId="04F778E6" w14:textId="77777777" w:rsidR="00CC062A" w:rsidRPr="006A0747" w:rsidRDefault="00CC062A" w:rsidP="00CC062A">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 xml:space="preserve"> RD$-   </w:t>
            </w:r>
          </w:p>
        </w:tc>
      </w:tr>
      <w:tr w:rsidR="00CC062A" w:rsidRPr="006A0747" w14:paraId="22AF79C3" w14:textId="77777777">
        <w:trPr>
          <w:trHeight w:val="70"/>
          <w:jc w:val="center"/>
        </w:trPr>
        <w:tc>
          <w:tcPr>
            <w:tcW w:w="4390" w:type="dxa"/>
            <w:shd w:val="clear" w:color="auto" w:fill="auto"/>
            <w:hideMark/>
          </w:tcPr>
          <w:p w14:paraId="1E4C9203" w14:textId="77777777" w:rsidR="00CC062A" w:rsidRPr="006A0747" w:rsidRDefault="00CC062A" w:rsidP="00CC062A">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Excepción - bienes o servicios con exclusividad</w:t>
            </w:r>
          </w:p>
        </w:tc>
        <w:tc>
          <w:tcPr>
            <w:tcW w:w="3520" w:type="dxa"/>
            <w:shd w:val="clear" w:color="auto" w:fill="auto"/>
            <w:noWrap/>
            <w:hideMark/>
          </w:tcPr>
          <w:p w14:paraId="7A8A3210" w14:textId="77777777" w:rsidR="00CC062A" w:rsidRPr="006A0747" w:rsidRDefault="00CC062A" w:rsidP="00CC062A">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RD$88,821,271.85</w:t>
            </w:r>
          </w:p>
        </w:tc>
      </w:tr>
      <w:tr w:rsidR="00CC062A" w:rsidRPr="006A0747" w14:paraId="186DF33E" w14:textId="77777777">
        <w:trPr>
          <w:trHeight w:val="600"/>
          <w:jc w:val="center"/>
        </w:trPr>
        <w:tc>
          <w:tcPr>
            <w:tcW w:w="4390" w:type="dxa"/>
            <w:shd w:val="clear" w:color="auto" w:fill="auto"/>
            <w:hideMark/>
          </w:tcPr>
          <w:p w14:paraId="40DF01AF" w14:textId="77777777" w:rsidR="00CC062A" w:rsidRPr="006A0747" w:rsidRDefault="00CC062A" w:rsidP="00CC062A">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Excepción - construcción, instalación o adquisición de oficinas para el servicio exterior</w:t>
            </w:r>
          </w:p>
        </w:tc>
        <w:tc>
          <w:tcPr>
            <w:tcW w:w="3520" w:type="dxa"/>
            <w:shd w:val="clear" w:color="auto" w:fill="auto"/>
            <w:noWrap/>
            <w:hideMark/>
          </w:tcPr>
          <w:p w14:paraId="46507A3B" w14:textId="77777777" w:rsidR="00CC062A" w:rsidRPr="006A0747" w:rsidRDefault="00CC062A" w:rsidP="00CC062A">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 xml:space="preserve"> RD$-   </w:t>
            </w:r>
          </w:p>
        </w:tc>
      </w:tr>
      <w:tr w:rsidR="00CC062A" w:rsidRPr="006A0747" w14:paraId="7BC8F092" w14:textId="77777777">
        <w:trPr>
          <w:trHeight w:val="600"/>
          <w:jc w:val="center"/>
        </w:trPr>
        <w:tc>
          <w:tcPr>
            <w:tcW w:w="4390" w:type="dxa"/>
            <w:shd w:val="clear" w:color="auto" w:fill="auto"/>
            <w:hideMark/>
          </w:tcPr>
          <w:p w14:paraId="4D1941C7" w14:textId="77777777" w:rsidR="00CC062A" w:rsidRPr="006A0747" w:rsidRDefault="00CC062A" w:rsidP="00CC062A">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Excepción - contratación de publicidad a través de medios de comunicación social</w:t>
            </w:r>
          </w:p>
        </w:tc>
        <w:tc>
          <w:tcPr>
            <w:tcW w:w="3520" w:type="dxa"/>
            <w:shd w:val="clear" w:color="auto" w:fill="auto"/>
            <w:noWrap/>
            <w:hideMark/>
          </w:tcPr>
          <w:p w14:paraId="5CFD483B" w14:textId="77777777" w:rsidR="00CC062A" w:rsidRPr="006A0747" w:rsidRDefault="00CC062A" w:rsidP="00CC062A">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RD$14,900,000.04</w:t>
            </w:r>
          </w:p>
        </w:tc>
      </w:tr>
      <w:tr w:rsidR="00CC062A" w:rsidRPr="006A0747" w14:paraId="094278E7" w14:textId="77777777">
        <w:trPr>
          <w:trHeight w:val="600"/>
          <w:jc w:val="center"/>
        </w:trPr>
        <w:tc>
          <w:tcPr>
            <w:tcW w:w="4390" w:type="dxa"/>
            <w:shd w:val="clear" w:color="auto" w:fill="auto"/>
            <w:hideMark/>
          </w:tcPr>
          <w:p w14:paraId="66C21BE1" w14:textId="77777777" w:rsidR="00CC062A" w:rsidRPr="006A0747" w:rsidRDefault="00CC062A" w:rsidP="00CC062A">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Excepción - obras científicas, técnicas, artísticas, o restauración de monumentos históricos</w:t>
            </w:r>
          </w:p>
        </w:tc>
        <w:tc>
          <w:tcPr>
            <w:tcW w:w="3520" w:type="dxa"/>
            <w:shd w:val="clear" w:color="auto" w:fill="auto"/>
            <w:noWrap/>
            <w:hideMark/>
          </w:tcPr>
          <w:p w14:paraId="3FB476E8" w14:textId="77777777" w:rsidR="00CC062A" w:rsidRPr="006A0747" w:rsidRDefault="00CC062A" w:rsidP="00CC062A">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RD$9,266,700.00</w:t>
            </w:r>
          </w:p>
        </w:tc>
      </w:tr>
      <w:tr w:rsidR="00CC062A" w:rsidRPr="006A0747" w14:paraId="292D677D" w14:textId="77777777">
        <w:trPr>
          <w:trHeight w:val="300"/>
          <w:jc w:val="center"/>
        </w:trPr>
        <w:tc>
          <w:tcPr>
            <w:tcW w:w="4390" w:type="dxa"/>
            <w:shd w:val="clear" w:color="auto" w:fill="auto"/>
            <w:hideMark/>
          </w:tcPr>
          <w:p w14:paraId="5624E87E" w14:textId="77777777" w:rsidR="00CC062A" w:rsidRPr="006A0747" w:rsidRDefault="00CC062A" w:rsidP="00CC062A">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Excepción - proveedor único</w:t>
            </w:r>
          </w:p>
        </w:tc>
        <w:tc>
          <w:tcPr>
            <w:tcW w:w="3520" w:type="dxa"/>
            <w:shd w:val="clear" w:color="auto" w:fill="auto"/>
            <w:noWrap/>
            <w:hideMark/>
          </w:tcPr>
          <w:p w14:paraId="60F81AEA" w14:textId="77777777" w:rsidR="00CC062A" w:rsidRPr="006A0747" w:rsidRDefault="00CC062A" w:rsidP="00CC062A">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RD$74,309,517.80</w:t>
            </w:r>
          </w:p>
        </w:tc>
      </w:tr>
      <w:tr w:rsidR="00CC062A" w:rsidRPr="006A0747" w14:paraId="1BC910A2" w14:textId="77777777">
        <w:trPr>
          <w:trHeight w:val="600"/>
          <w:jc w:val="center"/>
        </w:trPr>
        <w:tc>
          <w:tcPr>
            <w:tcW w:w="4390" w:type="dxa"/>
            <w:shd w:val="clear" w:color="auto" w:fill="auto"/>
            <w:hideMark/>
          </w:tcPr>
          <w:p w14:paraId="4DE7F024" w14:textId="77777777" w:rsidR="00CC062A" w:rsidRPr="006A0747" w:rsidRDefault="00CC062A" w:rsidP="00CC062A">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Excepción - rescisión de contratos cuya terminación no exceda el 40% del monto total del proyecto, obra o servicio</w:t>
            </w:r>
          </w:p>
        </w:tc>
        <w:tc>
          <w:tcPr>
            <w:tcW w:w="3520" w:type="dxa"/>
            <w:shd w:val="clear" w:color="auto" w:fill="auto"/>
            <w:noWrap/>
            <w:hideMark/>
          </w:tcPr>
          <w:p w14:paraId="55F464BA" w14:textId="77777777" w:rsidR="00CC062A" w:rsidRPr="006A0747" w:rsidRDefault="00CC062A" w:rsidP="00CC062A">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 xml:space="preserve"> RD$-   </w:t>
            </w:r>
          </w:p>
        </w:tc>
      </w:tr>
      <w:tr w:rsidR="00CC062A" w:rsidRPr="006A0747" w14:paraId="7AF0FF5E" w14:textId="77777777">
        <w:trPr>
          <w:trHeight w:val="559"/>
          <w:jc w:val="center"/>
        </w:trPr>
        <w:tc>
          <w:tcPr>
            <w:tcW w:w="4390" w:type="dxa"/>
            <w:shd w:val="clear" w:color="auto" w:fill="auto"/>
            <w:hideMark/>
          </w:tcPr>
          <w:p w14:paraId="0B8FE142" w14:textId="77777777" w:rsidR="00CC062A" w:rsidRPr="006A0747" w:rsidRDefault="00CC062A" w:rsidP="00CC062A">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Excepción - resolución 15-08 sobre compra y contratación de pasaje aéreo, combustible y reparación de vehículos de motor</w:t>
            </w:r>
          </w:p>
        </w:tc>
        <w:tc>
          <w:tcPr>
            <w:tcW w:w="3520" w:type="dxa"/>
            <w:shd w:val="clear" w:color="auto" w:fill="auto"/>
            <w:noWrap/>
            <w:hideMark/>
          </w:tcPr>
          <w:p w14:paraId="29C1629E" w14:textId="77777777" w:rsidR="00CC062A" w:rsidRPr="006A0747" w:rsidRDefault="00CC062A" w:rsidP="00CC062A">
            <w:pPr>
              <w:spacing w:line="240" w:lineRule="auto"/>
              <w:jc w:val="center"/>
              <w:rPr>
                <w:rFonts w:ascii="Times New Roman" w:hAnsi="Times New Roman" w:cs="Times New Roman"/>
                <w:color w:val="767171"/>
                <w:sz w:val="24"/>
                <w:szCs w:val="24"/>
              </w:rPr>
            </w:pPr>
            <w:r w:rsidRPr="006A0747">
              <w:rPr>
                <w:rFonts w:ascii="Times New Roman" w:hAnsi="Times New Roman" w:cs="Times New Roman"/>
                <w:color w:val="767171"/>
                <w:sz w:val="24"/>
                <w:szCs w:val="24"/>
              </w:rPr>
              <w:t xml:space="preserve"> RD$-   </w:t>
            </w:r>
          </w:p>
        </w:tc>
      </w:tr>
    </w:tbl>
    <w:p w14:paraId="0A81AD4A" w14:textId="77777777" w:rsidR="0088087A" w:rsidRPr="006A0747" w:rsidRDefault="0088087A" w:rsidP="0088087A">
      <w:pPr>
        <w:spacing w:after="0" w:line="240" w:lineRule="auto"/>
        <w:jc w:val="center"/>
        <w:rPr>
          <w:rFonts w:ascii="Times New Roman" w:hAnsi="Times New Roman" w:cs="Times New Roman"/>
          <w:b/>
          <w:sz w:val="24"/>
          <w:szCs w:val="24"/>
        </w:rPr>
      </w:pPr>
      <w:r w:rsidRPr="006A0747">
        <w:rPr>
          <w:rFonts w:ascii="Times New Roman" w:hAnsi="Times New Roman" w:cs="Times New Roman"/>
          <w:sz w:val="24"/>
          <w:szCs w:val="24"/>
        </w:rPr>
        <w:fldChar w:fldCharType="end"/>
      </w:r>
      <w:r w:rsidRPr="006A0747">
        <w:rPr>
          <w:rFonts w:ascii="Times New Roman" w:hAnsi="Times New Roman" w:cs="Times New Roman"/>
          <w:b/>
          <w:sz w:val="24"/>
          <w:szCs w:val="24"/>
        </w:rPr>
        <w:t xml:space="preserve"> </w:t>
      </w:r>
    </w:p>
    <w:tbl>
      <w:tblPr>
        <w:tblW w:w="7938" w:type="dxa"/>
        <w:jc w:val="center"/>
        <w:tblCellMar>
          <w:left w:w="70" w:type="dxa"/>
          <w:right w:w="70" w:type="dxa"/>
        </w:tblCellMar>
        <w:tblLook w:val="04A0" w:firstRow="1" w:lastRow="0" w:firstColumn="1" w:lastColumn="0" w:noHBand="0" w:noVBand="1"/>
      </w:tblPr>
      <w:tblGrid>
        <w:gridCol w:w="3876"/>
        <w:gridCol w:w="4062"/>
      </w:tblGrid>
      <w:tr w:rsidR="0088087A" w:rsidRPr="006A0747" w14:paraId="0D69ADE3" w14:textId="77777777" w:rsidTr="00A77E80">
        <w:trPr>
          <w:trHeight w:val="312"/>
          <w:tblHeader/>
          <w:jc w:val="center"/>
        </w:trPr>
        <w:tc>
          <w:tcPr>
            <w:tcW w:w="7938" w:type="dxa"/>
            <w:gridSpan w:val="2"/>
            <w:tcBorders>
              <w:top w:val="single" w:sz="8" w:space="0" w:color="auto"/>
              <w:left w:val="single" w:sz="8" w:space="0" w:color="auto"/>
              <w:bottom w:val="single" w:sz="8" w:space="0" w:color="auto"/>
              <w:right w:val="single" w:sz="8" w:space="0" w:color="000000"/>
            </w:tcBorders>
            <w:shd w:val="clear" w:color="auto" w:fill="011C50"/>
            <w:vAlign w:val="center"/>
            <w:hideMark/>
          </w:tcPr>
          <w:p w14:paraId="2BE1B857" w14:textId="334594F0" w:rsidR="0088087A" w:rsidRPr="006A0747" w:rsidRDefault="0088087A">
            <w:pPr>
              <w:spacing w:after="0" w:line="240" w:lineRule="auto"/>
              <w:jc w:val="center"/>
              <w:rPr>
                <w:rFonts w:ascii="Times New Roman" w:eastAsia="Times New Roman" w:hAnsi="Times New Roman" w:cs="Times New Roman"/>
                <w:b/>
                <w:bCs/>
                <w:color w:val="FFFFFF"/>
                <w:sz w:val="24"/>
                <w:szCs w:val="24"/>
                <w:lang w:eastAsia="es-DO"/>
              </w:rPr>
            </w:pPr>
            <w:r w:rsidRPr="006A0747">
              <w:rPr>
                <w:rFonts w:ascii="Times New Roman" w:eastAsia="Times New Roman" w:hAnsi="Times New Roman" w:cs="Times New Roman"/>
                <w:b/>
                <w:bCs/>
                <w:color w:val="FFFFFF"/>
                <w:sz w:val="24"/>
                <w:szCs w:val="24"/>
                <w:lang w:eastAsia="es-DO"/>
              </w:rPr>
              <w:t xml:space="preserve">Ejecución al </w:t>
            </w:r>
            <w:r w:rsidR="00FF188E">
              <w:rPr>
                <w:rFonts w:ascii="Times New Roman" w:eastAsia="Times New Roman" w:hAnsi="Times New Roman" w:cs="Times New Roman"/>
                <w:b/>
                <w:bCs/>
                <w:color w:val="FFFFFF"/>
                <w:sz w:val="24"/>
                <w:szCs w:val="24"/>
                <w:lang w:eastAsia="es-DO"/>
              </w:rPr>
              <w:t xml:space="preserve">31 de </w:t>
            </w:r>
            <w:proofErr w:type="gramStart"/>
            <w:r w:rsidR="00FF188E">
              <w:rPr>
                <w:rFonts w:ascii="Times New Roman" w:eastAsia="Times New Roman" w:hAnsi="Times New Roman" w:cs="Times New Roman"/>
                <w:b/>
                <w:bCs/>
                <w:color w:val="FFFFFF"/>
                <w:sz w:val="24"/>
                <w:szCs w:val="24"/>
                <w:lang w:eastAsia="es-DO"/>
              </w:rPr>
              <w:t>Diciembre</w:t>
            </w:r>
            <w:proofErr w:type="gramEnd"/>
            <w:r w:rsidRPr="006A0747">
              <w:rPr>
                <w:rFonts w:ascii="Times New Roman" w:eastAsia="Times New Roman" w:hAnsi="Times New Roman" w:cs="Times New Roman"/>
                <w:b/>
                <w:bCs/>
                <w:color w:val="FFFFFF"/>
                <w:sz w:val="24"/>
                <w:szCs w:val="24"/>
                <w:lang w:eastAsia="es-DO"/>
              </w:rPr>
              <w:t xml:space="preserve"> del 2024</w:t>
            </w:r>
          </w:p>
        </w:tc>
      </w:tr>
      <w:tr w:rsidR="0088087A" w:rsidRPr="006A0747" w14:paraId="35B04020" w14:textId="77777777" w:rsidTr="0088087A">
        <w:trPr>
          <w:trHeight w:val="312"/>
          <w:jc w:val="center"/>
        </w:trPr>
        <w:tc>
          <w:tcPr>
            <w:tcW w:w="3876" w:type="dxa"/>
            <w:tcBorders>
              <w:top w:val="nil"/>
              <w:left w:val="single" w:sz="8" w:space="0" w:color="auto"/>
              <w:bottom w:val="single" w:sz="8" w:space="0" w:color="auto"/>
              <w:right w:val="single" w:sz="8" w:space="0" w:color="auto"/>
            </w:tcBorders>
            <w:shd w:val="clear" w:color="auto" w:fill="auto"/>
            <w:vAlign w:val="center"/>
            <w:hideMark/>
          </w:tcPr>
          <w:p w14:paraId="2A408D7F" w14:textId="77777777" w:rsidR="0088087A" w:rsidRPr="006A0747" w:rsidRDefault="0088087A">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Monto Publicado Total</w:t>
            </w:r>
          </w:p>
        </w:tc>
        <w:tc>
          <w:tcPr>
            <w:tcW w:w="4062" w:type="dxa"/>
            <w:tcBorders>
              <w:top w:val="nil"/>
              <w:left w:val="nil"/>
              <w:bottom w:val="single" w:sz="8" w:space="0" w:color="auto"/>
              <w:right w:val="single" w:sz="8" w:space="0" w:color="auto"/>
            </w:tcBorders>
            <w:shd w:val="clear" w:color="auto" w:fill="auto"/>
            <w:vAlign w:val="center"/>
            <w:hideMark/>
          </w:tcPr>
          <w:p w14:paraId="0981052D" w14:textId="78E11BEF" w:rsidR="0088087A" w:rsidRPr="006A0747" w:rsidRDefault="00252F84">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 xml:space="preserve">RD$ </w:t>
            </w:r>
            <w:r w:rsidR="00D929E1">
              <w:rPr>
                <w:rFonts w:ascii="Times New Roman" w:eastAsia="Times New Roman" w:hAnsi="Times New Roman" w:cs="Times New Roman"/>
                <w:color w:val="767171"/>
                <w:sz w:val="24"/>
                <w:szCs w:val="24"/>
                <w:lang w:eastAsia="es-DO"/>
              </w:rPr>
              <w:t>415,</w:t>
            </w:r>
            <w:r w:rsidR="00284D70">
              <w:rPr>
                <w:rFonts w:ascii="Times New Roman" w:eastAsia="Times New Roman" w:hAnsi="Times New Roman" w:cs="Times New Roman"/>
                <w:color w:val="767171"/>
                <w:sz w:val="24"/>
                <w:szCs w:val="24"/>
                <w:lang w:eastAsia="es-DO"/>
              </w:rPr>
              <w:t>300,145</w:t>
            </w:r>
          </w:p>
        </w:tc>
      </w:tr>
      <w:tr w:rsidR="0088087A" w:rsidRPr="006A0747" w14:paraId="1714E77B" w14:textId="77777777" w:rsidTr="00AE127E">
        <w:trPr>
          <w:trHeight w:val="312"/>
          <w:jc w:val="center"/>
        </w:trPr>
        <w:tc>
          <w:tcPr>
            <w:tcW w:w="7938" w:type="dxa"/>
            <w:gridSpan w:val="2"/>
            <w:tcBorders>
              <w:top w:val="single" w:sz="8" w:space="0" w:color="auto"/>
              <w:left w:val="single" w:sz="8" w:space="0" w:color="auto"/>
              <w:bottom w:val="single" w:sz="8" w:space="0" w:color="auto"/>
              <w:right w:val="single" w:sz="8" w:space="0" w:color="000000"/>
            </w:tcBorders>
            <w:shd w:val="clear" w:color="auto" w:fill="011C50"/>
            <w:vAlign w:val="center"/>
            <w:hideMark/>
          </w:tcPr>
          <w:p w14:paraId="4598EEFB" w14:textId="77777777" w:rsidR="0088087A" w:rsidRPr="006A0747" w:rsidRDefault="0088087A">
            <w:pPr>
              <w:spacing w:after="0" w:line="240" w:lineRule="auto"/>
              <w:jc w:val="center"/>
              <w:rPr>
                <w:rFonts w:ascii="Times New Roman" w:eastAsia="Times New Roman" w:hAnsi="Times New Roman" w:cs="Times New Roman"/>
                <w:b/>
                <w:bCs/>
                <w:color w:val="FFFFFF"/>
                <w:sz w:val="24"/>
                <w:szCs w:val="24"/>
                <w:lang w:eastAsia="es-DO"/>
              </w:rPr>
            </w:pPr>
            <w:r w:rsidRPr="006A0747">
              <w:rPr>
                <w:rFonts w:ascii="Times New Roman" w:eastAsia="Times New Roman" w:hAnsi="Times New Roman" w:cs="Times New Roman"/>
                <w:b/>
                <w:bCs/>
                <w:color w:val="FFFFFF"/>
                <w:sz w:val="24"/>
                <w:szCs w:val="24"/>
                <w:lang w:eastAsia="es-DO"/>
              </w:rPr>
              <w:t>Montos Convocados según Objeto De Contratación</w:t>
            </w:r>
          </w:p>
        </w:tc>
      </w:tr>
      <w:tr w:rsidR="00624F00" w:rsidRPr="006A0747" w14:paraId="52A55DB6" w14:textId="77777777" w:rsidTr="0088087A">
        <w:trPr>
          <w:trHeight w:val="312"/>
          <w:jc w:val="center"/>
        </w:trPr>
        <w:tc>
          <w:tcPr>
            <w:tcW w:w="3876" w:type="dxa"/>
            <w:tcBorders>
              <w:top w:val="nil"/>
              <w:left w:val="single" w:sz="8" w:space="0" w:color="auto"/>
              <w:bottom w:val="single" w:sz="8" w:space="0" w:color="auto"/>
              <w:right w:val="single" w:sz="8" w:space="0" w:color="auto"/>
            </w:tcBorders>
            <w:shd w:val="clear" w:color="auto" w:fill="auto"/>
            <w:vAlign w:val="center"/>
            <w:hideMark/>
          </w:tcPr>
          <w:p w14:paraId="18011A6D" w14:textId="77777777" w:rsidR="00624F00" w:rsidRPr="006A0747" w:rsidRDefault="00624F00" w:rsidP="00624F00">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Bienes</w:t>
            </w:r>
          </w:p>
        </w:tc>
        <w:tc>
          <w:tcPr>
            <w:tcW w:w="4062" w:type="dxa"/>
            <w:tcBorders>
              <w:top w:val="nil"/>
              <w:left w:val="nil"/>
              <w:bottom w:val="single" w:sz="8" w:space="0" w:color="auto"/>
              <w:right w:val="single" w:sz="8" w:space="0" w:color="auto"/>
            </w:tcBorders>
            <w:shd w:val="clear" w:color="auto" w:fill="auto"/>
            <w:hideMark/>
          </w:tcPr>
          <w:p w14:paraId="7D5F78AC" w14:textId="638DA2C5" w:rsidR="00624F00" w:rsidRPr="006A0747" w:rsidRDefault="00624F00" w:rsidP="00624F00">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hAnsi="Times New Roman" w:cs="Times New Roman"/>
                <w:color w:val="767171"/>
                <w:sz w:val="24"/>
                <w:szCs w:val="24"/>
              </w:rPr>
              <w:t xml:space="preserve">RD$ </w:t>
            </w:r>
            <w:r w:rsidR="006736F3">
              <w:rPr>
                <w:rFonts w:ascii="Times New Roman" w:hAnsi="Times New Roman" w:cs="Times New Roman"/>
                <w:color w:val="767171"/>
                <w:sz w:val="24"/>
                <w:szCs w:val="24"/>
              </w:rPr>
              <w:t>62,656,86</w:t>
            </w:r>
            <w:r w:rsidR="00950D48">
              <w:rPr>
                <w:rFonts w:ascii="Times New Roman" w:hAnsi="Times New Roman" w:cs="Times New Roman"/>
                <w:color w:val="767171"/>
                <w:sz w:val="24"/>
                <w:szCs w:val="24"/>
              </w:rPr>
              <w:t>5</w:t>
            </w:r>
          </w:p>
        </w:tc>
      </w:tr>
      <w:tr w:rsidR="00624F00" w:rsidRPr="006A0747" w14:paraId="221E562F" w14:textId="77777777" w:rsidTr="0088087A">
        <w:trPr>
          <w:trHeight w:val="312"/>
          <w:jc w:val="center"/>
        </w:trPr>
        <w:tc>
          <w:tcPr>
            <w:tcW w:w="3876" w:type="dxa"/>
            <w:tcBorders>
              <w:top w:val="nil"/>
              <w:left w:val="single" w:sz="8" w:space="0" w:color="auto"/>
              <w:bottom w:val="single" w:sz="8" w:space="0" w:color="auto"/>
              <w:right w:val="single" w:sz="8" w:space="0" w:color="auto"/>
            </w:tcBorders>
            <w:shd w:val="clear" w:color="auto" w:fill="auto"/>
            <w:vAlign w:val="center"/>
            <w:hideMark/>
          </w:tcPr>
          <w:p w14:paraId="2D08F971" w14:textId="77777777" w:rsidR="00624F00" w:rsidRPr="006A0747" w:rsidRDefault="00624F00" w:rsidP="00624F00">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Obras</w:t>
            </w:r>
          </w:p>
        </w:tc>
        <w:tc>
          <w:tcPr>
            <w:tcW w:w="4062" w:type="dxa"/>
            <w:tcBorders>
              <w:top w:val="nil"/>
              <w:left w:val="nil"/>
              <w:bottom w:val="single" w:sz="8" w:space="0" w:color="auto"/>
              <w:right w:val="single" w:sz="8" w:space="0" w:color="auto"/>
            </w:tcBorders>
            <w:shd w:val="clear" w:color="auto" w:fill="auto"/>
            <w:hideMark/>
          </w:tcPr>
          <w:p w14:paraId="4C563439" w14:textId="77777777" w:rsidR="00624F00" w:rsidRPr="006A0747" w:rsidRDefault="00624F00" w:rsidP="00624F00">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hAnsi="Times New Roman" w:cs="Times New Roman"/>
                <w:color w:val="767171"/>
                <w:sz w:val="24"/>
                <w:szCs w:val="24"/>
              </w:rPr>
              <w:t>RD$ -</w:t>
            </w:r>
          </w:p>
        </w:tc>
      </w:tr>
      <w:tr w:rsidR="00624F00" w:rsidRPr="006A0747" w14:paraId="5D170B3D" w14:textId="77777777" w:rsidTr="0088087A">
        <w:trPr>
          <w:trHeight w:val="312"/>
          <w:jc w:val="center"/>
        </w:trPr>
        <w:tc>
          <w:tcPr>
            <w:tcW w:w="3876" w:type="dxa"/>
            <w:tcBorders>
              <w:top w:val="nil"/>
              <w:left w:val="single" w:sz="8" w:space="0" w:color="auto"/>
              <w:bottom w:val="single" w:sz="8" w:space="0" w:color="auto"/>
              <w:right w:val="single" w:sz="8" w:space="0" w:color="auto"/>
            </w:tcBorders>
            <w:shd w:val="clear" w:color="auto" w:fill="auto"/>
            <w:vAlign w:val="center"/>
            <w:hideMark/>
          </w:tcPr>
          <w:p w14:paraId="00DD1D00" w14:textId="77777777" w:rsidR="00624F00" w:rsidRPr="006A0747" w:rsidRDefault="00624F00" w:rsidP="00624F00">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Servicios</w:t>
            </w:r>
          </w:p>
        </w:tc>
        <w:tc>
          <w:tcPr>
            <w:tcW w:w="4062" w:type="dxa"/>
            <w:tcBorders>
              <w:top w:val="nil"/>
              <w:left w:val="nil"/>
              <w:bottom w:val="single" w:sz="8" w:space="0" w:color="auto"/>
              <w:right w:val="single" w:sz="8" w:space="0" w:color="auto"/>
            </w:tcBorders>
            <w:shd w:val="clear" w:color="auto" w:fill="auto"/>
            <w:hideMark/>
          </w:tcPr>
          <w:p w14:paraId="3DAE26E6" w14:textId="62B2B393" w:rsidR="00624F00" w:rsidRPr="006A0747" w:rsidRDefault="00624F00" w:rsidP="00624F00">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hAnsi="Times New Roman" w:cs="Times New Roman"/>
                <w:color w:val="767171"/>
                <w:sz w:val="24"/>
                <w:szCs w:val="24"/>
              </w:rPr>
              <w:t xml:space="preserve">RD$ </w:t>
            </w:r>
            <w:r w:rsidR="00950D48">
              <w:rPr>
                <w:rFonts w:ascii="Times New Roman" w:hAnsi="Times New Roman" w:cs="Times New Roman"/>
                <w:color w:val="767171"/>
                <w:sz w:val="24"/>
                <w:szCs w:val="24"/>
              </w:rPr>
              <w:t>352</w:t>
            </w:r>
            <w:r w:rsidR="00950507">
              <w:rPr>
                <w:rFonts w:ascii="Times New Roman" w:hAnsi="Times New Roman" w:cs="Times New Roman"/>
                <w:color w:val="767171"/>
                <w:sz w:val="24"/>
                <w:szCs w:val="24"/>
              </w:rPr>
              <w:t>,643,280</w:t>
            </w:r>
          </w:p>
        </w:tc>
      </w:tr>
      <w:tr w:rsidR="00624F00" w:rsidRPr="006A0747" w14:paraId="454BC34D" w14:textId="77777777" w:rsidTr="0088087A">
        <w:trPr>
          <w:trHeight w:val="312"/>
          <w:jc w:val="center"/>
        </w:trPr>
        <w:tc>
          <w:tcPr>
            <w:tcW w:w="3876" w:type="dxa"/>
            <w:tcBorders>
              <w:top w:val="nil"/>
              <w:left w:val="single" w:sz="8" w:space="0" w:color="auto"/>
              <w:bottom w:val="single" w:sz="8" w:space="0" w:color="auto"/>
              <w:right w:val="single" w:sz="8" w:space="0" w:color="auto"/>
            </w:tcBorders>
            <w:shd w:val="clear" w:color="auto" w:fill="auto"/>
            <w:vAlign w:val="center"/>
            <w:hideMark/>
          </w:tcPr>
          <w:p w14:paraId="5817059D" w14:textId="77777777" w:rsidR="00624F00" w:rsidRPr="006A0747" w:rsidRDefault="00624F00" w:rsidP="00624F00">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Servicios: Consultoría</w:t>
            </w:r>
          </w:p>
        </w:tc>
        <w:tc>
          <w:tcPr>
            <w:tcW w:w="4062" w:type="dxa"/>
            <w:tcBorders>
              <w:top w:val="nil"/>
              <w:left w:val="nil"/>
              <w:bottom w:val="single" w:sz="8" w:space="0" w:color="auto"/>
              <w:right w:val="single" w:sz="8" w:space="0" w:color="auto"/>
            </w:tcBorders>
            <w:shd w:val="clear" w:color="auto" w:fill="auto"/>
            <w:hideMark/>
          </w:tcPr>
          <w:p w14:paraId="063F4BCE" w14:textId="77777777" w:rsidR="00624F00" w:rsidRPr="006A0747" w:rsidRDefault="00624F00" w:rsidP="00624F00">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hAnsi="Times New Roman" w:cs="Times New Roman"/>
                <w:color w:val="767171"/>
                <w:sz w:val="24"/>
                <w:szCs w:val="24"/>
              </w:rPr>
              <w:t>RD$ -</w:t>
            </w:r>
          </w:p>
        </w:tc>
      </w:tr>
      <w:tr w:rsidR="0088087A" w:rsidRPr="006A0747" w14:paraId="65249B21" w14:textId="77777777" w:rsidTr="00AE127E">
        <w:trPr>
          <w:trHeight w:val="312"/>
          <w:jc w:val="center"/>
        </w:trPr>
        <w:tc>
          <w:tcPr>
            <w:tcW w:w="7938" w:type="dxa"/>
            <w:gridSpan w:val="2"/>
            <w:tcBorders>
              <w:top w:val="single" w:sz="8" w:space="0" w:color="auto"/>
              <w:left w:val="single" w:sz="8" w:space="0" w:color="auto"/>
              <w:bottom w:val="single" w:sz="8" w:space="0" w:color="auto"/>
              <w:right w:val="single" w:sz="8" w:space="0" w:color="000000"/>
            </w:tcBorders>
            <w:shd w:val="clear" w:color="auto" w:fill="011C50"/>
            <w:vAlign w:val="center"/>
            <w:hideMark/>
          </w:tcPr>
          <w:p w14:paraId="069033EC" w14:textId="77777777" w:rsidR="0088087A" w:rsidRPr="006A0747" w:rsidRDefault="0088087A">
            <w:pPr>
              <w:spacing w:after="0" w:line="240" w:lineRule="auto"/>
              <w:jc w:val="center"/>
              <w:rPr>
                <w:rFonts w:ascii="Times New Roman" w:eastAsia="Times New Roman" w:hAnsi="Times New Roman" w:cs="Times New Roman"/>
                <w:b/>
                <w:bCs/>
                <w:color w:val="FFFFFF"/>
                <w:sz w:val="24"/>
                <w:szCs w:val="24"/>
                <w:lang w:eastAsia="es-DO"/>
              </w:rPr>
            </w:pPr>
            <w:r w:rsidRPr="006A0747">
              <w:rPr>
                <w:rFonts w:ascii="Times New Roman" w:eastAsia="Times New Roman" w:hAnsi="Times New Roman" w:cs="Times New Roman"/>
                <w:b/>
                <w:bCs/>
                <w:color w:val="FFFFFF"/>
                <w:sz w:val="24"/>
                <w:szCs w:val="24"/>
                <w:lang w:eastAsia="es-DO"/>
              </w:rPr>
              <w:t>Montos Adjudicados según Clasificación MIPYME</w:t>
            </w:r>
          </w:p>
        </w:tc>
      </w:tr>
      <w:tr w:rsidR="00774B2D" w:rsidRPr="006A0747" w14:paraId="63F09C90" w14:textId="77777777" w:rsidTr="0088087A">
        <w:trPr>
          <w:trHeight w:val="312"/>
          <w:jc w:val="center"/>
        </w:trPr>
        <w:tc>
          <w:tcPr>
            <w:tcW w:w="3876" w:type="dxa"/>
            <w:tcBorders>
              <w:top w:val="nil"/>
              <w:left w:val="single" w:sz="8" w:space="0" w:color="auto"/>
              <w:bottom w:val="single" w:sz="8" w:space="0" w:color="auto"/>
              <w:right w:val="single" w:sz="8" w:space="0" w:color="auto"/>
            </w:tcBorders>
            <w:shd w:val="clear" w:color="auto" w:fill="auto"/>
            <w:vAlign w:val="center"/>
            <w:hideMark/>
          </w:tcPr>
          <w:p w14:paraId="48603C3F" w14:textId="77777777" w:rsidR="00774B2D" w:rsidRPr="006A0747" w:rsidRDefault="00774B2D" w:rsidP="00774B2D">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lastRenderedPageBreak/>
              <w:t>MIPYME</w:t>
            </w:r>
          </w:p>
        </w:tc>
        <w:tc>
          <w:tcPr>
            <w:tcW w:w="4062" w:type="dxa"/>
            <w:tcBorders>
              <w:top w:val="nil"/>
              <w:left w:val="nil"/>
              <w:bottom w:val="single" w:sz="8" w:space="0" w:color="auto"/>
              <w:right w:val="single" w:sz="8" w:space="0" w:color="auto"/>
            </w:tcBorders>
            <w:shd w:val="clear" w:color="auto" w:fill="auto"/>
            <w:hideMark/>
          </w:tcPr>
          <w:p w14:paraId="2EF40F02" w14:textId="2BC1F27B" w:rsidR="00774B2D" w:rsidRPr="006A0747" w:rsidRDefault="00774B2D" w:rsidP="00774B2D">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hAnsi="Times New Roman" w:cs="Times New Roman"/>
                <w:color w:val="767171"/>
                <w:sz w:val="24"/>
                <w:szCs w:val="24"/>
              </w:rPr>
              <w:t xml:space="preserve">RD$ </w:t>
            </w:r>
            <w:r w:rsidR="00C55924">
              <w:rPr>
                <w:rFonts w:ascii="Times New Roman" w:hAnsi="Times New Roman" w:cs="Times New Roman"/>
                <w:color w:val="767171"/>
                <w:sz w:val="24"/>
                <w:szCs w:val="24"/>
              </w:rPr>
              <w:t>133,</w:t>
            </w:r>
            <w:r w:rsidR="00D27B69">
              <w:rPr>
                <w:rFonts w:ascii="Times New Roman" w:hAnsi="Times New Roman" w:cs="Times New Roman"/>
                <w:color w:val="767171"/>
                <w:sz w:val="24"/>
                <w:szCs w:val="24"/>
              </w:rPr>
              <w:t>490,583</w:t>
            </w:r>
          </w:p>
        </w:tc>
      </w:tr>
      <w:tr w:rsidR="00774B2D" w:rsidRPr="006A0747" w14:paraId="24490B8B" w14:textId="77777777" w:rsidTr="0088087A">
        <w:trPr>
          <w:trHeight w:val="312"/>
          <w:jc w:val="center"/>
        </w:trPr>
        <w:tc>
          <w:tcPr>
            <w:tcW w:w="3876" w:type="dxa"/>
            <w:tcBorders>
              <w:top w:val="nil"/>
              <w:left w:val="single" w:sz="8" w:space="0" w:color="auto"/>
              <w:bottom w:val="single" w:sz="8" w:space="0" w:color="auto"/>
              <w:right w:val="single" w:sz="8" w:space="0" w:color="auto"/>
            </w:tcBorders>
            <w:shd w:val="clear" w:color="auto" w:fill="auto"/>
            <w:vAlign w:val="center"/>
            <w:hideMark/>
          </w:tcPr>
          <w:p w14:paraId="20B31C2D" w14:textId="77777777" w:rsidR="00774B2D" w:rsidRPr="006A0747" w:rsidRDefault="00774B2D" w:rsidP="00774B2D">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MIPYME Mujer</w:t>
            </w:r>
          </w:p>
        </w:tc>
        <w:tc>
          <w:tcPr>
            <w:tcW w:w="4062" w:type="dxa"/>
            <w:tcBorders>
              <w:top w:val="nil"/>
              <w:left w:val="nil"/>
              <w:bottom w:val="single" w:sz="8" w:space="0" w:color="auto"/>
              <w:right w:val="single" w:sz="8" w:space="0" w:color="auto"/>
            </w:tcBorders>
            <w:shd w:val="clear" w:color="auto" w:fill="auto"/>
            <w:hideMark/>
          </w:tcPr>
          <w:p w14:paraId="124CB85A" w14:textId="65D8CB77" w:rsidR="00774B2D" w:rsidRPr="006A0747" w:rsidRDefault="00774B2D" w:rsidP="00774B2D">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hAnsi="Times New Roman" w:cs="Times New Roman"/>
                <w:color w:val="767171"/>
                <w:sz w:val="24"/>
                <w:szCs w:val="24"/>
              </w:rPr>
              <w:t xml:space="preserve">RD$ </w:t>
            </w:r>
            <w:r w:rsidR="00E72DC8">
              <w:rPr>
                <w:rFonts w:ascii="Times New Roman" w:hAnsi="Times New Roman" w:cs="Times New Roman"/>
                <w:color w:val="767171"/>
                <w:sz w:val="24"/>
                <w:szCs w:val="24"/>
              </w:rPr>
              <w:t>30,933,91</w:t>
            </w:r>
          </w:p>
        </w:tc>
      </w:tr>
      <w:tr w:rsidR="00774B2D" w:rsidRPr="006A0747" w14:paraId="08038A3A" w14:textId="77777777">
        <w:trPr>
          <w:trHeight w:val="312"/>
          <w:jc w:val="center"/>
        </w:trPr>
        <w:tc>
          <w:tcPr>
            <w:tcW w:w="3876" w:type="dxa"/>
            <w:tcBorders>
              <w:top w:val="nil"/>
              <w:left w:val="single" w:sz="8" w:space="0" w:color="auto"/>
              <w:bottom w:val="single" w:sz="8" w:space="0" w:color="auto"/>
              <w:right w:val="single" w:sz="8" w:space="0" w:color="auto"/>
            </w:tcBorders>
            <w:shd w:val="clear" w:color="auto" w:fill="auto"/>
            <w:vAlign w:val="center"/>
            <w:hideMark/>
          </w:tcPr>
          <w:p w14:paraId="214CABD7" w14:textId="77777777" w:rsidR="00774B2D" w:rsidRPr="006A0747" w:rsidRDefault="00774B2D" w:rsidP="00774B2D">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No MIPYME</w:t>
            </w:r>
          </w:p>
        </w:tc>
        <w:tc>
          <w:tcPr>
            <w:tcW w:w="4062" w:type="dxa"/>
            <w:tcBorders>
              <w:top w:val="nil"/>
              <w:left w:val="nil"/>
              <w:bottom w:val="single" w:sz="8" w:space="0" w:color="auto"/>
              <w:right w:val="single" w:sz="8" w:space="0" w:color="auto"/>
            </w:tcBorders>
            <w:shd w:val="clear" w:color="auto" w:fill="auto"/>
            <w:hideMark/>
          </w:tcPr>
          <w:p w14:paraId="7AAADD95" w14:textId="78E4A4C5" w:rsidR="00774B2D" w:rsidRPr="006A0747" w:rsidRDefault="00774B2D" w:rsidP="00774B2D">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hAnsi="Times New Roman" w:cs="Times New Roman"/>
                <w:color w:val="767171"/>
                <w:sz w:val="24"/>
                <w:szCs w:val="24"/>
              </w:rPr>
              <w:t xml:space="preserve">RD$ </w:t>
            </w:r>
            <w:r w:rsidR="00E72DC8">
              <w:rPr>
                <w:rFonts w:ascii="Times New Roman" w:hAnsi="Times New Roman" w:cs="Times New Roman"/>
                <w:color w:val="767171"/>
                <w:sz w:val="24"/>
                <w:szCs w:val="24"/>
              </w:rPr>
              <w:t>271,</w:t>
            </w:r>
            <w:r w:rsidR="00630F8D">
              <w:rPr>
                <w:rFonts w:ascii="Times New Roman" w:hAnsi="Times New Roman" w:cs="Times New Roman"/>
                <w:color w:val="767171"/>
                <w:sz w:val="24"/>
                <w:szCs w:val="24"/>
              </w:rPr>
              <w:t>451,110</w:t>
            </w:r>
          </w:p>
        </w:tc>
      </w:tr>
      <w:tr w:rsidR="0088087A" w:rsidRPr="006A0747" w14:paraId="7F1A5B7D" w14:textId="77777777" w:rsidTr="00AE127E">
        <w:trPr>
          <w:trHeight w:val="312"/>
          <w:jc w:val="center"/>
        </w:trPr>
        <w:tc>
          <w:tcPr>
            <w:tcW w:w="7938" w:type="dxa"/>
            <w:gridSpan w:val="2"/>
            <w:tcBorders>
              <w:top w:val="single" w:sz="8" w:space="0" w:color="auto"/>
              <w:left w:val="single" w:sz="8" w:space="0" w:color="auto"/>
              <w:bottom w:val="single" w:sz="8" w:space="0" w:color="auto"/>
              <w:right w:val="single" w:sz="8" w:space="0" w:color="000000"/>
            </w:tcBorders>
            <w:shd w:val="clear" w:color="auto" w:fill="011C50"/>
            <w:vAlign w:val="center"/>
            <w:hideMark/>
          </w:tcPr>
          <w:p w14:paraId="0ADA9888" w14:textId="77777777" w:rsidR="0088087A" w:rsidRPr="006A0747" w:rsidRDefault="0088087A">
            <w:pPr>
              <w:spacing w:after="0" w:line="240" w:lineRule="auto"/>
              <w:jc w:val="center"/>
              <w:rPr>
                <w:rFonts w:ascii="Times New Roman" w:eastAsia="Times New Roman" w:hAnsi="Times New Roman" w:cs="Times New Roman"/>
                <w:b/>
                <w:bCs/>
                <w:color w:val="FFFFFF"/>
                <w:sz w:val="24"/>
                <w:szCs w:val="24"/>
                <w:lang w:eastAsia="es-DO"/>
              </w:rPr>
            </w:pPr>
            <w:r w:rsidRPr="006A0747">
              <w:rPr>
                <w:rFonts w:ascii="Times New Roman" w:eastAsia="Times New Roman" w:hAnsi="Times New Roman" w:cs="Times New Roman"/>
                <w:b/>
                <w:bCs/>
                <w:color w:val="FFFFFF"/>
                <w:sz w:val="24"/>
                <w:szCs w:val="24"/>
                <w:lang w:eastAsia="es-DO"/>
              </w:rPr>
              <w:t>Montos Convocados según Tipo De Procedimiento</w:t>
            </w:r>
          </w:p>
        </w:tc>
      </w:tr>
      <w:tr w:rsidR="006350EF" w:rsidRPr="006A0747" w14:paraId="572B436C" w14:textId="77777777">
        <w:trPr>
          <w:trHeight w:val="60"/>
          <w:jc w:val="center"/>
        </w:trPr>
        <w:tc>
          <w:tcPr>
            <w:tcW w:w="3876" w:type="dxa"/>
            <w:tcBorders>
              <w:top w:val="nil"/>
              <w:left w:val="single" w:sz="8" w:space="0" w:color="auto"/>
              <w:bottom w:val="single" w:sz="8" w:space="0" w:color="auto"/>
              <w:right w:val="single" w:sz="8" w:space="0" w:color="auto"/>
            </w:tcBorders>
            <w:shd w:val="clear" w:color="auto" w:fill="auto"/>
            <w:vAlign w:val="center"/>
            <w:hideMark/>
          </w:tcPr>
          <w:p w14:paraId="3134D28E" w14:textId="77777777" w:rsidR="006350EF" w:rsidRPr="006A0747" w:rsidRDefault="006350EF" w:rsidP="006350EF">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Compras por debajo del umbral</w:t>
            </w:r>
          </w:p>
        </w:tc>
        <w:tc>
          <w:tcPr>
            <w:tcW w:w="4062" w:type="dxa"/>
            <w:tcBorders>
              <w:top w:val="nil"/>
              <w:left w:val="nil"/>
              <w:bottom w:val="single" w:sz="8" w:space="0" w:color="auto"/>
              <w:right w:val="single" w:sz="8" w:space="0" w:color="auto"/>
            </w:tcBorders>
            <w:shd w:val="clear" w:color="auto" w:fill="auto"/>
            <w:hideMark/>
          </w:tcPr>
          <w:p w14:paraId="527E6D13" w14:textId="29A36CC7" w:rsidR="006350EF" w:rsidRPr="006A0747" w:rsidRDefault="006350EF" w:rsidP="006350EF">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hAnsi="Times New Roman" w:cs="Times New Roman"/>
                <w:color w:val="767171"/>
                <w:sz w:val="24"/>
                <w:szCs w:val="24"/>
              </w:rPr>
              <w:t xml:space="preserve">RD$ </w:t>
            </w:r>
            <w:r w:rsidR="00A20C0A">
              <w:rPr>
                <w:rFonts w:ascii="Times New Roman" w:hAnsi="Times New Roman" w:cs="Times New Roman"/>
                <w:color w:val="767171"/>
                <w:sz w:val="24"/>
                <w:szCs w:val="24"/>
              </w:rPr>
              <w:t>32,</w:t>
            </w:r>
            <w:r w:rsidR="00596E53">
              <w:rPr>
                <w:rFonts w:ascii="Times New Roman" w:hAnsi="Times New Roman" w:cs="Times New Roman"/>
                <w:color w:val="767171"/>
                <w:sz w:val="24"/>
                <w:szCs w:val="24"/>
              </w:rPr>
              <w:t>636,948</w:t>
            </w:r>
          </w:p>
        </w:tc>
      </w:tr>
      <w:tr w:rsidR="006350EF" w:rsidRPr="006A0747" w14:paraId="44B55FCE" w14:textId="77777777">
        <w:trPr>
          <w:trHeight w:val="312"/>
          <w:jc w:val="center"/>
        </w:trPr>
        <w:tc>
          <w:tcPr>
            <w:tcW w:w="3876" w:type="dxa"/>
            <w:tcBorders>
              <w:top w:val="nil"/>
              <w:left w:val="single" w:sz="8" w:space="0" w:color="auto"/>
              <w:bottom w:val="single" w:sz="8" w:space="0" w:color="auto"/>
              <w:right w:val="single" w:sz="8" w:space="0" w:color="auto"/>
            </w:tcBorders>
            <w:shd w:val="clear" w:color="auto" w:fill="auto"/>
            <w:vAlign w:val="center"/>
            <w:hideMark/>
          </w:tcPr>
          <w:p w14:paraId="31C6780D" w14:textId="77777777" w:rsidR="006350EF" w:rsidRPr="006A0747" w:rsidRDefault="006350EF" w:rsidP="006350EF">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Compra Menor</w:t>
            </w:r>
          </w:p>
        </w:tc>
        <w:tc>
          <w:tcPr>
            <w:tcW w:w="4062" w:type="dxa"/>
            <w:tcBorders>
              <w:top w:val="nil"/>
              <w:left w:val="nil"/>
              <w:bottom w:val="single" w:sz="8" w:space="0" w:color="auto"/>
              <w:right w:val="single" w:sz="8" w:space="0" w:color="auto"/>
            </w:tcBorders>
            <w:shd w:val="clear" w:color="auto" w:fill="auto"/>
            <w:hideMark/>
          </w:tcPr>
          <w:p w14:paraId="25F86131" w14:textId="74F5FC41" w:rsidR="006350EF" w:rsidRPr="006A0747" w:rsidRDefault="006350EF" w:rsidP="006350EF">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hAnsi="Times New Roman" w:cs="Times New Roman"/>
                <w:color w:val="767171"/>
                <w:sz w:val="24"/>
                <w:szCs w:val="24"/>
              </w:rPr>
              <w:t xml:space="preserve">RD$ </w:t>
            </w:r>
            <w:r w:rsidR="000F40B0">
              <w:rPr>
                <w:rFonts w:ascii="Times New Roman" w:hAnsi="Times New Roman" w:cs="Times New Roman"/>
                <w:color w:val="767171"/>
                <w:sz w:val="24"/>
                <w:szCs w:val="24"/>
              </w:rPr>
              <w:t>88,744,851</w:t>
            </w:r>
          </w:p>
        </w:tc>
      </w:tr>
      <w:tr w:rsidR="006350EF" w:rsidRPr="006A0747" w14:paraId="404E7CBB" w14:textId="77777777">
        <w:trPr>
          <w:trHeight w:val="312"/>
          <w:jc w:val="center"/>
        </w:trPr>
        <w:tc>
          <w:tcPr>
            <w:tcW w:w="3876" w:type="dxa"/>
            <w:tcBorders>
              <w:top w:val="nil"/>
              <w:left w:val="single" w:sz="8" w:space="0" w:color="auto"/>
              <w:bottom w:val="single" w:sz="8" w:space="0" w:color="auto"/>
              <w:right w:val="single" w:sz="8" w:space="0" w:color="auto"/>
            </w:tcBorders>
            <w:shd w:val="clear" w:color="auto" w:fill="auto"/>
            <w:vAlign w:val="center"/>
            <w:hideMark/>
          </w:tcPr>
          <w:p w14:paraId="7D2934DA" w14:textId="77777777" w:rsidR="006350EF" w:rsidRPr="006A0747" w:rsidRDefault="006350EF" w:rsidP="006350EF">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Comparación de Precios</w:t>
            </w:r>
          </w:p>
        </w:tc>
        <w:tc>
          <w:tcPr>
            <w:tcW w:w="4062" w:type="dxa"/>
            <w:tcBorders>
              <w:top w:val="nil"/>
              <w:left w:val="nil"/>
              <w:bottom w:val="single" w:sz="8" w:space="0" w:color="auto"/>
              <w:right w:val="single" w:sz="8" w:space="0" w:color="auto"/>
            </w:tcBorders>
            <w:shd w:val="clear" w:color="auto" w:fill="auto"/>
            <w:hideMark/>
          </w:tcPr>
          <w:p w14:paraId="30DD994A" w14:textId="79BD7368" w:rsidR="006350EF" w:rsidRPr="006A0747" w:rsidRDefault="006350EF" w:rsidP="006350EF">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RD$</w:t>
            </w:r>
            <w:r w:rsidRPr="006A0747">
              <w:rPr>
                <w:rFonts w:ascii="Times New Roman" w:hAnsi="Times New Roman" w:cs="Times New Roman"/>
                <w:color w:val="767171"/>
                <w:sz w:val="24"/>
                <w:szCs w:val="24"/>
              </w:rPr>
              <w:t xml:space="preserve"> </w:t>
            </w:r>
            <w:r w:rsidR="000F40B0">
              <w:rPr>
                <w:rFonts w:ascii="Times New Roman" w:hAnsi="Times New Roman" w:cs="Times New Roman"/>
                <w:color w:val="767171"/>
                <w:sz w:val="24"/>
                <w:szCs w:val="24"/>
              </w:rPr>
              <w:t>54,152</w:t>
            </w:r>
            <w:r w:rsidR="00393BBA">
              <w:rPr>
                <w:rFonts w:ascii="Times New Roman" w:hAnsi="Times New Roman" w:cs="Times New Roman"/>
                <w:color w:val="767171"/>
                <w:sz w:val="24"/>
                <w:szCs w:val="24"/>
              </w:rPr>
              <w:t>,814</w:t>
            </w:r>
          </w:p>
        </w:tc>
      </w:tr>
      <w:tr w:rsidR="006350EF" w:rsidRPr="006A0747" w14:paraId="47E3C7E2" w14:textId="77777777">
        <w:trPr>
          <w:trHeight w:val="312"/>
          <w:jc w:val="center"/>
        </w:trPr>
        <w:tc>
          <w:tcPr>
            <w:tcW w:w="3876" w:type="dxa"/>
            <w:tcBorders>
              <w:top w:val="nil"/>
              <w:left w:val="single" w:sz="8" w:space="0" w:color="auto"/>
              <w:bottom w:val="single" w:sz="8" w:space="0" w:color="auto"/>
              <w:right w:val="single" w:sz="8" w:space="0" w:color="auto"/>
            </w:tcBorders>
            <w:shd w:val="clear" w:color="auto" w:fill="auto"/>
            <w:vAlign w:val="center"/>
            <w:hideMark/>
          </w:tcPr>
          <w:p w14:paraId="1E13EB66" w14:textId="77777777" w:rsidR="006350EF" w:rsidRPr="006A0747" w:rsidRDefault="006350EF" w:rsidP="006350EF">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Licitación Pública</w:t>
            </w:r>
          </w:p>
        </w:tc>
        <w:tc>
          <w:tcPr>
            <w:tcW w:w="4062" w:type="dxa"/>
            <w:tcBorders>
              <w:top w:val="nil"/>
              <w:left w:val="nil"/>
              <w:bottom w:val="single" w:sz="8" w:space="0" w:color="auto"/>
              <w:right w:val="single" w:sz="8" w:space="0" w:color="auto"/>
            </w:tcBorders>
            <w:shd w:val="clear" w:color="auto" w:fill="auto"/>
            <w:hideMark/>
          </w:tcPr>
          <w:p w14:paraId="7D3A7D3F" w14:textId="58700EED" w:rsidR="006350EF" w:rsidRPr="006A0747" w:rsidRDefault="006350EF" w:rsidP="006350EF">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hAnsi="Times New Roman" w:cs="Times New Roman"/>
                <w:color w:val="767171"/>
                <w:sz w:val="24"/>
                <w:szCs w:val="24"/>
              </w:rPr>
              <w:t xml:space="preserve">RD$ </w:t>
            </w:r>
            <w:r w:rsidR="00393BBA">
              <w:rPr>
                <w:rFonts w:ascii="Times New Roman" w:hAnsi="Times New Roman" w:cs="Times New Roman"/>
                <w:color w:val="767171"/>
                <w:sz w:val="24"/>
                <w:szCs w:val="24"/>
              </w:rPr>
              <w:t>59,453,</w:t>
            </w:r>
            <w:r w:rsidR="008A5848">
              <w:rPr>
                <w:rFonts w:ascii="Times New Roman" w:hAnsi="Times New Roman" w:cs="Times New Roman"/>
                <w:color w:val="767171"/>
                <w:sz w:val="24"/>
                <w:szCs w:val="24"/>
              </w:rPr>
              <w:t>235</w:t>
            </w:r>
          </w:p>
        </w:tc>
      </w:tr>
      <w:tr w:rsidR="006350EF" w:rsidRPr="006A0747" w14:paraId="738754C6" w14:textId="77777777">
        <w:trPr>
          <w:trHeight w:val="610"/>
          <w:jc w:val="center"/>
        </w:trPr>
        <w:tc>
          <w:tcPr>
            <w:tcW w:w="3876" w:type="dxa"/>
            <w:tcBorders>
              <w:top w:val="nil"/>
              <w:left w:val="single" w:sz="8" w:space="0" w:color="auto"/>
              <w:bottom w:val="single" w:sz="8" w:space="0" w:color="auto"/>
              <w:right w:val="single" w:sz="8" w:space="0" w:color="auto"/>
            </w:tcBorders>
            <w:shd w:val="clear" w:color="auto" w:fill="auto"/>
            <w:vAlign w:val="center"/>
            <w:hideMark/>
          </w:tcPr>
          <w:p w14:paraId="0877F575" w14:textId="77777777" w:rsidR="006350EF" w:rsidRPr="006A0747" w:rsidRDefault="006350EF" w:rsidP="006350EF">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Excepción - bienes o servicios con exclusividad</w:t>
            </w:r>
          </w:p>
        </w:tc>
        <w:tc>
          <w:tcPr>
            <w:tcW w:w="4062" w:type="dxa"/>
            <w:tcBorders>
              <w:top w:val="nil"/>
              <w:left w:val="nil"/>
              <w:bottom w:val="single" w:sz="8" w:space="0" w:color="auto"/>
              <w:right w:val="single" w:sz="8" w:space="0" w:color="auto"/>
            </w:tcBorders>
            <w:shd w:val="clear" w:color="auto" w:fill="auto"/>
            <w:hideMark/>
          </w:tcPr>
          <w:p w14:paraId="7D10407F" w14:textId="04A6F7FF" w:rsidR="006350EF" w:rsidRPr="006A0747" w:rsidRDefault="006350EF" w:rsidP="006350EF">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RD$</w:t>
            </w:r>
            <w:r w:rsidRPr="006A0747">
              <w:rPr>
                <w:rFonts w:ascii="Times New Roman" w:hAnsi="Times New Roman" w:cs="Times New Roman"/>
                <w:color w:val="767171"/>
                <w:sz w:val="24"/>
                <w:szCs w:val="24"/>
              </w:rPr>
              <w:t xml:space="preserve"> </w:t>
            </w:r>
            <w:r w:rsidR="008A5848">
              <w:rPr>
                <w:rFonts w:ascii="Times New Roman" w:eastAsia="Times New Roman" w:hAnsi="Times New Roman" w:cs="Times New Roman"/>
                <w:color w:val="767171"/>
                <w:sz w:val="24"/>
                <w:szCs w:val="24"/>
                <w:lang w:eastAsia="es-DO"/>
              </w:rPr>
              <w:t>38,</w:t>
            </w:r>
            <w:r w:rsidR="00035929">
              <w:rPr>
                <w:rFonts w:ascii="Times New Roman" w:eastAsia="Times New Roman" w:hAnsi="Times New Roman" w:cs="Times New Roman"/>
                <w:color w:val="767171"/>
                <w:sz w:val="24"/>
                <w:szCs w:val="24"/>
                <w:lang w:eastAsia="es-DO"/>
              </w:rPr>
              <w:t>248,281</w:t>
            </w:r>
          </w:p>
        </w:tc>
      </w:tr>
      <w:tr w:rsidR="006350EF" w:rsidRPr="006A0747" w14:paraId="0DCFE8B9" w14:textId="77777777">
        <w:trPr>
          <w:trHeight w:val="60"/>
          <w:jc w:val="center"/>
        </w:trPr>
        <w:tc>
          <w:tcPr>
            <w:tcW w:w="3876" w:type="dxa"/>
            <w:tcBorders>
              <w:top w:val="nil"/>
              <w:left w:val="single" w:sz="8" w:space="0" w:color="auto"/>
              <w:bottom w:val="single" w:sz="8" w:space="0" w:color="auto"/>
              <w:right w:val="single" w:sz="8" w:space="0" w:color="auto"/>
            </w:tcBorders>
            <w:shd w:val="clear" w:color="auto" w:fill="auto"/>
            <w:vAlign w:val="center"/>
            <w:hideMark/>
          </w:tcPr>
          <w:p w14:paraId="29CC2DE3" w14:textId="77777777" w:rsidR="006350EF" w:rsidRPr="006A0747" w:rsidRDefault="006350EF" w:rsidP="006350EF">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Excepción - contratación de publicidad a través de medios de comunicación social</w:t>
            </w:r>
          </w:p>
        </w:tc>
        <w:tc>
          <w:tcPr>
            <w:tcW w:w="4062" w:type="dxa"/>
            <w:tcBorders>
              <w:top w:val="nil"/>
              <w:left w:val="nil"/>
              <w:bottom w:val="single" w:sz="8" w:space="0" w:color="auto"/>
              <w:right w:val="single" w:sz="8" w:space="0" w:color="auto"/>
            </w:tcBorders>
            <w:shd w:val="clear" w:color="auto" w:fill="auto"/>
            <w:hideMark/>
          </w:tcPr>
          <w:p w14:paraId="19091DFB" w14:textId="77777777" w:rsidR="006350EF" w:rsidRPr="006A0747" w:rsidRDefault="006350EF" w:rsidP="006350EF">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RD$</w:t>
            </w:r>
            <w:r w:rsidRPr="006A0747">
              <w:rPr>
                <w:rFonts w:ascii="Times New Roman" w:hAnsi="Times New Roman" w:cs="Times New Roman"/>
                <w:color w:val="767171"/>
                <w:sz w:val="24"/>
                <w:szCs w:val="24"/>
              </w:rPr>
              <w:t xml:space="preserve"> </w:t>
            </w:r>
            <w:r w:rsidRPr="006A0747">
              <w:rPr>
                <w:rFonts w:ascii="Times New Roman" w:eastAsia="Times New Roman" w:hAnsi="Times New Roman" w:cs="Times New Roman"/>
                <w:color w:val="767171"/>
                <w:sz w:val="24"/>
                <w:szCs w:val="24"/>
                <w:lang w:eastAsia="es-DO"/>
              </w:rPr>
              <w:t>3,000,000</w:t>
            </w:r>
          </w:p>
        </w:tc>
      </w:tr>
      <w:tr w:rsidR="006350EF" w:rsidRPr="006A0747" w14:paraId="667E7CCE" w14:textId="77777777">
        <w:trPr>
          <w:trHeight w:val="60"/>
          <w:jc w:val="center"/>
        </w:trPr>
        <w:tc>
          <w:tcPr>
            <w:tcW w:w="3876" w:type="dxa"/>
            <w:tcBorders>
              <w:top w:val="nil"/>
              <w:left w:val="single" w:sz="8" w:space="0" w:color="auto"/>
              <w:bottom w:val="single" w:sz="8" w:space="0" w:color="auto"/>
              <w:right w:val="single" w:sz="8" w:space="0" w:color="auto"/>
            </w:tcBorders>
            <w:shd w:val="clear" w:color="auto" w:fill="auto"/>
            <w:vAlign w:val="center"/>
            <w:hideMark/>
          </w:tcPr>
          <w:p w14:paraId="7C1FC012" w14:textId="77777777" w:rsidR="006350EF" w:rsidRPr="006A0747" w:rsidRDefault="006350EF" w:rsidP="006350EF">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Excepción - obras científicas, técnicas, artísticas, o restauración de monumentos históricos</w:t>
            </w:r>
          </w:p>
        </w:tc>
        <w:tc>
          <w:tcPr>
            <w:tcW w:w="4062" w:type="dxa"/>
            <w:tcBorders>
              <w:top w:val="nil"/>
              <w:left w:val="nil"/>
              <w:bottom w:val="single" w:sz="8" w:space="0" w:color="auto"/>
              <w:right w:val="single" w:sz="8" w:space="0" w:color="auto"/>
            </w:tcBorders>
            <w:shd w:val="clear" w:color="auto" w:fill="auto"/>
            <w:hideMark/>
          </w:tcPr>
          <w:p w14:paraId="69185B96" w14:textId="142D1662" w:rsidR="006350EF" w:rsidRPr="006A0747" w:rsidRDefault="006350EF" w:rsidP="006350EF">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hAnsi="Times New Roman" w:cs="Times New Roman"/>
                <w:color w:val="767171"/>
                <w:sz w:val="24"/>
                <w:szCs w:val="24"/>
              </w:rPr>
              <w:t>RD$ 10,580,000</w:t>
            </w:r>
          </w:p>
        </w:tc>
      </w:tr>
      <w:tr w:rsidR="006350EF" w:rsidRPr="006A0747" w14:paraId="50A91933" w14:textId="77777777">
        <w:trPr>
          <w:trHeight w:val="60"/>
          <w:jc w:val="center"/>
        </w:trPr>
        <w:tc>
          <w:tcPr>
            <w:tcW w:w="3876" w:type="dxa"/>
            <w:tcBorders>
              <w:top w:val="nil"/>
              <w:left w:val="single" w:sz="8" w:space="0" w:color="auto"/>
              <w:bottom w:val="single" w:sz="8" w:space="0" w:color="auto"/>
              <w:right w:val="single" w:sz="8" w:space="0" w:color="auto"/>
            </w:tcBorders>
            <w:shd w:val="clear" w:color="auto" w:fill="auto"/>
            <w:vAlign w:val="center"/>
            <w:hideMark/>
          </w:tcPr>
          <w:p w14:paraId="1D86D995" w14:textId="77777777" w:rsidR="006350EF" w:rsidRPr="006A0747" w:rsidRDefault="006350EF" w:rsidP="006350EF">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eastAsia="Times New Roman" w:hAnsi="Times New Roman" w:cs="Times New Roman"/>
                <w:color w:val="767171"/>
                <w:sz w:val="24"/>
                <w:szCs w:val="24"/>
                <w:lang w:eastAsia="es-DO"/>
              </w:rPr>
              <w:t>Excepción - proveedor único</w:t>
            </w:r>
          </w:p>
        </w:tc>
        <w:tc>
          <w:tcPr>
            <w:tcW w:w="4062" w:type="dxa"/>
            <w:tcBorders>
              <w:top w:val="nil"/>
              <w:left w:val="nil"/>
              <w:bottom w:val="single" w:sz="8" w:space="0" w:color="auto"/>
              <w:right w:val="single" w:sz="8" w:space="0" w:color="auto"/>
            </w:tcBorders>
            <w:shd w:val="clear" w:color="auto" w:fill="auto"/>
            <w:hideMark/>
          </w:tcPr>
          <w:p w14:paraId="5955EE70" w14:textId="068D4409" w:rsidR="006350EF" w:rsidRPr="006A0747" w:rsidRDefault="006350EF" w:rsidP="006350EF">
            <w:pPr>
              <w:spacing w:after="0" w:line="240" w:lineRule="auto"/>
              <w:jc w:val="center"/>
              <w:rPr>
                <w:rFonts w:ascii="Times New Roman" w:eastAsia="Times New Roman" w:hAnsi="Times New Roman" w:cs="Times New Roman"/>
                <w:color w:val="767171"/>
                <w:sz w:val="24"/>
                <w:szCs w:val="24"/>
                <w:lang w:eastAsia="es-DO"/>
              </w:rPr>
            </w:pPr>
            <w:r w:rsidRPr="006A0747">
              <w:rPr>
                <w:rFonts w:ascii="Times New Roman" w:hAnsi="Times New Roman" w:cs="Times New Roman"/>
                <w:color w:val="767171"/>
                <w:sz w:val="24"/>
                <w:szCs w:val="24"/>
              </w:rPr>
              <w:t xml:space="preserve">RD$ </w:t>
            </w:r>
            <w:r w:rsidR="00035929">
              <w:rPr>
                <w:rFonts w:ascii="Times New Roman" w:hAnsi="Times New Roman" w:cs="Times New Roman"/>
                <w:color w:val="767171"/>
                <w:sz w:val="24"/>
                <w:szCs w:val="24"/>
              </w:rPr>
              <w:t>128,484</w:t>
            </w:r>
            <w:r w:rsidR="009C7337">
              <w:rPr>
                <w:rFonts w:ascii="Times New Roman" w:hAnsi="Times New Roman" w:cs="Times New Roman"/>
                <w:color w:val="767171"/>
                <w:sz w:val="24"/>
                <w:szCs w:val="24"/>
              </w:rPr>
              <w:t>,016</w:t>
            </w:r>
          </w:p>
        </w:tc>
      </w:tr>
    </w:tbl>
    <w:p w14:paraId="75E48993" w14:textId="0848C74C" w:rsidR="00AE127E" w:rsidRPr="006A0747" w:rsidRDefault="00AE127E" w:rsidP="00AE127E">
      <w:pPr>
        <w:spacing w:after="0"/>
        <w:jc w:val="center"/>
        <w:rPr>
          <w:rFonts w:ascii="Times New Roman" w:hAnsi="Times New Roman" w:cs="Times New Roman"/>
          <w:i/>
          <w:color w:val="767177"/>
          <w:spacing w:val="20"/>
          <w:sz w:val="18"/>
          <w:szCs w:val="18"/>
        </w:rPr>
      </w:pPr>
      <w:r w:rsidRPr="006A0747">
        <w:rPr>
          <w:rFonts w:ascii="Times New Roman" w:hAnsi="Times New Roman" w:cs="Times New Roman"/>
          <w:b/>
          <w:i/>
          <w:color w:val="767177"/>
          <w:spacing w:val="20"/>
          <w:sz w:val="18"/>
          <w:szCs w:val="18"/>
        </w:rPr>
        <w:t>Fuente</w:t>
      </w:r>
      <w:r w:rsidRPr="006A0747">
        <w:rPr>
          <w:rFonts w:ascii="Times New Roman" w:hAnsi="Times New Roman" w:cs="Times New Roman"/>
          <w:i/>
          <w:color w:val="767177"/>
          <w:spacing w:val="20"/>
          <w:sz w:val="18"/>
          <w:szCs w:val="18"/>
        </w:rPr>
        <w:t>: Departamento Administrativo</w:t>
      </w:r>
      <w:r w:rsidR="006350EF" w:rsidRPr="006A0747">
        <w:rPr>
          <w:rFonts w:ascii="Times New Roman" w:hAnsi="Times New Roman" w:cs="Times New Roman"/>
          <w:i/>
          <w:color w:val="767177"/>
          <w:spacing w:val="20"/>
          <w:sz w:val="18"/>
          <w:szCs w:val="18"/>
        </w:rPr>
        <w:t xml:space="preserve"> y</w:t>
      </w:r>
      <w:r w:rsidRPr="006A0747">
        <w:rPr>
          <w:rFonts w:ascii="Times New Roman" w:hAnsi="Times New Roman" w:cs="Times New Roman"/>
          <w:i/>
          <w:color w:val="767177"/>
          <w:spacing w:val="20"/>
          <w:sz w:val="18"/>
          <w:szCs w:val="18"/>
        </w:rPr>
        <w:t xml:space="preserve"> Financiero. Superintendencia de Bancos de la República Dominicana. 2024</w:t>
      </w:r>
    </w:p>
    <w:p w14:paraId="0238A38E" w14:textId="77777777" w:rsidR="0088087A" w:rsidRPr="006A0747" w:rsidRDefault="0088087A" w:rsidP="0088087A">
      <w:pPr>
        <w:rPr>
          <w:rFonts w:ascii="Times New Roman" w:hAnsi="Times New Roman" w:cs="Times New Roman"/>
          <w:sz w:val="24"/>
          <w:szCs w:val="24"/>
        </w:rPr>
      </w:pPr>
    </w:p>
    <w:bookmarkEnd w:id="1"/>
    <w:p w14:paraId="5E029FDE" w14:textId="77777777" w:rsidR="00C56D1C" w:rsidRPr="00766DB1" w:rsidRDefault="00C56D1C" w:rsidP="00703A55">
      <w:pPr>
        <w:spacing w:after="0"/>
        <w:jc w:val="center"/>
        <w:rPr>
          <w:rFonts w:ascii="Times New Roman" w:hAnsi="Times New Roman" w:cs="Times New Roman"/>
          <w:color w:val="767177"/>
          <w:spacing w:val="20"/>
          <w:sz w:val="24"/>
          <w:szCs w:val="24"/>
        </w:rPr>
      </w:pPr>
    </w:p>
    <w:sectPr w:rsidR="00C56D1C" w:rsidRPr="00766DB1" w:rsidSect="00604B4B">
      <w:footerReference w:type="default" r:id="rId17"/>
      <w:pgSz w:w="12240" w:h="15840"/>
      <w:pgMar w:top="1440" w:right="2160" w:bottom="1701"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07EB7" w14:textId="77777777" w:rsidR="00DA32C0" w:rsidRPr="006A0747" w:rsidRDefault="00DA32C0" w:rsidP="00E84651">
      <w:pPr>
        <w:spacing w:after="0" w:line="240" w:lineRule="auto"/>
      </w:pPr>
      <w:r w:rsidRPr="006A0747">
        <w:separator/>
      </w:r>
    </w:p>
  </w:endnote>
  <w:endnote w:type="continuationSeparator" w:id="0">
    <w:p w14:paraId="0677EF98" w14:textId="77777777" w:rsidR="00DA32C0" w:rsidRPr="006A0747" w:rsidRDefault="00DA32C0" w:rsidP="00E84651">
      <w:pPr>
        <w:spacing w:after="0" w:line="240" w:lineRule="auto"/>
      </w:pPr>
      <w:r w:rsidRPr="006A0747">
        <w:continuationSeparator/>
      </w:r>
    </w:p>
  </w:endnote>
  <w:endnote w:type="continuationNotice" w:id="1">
    <w:p w14:paraId="29859134" w14:textId="77777777" w:rsidR="00DA32C0" w:rsidRPr="006A0747" w:rsidRDefault="00DA32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tifex CF Light">
    <w:altName w:val="Courier New"/>
    <w:panose1 w:val="00000000000000000000"/>
    <w:charset w:val="00"/>
    <w:family w:val="modern"/>
    <w:notTrueType/>
    <w:pitch w:val="variable"/>
    <w:sig w:usb0="00000007" w:usb1="00000000" w:usb2="00000000" w:usb3="00000000" w:csb0="00000093"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864644"/>
      <w:docPartObj>
        <w:docPartGallery w:val="Page Numbers (Bottom of Page)"/>
        <w:docPartUnique/>
      </w:docPartObj>
    </w:sdtPr>
    <w:sdtContent>
      <w:p w14:paraId="1A9E6193" w14:textId="53F74689" w:rsidR="00425CF6" w:rsidRPr="006A0747" w:rsidRDefault="00425CF6">
        <w:pPr>
          <w:pStyle w:val="Piedepgina"/>
          <w:jc w:val="center"/>
        </w:pPr>
        <w:r w:rsidRPr="006A0747">
          <w:fldChar w:fldCharType="begin"/>
        </w:r>
        <w:r w:rsidRPr="006A0747">
          <w:instrText xml:space="preserve"> PAGE   \* MERGEFORMAT </w:instrText>
        </w:r>
        <w:r w:rsidRPr="006A0747">
          <w:fldChar w:fldCharType="separate"/>
        </w:r>
        <w:r w:rsidRPr="006A0747">
          <w:t>2</w:t>
        </w:r>
        <w:r w:rsidRPr="006A0747">
          <w:fldChar w:fldCharType="end"/>
        </w:r>
      </w:p>
    </w:sdtContent>
  </w:sdt>
  <w:p w14:paraId="5882525B" w14:textId="77777777" w:rsidR="00425CF6" w:rsidRPr="006A0747" w:rsidRDefault="00425CF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7965239"/>
      <w:docPartObj>
        <w:docPartGallery w:val="Page Numbers (Bottom of Page)"/>
        <w:docPartUnique/>
      </w:docPartObj>
    </w:sdtPr>
    <w:sdtContent>
      <w:p w14:paraId="51AFD4C3" w14:textId="77777777" w:rsidR="0021106F" w:rsidRPr="006A0747" w:rsidRDefault="007C6071" w:rsidP="0021106F">
        <w:pPr>
          <w:pStyle w:val="Piedepgina"/>
          <w:jc w:val="center"/>
        </w:pPr>
        <w:r w:rsidRPr="006A0747">
          <w:rPr>
            <w:noProof/>
            <w:lang w:eastAsia="es-DO"/>
          </w:rPr>
          <w:drawing>
            <wp:anchor distT="0" distB="0" distL="114300" distR="114300" simplePos="0" relativeHeight="251658240" behindDoc="0" locked="0" layoutInCell="1" allowOverlap="1" wp14:anchorId="18F5E77C" wp14:editId="2CBE517F">
              <wp:simplePos x="0" y="0"/>
              <wp:positionH relativeFrom="column">
                <wp:posOffset>1060792</wp:posOffset>
              </wp:positionH>
              <wp:positionV relativeFrom="paragraph">
                <wp:posOffset>-121920</wp:posOffset>
              </wp:positionV>
              <wp:extent cx="2995930" cy="408305"/>
              <wp:effectExtent l="0" t="0" r="0" b="0"/>
              <wp:wrapSquare wrapText="bothSides"/>
              <wp:docPr id="13" name="Picture 1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61822D6B" w14:textId="77777777" w:rsidR="007C6071" w:rsidRPr="006A0747" w:rsidRDefault="007C6071" w:rsidP="0021106F">
        <w:pPr>
          <w:pStyle w:val="Piedepgina"/>
          <w:jc w:val="center"/>
          <w:rPr>
            <w:rFonts w:ascii="Times New Roman" w:hAnsi="Times New Roman" w:cs="Times New Roman"/>
            <w:color w:val="7F7F7F" w:themeColor="text1" w:themeTint="80"/>
          </w:rPr>
        </w:pPr>
      </w:p>
      <w:p w14:paraId="5A154BAB" w14:textId="24275B47" w:rsidR="006E3F08" w:rsidRPr="006A0747" w:rsidRDefault="006E3F08" w:rsidP="00FB7EE3">
        <w:pPr>
          <w:pStyle w:val="Piedepgina"/>
          <w:jc w:val="center"/>
        </w:pPr>
        <w:r w:rsidRPr="006A0747">
          <w:rPr>
            <w:rFonts w:ascii="Times New Roman" w:hAnsi="Times New Roman" w:cs="Times New Roman"/>
            <w:color w:val="7F7F7F" w:themeColor="text1" w:themeTint="80"/>
          </w:rPr>
          <w:fldChar w:fldCharType="begin"/>
        </w:r>
        <w:r w:rsidRPr="006A0747">
          <w:rPr>
            <w:rFonts w:ascii="Times New Roman" w:hAnsi="Times New Roman" w:cs="Times New Roman"/>
            <w:color w:val="7F7F7F" w:themeColor="text1" w:themeTint="80"/>
          </w:rPr>
          <w:instrText xml:space="preserve"> PAGE   \* MERGEFORMAT </w:instrText>
        </w:r>
        <w:r w:rsidRPr="006A0747">
          <w:rPr>
            <w:rFonts w:ascii="Times New Roman" w:hAnsi="Times New Roman" w:cs="Times New Roman"/>
            <w:color w:val="7F7F7F" w:themeColor="text1" w:themeTint="80"/>
          </w:rPr>
          <w:fldChar w:fldCharType="separate"/>
        </w:r>
        <w:r w:rsidR="00703A55" w:rsidRPr="006A0747">
          <w:rPr>
            <w:rFonts w:ascii="Times New Roman" w:hAnsi="Times New Roman" w:cs="Times New Roman"/>
            <w:color w:val="7F7F7F" w:themeColor="text1" w:themeTint="80"/>
          </w:rPr>
          <w:t>12</w:t>
        </w:r>
        <w:r w:rsidRPr="006A0747">
          <w:rPr>
            <w:rFonts w:ascii="Times New Roman" w:hAnsi="Times New Roman" w:cs="Times New Roman"/>
            <w:color w:val="7F7F7F" w:themeColor="text1" w:themeTint="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3DBCE" w14:textId="77777777" w:rsidR="00DA32C0" w:rsidRPr="006A0747" w:rsidRDefault="00DA32C0" w:rsidP="00E84651">
      <w:pPr>
        <w:spacing w:after="0" w:line="240" w:lineRule="auto"/>
      </w:pPr>
      <w:r w:rsidRPr="006A0747">
        <w:separator/>
      </w:r>
    </w:p>
  </w:footnote>
  <w:footnote w:type="continuationSeparator" w:id="0">
    <w:p w14:paraId="7CAFF440" w14:textId="77777777" w:rsidR="00DA32C0" w:rsidRPr="006A0747" w:rsidRDefault="00DA32C0" w:rsidP="00E84651">
      <w:pPr>
        <w:spacing w:after="0" w:line="240" w:lineRule="auto"/>
      </w:pPr>
      <w:r w:rsidRPr="006A0747">
        <w:continuationSeparator/>
      </w:r>
    </w:p>
  </w:footnote>
  <w:footnote w:type="continuationNotice" w:id="1">
    <w:p w14:paraId="257AC94D" w14:textId="77777777" w:rsidR="00DA32C0" w:rsidRPr="006A0747" w:rsidRDefault="00DA32C0">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d7LsigJFX2cIYl" int2:id="jtxlTA6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3503"/>
    <w:multiLevelType w:val="multilevel"/>
    <w:tmpl w:val="BDD8C2B4"/>
    <w:lvl w:ilvl="0">
      <w:start w:val="8"/>
      <w:numFmt w:val="upperRoman"/>
      <w:lvlText w:val="%1."/>
      <w:lvlJc w:val="left"/>
      <w:pPr>
        <w:ind w:left="1080" w:hanging="72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DCA316F"/>
    <w:multiLevelType w:val="hybridMultilevel"/>
    <w:tmpl w:val="4F12BB24"/>
    <w:lvl w:ilvl="0" w:tplc="1C0A0001">
      <w:start w:val="1"/>
      <w:numFmt w:val="bullet"/>
      <w:lvlText w:val=""/>
      <w:lvlJc w:val="left"/>
      <w:pPr>
        <w:ind w:left="360" w:hanging="360"/>
      </w:pPr>
      <w:rPr>
        <w:rFonts w:ascii="Symbol" w:hAnsi="Symbol" w:hint="default"/>
      </w:rPr>
    </w:lvl>
    <w:lvl w:ilvl="1" w:tplc="1C0A0003" w:tentative="1">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2" w15:restartNumberingAfterBreak="0">
    <w:nsid w:val="10456883"/>
    <w:multiLevelType w:val="hybridMultilevel"/>
    <w:tmpl w:val="4DD65E96"/>
    <w:lvl w:ilvl="0" w:tplc="1BB2CCF2">
      <w:start w:val="3"/>
      <w:numFmt w:val="bullet"/>
      <w:lvlText w:val="-"/>
      <w:lvlJc w:val="left"/>
      <w:pPr>
        <w:ind w:left="720" w:hanging="360"/>
      </w:pPr>
      <w:rPr>
        <w:rFonts w:ascii="Constantia" w:eastAsia="Times New Roman" w:hAnsi="Constantia"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160A393F"/>
    <w:multiLevelType w:val="hybridMultilevel"/>
    <w:tmpl w:val="F0162424"/>
    <w:lvl w:ilvl="0" w:tplc="1C0A0001">
      <w:start w:val="1"/>
      <w:numFmt w:val="bullet"/>
      <w:lvlText w:val=""/>
      <w:lvlJc w:val="left"/>
      <w:pPr>
        <w:ind w:left="1004" w:hanging="360"/>
      </w:pPr>
      <w:rPr>
        <w:rFonts w:ascii="Symbol" w:hAnsi="Symbol" w:hint="default"/>
      </w:rPr>
    </w:lvl>
    <w:lvl w:ilvl="1" w:tplc="1C0A0003" w:tentative="1">
      <w:start w:val="1"/>
      <w:numFmt w:val="bullet"/>
      <w:lvlText w:val="o"/>
      <w:lvlJc w:val="left"/>
      <w:pPr>
        <w:ind w:left="1724" w:hanging="360"/>
      </w:pPr>
      <w:rPr>
        <w:rFonts w:ascii="Courier New" w:hAnsi="Courier New" w:cs="Courier New" w:hint="default"/>
      </w:rPr>
    </w:lvl>
    <w:lvl w:ilvl="2" w:tplc="1C0A0005" w:tentative="1">
      <w:start w:val="1"/>
      <w:numFmt w:val="bullet"/>
      <w:lvlText w:val=""/>
      <w:lvlJc w:val="left"/>
      <w:pPr>
        <w:ind w:left="2444" w:hanging="360"/>
      </w:pPr>
      <w:rPr>
        <w:rFonts w:ascii="Wingdings" w:hAnsi="Wingdings" w:hint="default"/>
      </w:rPr>
    </w:lvl>
    <w:lvl w:ilvl="3" w:tplc="1C0A0001" w:tentative="1">
      <w:start w:val="1"/>
      <w:numFmt w:val="bullet"/>
      <w:lvlText w:val=""/>
      <w:lvlJc w:val="left"/>
      <w:pPr>
        <w:ind w:left="3164" w:hanging="360"/>
      </w:pPr>
      <w:rPr>
        <w:rFonts w:ascii="Symbol" w:hAnsi="Symbol" w:hint="default"/>
      </w:rPr>
    </w:lvl>
    <w:lvl w:ilvl="4" w:tplc="1C0A0003" w:tentative="1">
      <w:start w:val="1"/>
      <w:numFmt w:val="bullet"/>
      <w:lvlText w:val="o"/>
      <w:lvlJc w:val="left"/>
      <w:pPr>
        <w:ind w:left="3884" w:hanging="360"/>
      </w:pPr>
      <w:rPr>
        <w:rFonts w:ascii="Courier New" w:hAnsi="Courier New" w:cs="Courier New" w:hint="default"/>
      </w:rPr>
    </w:lvl>
    <w:lvl w:ilvl="5" w:tplc="1C0A0005" w:tentative="1">
      <w:start w:val="1"/>
      <w:numFmt w:val="bullet"/>
      <w:lvlText w:val=""/>
      <w:lvlJc w:val="left"/>
      <w:pPr>
        <w:ind w:left="4604" w:hanging="360"/>
      </w:pPr>
      <w:rPr>
        <w:rFonts w:ascii="Wingdings" w:hAnsi="Wingdings" w:hint="default"/>
      </w:rPr>
    </w:lvl>
    <w:lvl w:ilvl="6" w:tplc="1C0A0001" w:tentative="1">
      <w:start w:val="1"/>
      <w:numFmt w:val="bullet"/>
      <w:lvlText w:val=""/>
      <w:lvlJc w:val="left"/>
      <w:pPr>
        <w:ind w:left="5324" w:hanging="360"/>
      </w:pPr>
      <w:rPr>
        <w:rFonts w:ascii="Symbol" w:hAnsi="Symbol" w:hint="default"/>
      </w:rPr>
    </w:lvl>
    <w:lvl w:ilvl="7" w:tplc="1C0A0003" w:tentative="1">
      <w:start w:val="1"/>
      <w:numFmt w:val="bullet"/>
      <w:lvlText w:val="o"/>
      <w:lvlJc w:val="left"/>
      <w:pPr>
        <w:ind w:left="6044" w:hanging="360"/>
      </w:pPr>
      <w:rPr>
        <w:rFonts w:ascii="Courier New" w:hAnsi="Courier New" w:cs="Courier New" w:hint="default"/>
      </w:rPr>
    </w:lvl>
    <w:lvl w:ilvl="8" w:tplc="1C0A0005" w:tentative="1">
      <w:start w:val="1"/>
      <w:numFmt w:val="bullet"/>
      <w:lvlText w:val=""/>
      <w:lvlJc w:val="left"/>
      <w:pPr>
        <w:ind w:left="6764" w:hanging="360"/>
      </w:pPr>
      <w:rPr>
        <w:rFonts w:ascii="Wingdings" w:hAnsi="Wingdings" w:hint="default"/>
      </w:rPr>
    </w:lvl>
  </w:abstractNum>
  <w:abstractNum w:abstractNumId="4" w15:restartNumberingAfterBreak="0">
    <w:nsid w:val="1DFA2445"/>
    <w:multiLevelType w:val="hybridMultilevel"/>
    <w:tmpl w:val="2FF66E88"/>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5" w15:restartNumberingAfterBreak="0">
    <w:nsid w:val="268B61D2"/>
    <w:multiLevelType w:val="hybridMultilevel"/>
    <w:tmpl w:val="13E0E28E"/>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2A6E6CBC"/>
    <w:multiLevelType w:val="hybridMultilevel"/>
    <w:tmpl w:val="7364458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2CBE2AA8"/>
    <w:multiLevelType w:val="hybridMultilevel"/>
    <w:tmpl w:val="4386F9F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33145646"/>
    <w:multiLevelType w:val="hybridMultilevel"/>
    <w:tmpl w:val="E3F2388C"/>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9" w15:restartNumberingAfterBreak="0">
    <w:nsid w:val="3BD35D86"/>
    <w:multiLevelType w:val="hybridMultilevel"/>
    <w:tmpl w:val="EF8446CC"/>
    <w:lvl w:ilvl="0" w:tplc="84D8E09A">
      <w:start w:val="1"/>
      <w:numFmt w:val="low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CB9574F"/>
    <w:multiLevelType w:val="hybridMultilevel"/>
    <w:tmpl w:val="0116E9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41C862A1"/>
    <w:multiLevelType w:val="hybridMultilevel"/>
    <w:tmpl w:val="C330AD7A"/>
    <w:lvl w:ilvl="0" w:tplc="1C0A0001">
      <w:start w:val="1"/>
      <w:numFmt w:val="bullet"/>
      <w:lvlText w:val=""/>
      <w:lvlJc w:val="left"/>
      <w:pPr>
        <w:ind w:left="795" w:hanging="720"/>
      </w:pPr>
      <w:rPr>
        <w:rFonts w:ascii="Symbol" w:hAnsi="Symbol" w:hint="default"/>
      </w:rPr>
    </w:lvl>
    <w:lvl w:ilvl="1" w:tplc="FFFFFFFF" w:tentative="1">
      <w:start w:val="1"/>
      <w:numFmt w:val="lowerLetter"/>
      <w:lvlText w:val="%2."/>
      <w:lvlJc w:val="left"/>
      <w:pPr>
        <w:ind w:left="1155" w:hanging="360"/>
      </w:pPr>
    </w:lvl>
    <w:lvl w:ilvl="2" w:tplc="FFFFFFFF" w:tentative="1">
      <w:start w:val="1"/>
      <w:numFmt w:val="lowerRoman"/>
      <w:lvlText w:val="%3."/>
      <w:lvlJc w:val="right"/>
      <w:pPr>
        <w:ind w:left="1875" w:hanging="180"/>
      </w:pPr>
    </w:lvl>
    <w:lvl w:ilvl="3" w:tplc="FFFFFFFF" w:tentative="1">
      <w:start w:val="1"/>
      <w:numFmt w:val="decimal"/>
      <w:lvlText w:val="%4."/>
      <w:lvlJc w:val="left"/>
      <w:pPr>
        <w:ind w:left="2595" w:hanging="360"/>
      </w:pPr>
    </w:lvl>
    <w:lvl w:ilvl="4" w:tplc="FFFFFFFF" w:tentative="1">
      <w:start w:val="1"/>
      <w:numFmt w:val="lowerLetter"/>
      <w:lvlText w:val="%5."/>
      <w:lvlJc w:val="left"/>
      <w:pPr>
        <w:ind w:left="3315" w:hanging="360"/>
      </w:pPr>
    </w:lvl>
    <w:lvl w:ilvl="5" w:tplc="FFFFFFFF" w:tentative="1">
      <w:start w:val="1"/>
      <w:numFmt w:val="lowerRoman"/>
      <w:lvlText w:val="%6."/>
      <w:lvlJc w:val="right"/>
      <w:pPr>
        <w:ind w:left="4035" w:hanging="180"/>
      </w:pPr>
    </w:lvl>
    <w:lvl w:ilvl="6" w:tplc="FFFFFFFF" w:tentative="1">
      <w:start w:val="1"/>
      <w:numFmt w:val="decimal"/>
      <w:lvlText w:val="%7."/>
      <w:lvlJc w:val="left"/>
      <w:pPr>
        <w:ind w:left="4755" w:hanging="360"/>
      </w:pPr>
    </w:lvl>
    <w:lvl w:ilvl="7" w:tplc="FFFFFFFF" w:tentative="1">
      <w:start w:val="1"/>
      <w:numFmt w:val="lowerLetter"/>
      <w:lvlText w:val="%8."/>
      <w:lvlJc w:val="left"/>
      <w:pPr>
        <w:ind w:left="5475" w:hanging="360"/>
      </w:pPr>
    </w:lvl>
    <w:lvl w:ilvl="8" w:tplc="FFFFFFFF" w:tentative="1">
      <w:start w:val="1"/>
      <w:numFmt w:val="lowerRoman"/>
      <w:lvlText w:val="%9."/>
      <w:lvlJc w:val="right"/>
      <w:pPr>
        <w:ind w:left="6195" w:hanging="180"/>
      </w:pPr>
    </w:lvl>
  </w:abstractNum>
  <w:abstractNum w:abstractNumId="12" w15:restartNumberingAfterBreak="0">
    <w:nsid w:val="424A4CF7"/>
    <w:multiLevelType w:val="hybridMultilevel"/>
    <w:tmpl w:val="D3784A8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3" w15:restartNumberingAfterBreak="0">
    <w:nsid w:val="42D06BC5"/>
    <w:multiLevelType w:val="multilevel"/>
    <w:tmpl w:val="3058060A"/>
    <w:lvl w:ilvl="0">
      <w:start w:val="1"/>
      <w:numFmt w:val="upperRoman"/>
      <w:lvlText w:val="%1."/>
      <w:lvlJc w:val="left"/>
      <w:pPr>
        <w:ind w:left="1080" w:hanging="720"/>
      </w:pPr>
      <w:rPr>
        <w:rFonts w:hint="default"/>
      </w:rPr>
    </w:lvl>
    <w:lvl w:ilvl="1">
      <w:start w:val="1"/>
      <w:numFmt w:val="decimal"/>
      <w:isLgl/>
      <w:lvlText w:val="%1.%2"/>
      <w:lvlJc w:val="left"/>
      <w:pPr>
        <w:ind w:left="795" w:hanging="435"/>
      </w:pPr>
      <w:rPr>
        <w:rFonts w:hint="default"/>
        <w:b/>
        <w:bCs/>
        <w:color w:val="76717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44A15A2"/>
    <w:multiLevelType w:val="hybridMultilevel"/>
    <w:tmpl w:val="5B645EAE"/>
    <w:lvl w:ilvl="0" w:tplc="D3D8865A">
      <w:start w:val="1"/>
      <w:numFmt w:val="bullet"/>
      <w:lvlText w:val=""/>
      <w:lvlJc w:val="left"/>
      <w:pPr>
        <w:ind w:left="720" w:hanging="360"/>
      </w:pPr>
      <w:rPr>
        <w:rFonts w:ascii="Symbol" w:hAnsi="Symbol" w:hint="default"/>
        <w:color w:val="767171"/>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5" w15:restartNumberingAfterBreak="0">
    <w:nsid w:val="543F3FDE"/>
    <w:multiLevelType w:val="multilevel"/>
    <w:tmpl w:val="E124E0AE"/>
    <w:lvl w:ilvl="0">
      <w:start w:val="4"/>
      <w:numFmt w:val="upperRoman"/>
      <w:lvlText w:val="%1."/>
      <w:lvlJc w:val="left"/>
      <w:pPr>
        <w:ind w:left="1080" w:hanging="720"/>
      </w:pPr>
      <w:rPr>
        <w:rFonts w:hint="default"/>
      </w:rPr>
    </w:lvl>
    <w:lvl w:ilvl="1">
      <w:start w:val="1"/>
      <w:numFmt w:val="decimal"/>
      <w:isLgl/>
      <w:lvlText w:val="%1.%2"/>
      <w:lvlJc w:val="left"/>
      <w:pPr>
        <w:ind w:left="795" w:hanging="435"/>
      </w:pPr>
      <w:rPr>
        <w:rFonts w:hint="default"/>
        <w:b/>
        <w:bCs/>
        <w:color w:val="76717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BB16C89"/>
    <w:multiLevelType w:val="hybridMultilevel"/>
    <w:tmpl w:val="E60CE1E0"/>
    <w:lvl w:ilvl="0" w:tplc="1C0A0001">
      <w:start w:val="1"/>
      <w:numFmt w:val="bullet"/>
      <w:lvlText w:val=""/>
      <w:lvlJc w:val="left"/>
      <w:pPr>
        <w:ind w:left="1440" w:hanging="360"/>
      </w:pPr>
      <w:rPr>
        <w:rFonts w:ascii="Symbol" w:hAnsi="Symbol" w:hint="default"/>
      </w:rPr>
    </w:lvl>
    <w:lvl w:ilvl="1" w:tplc="1C0A0003">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17" w15:restartNumberingAfterBreak="0">
    <w:nsid w:val="61135592"/>
    <w:multiLevelType w:val="hybridMultilevel"/>
    <w:tmpl w:val="2500F24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15:restartNumberingAfterBreak="0">
    <w:nsid w:val="6FA26BC2"/>
    <w:multiLevelType w:val="hybridMultilevel"/>
    <w:tmpl w:val="9216FE4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15:restartNumberingAfterBreak="0">
    <w:nsid w:val="71F17DC8"/>
    <w:multiLevelType w:val="hybridMultilevel"/>
    <w:tmpl w:val="5C5ED4D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15:restartNumberingAfterBreak="0">
    <w:nsid w:val="7A3B0313"/>
    <w:multiLevelType w:val="hybridMultilevel"/>
    <w:tmpl w:val="20D86DA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1" w15:restartNumberingAfterBreak="0">
    <w:nsid w:val="7EED17DC"/>
    <w:multiLevelType w:val="multilevel"/>
    <w:tmpl w:val="BDD8C2B4"/>
    <w:lvl w:ilvl="0">
      <w:start w:val="8"/>
      <w:numFmt w:val="upperRoman"/>
      <w:lvlText w:val="%1."/>
      <w:lvlJc w:val="left"/>
      <w:pPr>
        <w:ind w:left="1080" w:hanging="72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859156166">
    <w:abstractNumId w:val="13"/>
  </w:num>
  <w:num w:numId="2" w16cid:durableId="1141574308">
    <w:abstractNumId w:val="16"/>
  </w:num>
  <w:num w:numId="3" w16cid:durableId="139347479">
    <w:abstractNumId w:val="3"/>
  </w:num>
  <w:num w:numId="4" w16cid:durableId="1952777992">
    <w:abstractNumId w:val="0"/>
  </w:num>
  <w:num w:numId="5" w16cid:durableId="229313689">
    <w:abstractNumId w:val="14"/>
  </w:num>
  <w:num w:numId="6" w16cid:durableId="40055411">
    <w:abstractNumId w:val="7"/>
  </w:num>
  <w:num w:numId="7" w16cid:durableId="1638073891">
    <w:abstractNumId w:val="2"/>
  </w:num>
  <w:num w:numId="8" w16cid:durableId="1202597830">
    <w:abstractNumId w:val="18"/>
  </w:num>
  <w:num w:numId="9" w16cid:durableId="541091853">
    <w:abstractNumId w:val="1"/>
  </w:num>
  <w:num w:numId="10" w16cid:durableId="501698485">
    <w:abstractNumId w:val="4"/>
  </w:num>
  <w:num w:numId="11" w16cid:durableId="420376802">
    <w:abstractNumId w:val="11"/>
  </w:num>
  <w:num w:numId="12" w16cid:durableId="1981185354">
    <w:abstractNumId w:val="12"/>
  </w:num>
  <w:num w:numId="13" w16cid:durableId="300575667">
    <w:abstractNumId w:val="20"/>
  </w:num>
  <w:num w:numId="14" w16cid:durableId="658584503">
    <w:abstractNumId w:val="6"/>
  </w:num>
  <w:num w:numId="15" w16cid:durableId="122509053">
    <w:abstractNumId w:val="17"/>
  </w:num>
  <w:num w:numId="16" w16cid:durableId="973826623">
    <w:abstractNumId w:val="8"/>
  </w:num>
  <w:num w:numId="17" w16cid:durableId="515003719">
    <w:abstractNumId w:val="15"/>
  </w:num>
  <w:num w:numId="18" w16cid:durableId="1926261442">
    <w:abstractNumId w:val="10"/>
  </w:num>
  <w:num w:numId="19" w16cid:durableId="476260013">
    <w:abstractNumId w:val="19"/>
  </w:num>
  <w:num w:numId="20" w16cid:durableId="1440103902">
    <w:abstractNumId w:val="5"/>
  </w:num>
  <w:num w:numId="21" w16cid:durableId="789587412">
    <w:abstractNumId w:val="21"/>
  </w:num>
  <w:num w:numId="22" w16cid:durableId="41158738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F4E"/>
    <w:rsid w:val="00000033"/>
    <w:rsid w:val="000000CE"/>
    <w:rsid w:val="0000099D"/>
    <w:rsid w:val="00000E6B"/>
    <w:rsid w:val="000013B5"/>
    <w:rsid w:val="000014A5"/>
    <w:rsid w:val="000015C7"/>
    <w:rsid w:val="000017E6"/>
    <w:rsid w:val="000017FD"/>
    <w:rsid w:val="00001853"/>
    <w:rsid w:val="000018AA"/>
    <w:rsid w:val="00001B11"/>
    <w:rsid w:val="000020AF"/>
    <w:rsid w:val="00002332"/>
    <w:rsid w:val="000023B4"/>
    <w:rsid w:val="0000254E"/>
    <w:rsid w:val="00002BB1"/>
    <w:rsid w:val="000030BF"/>
    <w:rsid w:val="000031D0"/>
    <w:rsid w:val="00003386"/>
    <w:rsid w:val="00003519"/>
    <w:rsid w:val="0000362E"/>
    <w:rsid w:val="00003B51"/>
    <w:rsid w:val="00004443"/>
    <w:rsid w:val="00004615"/>
    <w:rsid w:val="00004E1A"/>
    <w:rsid w:val="00004F10"/>
    <w:rsid w:val="0000502A"/>
    <w:rsid w:val="0000569F"/>
    <w:rsid w:val="00005830"/>
    <w:rsid w:val="00005C1F"/>
    <w:rsid w:val="00006499"/>
    <w:rsid w:val="000065EE"/>
    <w:rsid w:val="0000666C"/>
    <w:rsid w:val="00006A36"/>
    <w:rsid w:val="000073C3"/>
    <w:rsid w:val="000074EB"/>
    <w:rsid w:val="000076CC"/>
    <w:rsid w:val="00007811"/>
    <w:rsid w:val="0000782F"/>
    <w:rsid w:val="00007835"/>
    <w:rsid w:val="00007947"/>
    <w:rsid w:val="00007F24"/>
    <w:rsid w:val="00010589"/>
    <w:rsid w:val="000107DE"/>
    <w:rsid w:val="000108FE"/>
    <w:rsid w:val="00010937"/>
    <w:rsid w:val="00010F13"/>
    <w:rsid w:val="00011181"/>
    <w:rsid w:val="00011D06"/>
    <w:rsid w:val="00011E8D"/>
    <w:rsid w:val="00011E98"/>
    <w:rsid w:val="00012AF8"/>
    <w:rsid w:val="00012C37"/>
    <w:rsid w:val="00012CDA"/>
    <w:rsid w:val="0001311D"/>
    <w:rsid w:val="000136AC"/>
    <w:rsid w:val="00013807"/>
    <w:rsid w:val="00014093"/>
    <w:rsid w:val="00014660"/>
    <w:rsid w:val="000146A7"/>
    <w:rsid w:val="000149A9"/>
    <w:rsid w:val="00014BAC"/>
    <w:rsid w:val="00014CA8"/>
    <w:rsid w:val="00015A26"/>
    <w:rsid w:val="00016266"/>
    <w:rsid w:val="000165DB"/>
    <w:rsid w:val="000167D8"/>
    <w:rsid w:val="00016DE8"/>
    <w:rsid w:val="00016E71"/>
    <w:rsid w:val="00017770"/>
    <w:rsid w:val="000178FF"/>
    <w:rsid w:val="00020246"/>
    <w:rsid w:val="0002046D"/>
    <w:rsid w:val="00020EE5"/>
    <w:rsid w:val="00020F71"/>
    <w:rsid w:val="00020FF1"/>
    <w:rsid w:val="00021904"/>
    <w:rsid w:val="00021DF7"/>
    <w:rsid w:val="00022065"/>
    <w:rsid w:val="0002220B"/>
    <w:rsid w:val="0002227A"/>
    <w:rsid w:val="00022540"/>
    <w:rsid w:val="00022781"/>
    <w:rsid w:val="00022925"/>
    <w:rsid w:val="00022A2C"/>
    <w:rsid w:val="0002313A"/>
    <w:rsid w:val="00023905"/>
    <w:rsid w:val="00024006"/>
    <w:rsid w:val="000248F0"/>
    <w:rsid w:val="00025213"/>
    <w:rsid w:val="00025930"/>
    <w:rsid w:val="00027019"/>
    <w:rsid w:val="00027099"/>
    <w:rsid w:val="00027260"/>
    <w:rsid w:val="0002784C"/>
    <w:rsid w:val="00027F4A"/>
    <w:rsid w:val="0003026A"/>
    <w:rsid w:val="00030416"/>
    <w:rsid w:val="000304D7"/>
    <w:rsid w:val="00030505"/>
    <w:rsid w:val="00031084"/>
    <w:rsid w:val="00031098"/>
    <w:rsid w:val="00031728"/>
    <w:rsid w:val="000319B4"/>
    <w:rsid w:val="00031BBA"/>
    <w:rsid w:val="00031D72"/>
    <w:rsid w:val="00031F74"/>
    <w:rsid w:val="0003211C"/>
    <w:rsid w:val="000321A5"/>
    <w:rsid w:val="000323FB"/>
    <w:rsid w:val="00032423"/>
    <w:rsid w:val="00032C13"/>
    <w:rsid w:val="0003306E"/>
    <w:rsid w:val="00033B7F"/>
    <w:rsid w:val="000345D2"/>
    <w:rsid w:val="00034EE5"/>
    <w:rsid w:val="0003506F"/>
    <w:rsid w:val="000357F3"/>
    <w:rsid w:val="00035929"/>
    <w:rsid w:val="00035BBF"/>
    <w:rsid w:val="00035E83"/>
    <w:rsid w:val="00036081"/>
    <w:rsid w:val="0003626B"/>
    <w:rsid w:val="000369CD"/>
    <w:rsid w:val="000369D9"/>
    <w:rsid w:val="00037514"/>
    <w:rsid w:val="0003780A"/>
    <w:rsid w:val="00040083"/>
    <w:rsid w:val="000400C6"/>
    <w:rsid w:val="0004021D"/>
    <w:rsid w:val="00040D62"/>
    <w:rsid w:val="000415F7"/>
    <w:rsid w:val="0004171F"/>
    <w:rsid w:val="000418D7"/>
    <w:rsid w:val="00041910"/>
    <w:rsid w:val="000420D3"/>
    <w:rsid w:val="00042304"/>
    <w:rsid w:val="000444D0"/>
    <w:rsid w:val="00045204"/>
    <w:rsid w:val="00045222"/>
    <w:rsid w:val="000461C3"/>
    <w:rsid w:val="00046421"/>
    <w:rsid w:val="0004653B"/>
    <w:rsid w:val="00046732"/>
    <w:rsid w:val="0004679C"/>
    <w:rsid w:val="000467BF"/>
    <w:rsid w:val="00046B66"/>
    <w:rsid w:val="00046D70"/>
    <w:rsid w:val="00047221"/>
    <w:rsid w:val="000474FA"/>
    <w:rsid w:val="00047581"/>
    <w:rsid w:val="00047777"/>
    <w:rsid w:val="00047826"/>
    <w:rsid w:val="00047950"/>
    <w:rsid w:val="00047B1C"/>
    <w:rsid w:val="00047BBA"/>
    <w:rsid w:val="00050128"/>
    <w:rsid w:val="00050A35"/>
    <w:rsid w:val="00050ADF"/>
    <w:rsid w:val="00050E04"/>
    <w:rsid w:val="00050F9D"/>
    <w:rsid w:val="000510CA"/>
    <w:rsid w:val="00051657"/>
    <w:rsid w:val="00052144"/>
    <w:rsid w:val="0005254C"/>
    <w:rsid w:val="000526D0"/>
    <w:rsid w:val="000529D8"/>
    <w:rsid w:val="00052E2C"/>
    <w:rsid w:val="00052EB9"/>
    <w:rsid w:val="00053317"/>
    <w:rsid w:val="00053357"/>
    <w:rsid w:val="00053480"/>
    <w:rsid w:val="00053607"/>
    <w:rsid w:val="0005395A"/>
    <w:rsid w:val="00053CB7"/>
    <w:rsid w:val="00053FAB"/>
    <w:rsid w:val="00054034"/>
    <w:rsid w:val="0005427E"/>
    <w:rsid w:val="00054780"/>
    <w:rsid w:val="00054D09"/>
    <w:rsid w:val="00054E63"/>
    <w:rsid w:val="00055071"/>
    <w:rsid w:val="00055956"/>
    <w:rsid w:val="00055B2B"/>
    <w:rsid w:val="00055C40"/>
    <w:rsid w:val="00055DB5"/>
    <w:rsid w:val="00056139"/>
    <w:rsid w:val="000570E5"/>
    <w:rsid w:val="00057590"/>
    <w:rsid w:val="00057835"/>
    <w:rsid w:val="00057FE2"/>
    <w:rsid w:val="00060006"/>
    <w:rsid w:val="00060212"/>
    <w:rsid w:val="000608F9"/>
    <w:rsid w:val="00060BFA"/>
    <w:rsid w:val="00060CC0"/>
    <w:rsid w:val="00061634"/>
    <w:rsid w:val="00061876"/>
    <w:rsid w:val="00061FF8"/>
    <w:rsid w:val="0006271E"/>
    <w:rsid w:val="0006305F"/>
    <w:rsid w:val="00063509"/>
    <w:rsid w:val="00063541"/>
    <w:rsid w:val="00063B2F"/>
    <w:rsid w:val="00064064"/>
    <w:rsid w:val="00064383"/>
    <w:rsid w:val="0006452E"/>
    <w:rsid w:val="00064D9C"/>
    <w:rsid w:val="0006553B"/>
    <w:rsid w:val="0006581C"/>
    <w:rsid w:val="00065C6A"/>
    <w:rsid w:val="00066687"/>
    <w:rsid w:val="000667C5"/>
    <w:rsid w:val="00066839"/>
    <w:rsid w:val="00066D84"/>
    <w:rsid w:val="0006774E"/>
    <w:rsid w:val="000677BC"/>
    <w:rsid w:val="00067D5C"/>
    <w:rsid w:val="00067DF3"/>
    <w:rsid w:val="000702D7"/>
    <w:rsid w:val="0007077C"/>
    <w:rsid w:val="000707D9"/>
    <w:rsid w:val="00070D31"/>
    <w:rsid w:val="00070DB1"/>
    <w:rsid w:val="00070E12"/>
    <w:rsid w:val="00071752"/>
    <w:rsid w:val="000718BC"/>
    <w:rsid w:val="00071ED4"/>
    <w:rsid w:val="00072625"/>
    <w:rsid w:val="00072B5E"/>
    <w:rsid w:val="00072C89"/>
    <w:rsid w:val="000733B8"/>
    <w:rsid w:val="000735F4"/>
    <w:rsid w:val="0007427A"/>
    <w:rsid w:val="0007429C"/>
    <w:rsid w:val="00074560"/>
    <w:rsid w:val="000754F1"/>
    <w:rsid w:val="0007563D"/>
    <w:rsid w:val="00076146"/>
    <w:rsid w:val="00076168"/>
    <w:rsid w:val="00076733"/>
    <w:rsid w:val="00076922"/>
    <w:rsid w:val="00076B92"/>
    <w:rsid w:val="00076E8A"/>
    <w:rsid w:val="000770A7"/>
    <w:rsid w:val="00077543"/>
    <w:rsid w:val="00077C91"/>
    <w:rsid w:val="00077CF7"/>
    <w:rsid w:val="00077F12"/>
    <w:rsid w:val="00077F56"/>
    <w:rsid w:val="00080112"/>
    <w:rsid w:val="0008014B"/>
    <w:rsid w:val="0008020F"/>
    <w:rsid w:val="00080772"/>
    <w:rsid w:val="00080997"/>
    <w:rsid w:val="00080BF8"/>
    <w:rsid w:val="00080D66"/>
    <w:rsid w:val="00080FDB"/>
    <w:rsid w:val="000813B9"/>
    <w:rsid w:val="00081F8B"/>
    <w:rsid w:val="000828C6"/>
    <w:rsid w:val="00082B6B"/>
    <w:rsid w:val="00082FA7"/>
    <w:rsid w:val="00083280"/>
    <w:rsid w:val="000837E7"/>
    <w:rsid w:val="000839CE"/>
    <w:rsid w:val="00083D88"/>
    <w:rsid w:val="0008402A"/>
    <w:rsid w:val="0008461E"/>
    <w:rsid w:val="000850FC"/>
    <w:rsid w:val="000854A6"/>
    <w:rsid w:val="00085653"/>
    <w:rsid w:val="000857DE"/>
    <w:rsid w:val="00085AAD"/>
    <w:rsid w:val="0008615B"/>
    <w:rsid w:val="00086359"/>
    <w:rsid w:val="00086A40"/>
    <w:rsid w:val="00086DC2"/>
    <w:rsid w:val="00087165"/>
    <w:rsid w:val="000872E5"/>
    <w:rsid w:val="00087408"/>
    <w:rsid w:val="0009070E"/>
    <w:rsid w:val="00090834"/>
    <w:rsid w:val="00090EBC"/>
    <w:rsid w:val="0009108A"/>
    <w:rsid w:val="00091A34"/>
    <w:rsid w:val="00091EA9"/>
    <w:rsid w:val="00091FC1"/>
    <w:rsid w:val="000921A9"/>
    <w:rsid w:val="00092524"/>
    <w:rsid w:val="00092918"/>
    <w:rsid w:val="00092A8B"/>
    <w:rsid w:val="00092DD3"/>
    <w:rsid w:val="00092F1B"/>
    <w:rsid w:val="00093186"/>
    <w:rsid w:val="000934F5"/>
    <w:rsid w:val="00093A11"/>
    <w:rsid w:val="00093D12"/>
    <w:rsid w:val="00093FE1"/>
    <w:rsid w:val="000945CA"/>
    <w:rsid w:val="0009485B"/>
    <w:rsid w:val="00094CD4"/>
    <w:rsid w:val="000950B3"/>
    <w:rsid w:val="00095613"/>
    <w:rsid w:val="00095B7B"/>
    <w:rsid w:val="00095D02"/>
    <w:rsid w:val="000960E2"/>
    <w:rsid w:val="00096570"/>
    <w:rsid w:val="000966CB"/>
    <w:rsid w:val="00096746"/>
    <w:rsid w:val="00096B34"/>
    <w:rsid w:val="00096D0D"/>
    <w:rsid w:val="00096F72"/>
    <w:rsid w:val="0009703F"/>
    <w:rsid w:val="000971B3"/>
    <w:rsid w:val="00097301"/>
    <w:rsid w:val="00097456"/>
    <w:rsid w:val="0009750B"/>
    <w:rsid w:val="00097817"/>
    <w:rsid w:val="000A0430"/>
    <w:rsid w:val="000A0AB5"/>
    <w:rsid w:val="000A10D3"/>
    <w:rsid w:val="000A182C"/>
    <w:rsid w:val="000A1F1B"/>
    <w:rsid w:val="000A2A2E"/>
    <w:rsid w:val="000A2CE8"/>
    <w:rsid w:val="000A3334"/>
    <w:rsid w:val="000A3564"/>
    <w:rsid w:val="000A391D"/>
    <w:rsid w:val="000A39E3"/>
    <w:rsid w:val="000A3DF1"/>
    <w:rsid w:val="000A4B4A"/>
    <w:rsid w:val="000A4D4E"/>
    <w:rsid w:val="000A5629"/>
    <w:rsid w:val="000A5B3C"/>
    <w:rsid w:val="000A5DE3"/>
    <w:rsid w:val="000A5E10"/>
    <w:rsid w:val="000A6038"/>
    <w:rsid w:val="000A6698"/>
    <w:rsid w:val="000A676A"/>
    <w:rsid w:val="000A69C5"/>
    <w:rsid w:val="000A6FDF"/>
    <w:rsid w:val="000A75A3"/>
    <w:rsid w:val="000A777C"/>
    <w:rsid w:val="000A7D56"/>
    <w:rsid w:val="000A7D76"/>
    <w:rsid w:val="000A7FA6"/>
    <w:rsid w:val="000B1112"/>
    <w:rsid w:val="000B176F"/>
    <w:rsid w:val="000B18C2"/>
    <w:rsid w:val="000B1C63"/>
    <w:rsid w:val="000B1EAB"/>
    <w:rsid w:val="000B2176"/>
    <w:rsid w:val="000B236A"/>
    <w:rsid w:val="000B23DD"/>
    <w:rsid w:val="000B278B"/>
    <w:rsid w:val="000B3238"/>
    <w:rsid w:val="000B32FF"/>
    <w:rsid w:val="000B3660"/>
    <w:rsid w:val="000B3C27"/>
    <w:rsid w:val="000B4284"/>
    <w:rsid w:val="000B440D"/>
    <w:rsid w:val="000B4995"/>
    <w:rsid w:val="000B4F40"/>
    <w:rsid w:val="000B5306"/>
    <w:rsid w:val="000B556D"/>
    <w:rsid w:val="000B55EC"/>
    <w:rsid w:val="000B5D03"/>
    <w:rsid w:val="000B5D1E"/>
    <w:rsid w:val="000B6668"/>
    <w:rsid w:val="000B66B7"/>
    <w:rsid w:val="000B6A89"/>
    <w:rsid w:val="000B7445"/>
    <w:rsid w:val="000B750E"/>
    <w:rsid w:val="000B7A84"/>
    <w:rsid w:val="000B7AF5"/>
    <w:rsid w:val="000B7BCC"/>
    <w:rsid w:val="000B7D00"/>
    <w:rsid w:val="000C0536"/>
    <w:rsid w:val="000C0B63"/>
    <w:rsid w:val="000C0C94"/>
    <w:rsid w:val="000C0D89"/>
    <w:rsid w:val="000C0DBF"/>
    <w:rsid w:val="000C197D"/>
    <w:rsid w:val="000C1BF9"/>
    <w:rsid w:val="000C234A"/>
    <w:rsid w:val="000C248C"/>
    <w:rsid w:val="000C27F4"/>
    <w:rsid w:val="000C2ABE"/>
    <w:rsid w:val="000C2E26"/>
    <w:rsid w:val="000C32BA"/>
    <w:rsid w:val="000C3491"/>
    <w:rsid w:val="000C35F3"/>
    <w:rsid w:val="000C36CD"/>
    <w:rsid w:val="000C3D7E"/>
    <w:rsid w:val="000C437C"/>
    <w:rsid w:val="000C46B2"/>
    <w:rsid w:val="000C4B99"/>
    <w:rsid w:val="000C4C84"/>
    <w:rsid w:val="000C4DFC"/>
    <w:rsid w:val="000C511F"/>
    <w:rsid w:val="000C5B6A"/>
    <w:rsid w:val="000C5D3E"/>
    <w:rsid w:val="000C605A"/>
    <w:rsid w:val="000C61E4"/>
    <w:rsid w:val="000C62B7"/>
    <w:rsid w:val="000C63F7"/>
    <w:rsid w:val="000C6618"/>
    <w:rsid w:val="000C66BD"/>
    <w:rsid w:val="000C6AE8"/>
    <w:rsid w:val="000C6C10"/>
    <w:rsid w:val="000C6CEC"/>
    <w:rsid w:val="000C72B6"/>
    <w:rsid w:val="000C74F5"/>
    <w:rsid w:val="000C78A3"/>
    <w:rsid w:val="000D004A"/>
    <w:rsid w:val="000D1027"/>
    <w:rsid w:val="000D1099"/>
    <w:rsid w:val="000D12FD"/>
    <w:rsid w:val="000D1390"/>
    <w:rsid w:val="000D1A89"/>
    <w:rsid w:val="000D1BB0"/>
    <w:rsid w:val="000D1C5C"/>
    <w:rsid w:val="000D2448"/>
    <w:rsid w:val="000D2617"/>
    <w:rsid w:val="000D2A4D"/>
    <w:rsid w:val="000D3BB0"/>
    <w:rsid w:val="000D3E65"/>
    <w:rsid w:val="000D42B2"/>
    <w:rsid w:val="000D4A43"/>
    <w:rsid w:val="000D4D55"/>
    <w:rsid w:val="000D5391"/>
    <w:rsid w:val="000D5460"/>
    <w:rsid w:val="000D5A07"/>
    <w:rsid w:val="000D5AA9"/>
    <w:rsid w:val="000D5C23"/>
    <w:rsid w:val="000D5DAD"/>
    <w:rsid w:val="000D5F87"/>
    <w:rsid w:val="000D5F9A"/>
    <w:rsid w:val="000D5FCF"/>
    <w:rsid w:val="000D61EB"/>
    <w:rsid w:val="000D63DC"/>
    <w:rsid w:val="000D6C61"/>
    <w:rsid w:val="000D6E0E"/>
    <w:rsid w:val="000D7517"/>
    <w:rsid w:val="000D7EE7"/>
    <w:rsid w:val="000E042F"/>
    <w:rsid w:val="000E0CB5"/>
    <w:rsid w:val="000E1A50"/>
    <w:rsid w:val="000E1BAF"/>
    <w:rsid w:val="000E1D21"/>
    <w:rsid w:val="000E1EF9"/>
    <w:rsid w:val="000E2175"/>
    <w:rsid w:val="000E24E5"/>
    <w:rsid w:val="000E2660"/>
    <w:rsid w:val="000E269A"/>
    <w:rsid w:val="000E2C27"/>
    <w:rsid w:val="000E3488"/>
    <w:rsid w:val="000E39C1"/>
    <w:rsid w:val="000E4008"/>
    <w:rsid w:val="000E568D"/>
    <w:rsid w:val="000E59FC"/>
    <w:rsid w:val="000E5B60"/>
    <w:rsid w:val="000E5E9A"/>
    <w:rsid w:val="000E6360"/>
    <w:rsid w:val="000E6574"/>
    <w:rsid w:val="000E6CA0"/>
    <w:rsid w:val="000E7206"/>
    <w:rsid w:val="000E75AA"/>
    <w:rsid w:val="000E7987"/>
    <w:rsid w:val="000E79C2"/>
    <w:rsid w:val="000F0403"/>
    <w:rsid w:val="000F06E0"/>
    <w:rsid w:val="000F1188"/>
    <w:rsid w:val="000F1A58"/>
    <w:rsid w:val="000F1A61"/>
    <w:rsid w:val="000F1B47"/>
    <w:rsid w:val="000F2761"/>
    <w:rsid w:val="000F2989"/>
    <w:rsid w:val="000F2BC3"/>
    <w:rsid w:val="000F2DDA"/>
    <w:rsid w:val="000F2E0B"/>
    <w:rsid w:val="000F2F52"/>
    <w:rsid w:val="000F30AB"/>
    <w:rsid w:val="000F33E8"/>
    <w:rsid w:val="000F3526"/>
    <w:rsid w:val="000F376F"/>
    <w:rsid w:val="000F38E8"/>
    <w:rsid w:val="000F3E8A"/>
    <w:rsid w:val="000F3EFE"/>
    <w:rsid w:val="000F40B0"/>
    <w:rsid w:val="000F429A"/>
    <w:rsid w:val="000F4879"/>
    <w:rsid w:val="000F4CD7"/>
    <w:rsid w:val="000F4D83"/>
    <w:rsid w:val="000F4DAF"/>
    <w:rsid w:val="000F52BA"/>
    <w:rsid w:val="000F5A76"/>
    <w:rsid w:val="000F5D93"/>
    <w:rsid w:val="000F60C8"/>
    <w:rsid w:val="000F6161"/>
    <w:rsid w:val="000F65DB"/>
    <w:rsid w:val="000F6652"/>
    <w:rsid w:val="000F7598"/>
    <w:rsid w:val="000F76E0"/>
    <w:rsid w:val="000F7B80"/>
    <w:rsid w:val="001002C9"/>
    <w:rsid w:val="00100C0A"/>
    <w:rsid w:val="00100D8F"/>
    <w:rsid w:val="0010114D"/>
    <w:rsid w:val="00101208"/>
    <w:rsid w:val="00101320"/>
    <w:rsid w:val="0010161B"/>
    <w:rsid w:val="001017DA"/>
    <w:rsid w:val="00102023"/>
    <w:rsid w:val="00102215"/>
    <w:rsid w:val="00102E5B"/>
    <w:rsid w:val="00103054"/>
    <w:rsid w:val="00103449"/>
    <w:rsid w:val="00103725"/>
    <w:rsid w:val="00103758"/>
    <w:rsid w:val="00103F65"/>
    <w:rsid w:val="001040D6"/>
    <w:rsid w:val="00104588"/>
    <w:rsid w:val="00104767"/>
    <w:rsid w:val="00104A16"/>
    <w:rsid w:val="001052AF"/>
    <w:rsid w:val="0010583D"/>
    <w:rsid w:val="001058CB"/>
    <w:rsid w:val="00105B28"/>
    <w:rsid w:val="00106089"/>
    <w:rsid w:val="00106927"/>
    <w:rsid w:val="00106AAC"/>
    <w:rsid w:val="00107244"/>
    <w:rsid w:val="001073E3"/>
    <w:rsid w:val="001074AE"/>
    <w:rsid w:val="001076C0"/>
    <w:rsid w:val="00107A3E"/>
    <w:rsid w:val="00107AEB"/>
    <w:rsid w:val="00107B62"/>
    <w:rsid w:val="001106DC"/>
    <w:rsid w:val="00111050"/>
    <w:rsid w:val="001123EA"/>
    <w:rsid w:val="00112792"/>
    <w:rsid w:val="00112805"/>
    <w:rsid w:val="00112911"/>
    <w:rsid w:val="00112FC0"/>
    <w:rsid w:val="0011313F"/>
    <w:rsid w:val="0011326F"/>
    <w:rsid w:val="0011367F"/>
    <w:rsid w:val="00113C37"/>
    <w:rsid w:val="00113CDF"/>
    <w:rsid w:val="001140D9"/>
    <w:rsid w:val="00114649"/>
    <w:rsid w:val="00114764"/>
    <w:rsid w:val="00114A8C"/>
    <w:rsid w:val="00114B05"/>
    <w:rsid w:val="00114DD2"/>
    <w:rsid w:val="00114DE3"/>
    <w:rsid w:val="00114DF3"/>
    <w:rsid w:val="00114F2A"/>
    <w:rsid w:val="0011545B"/>
    <w:rsid w:val="00116337"/>
    <w:rsid w:val="001166EA"/>
    <w:rsid w:val="001167A5"/>
    <w:rsid w:val="0011697E"/>
    <w:rsid w:val="00116D1A"/>
    <w:rsid w:val="00116D89"/>
    <w:rsid w:val="00117146"/>
    <w:rsid w:val="00117174"/>
    <w:rsid w:val="0011778E"/>
    <w:rsid w:val="00117D6A"/>
    <w:rsid w:val="001207F1"/>
    <w:rsid w:val="00121007"/>
    <w:rsid w:val="001215CC"/>
    <w:rsid w:val="001216E0"/>
    <w:rsid w:val="001217FB"/>
    <w:rsid w:val="00121947"/>
    <w:rsid w:val="00121A4E"/>
    <w:rsid w:val="001221B0"/>
    <w:rsid w:val="00122677"/>
    <w:rsid w:val="00122748"/>
    <w:rsid w:val="00122C74"/>
    <w:rsid w:val="001230AE"/>
    <w:rsid w:val="00123280"/>
    <w:rsid w:val="001232A8"/>
    <w:rsid w:val="0012392B"/>
    <w:rsid w:val="00124014"/>
    <w:rsid w:val="0012402C"/>
    <w:rsid w:val="001240D0"/>
    <w:rsid w:val="00124147"/>
    <w:rsid w:val="001249F5"/>
    <w:rsid w:val="00124C0E"/>
    <w:rsid w:val="001250D7"/>
    <w:rsid w:val="0012536C"/>
    <w:rsid w:val="00125824"/>
    <w:rsid w:val="0012589E"/>
    <w:rsid w:val="001259E1"/>
    <w:rsid w:val="00125B9E"/>
    <w:rsid w:val="00125D46"/>
    <w:rsid w:val="00125E18"/>
    <w:rsid w:val="00126456"/>
    <w:rsid w:val="001266E7"/>
    <w:rsid w:val="00126BA8"/>
    <w:rsid w:val="00127450"/>
    <w:rsid w:val="0012778F"/>
    <w:rsid w:val="00127B99"/>
    <w:rsid w:val="00127CAA"/>
    <w:rsid w:val="00130920"/>
    <w:rsid w:val="00130A42"/>
    <w:rsid w:val="00130CC1"/>
    <w:rsid w:val="00130E8A"/>
    <w:rsid w:val="001311AA"/>
    <w:rsid w:val="00131D3A"/>
    <w:rsid w:val="00132353"/>
    <w:rsid w:val="001324E1"/>
    <w:rsid w:val="00132627"/>
    <w:rsid w:val="00132A28"/>
    <w:rsid w:val="00133372"/>
    <w:rsid w:val="0013373C"/>
    <w:rsid w:val="0013439B"/>
    <w:rsid w:val="001344F4"/>
    <w:rsid w:val="001345FD"/>
    <w:rsid w:val="0013460B"/>
    <w:rsid w:val="001347F2"/>
    <w:rsid w:val="00134AA1"/>
    <w:rsid w:val="00134D81"/>
    <w:rsid w:val="00135E0D"/>
    <w:rsid w:val="00136197"/>
    <w:rsid w:val="0013638A"/>
    <w:rsid w:val="0013641A"/>
    <w:rsid w:val="0013658F"/>
    <w:rsid w:val="00136943"/>
    <w:rsid w:val="00136AB6"/>
    <w:rsid w:val="00136B28"/>
    <w:rsid w:val="00136C1C"/>
    <w:rsid w:val="00136F1B"/>
    <w:rsid w:val="0013717A"/>
    <w:rsid w:val="00137208"/>
    <w:rsid w:val="0013747C"/>
    <w:rsid w:val="0013762A"/>
    <w:rsid w:val="00137B5E"/>
    <w:rsid w:val="001403AB"/>
    <w:rsid w:val="00140A61"/>
    <w:rsid w:val="00140A99"/>
    <w:rsid w:val="00140AB7"/>
    <w:rsid w:val="00141789"/>
    <w:rsid w:val="00141877"/>
    <w:rsid w:val="00141CE2"/>
    <w:rsid w:val="001420E4"/>
    <w:rsid w:val="00142525"/>
    <w:rsid w:val="001427B3"/>
    <w:rsid w:val="00142FBA"/>
    <w:rsid w:val="001430A7"/>
    <w:rsid w:val="00143370"/>
    <w:rsid w:val="0014372F"/>
    <w:rsid w:val="001437CF"/>
    <w:rsid w:val="00144053"/>
    <w:rsid w:val="001441E2"/>
    <w:rsid w:val="0014488C"/>
    <w:rsid w:val="001448BE"/>
    <w:rsid w:val="0014490A"/>
    <w:rsid w:val="00144915"/>
    <w:rsid w:val="00144E01"/>
    <w:rsid w:val="00144E8E"/>
    <w:rsid w:val="001452C0"/>
    <w:rsid w:val="0014542C"/>
    <w:rsid w:val="001454DC"/>
    <w:rsid w:val="0014591D"/>
    <w:rsid w:val="00145A77"/>
    <w:rsid w:val="00145DF7"/>
    <w:rsid w:val="00146421"/>
    <w:rsid w:val="001469F1"/>
    <w:rsid w:val="0014739B"/>
    <w:rsid w:val="001476A6"/>
    <w:rsid w:val="00147863"/>
    <w:rsid w:val="00147906"/>
    <w:rsid w:val="00147BA0"/>
    <w:rsid w:val="00147C2C"/>
    <w:rsid w:val="00147D0B"/>
    <w:rsid w:val="0015048D"/>
    <w:rsid w:val="00150664"/>
    <w:rsid w:val="00150D08"/>
    <w:rsid w:val="00150E89"/>
    <w:rsid w:val="001511D0"/>
    <w:rsid w:val="00151EE3"/>
    <w:rsid w:val="00152696"/>
    <w:rsid w:val="00152ABF"/>
    <w:rsid w:val="00153264"/>
    <w:rsid w:val="00153ADB"/>
    <w:rsid w:val="00153FDC"/>
    <w:rsid w:val="00153FE5"/>
    <w:rsid w:val="00154989"/>
    <w:rsid w:val="00155439"/>
    <w:rsid w:val="0015546F"/>
    <w:rsid w:val="0015553B"/>
    <w:rsid w:val="001557F8"/>
    <w:rsid w:val="0015580C"/>
    <w:rsid w:val="00155B8A"/>
    <w:rsid w:val="00155E42"/>
    <w:rsid w:val="00155EF9"/>
    <w:rsid w:val="00155FEC"/>
    <w:rsid w:val="00156383"/>
    <w:rsid w:val="001563E9"/>
    <w:rsid w:val="00156D74"/>
    <w:rsid w:val="00156F38"/>
    <w:rsid w:val="00157CA0"/>
    <w:rsid w:val="00160143"/>
    <w:rsid w:val="0016080F"/>
    <w:rsid w:val="0016081C"/>
    <w:rsid w:val="00160B19"/>
    <w:rsid w:val="00160FF5"/>
    <w:rsid w:val="001610B5"/>
    <w:rsid w:val="00161A74"/>
    <w:rsid w:val="00163258"/>
    <w:rsid w:val="0016343A"/>
    <w:rsid w:val="00163652"/>
    <w:rsid w:val="00163DB0"/>
    <w:rsid w:val="00163E58"/>
    <w:rsid w:val="00164563"/>
    <w:rsid w:val="00164611"/>
    <w:rsid w:val="00164656"/>
    <w:rsid w:val="0016489C"/>
    <w:rsid w:val="001648E1"/>
    <w:rsid w:val="00164D25"/>
    <w:rsid w:val="00164FFB"/>
    <w:rsid w:val="00166003"/>
    <w:rsid w:val="0016604D"/>
    <w:rsid w:val="0016667D"/>
    <w:rsid w:val="00166DFD"/>
    <w:rsid w:val="00167053"/>
    <w:rsid w:val="001677FF"/>
    <w:rsid w:val="00167F54"/>
    <w:rsid w:val="00170065"/>
    <w:rsid w:val="0017051C"/>
    <w:rsid w:val="001706DB"/>
    <w:rsid w:val="00170876"/>
    <w:rsid w:val="00170B14"/>
    <w:rsid w:val="00170E76"/>
    <w:rsid w:val="00171092"/>
    <w:rsid w:val="00171148"/>
    <w:rsid w:val="001711B5"/>
    <w:rsid w:val="00171202"/>
    <w:rsid w:val="001714AD"/>
    <w:rsid w:val="0017160B"/>
    <w:rsid w:val="001719F7"/>
    <w:rsid w:val="00171B9D"/>
    <w:rsid w:val="0017294E"/>
    <w:rsid w:val="00173035"/>
    <w:rsid w:val="001731CE"/>
    <w:rsid w:val="001736E6"/>
    <w:rsid w:val="00173713"/>
    <w:rsid w:val="00173C2E"/>
    <w:rsid w:val="0017419A"/>
    <w:rsid w:val="0017499A"/>
    <w:rsid w:val="00174A17"/>
    <w:rsid w:val="00174ABA"/>
    <w:rsid w:val="00174E4C"/>
    <w:rsid w:val="00175A72"/>
    <w:rsid w:val="00175D37"/>
    <w:rsid w:val="00180527"/>
    <w:rsid w:val="00180898"/>
    <w:rsid w:val="001810A2"/>
    <w:rsid w:val="0018151B"/>
    <w:rsid w:val="00181535"/>
    <w:rsid w:val="001817B4"/>
    <w:rsid w:val="001819C2"/>
    <w:rsid w:val="00181EEC"/>
    <w:rsid w:val="00182266"/>
    <w:rsid w:val="00182978"/>
    <w:rsid w:val="00182C4B"/>
    <w:rsid w:val="001837B7"/>
    <w:rsid w:val="001837CF"/>
    <w:rsid w:val="0018434A"/>
    <w:rsid w:val="00184440"/>
    <w:rsid w:val="00184C6A"/>
    <w:rsid w:val="00184F85"/>
    <w:rsid w:val="001856D3"/>
    <w:rsid w:val="00185919"/>
    <w:rsid w:val="00185F16"/>
    <w:rsid w:val="00186231"/>
    <w:rsid w:val="001863B7"/>
    <w:rsid w:val="001863BE"/>
    <w:rsid w:val="00186C19"/>
    <w:rsid w:val="0018773D"/>
    <w:rsid w:val="00187FFA"/>
    <w:rsid w:val="00190094"/>
    <w:rsid w:val="001900A9"/>
    <w:rsid w:val="0019064A"/>
    <w:rsid w:val="00190681"/>
    <w:rsid w:val="00190A28"/>
    <w:rsid w:val="00190DC7"/>
    <w:rsid w:val="001919C0"/>
    <w:rsid w:val="00191F5E"/>
    <w:rsid w:val="00192273"/>
    <w:rsid w:val="00192556"/>
    <w:rsid w:val="001926D0"/>
    <w:rsid w:val="00192DAB"/>
    <w:rsid w:val="00192F0A"/>
    <w:rsid w:val="001930EB"/>
    <w:rsid w:val="001931AF"/>
    <w:rsid w:val="0019370E"/>
    <w:rsid w:val="001937B6"/>
    <w:rsid w:val="00193933"/>
    <w:rsid w:val="00193DF7"/>
    <w:rsid w:val="00193E42"/>
    <w:rsid w:val="0019441F"/>
    <w:rsid w:val="00194677"/>
    <w:rsid w:val="001948F8"/>
    <w:rsid w:val="00194AA1"/>
    <w:rsid w:val="001956EF"/>
    <w:rsid w:val="00195A3D"/>
    <w:rsid w:val="001966FF"/>
    <w:rsid w:val="00196B12"/>
    <w:rsid w:val="00196C3A"/>
    <w:rsid w:val="001970ED"/>
    <w:rsid w:val="00197209"/>
    <w:rsid w:val="00197EB2"/>
    <w:rsid w:val="001A0983"/>
    <w:rsid w:val="001A0A2A"/>
    <w:rsid w:val="001A0DF1"/>
    <w:rsid w:val="001A1889"/>
    <w:rsid w:val="001A1C74"/>
    <w:rsid w:val="001A1FFD"/>
    <w:rsid w:val="001A2681"/>
    <w:rsid w:val="001A2AC8"/>
    <w:rsid w:val="001A2F16"/>
    <w:rsid w:val="001A31AF"/>
    <w:rsid w:val="001A4775"/>
    <w:rsid w:val="001A5647"/>
    <w:rsid w:val="001A59CC"/>
    <w:rsid w:val="001A5C84"/>
    <w:rsid w:val="001A6343"/>
    <w:rsid w:val="001A6350"/>
    <w:rsid w:val="001A64A8"/>
    <w:rsid w:val="001A68CA"/>
    <w:rsid w:val="001A6922"/>
    <w:rsid w:val="001A6EA1"/>
    <w:rsid w:val="001A7A4D"/>
    <w:rsid w:val="001B033C"/>
    <w:rsid w:val="001B04C3"/>
    <w:rsid w:val="001B06D4"/>
    <w:rsid w:val="001B09F4"/>
    <w:rsid w:val="001B13A2"/>
    <w:rsid w:val="001B141C"/>
    <w:rsid w:val="001B17BE"/>
    <w:rsid w:val="001B1B7E"/>
    <w:rsid w:val="001B1DB6"/>
    <w:rsid w:val="001B2171"/>
    <w:rsid w:val="001B241A"/>
    <w:rsid w:val="001B26F2"/>
    <w:rsid w:val="001B29F1"/>
    <w:rsid w:val="001B2B55"/>
    <w:rsid w:val="001B2C2B"/>
    <w:rsid w:val="001B3EFB"/>
    <w:rsid w:val="001B4042"/>
    <w:rsid w:val="001B419F"/>
    <w:rsid w:val="001B4287"/>
    <w:rsid w:val="001B4761"/>
    <w:rsid w:val="001B498D"/>
    <w:rsid w:val="001B4B42"/>
    <w:rsid w:val="001B554B"/>
    <w:rsid w:val="001B5834"/>
    <w:rsid w:val="001B59C8"/>
    <w:rsid w:val="001B5B0E"/>
    <w:rsid w:val="001B6106"/>
    <w:rsid w:val="001B630B"/>
    <w:rsid w:val="001B6AE7"/>
    <w:rsid w:val="001B6B13"/>
    <w:rsid w:val="001B7656"/>
    <w:rsid w:val="001C01A1"/>
    <w:rsid w:val="001C048D"/>
    <w:rsid w:val="001C0491"/>
    <w:rsid w:val="001C06FD"/>
    <w:rsid w:val="001C10F8"/>
    <w:rsid w:val="001C10FB"/>
    <w:rsid w:val="001C11F4"/>
    <w:rsid w:val="001C12CC"/>
    <w:rsid w:val="001C1604"/>
    <w:rsid w:val="001C1E85"/>
    <w:rsid w:val="001C1EAA"/>
    <w:rsid w:val="001C225A"/>
    <w:rsid w:val="001C28FE"/>
    <w:rsid w:val="001C3537"/>
    <w:rsid w:val="001C3A7C"/>
    <w:rsid w:val="001C4CA5"/>
    <w:rsid w:val="001C5472"/>
    <w:rsid w:val="001C54B2"/>
    <w:rsid w:val="001C56D4"/>
    <w:rsid w:val="001C62F6"/>
    <w:rsid w:val="001C6673"/>
    <w:rsid w:val="001C66AF"/>
    <w:rsid w:val="001C6880"/>
    <w:rsid w:val="001C6BD3"/>
    <w:rsid w:val="001C6D5E"/>
    <w:rsid w:val="001C6F59"/>
    <w:rsid w:val="001C7A7C"/>
    <w:rsid w:val="001C7C5B"/>
    <w:rsid w:val="001C7E7C"/>
    <w:rsid w:val="001C7EFC"/>
    <w:rsid w:val="001D00E2"/>
    <w:rsid w:val="001D0232"/>
    <w:rsid w:val="001D0555"/>
    <w:rsid w:val="001D080D"/>
    <w:rsid w:val="001D0A76"/>
    <w:rsid w:val="001D1268"/>
    <w:rsid w:val="001D13E6"/>
    <w:rsid w:val="001D23C7"/>
    <w:rsid w:val="001D2D99"/>
    <w:rsid w:val="001D318D"/>
    <w:rsid w:val="001D3310"/>
    <w:rsid w:val="001D335E"/>
    <w:rsid w:val="001D3834"/>
    <w:rsid w:val="001D3A91"/>
    <w:rsid w:val="001D3C38"/>
    <w:rsid w:val="001D3CC6"/>
    <w:rsid w:val="001D439A"/>
    <w:rsid w:val="001D45F6"/>
    <w:rsid w:val="001D4769"/>
    <w:rsid w:val="001D5152"/>
    <w:rsid w:val="001D5CF1"/>
    <w:rsid w:val="001D5FB5"/>
    <w:rsid w:val="001D5FD0"/>
    <w:rsid w:val="001D608D"/>
    <w:rsid w:val="001D612D"/>
    <w:rsid w:val="001D63FB"/>
    <w:rsid w:val="001D647A"/>
    <w:rsid w:val="001D661D"/>
    <w:rsid w:val="001D664A"/>
    <w:rsid w:val="001D66D1"/>
    <w:rsid w:val="001D66FD"/>
    <w:rsid w:val="001D6B68"/>
    <w:rsid w:val="001D6F76"/>
    <w:rsid w:val="001D71EC"/>
    <w:rsid w:val="001D7BF7"/>
    <w:rsid w:val="001E00CF"/>
    <w:rsid w:val="001E0387"/>
    <w:rsid w:val="001E0432"/>
    <w:rsid w:val="001E0719"/>
    <w:rsid w:val="001E07B9"/>
    <w:rsid w:val="001E15A7"/>
    <w:rsid w:val="001E2055"/>
    <w:rsid w:val="001E3206"/>
    <w:rsid w:val="001E3682"/>
    <w:rsid w:val="001E3A23"/>
    <w:rsid w:val="001E3AD3"/>
    <w:rsid w:val="001E447A"/>
    <w:rsid w:val="001E45D5"/>
    <w:rsid w:val="001E4A32"/>
    <w:rsid w:val="001E4CEA"/>
    <w:rsid w:val="001E5575"/>
    <w:rsid w:val="001E5590"/>
    <w:rsid w:val="001E5A78"/>
    <w:rsid w:val="001E5C0D"/>
    <w:rsid w:val="001E5E41"/>
    <w:rsid w:val="001E66DE"/>
    <w:rsid w:val="001E686F"/>
    <w:rsid w:val="001E6F77"/>
    <w:rsid w:val="001E6FB6"/>
    <w:rsid w:val="001E71BE"/>
    <w:rsid w:val="001E731E"/>
    <w:rsid w:val="001E742F"/>
    <w:rsid w:val="001E748B"/>
    <w:rsid w:val="001E788E"/>
    <w:rsid w:val="001E7944"/>
    <w:rsid w:val="001E7B37"/>
    <w:rsid w:val="001E7ED0"/>
    <w:rsid w:val="001E7F0E"/>
    <w:rsid w:val="001F0048"/>
    <w:rsid w:val="001F0087"/>
    <w:rsid w:val="001F0975"/>
    <w:rsid w:val="001F0CC2"/>
    <w:rsid w:val="001F117E"/>
    <w:rsid w:val="001F19D9"/>
    <w:rsid w:val="001F1BA5"/>
    <w:rsid w:val="001F1CB3"/>
    <w:rsid w:val="001F1E95"/>
    <w:rsid w:val="001F221D"/>
    <w:rsid w:val="001F28BD"/>
    <w:rsid w:val="001F2B4B"/>
    <w:rsid w:val="001F3011"/>
    <w:rsid w:val="001F3479"/>
    <w:rsid w:val="001F3F84"/>
    <w:rsid w:val="001F42C8"/>
    <w:rsid w:val="001F4353"/>
    <w:rsid w:val="001F4417"/>
    <w:rsid w:val="001F44B8"/>
    <w:rsid w:val="001F4CEF"/>
    <w:rsid w:val="001F50B7"/>
    <w:rsid w:val="001F5806"/>
    <w:rsid w:val="001F5D39"/>
    <w:rsid w:val="001F63EC"/>
    <w:rsid w:val="001F65A7"/>
    <w:rsid w:val="001F664D"/>
    <w:rsid w:val="001F6700"/>
    <w:rsid w:val="001F67EE"/>
    <w:rsid w:val="001F70D0"/>
    <w:rsid w:val="001F714D"/>
    <w:rsid w:val="001F7440"/>
    <w:rsid w:val="001F752C"/>
    <w:rsid w:val="001F75D0"/>
    <w:rsid w:val="001F7A18"/>
    <w:rsid w:val="001F7E28"/>
    <w:rsid w:val="001F7F27"/>
    <w:rsid w:val="002001F2"/>
    <w:rsid w:val="00200A2F"/>
    <w:rsid w:val="00200A7F"/>
    <w:rsid w:val="00200B6E"/>
    <w:rsid w:val="00201690"/>
    <w:rsid w:val="00201820"/>
    <w:rsid w:val="00201A97"/>
    <w:rsid w:val="00202015"/>
    <w:rsid w:val="00202291"/>
    <w:rsid w:val="002029A9"/>
    <w:rsid w:val="00203039"/>
    <w:rsid w:val="002034E7"/>
    <w:rsid w:val="002036BB"/>
    <w:rsid w:val="0020389B"/>
    <w:rsid w:val="00203FA5"/>
    <w:rsid w:val="00204542"/>
    <w:rsid w:val="00204690"/>
    <w:rsid w:val="00204962"/>
    <w:rsid w:val="00204AA1"/>
    <w:rsid w:val="00204BD7"/>
    <w:rsid w:val="00204C14"/>
    <w:rsid w:val="00204F65"/>
    <w:rsid w:val="002051E4"/>
    <w:rsid w:val="0020583C"/>
    <w:rsid w:val="00205963"/>
    <w:rsid w:val="00205D2C"/>
    <w:rsid w:val="00205E84"/>
    <w:rsid w:val="00206542"/>
    <w:rsid w:val="00206D66"/>
    <w:rsid w:val="00206E1F"/>
    <w:rsid w:val="00207BDB"/>
    <w:rsid w:val="00207D55"/>
    <w:rsid w:val="00210C34"/>
    <w:rsid w:val="00210CBA"/>
    <w:rsid w:val="00210E4B"/>
    <w:rsid w:val="0021106F"/>
    <w:rsid w:val="00211079"/>
    <w:rsid w:val="002114F4"/>
    <w:rsid w:val="002116B7"/>
    <w:rsid w:val="002117E1"/>
    <w:rsid w:val="00211B43"/>
    <w:rsid w:val="00211EE4"/>
    <w:rsid w:val="00211F61"/>
    <w:rsid w:val="00212147"/>
    <w:rsid w:val="0021234C"/>
    <w:rsid w:val="0021239A"/>
    <w:rsid w:val="002126B3"/>
    <w:rsid w:val="00212843"/>
    <w:rsid w:val="002129A1"/>
    <w:rsid w:val="002130FB"/>
    <w:rsid w:val="002132A7"/>
    <w:rsid w:val="0021331F"/>
    <w:rsid w:val="00213743"/>
    <w:rsid w:val="00213DD2"/>
    <w:rsid w:val="002141FB"/>
    <w:rsid w:val="0021476C"/>
    <w:rsid w:val="002155DD"/>
    <w:rsid w:val="00216016"/>
    <w:rsid w:val="00216096"/>
    <w:rsid w:val="002162E8"/>
    <w:rsid w:val="002167E9"/>
    <w:rsid w:val="002175A1"/>
    <w:rsid w:val="002176CF"/>
    <w:rsid w:val="0021A752"/>
    <w:rsid w:val="002200A1"/>
    <w:rsid w:val="00220142"/>
    <w:rsid w:val="002207B4"/>
    <w:rsid w:val="00220AE0"/>
    <w:rsid w:val="00220C88"/>
    <w:rsid w:val="00221063"/>
    <w:rsid w:val="00221934"/>
    <w:rsid w:val="002219E8"/>
    <w:rsid w:val="00222333"/>
    <w:rsid w:val="00222721"/>
    <w:rsid w:val="00222760"/>
    <w:rsid w:val="00222863"/>
    <w:rsid w:val="00223169"/>
    <w:rsid w:val="0022483C"/>
    <w:rsid w:val="00224C3D"/>
    <w:rsid w:val="00224E2C"/>
    <w:rsid w:val="00224EFB"/>
    <w:rsid w:val="002250E6"/>
    <w:rsid w:val="002260C8"/>
    <w:rsid w:val="0022676F"/>
    <w:rsid w:val="00226A6A"/>
    <w:rsid w:val="00226EA4"/>
    <w:rsid w:val="00226ECF"/>
    <w:rsid w:val="00227183"/>
    <w:rsid w:val="002272EA"/>
    <w:rsid w:val="0022759E"/>
    <w:rsid w:val="00227B73"/>
    <w:rsid w:val="00227F93"/>
    <w:rsid w:val="002301FB"/>
    <w:rsid w:val="002302AC"/>
    <w:rsid w:val="00230DCE"/>
    <w:rsid w:val="00231108"/>
    <w:rsid w:val="00231237"/>
    <w:rsid w:val="00231391"/>
    <w:rsid w:val="00231BD5"/>
    <w:rsid w:val="00231D05"/>
    <w:rsid w:val="00231D5D"/>
    <w:rsid w:val="00231EF3"/>
    <w:rsid w:val="00232330"/>
    <w:rsid w:val="002328A8"/>
    <w:rsid w:val="00233369"/>
    <w:rsid w:val="002336EC"/>
    <w:rsid w:val="002337F8"/>
    <w:rsid w:val="002339FC"/>
    <w:rsid w:val="00234805"/>
    <w:rsid w:val="00234A59"/>
    <w:rsid w:val="00234AF4"/>
    <w:rsid w:val="00234CDF"/>
    <w:rsid w:val="0023532A"/>
    <w:rsid w:val="0023544D"/>
    <w:rsid w:val="002356A3"/>
    <w:rsid w:val="00235709"/>
    <w:rsid w:val="00235AEE"/>
    <w:rsid w:val="00235BC0"/>
    <w:rsid w:val="00235E77"/>
    <w:rsid w:val="0023652A"/>
    <w:rsid w:val="0023674F"/>
    <w:rsid w:val="002368E3"/>
    <w:rsid w:val="00236FF9"/>
    <w:rsid w:val="00237158"/>
    <w:rsid w:val="0023794E"/>
    <w:rsid w:val="00237A40"/>
    <w:rsid w:val="00237E41"/>
    <w:rsid w:val="002401B2"/>
    <w:rsid w:val="002405CB"/>
    <w:rsid w:val="00240A07"/>
    <w:rsid w:val="00240F1A"/>
    <w:rsid w:val="00240F9E"/>
    <w:rsid w:val="0024166A"/>
    <w:rsid w:val="00241938"/>
    <w:rsid w:val="00241A6E"/>
    <w:rsid w:val="00241C1B"/>
    <w:rsid w:val="00241CA3"/>
    <w:rsid w:val="00241D50"/>
    <w:rsid w:val="00241D98"/>
    <w:rsid w:val="002423D0"/>
    <w:rsid w:val="00242F6C"/>
    <w:rsid w:val="0024320A"/>
    <w:rsid w:val="0024337E"/>
    <w:rsid w:val="002438DF"/>
    <w:rsid w:val="00243B15"/>
    <w:rsid w:val="00243CB3"/>
    <w:rsid w:val="00243DF5"/>
    <w:rsid w:val="00243FED"/>
    <w:rsid w:val="002442ED"/>
    <w:rsid w:val="0024438F"/>
    <w:rsid w:val="00245641"/>
    <w:rsid w:val="00245908"/>
    <w:rsid w:val="00245A45"/>
    <w:rsid w:val="002462AB"/>
    <w:rsid w:val="00247866"/>
    <w:rsid w:val="00247960"/>
    <w:rsid w:val="00250335"/>
    <w:rsid w:val="00250681"/>
    <w:rsid w:val="00250D78"/>
    <w:rsid w:val="002515A3"/>
    <w:rsid w:val="00251684"/>
    <w:rsid w:val="00251972"/>
    <w:rsid w:val="00252795"/>
    <w:rsid w:val="00252CFE"/>
    <w:rsid w:val="00252F06"/>
    <w:rsid w:val="00252F27"/>
    <w:rsid w:val="00252F84"/>
    <w:rsid w:val="00253C24"/>
    <w:rsid w:val="002540A1"/>
    <w:rsid w:val="002541A5"/>
    <w:rsid w:val="00254265"/>
    <w:rsid w:val="00254742"/>
    <w:rsid w:val="002547F5"/>
    <w:rsid w:val="00254850"/>
    <w:rsid w:val="002548DC"/>
    <w:rsid w:val="00254CFA"/>
    <w:rsid w:val="00255452"/>
    <w:rsid w:val="0025589A"/>
    <w:rsid w:val="00255CAF"/>
    <w:rsid w:val="00255D57"/>
    <w:rsid w:val="00256955"/>
    <w:rsid w:val="00256DF9"/>
    <w:rsid w:val="00257092"/>
    <w:rsid w:val="00257157"/>
    <w:rsid w:val="00257332"/>
    <w:rsid w:val="002575D7"/>
    <w:rsid w:val="00257614"/>
    <w:rsid w:val="00257B29"/>
    <w:rsid w:val="00257ECF"/>
    <w:rsid w:val="00260D0C"/>
    <w:rsid w:val="00261147"/>
    <w:rsid w:val="0026149D"/>
    <w:rsid w:val="00261972"/>
    <w:rsid w:val="00261A3B"/>
    <w:rsid w:val="00262A5E"/>
    <w:rsid w:val="00262DFE"/>
    <w:rsid w:val="00262FB2"/>
    <w:rsid w:val="002636A2"/>
    <w:rsid w:val="002638B2"/>
    <w:rsid w:val="00264105"/>
    <w:rsid w:val="0026432E"/>
    <w:rsid w:val="00264A60"/>
    <w:rsid w:val="00264EC0"/>
    <w:rsid w:val="0026572B"/>
    <w:rsid w:val="002657F1"/>
    <w:rsid w:val="00265DDA"/>
    <w:rsid w:val="00265EF1"/>
    <w:rsid w:val="0026610B"/>
    <w:rsid w:val="00266DEE"/>
    <w:rsid w:val="00266F99"/>
    <w:rsid w:val="00267071"/>
    <w:rsid w:val="00267BBA"/>
    <w:rsid w:val="002703F1"/>
    <w:rsid w:val="0027041F"/>
    <w:rsid w:val="00270F37"/>
    <w:rsid w:val="00271B1D"/>
    <w:rsid w:val="002725E0"/>
    <w:rsid w:val="0027262C"/>
    <w:rsid w:val="00272965"/>
    <w:rsid w:val="00272BFB"/>
    <w:rsid w:val="00272D56"/>
    <w:rsid w:val="00272F40"/>
    <w:rsid w:val="002734CB"/>
    <w:rsid w:val="0027360A"/>
    <w:rsid w:val="00273736"/>
    <w:rsid w:val="00273C05"/>
    <w:rsid w:val="002741B5"/>
    <w:rsid w:val="0027472B"/>
    <w:rsid w:val="00274C26"/>
    <w:rsid w:val="0027532D"/>
    <w:rsid w:val="00275720"/>
    <w:rsid w:val="00275DB4"/>
    <w:rsid w:val="00275F3B"/>
    <w:rsid w:val="002765AD"/>
    <w:rsid w:val="00276A99"/>
    <w:rsid w:val="00276CE3"/>
    <w:rsid w:val="00277BCE"/>
    <w:rsid w:val="00277F1A"/>
    <w:rsid w:val="0028011D"/>
    <w:rsid w:val="00280848"/>
    <w:rsid w:val="0028147A"/>
    <w:rsid w:val="0028147F"/>
    <w:rsid w:val="00281B9B"/>
    <w:rsid w:val="0028270F"/>
    <w:rsid w:val="0028273C"/>
    <w:rsid w:val="00282E3D"/>
    <w:rsid w:val="00282F27"/>
    <w:rsid w:val="0028321C"/>
    <w:rsid w:val="00283B76"/>
    <w:rsid w:val="00283CD2"/>
    <w:rsid w:val="0028413A"/>
    <w:rsid w:val="00284759"/>
    <w:rsid w:val="00284D70"/>
    <w:rsid w:val="00284DF6"/>
    <w:rsid w:val="00284E13"/>
    <w:rsid w:val="00284FC9"/>
    <w:rsid w:val="00285614"/>
    <w:rsid w:val="00285D0E"/>
    <w:rsid w:val="0028609E"/>
    <w:rsid w:val="00286979"/>
    <w:rsid w:val="00287554"/>
    <w:rsid w:val="00287B06"/>
    <w:rsid w:val="00287B32"/>
    <w:rsid w:val="00287B9C"/>
    <w:rsid w:val="00287BD3"/>
    <w:rsid w:val="00287E0E"/>
    <w:rsid w:val="00290688"/>
    <w:rsid w:val="00290719"/>
    <w:rsid w:val="00291615"/>
    <w:rsid w:val="00291655"/>
    <w:rsid w:val="00291B1C"/>
    <w:rsid w:val="00291E93"/>
    <w:rsid w:val="00291F7A"/>
    <w:rsid w:val="002924FF"/>
    <w:rsid w:val="002925C5"/>
    <w:rsid w:val="0029263E"/>
    <w:rsid w:val="002927D5"/>
    <w:rsid w:val="002931FB"/>
    <w:rsid w:val="00293BC4"/>
    <w:rsid w:val="00293CA2"/>
    <w:rsid w:val="002949DB"/>
    <w:rsid w:val="00294CEF"/>
    <w:rsid w:val="00295541"/>
    <w:rsid w:val="00295E10"/>
    <w:rsid w:val="00295FE0"/>
    <w:rsid w:val="0029602C"/>
    <w:rsid w:val="002964CD"/>
    <w:rsid w:val="00296643"/>
    <w:rsid w:val="00296ACF"/>
    <w:rsid w:val="00296B38"/>
    <w:rsid w:val="00296CED"/>
    <w:rsid w:val="00296D61"/>
    <w:rsid w:val="00296D7E"/>
    <w:rsid w:val="002973F8"/>
    <w:rsid w:val="00297472"/>
    <w:rsid w:val="002977A1"/>
    <w:rsid w:val="00297B89"/>
    <w:rsid w:val="00297EA7"/>
    <w:rsid w:val="002A00FB"/>
    <w:rsid w:val="002A010B"/>
    <w:rsid w:val="002A0216"/>
    <w:rsid w:val="002A05EB"/>
    <w:rsid w:val="002A0D2D"/>
    <w:rsid w:val="002A1353"/>
    <w:rsid w:val="002A17FD"/>
    <w:rsid w:val="002A1BFD"/>
    <w:rsid w:val="002A1C79"/>
    <w:rsid w:val="002A2737"/>
    <w:rsid w:val="002A2784"/>
    <w:rsid w:val="002A2ED8"/>
    <w:rsid w:val="002A2F1F"/>
    <w:rsid w:val="002A30C2"/>
    <w:rsid w:val="002A31BA"/>
    <w:rsid w:val="002A321C"/>
    <w:rsid w:val="002A36B5"/>
    <w:rsid w:val="002A383A"/>
    <w:rsid w:val="002A53D6"/>
    <w:rsid w:val="002A540F"/>
    <w:rsid w:val="002A5D79"/>
    <w:rsid w:val="002A5EB8"/>
    <w:rsid w:val="002A5F66"/>
    <w:rsid w:val="002A5F95"/>
    <w:rsid w:val="002A65A2"/>
    <w:rsid w:val="002A690A"/>
    <w:rsid w:val="002A69D4"/>
    <w:rsid w:val="002A6B09"/>
    <w:rsid w:val="002A7C52"/>
    <w:rsid w:val="002B01B4"/>
    <w:rsid w:val="002B0692"/>
    <w:rsid w:val="002B0841"/>
    <w:rsid w:val="002B0AB1"/>
    <w:rsid w:val="002B0DD5"/>
    <w:rsid w:val="002B0EA7"/>
    <w:rsid w:val="002B1080"/>
    <w:rsid w:val="002B1214"/>
    <w:rsid w:val="002B153F"/>
    <w:rsid w:val="002B1BA1"/>
    <w:rsid w:val="002B2171"/>
    <w:rsid w:val="002B220A"/>
    <w:rsid w:val="002B25F0"/>
    <w:rsid w:val="002B2A93"/>
    <w:rsid w:val="002B2C7E"/>
    <w:rsid w:val="002B2CC2"/>
    <w:rsid w:val="002B33BE"/>
    <w:rsid w:val="002B34DA"/>
    <w:rsid w:val="002B36DB"/>
    <w:rsid w:val="002B374A"/>
    <w:rsid w:val="002B3832"/>
    <w:rsid w:val="002B39CB"/>
    <w:rsid w:val="002B4451"/>
    <w:rsid w:val="002B4CD5"/>
    <w:rsid w:val="002B4F59"/>
    <w:rsid w:val="002B4FBE"/>
    <w:rsid w:val="002B5205"/>
    <w:rsid w:val="002B5559"/>
    <w:rsid w:val="002B56DA"/>
    <w:rsid w:val="002B5889"/>
    <w:rsid w:val="002B5ADE"/>
    <w:rsid w:val="002B5C2A"/>
    <w:rsid w:val="002B5D38"/>
    <w:rsid w:val="002B5E92"/>
    <w:rsid w:val="002B5F86"/>
    <w:rsid w:val="002B6BA0"/>
    <w:rsid w:val="002B7008"/>
    <w:rsid w:val="002B7750"/>
    <w:rsid w:val="002B79ED"/>
    <w:rsid w:val="002B7D96"/>
    <w:rsid w:val="002B7E36"/>
    <w:rsid w:val="002C0067"/>
    <w:rsid w:val="002C0336"/>
    <w:rsid w:val="002C04D4"/>
    <w:rsid w:val="002C0D5D"/>
    <w:rsid w:val="002C125E"/>
    <w:rsid w:val="002C1804"/>
    <w:rsid w:val="002C198F"/>
    <w:rsid w:val="002C20A1"/>
    <w:rsid w:val="002C2151"/>
    <w:rsid w:val="002C2306"/>
    <w:rsid w:val="002C25C2"/>
    <w:rsid w:val="002C2B51"/>
    <w:rsid w:val="002C322F"/>
    <w:rsid w:val="002C335C"/>
    <w:rsid w:val="002C3499"/>
    <w:rsid w:val="002C3649"/>
    <w:rsid w:val="002C3703"/>
    <w:rsid w:val="002C390D"/>
    <w:rsid w:val="002C3AE4"/>
    <w:rsid w:val="002C3C20"/>
    <w:rsid w:val="002C3FD1"/>
    <w:rsid w:val="002C419C"/>
    <w:rsid w:val="002C4388"/>
    <w:rsid w:val="002C4947"/>
    <w:rsid w:val="002C4C53"/>
    <w:rsid w:val="002C4CED"/>
    <w:rsid w:val="002C4F4F"/>
    <w:rsid w:val="002C5246"/>
    <w:rsid w:val="002C5769"/>
    <w:rsid w:val="002C5842"/>
    <w:rsid w:val="002C5C39"/>
    <w:rsid w:val="002C5E4E"/>
    <w:rsid w:val="002C6A80"/>
    <w:rsid w:val="002C6F09"/>
    <w:rsid w:val="002C7935"/>
    <w:rsid w:val="002D04D5"/>
    <w:rsid w:val="002D0574"/>
    <w:rsid w:val="002D06A3"/>
    <w:rsid w:val="002D0778"/>
    <w:rsid w:val="002D107C"/>
    <w:rsid w:val="002D117A"/>
    <w:rsid w:val="002D15CF"/>
    <w:rsid w:val="002D1BA0"/>
    <w:rsid w:val="002D2823"/>
    <w:rsid w:val="002D2E3D"/>
    <w:rsid w:val="002D3836"/>
    <w:rsid w:val="002D3AB4"/>
    <w:rsid w:val="002D4078"/>
    <w:rsid w:val="002D46BC"/>
    <w:rsid w:val="002D46E6"/>
    <w:rsid w:val="002D4BB0"/>
    <w:rsid w:val="002D4BE7"/>
    <w:rsid w:val="002D4EEF"/>
    <w:rsid w:val="002D51F7"/>
    <w:rsid w:val="002D552D"/>
    <w:rsid w:val="002D5943"/>
    <w:rsid w:val="002D5FF0"/>
    <w:rsid w:val="002D611A"/>
    <w:rsid w:val="002D6547"/>
    <w:rsid w:val="002D6792"/>
    <w:rsid w:val="002D721C"/>
    <w:rsid w:val="002D7284"/>
    <w:rsid w:val="002D747A"/>
    <w:rsid w:val="002D74F0"/>
    <w:rsid w:val="002D7599"/>
    <w:rsid w:val="002D7674"/>
    <w:rsid w:val="002D7843"/>
    <w:rsid w:val="002D7A6A"/>
    <w:rsid w:val="002D7AB1"/>
    <w:rsid w:val="002D7F29"/>
    <w:rsid w:val="002E06E0"/>
    <w:rsid w:val="002E0FD7"/>
    <w:rsid w:val="002E151F"/>
    <w:rsid w:val="002E1903"/>
    <w:rsid w:val="002E1B30"/>
    <w:rsid w:val="002E1CCB"/>
    <w:rsid w:val="002E252A"/>
    <w:rsid w:val="002E2638"/>
    <w:rsid w:val="002E271F"/>
    <w:rsid w:val="002E277C"/>
    <w:rsid w:val="002E2B0C"/>
    <w:rsid w:val="002E2D8C"/>
    <w:rsid w:val="002E3143"/>
    <w:rsid w:val="002E33B5"/>
    <w:rsid w:val="002E4695"/>
    <w:rsid w:val="002E46CE"/>
    <w:rsid w:val="002E54B6"/>
    <w:rsid w:val="002E5922"/>
    <w:rsid w:val="002E5FA7"/>
    <w:rsid w:val="002E6B9D"/>
    <w:rsid w:val="002E6FDA"/>
    <w:rsid w:val="002E79C5"/>
    <w:rsid w:val="002F068E"/>
    <w:rsid w:val="002F06AC"/>
    <w:rsid w:val="002F0FC8"/>
    <w:rsid w:val="002F119C"/>
    <w:rsid w:val="002F1416"/>
    <w:rsid w:val="002F1470"/>
    <w:rsid w:val="002F15E3"/>
    <w:rsid w:val="002F15F7"/>
    <w:rsid w:val="002F180A"/>
    <w:rsid w:val="002F187E"/>
    <w:rsid w:val="002F387E"/>
    <w:rsid w:val="002F395C"/>
    <w:rsid w:val="002F4252"/>
    <w:rsid w:val="002F4344"/>
    <w:rsid w:val="002F49EB"/>
    <w:rsid w:val="002F52F0"/>
    <w:rsid w:val="002F54A9"/>
    <w:rsid w:val="002F5E85"/>
    <w:rsid w:val="002F5FDD"/>
    <w:rsid w:val="002F66FA"/>
    <w:rsid w:val="002F6EAE"/>
    <w:rsid w:val="002F7DF5"/>
    <w:rsid w:val="00300324"/>
    <w:rsid w:val="00301577"/>
    <w:rsid w:val="00301702"/>
    <w:rsid w:val="0030186B"/>
    <w:rsid w:val="00301C19"/>
    <w:rsid w:val="00301D7E"/>
    <w:rsid w:val="00303221"/>
    <w:rsid w:val="00303556"/>
    <w:rsid w:val="00303CA4"/>
    <w:rsid w:val="00303D95"/>
    <w:rsid w:val="00304D29"/>
    <w:rsid w:val="00304E59"/>
    <w:rsid w:val="00304EC5"/>
    <w:rsid w:val="00304F3E"/>
    <w:rsid w:val="00305065"/>
    <w:rsid w:val="003051F2"/>
    <w:rsid w:val="0030523D"/>
    <w:rsid w:val="0030542E"/>
    <w:rsid w:val="00305C0B"/>
    <w:rsid w:val="00305D6D"/>
    <w:rsid w:val="00306009"/>
    <w:rsid w:val="0030641F"/>
    <w:rsid w:val="0030651E"/>
    <w:rsid w:val="003068A9"/>
    <w:rsid w:val="00306BA7"/>
    <w:rsid w:val="00306E74"/>
    <w:rsid w:val="00306EC2"/>
    <w:rsid w:val="00307202"/>
    <w:rsid w:val="003072A8"/>
    <w:rsid w:val="0030738A"/>
    <w:rsid w:val="0030738F"/>
    <w:rsid w:val="00307851"/>
    <w:rsid w:val="00307898"/>
    <w:rsid w:val="00307E28"/>
    <w:rsid w:val="00310112"/>
    <w:rsid w:val="0031015A"/>
    <w:rsid w:val="003102F6"/>
    <w:rsid w:val="00310678"/>
    <w:rsid w:val="003108B9"/>
    <w:rsid w:val="003109F6"/>
    <w:rsid w:val="00310F18"/>
    <w:rsid w:val="00311425"/>
    <w:rsid w:val="003118B2"/>
    <w:rsid w:val="00311A3F"/>
    <w:rsid w:val="00311BA0"/>
    <w:rsid w:val="00311F9A"/>
    <w:rsid w:val="00312558"/>
    <w:rsid w:val="003126AF"/>
    <w:rsid w:val="003128D1"/>
    <w:rsid w:val="003129E9"/>
    <w:rsid w:val="00312AF0"/>
    <w:rsid w:val="00312D5C"/>
    <w:rsid w:val="00313100"/>
    <w:rsid w:val="00313313"/>
    <w:rsid w:val="00313904"/>
    <w:rsid w:val="00313B00"/>
    <w:rsid w:val="00313E45"/>
    <w:rsid w:val="0031407E"/>
    <w:rsid w:val="00314732"/>
    <w:rsid w:val="00314B01"/>
    <w:rsid w:val="003157AD"/>
    <w:rsid w:val="003158F5"/>
    <w:rsid w:val="00315CE3"/>
    <w:rsid w:val="00315DD1"/>
    <w:rsid w:val="00316301"/>
    <w:rsid w:val="00316335"/>
    <w:rsid w:val="00316602"/>
    <w:rsid w:val="00316775"/>
    <w:rsid w:val="00317115"/>
    <w:rsid w:val="0031727C"/>
    <w:rsid w:val="0031759C"/>
    <w:rsid w:val="00317F18"/>
    <w:rsid w:val="00317FD4"/>
    <w:rsid w:val="003207CB"/>
    <w:rsid w:val="00320C2D"/>
    <w:rsid w:val="00321044"/>
    <w:rsid w:val="00321731"/>
    <w:rsid w:val="00321759"/>
    <w:rsid w:val="00321959"/>
    <w:rsid w:val="0032207F"/>
    <w:rsid w:val="00322F5E"/>
    <w:rsid w:val="0032352F"/>
    <w:rsid w:val="00323965"/>
    <w:rsid w:val="00323D82"/>
    <w:rsid w:val="00323E97"/>
    <w:rsid w:val="003242DD"/>
    <w:rsid w:val="003253B2"/>
    <w:rsid w:val="00325E1E"/>
    <w:rsid w:val="00325E2D"/>
    <w:rsid w:val="00325EB1"/>
    <w:rsid w:val="00325FEC"/>
    <w:rsid w:val="0032610D"/>
    <w:rsid w:val="00326261"/>
    <w:rsid w:val="0032670A"/>
    <w:rsid w:val="0032683D"/>
    <w:rsid w:val="00326D6C"/>
    <w:rsid w:val="00327B4A"/>
    <w:rsid w:val="003304B5"/>
    <w:rsid w:val="00330679"/>
    <w:rsid w:val="003306BA"/>
    <w:rsid w:val="003307A2"/>
    <w:rsid w:val="003309C2"/>
    <w:rsid w:val="00330BBF"/>
    <w:rsid w:val="00330EBD"/>
    <w:rsid w:val="0033159A"/>
    <w:rsid w:val="00331A7A"/>
    <w:rsid w:val="00331AD9"/>
    <w:rsid w:val="0033225F"/>
    <w:rsid w:val="00332982"/>
    <w:rsid w:val="00332A39"/>
    <w:rsid w:val="00332D91"/>
    <w:rsid w:val="0033334E"/>
    <w:rsid w:val="0033357B"/>
    <w:rsid w:val="003335B3"/>
    <w:rsid w:val="0033366B"/>
    <w:rsid w:val="00333A56"/>
    <w:rsid w:val="00333B08"/>
    <w:rsid w:val="00333B67"/>
    <w:rsid w:val="003346D0"/>
    <w:rsid w:val="0033491C"/>
    <w:rsid w:val="00335276"/>
    <w:rsid w:val="003353CC"/>
    <w:rsid w:val="003357B3"/>
    <w:rsid w:val="00337420"/>
    <w:rsid w:val="00337736"/>
    <w:rsid w:val="003408D2"/>
    <w:rsid w:val="00341093"/>
    <w:rsid w:val="003410B3"/>
    <w:rsid w:val="003410CD"/>
    <w:rsid w:val="00341E2B"/>
    <w:rsid w:val="00341E9E"/>
    <w:rsid w:val="00342173"/>
    <w:rsid w:val="0034224F"/>
    <w:rsid w:val="00342A1F"/>
    <w:rsid w:val="00343088"/>
    <w:rsid w:val="003430F2"/>
    <w:rsid w:val="00343186"/>
    <w:rsid w:val="003437C5"/>
    <w:rsid w:val="00343E4B"/>
    <w:rsid w:val="0034489D"/>
    <w:rsid w:val="00344FA4"/>
    <w:rsid w:val="003457F7"/>
    <w:rsid w:val="00345A94"/>
    <w:rsid w:val="00345DE3"/>
    <w:rsid w:val="0034618A"/>
    <w:rsid w:val="00346C6E"/>
    <w:rsid w:val="00346DFD"/>
    <w:rsid w:val="00347127"/>
    <w:rsid w:val="0034771E"/>
    <w:rsid w:val="0034786C"/>
    <w:rsid w:val="00347DA2"/>
    <w:rsid w:val="00347EF5"/>
    <w:rsid w:val="003503F3"/>
    <w:rsid w:val="00350F23"/>
    <w:rsid w:val="00351002"/>
    <w:rsid w:val="0035133A"/>
    <w:rsid w:val="003519FA"/>
    <w:rsid w:val="00351E5D"/>
    <w:rsid w:val="0035208D"/>
    <w:rsid w:val="003522E0"/>
    <w:rsid w:val="003528D8"/>
    <w:rsid w:val="00352931"/>
    <w:rsid w:val="003530A6"/>
    <w:rsid w:val="003530F3"/>
    <w:rsid w:val="00353171"/>
    <w:rsid w:val="003531EA"/>
    <w:rsid w:val="003531F1"/>
    <w:rsid w:val="0035353D"/>
    <w:rsid w:val="00353C66"/>
    <w:rsid w:val="00353C6F"/>
    <w:rsid w:val="00353EBD"/>
    <w:rsid w:val="00354177"/>
    <w:rsid w:val="003543CE"/>
    <w:rsid w:val="003550C8"/>
    <w:rsid w:val="0035591A"/>
    <w:rsid w:val="00355FE2"/>
    <w:rsid w:val="003561BA"/>
    <w:rsid w:val="00356234"/>
    <w:rsid w:val="003564BB"/>
    <w:rsid w:val="003564CA"/>
    <w:rsid w:val="00357703"/>
    <w:rsid w:val="00357749"/>
    <w:rsid w:val="00357796"/>
    <w:rsid w:val="00357B6B"/>
    <w:rsid w:val="00357EC5"/>
    <w:rsid w:val="00360075"/>
    <w:rsid w:val="00360093"/>
    <w:rsid w:val="00360216"/>
    <w:rsid w:val="00360404"/>
    <w:rsid w:val="003612A5"/>
    <w:rsid w:val="00361595"/>
    <w:rsid w:val="00361684"/>
    <w:rsid w:val="0036189D"/>
    <w:rsid w:val="00361A9B"/>
    <w:rsid w:val="00361B7C"/>
    <w:rsid w:val="00361BC8"/>
    <w:rsid w:val="0036235F"/>
    <w:rsid w:val="00363390"/>
    <w:rsid w:val="00363809"/>
    <w:rsid w:val="00364252"/>
    <w:rsid w:val="00364606"/>
    <w:rsid w:val="003648B6"/>
    <w:rsid w:val="00364907"/>
    <w:rsid w:val="00364B34"/>
    <w:rsid w:val="00364C4F"/>
    <w:rsid w:val="00365070"/>
    <w:rsid w:val="0036518A"/>
    <w:rsid w:val="003651C1"/>
    <w:rsid w:val="0036541E"/>
    <w:rsid w:val="003654B8"/>
    <w:rsid w:val="00365ECC"/>
    <w:rsid w:val="00365F07"/>
    <w:rsid w:val="00366155"/>
    <w:rsid w:val="00366955"/>
    <w:rsid w:val="00366A72"/>
    <w:rsid w:val="00366E15"/>
    <w:rsid w:val="00366F4E"/>
    <w:rsid w:val="003671A3"/>
    <w:rsid w:val="003673CE"/>
    <w:rsid w:val="003675FA"/>
    <w:rsid w:val="00367B56"/>
    <w:rsid w:val="00370276"/>
    <w:rsid w:val="003703D2"/>
    <w:rsid w:val="003709E7"/>
    <w:rsid w:val="00370A51"/>
    <w:rsid w:val="0037100F"/>
    <w:rsid w:val="003715F7"/>
    <w:rsid w:val="00371982"/>
    <w:rsid w:val="00371DB4"/>
    <w:rsid w:val="00371F9E"/>
    <w:rsid w:val="003722F0"/>
    <w:rsid w:val="003723C3"/>
    <w:rsid w:val="003723DB"/>
    <w:rsid w:val="003723E5"/>
    <w:rsid w:val="00372538"/>
    <w:rsid w:val="003727F4"/>
    <w:rsid w:val="00372E13"/>
    <w:rsid w:val="003731FC"/>
    <w:rsid w:val="00373378"/>
    <w:rsid w:val="00373792"/>
    <w:rsid w:val="003738F7"/>
    <w:rsid w:val="00373987"/>
    <w:rsid w:val="003740C8"/>
    <w:rsid w:val="00374186"/>
    <w:rsid w:val="003743BD"/>
    <w:rsid w:val="00374551"/>
    <w:rsid w:val="00374774"/>
    <w:rsid w:val="00374CAC"/>
    <w:rsid w:val="00374CF4"/>
    <w:rsid w:val="0037540F"/>
    <w:rsid w:val="00375472"/>
    <w:rsid w:val="003761F3"/>
    <w:rsid w:val="0037698C"/>
    <w:rsid w:val="00376DCA"/>
    <w:rsid w:val="0037710F"/>
    <w:rsid w:val="003779C0"/>
    <w:rsid w:val="0038022F"/>
    <w:rsid w:val="00380C60"/>
    <w:rsid w:val="0038176C"/>
    <w:rsid w:val="00381A7D"/>
    <w:rsid w:val="00381BA9"/>
    <w:rsid w:val="00381E70"/>
    <w:rsid w:val="00381FD3"/>
    <w:rsid w:val="00382692"/>
    <w:rsid w:val="0038272D"/>
    <w:rsid w:val="003827C6"/>
    <w:rsid w:val="003833A7"/>
    <w:rsid w:val="003833EE"/>
    <w:rsid w:val="003838AB"/>
    <w:rsid w:val="00383A22"/>
    <w:rsid w:val="00383C73"/>
    <w:rsid w:val="00383E79"/>
    <w:rsid w:val="0038426A"/>
    <w:rsid w:val="003844F0"/>
    <w:rsid w:val="003845E6"/>
    <w:rsid w:val="00384C2F"/>
    <w:rsid w:val="00384CB5"/>
    <w:rsid w:val="00384DC9"/>
    <w:rsid w:val="00385830"/>
    <w:rsid w:val="003858D6"/>
    <w:rsid w:val="003859DD"/>
    <w:rsid w:val="00385DE5"/>
    <w:rsid w:val="00386BCD"/>
    <w:rsid w:val="003872A1"/>
    <w:rsid w:val="00387800"/>
    <w:rsid w:val="0038783F"/>
    <w:rsid w:val="003878EA"/>
    <w:rsid w:val="00387B60"/>
    <w:rsid w:val="00390463"/>
    <w:rsid w:val="00390C5C"/>
    <w:rsid w:val="00390C9F"/>
    <w:rsid w:val="00390DE6"/>
    <w:rsid w:val="0039132F"/>
    <w:rsid w:val="003914A8"/>
    <w:rsid w:val="00391586"/>
    <w:rsid w:val="00391BCB"/>
    <w:rsid w:val="00391D8A"/>
    <w:rsid w:val="0039223B"/>
    <w:rsid w:val="0039236F"/>
    <w:rsid w:val="00392901"/>
    <w:rsid w:val="00392B2C"/>
    <w:rsid w:val="00393221"/>
    <w:rsid w:val="003936AB"/>
    <w:rsid w:val="003938E1"/>
    <w:rsid w:val="00393962"/>
    <w:rsid w:val="00393AA9"/>
    <w:rsid w:val="00393B1B"/>
    <w:rsid w:val="00393BBA"/>
    <w:rsid w:val="003943B2"/>
    <w:rsid w:val="003945EF"/>
    <w:rsid w:val="003946BA"/>
    <w:rsid w:val="0039471F"/>
    <w:rsid w:val="003949E7"/>
    <w:rsid w:val="00394A50"/>
    <w:rsid w:val="003954B1"/>
    <w:rsid w:val="003955CD"/>
    <w:rsid w:val="003959F1"/>
    <w:rsid w:val="003965E1"/>
    <w:rsid w:val="00396B54"/>
    <w:rsid w:val="00397066"/>
    <w:rsid w:val="00397068"/>
    <w:rsid w:val="003970ED"/>
    <w:rsid w:val="00397115"/>
    <w:rsid w:val="00397174"/>
    <w:rsid w:val="0039798D"/>
    <w:rsid w:val="00397E35"/>
    <w:rsid w:val="003A11E9"/>
    <w:rsid w:val="003A120B"/>
    <w:rsid w:val="003A193F"/>
    <w:rsid w:val="003A1BEC"/>
    <w:rsid w:val="003A1C9F"/>
    <w:rsid w:val="003A2142"/>
    <w:rsid w:val="003A2ED0"/>
    <w:rsid w:val="003A2FB0"/>
    <w:rsid w:val="003A36C4"/>
    <w:rsid w:val="003A37D3"/>
    <w:rsid w:val="003A3C78"/>
    <w:rsid w:val="003A3E5F"/>
    <w:rsid w:val="003A4A25"/>
    <w:rsid w:val="003A4C86"/>
    <w:rsid w:val="003A5668"/>
    <w:rsid w:val="003A5982"/>
    <w:rsid w:val="003A5C9C"/>
    <w:rsid w:val="003A5D14"/>
    <w:rsid w:val="003A5E03"/>
    <w:rsid w:val="003A6C0C"/>
    <w:rsid w:val="003A6CF4"/>
    <w:rsid w:val="003A6FD5"/>
    <w:rsid w:val="003A7517"/>
    <w:rsid w:val="003A7651"/>
    <w:rsid w:val="003A7670"/>
    <w:rsid w:val="003A7E83"/>
    <w:rsid w:val="003B03FD"/>
    <w:rsid w:val="003B0475"/>
    <w:rsid w:val="003B12BD"/>
    <w:rsid w:val="003B1303"/>
    <w:rsid w:val="003B15A3"/>
    <w:rsid w:val="003B1A81"/>
    <w:rsid w:val="003B2229"/>
    <w:rsid w:val="003B2418"/>
    <w:rsid w:val="003B25DD"/>
    <w:rsid w:val="003B27D0"/>
    <w:rsid w:val="003B2BAF"/>
    <w:rsid w:val="003B31F5"/>
    <w:rsid w:val="003B32B7"/>
    <w:rsid w:val="003B3AFD"/>
    <w:rsid w:val="003B4989"/>
    <w:rsid w:val="003B50E8"/>
    <w:rsid w:val="003B5297"/>
    <w:rsid w:val="003B5527"/>
    <w:rsid w:val="003B5804"/>
    <w:rsid w:val="003B6251"/>
    <w:rsid w:val="003B6495"/>
    <w:rsid w:val="003B6574"/>
    <w:rsid w:val="003B6A4B"/>
    <w:rsid w:val="003B7629"/>
    <w:rsid w:val="003B7765"/>
    <w:rsid w:val="003B78D8"/>
    <w:rsid w:val="003B7B69"/>
    <w:rsid w:val="003B7CE0"/>
    <w:rsid w:val="003C0260"/>
    <w:rsid w:val="003C0AED"/>
    <w:rsid w:val="003C126E"/>
    <w:rsid w:val="003C1813"/>
    <w:rsid w:val="003C197B"/>
    <w:rsid w:val="003C1BC3"/>
    <w:rsid w:val="003C1C21"/>
    <w:rsid w:val="003C20E0"/>
    <w:rsid w:val="003C2225"/>
    <w:rsid w:val="003C2787"/>
    <w:rsid w:val="003C2B20"/>
    <w:rsid w:val="003C34BA"/>
    <w:rsid w:val="003C3825"/>
    <w:rsid w:val="003C3900"/>
    <w:rsid w:val="003C3910"/>
    <w:rsid w:val="003C4460"/>
    <w:rsid w:val="003C4477"/>
    <w:rsid w:val="003C45A6"/>
    <w:rsid w:val="003C4DD9"/>
    <w:rsid w:val="003C4DED"/>
    <w:rsid w:val="003C4EBA"/>
    <w:rsid w:val="003C5316"/>
    <w:rsid w:val="003C5663"/>
    <w:rsid w:val="003C5684"/>
    <w:rsid w:val="003C5BA4"/>
    <w:rsid w:val="003C5C16"/>
    <w:rsid w:val="003C5C7F"/>
    <w:rsid w:val="003C5D47"/>
    <w:rsid w:val="003C5DE5"/>
    <w:rsid w:val="003C5FA0"/>
    <w:rsid w:val="003C6E4A"/>
    <w:rsid w:val="003C795C"/>
    <w:rsid w:val="003C7BD4"/>
    <w:rsid w:val="003D0CDF"/>
    <w:rsid w:val="003D0DA2"/>
    <w:rsid w:val="003D1C84"/>
    <w:rsid w:val="003D27C9"/>
    <w:rsid w:val="003D289B"/>
    <w:rsid w:val="003D29A1"/>
    <w:rsid w:val="003D2AD2"/>
    <w:rsid w:val="003D2CFF"/>
    <w:rsid w:val="003D2E57"/>
    <w:rsid w:val="003D340D"/>
    <w:rsid w:val="003D3C46"/>
    <w:rsid w:val="003D3E42"/>
    <w:rsid w:val="003D48E1"/>
    <w:rsid w:val="003D4E87"/>
    <w:rsid w:val="003D4F11"/>
    <w:rsid w:val="003D5233"/>
    <w:rsid w:val="003D52D0"/>
    <w:rsid w:val="003D594D"/>
    <w:rsid w:val="003D59A9"/>
    <w:rsid w:val="003D5E22"/>
    <w:rsid w:val="003D63B8"/>
    <w:rsid w:val="003D66A6"/>
    <w:rsid w:val="003D676D"/>
    <w:rsid w:val="003D6B34"/>
    <w:rsid w:val="003D6CDA"/>
    <w:rsid w:val="003D6E4F"/>
    <w:rsid w:val="003D6E9C"/>
    <w:rsid w:val="003D707C"/>
    <w:rsid w:val="003D7107"/>
    <w:rsid w:val="003D71E1"/>
    <w:rsid w:val="003D7916"/>
    <w:rsid w:val="003E075B"/>
    <w:rsid w:val="003E090D"/>
    <w:rsid w:val="003E0A56"/>
    <w:rsid w:val="003E2D6D"/>
    <w:rsid w:val="003E2DEB"/>
    <w:rsid w:val="003E2EAB"/>
    <w:rsid w:val="003E334D"/>
    <w:rsid w:val="003E3368"/>
    <w:rsid w:val="003E33AE"/>
    <w:rsid w:val="003E3425"/>
    <w:rsid w:val="003E3763"/>
    <w:rsid w:val="003E3D21"/>
    <w:rsid w:val="003E3E42"/>
    <w:rsid w:val="003E42D1"/>
    <w:rsid w:val="003E4B1F"/>
    <w:rsid w:val="003E500F"/>
    <w:rsid w:val="003E55A1"/>
    <w:rsid w:val="003E5CB2"/>
    <w:rsid w:val="003E638E"/>
    <w:rsid w:val="003E6597"/>
    <w:rsid w:val="003E661A"/>
    <w:rsid w:val="003E6A79"/>
    <w:rsid w:val="003E6E1B"/>
    <w:rsid w:val="003E6FFE"/>
    <w:rsid w:val="003E72C3"/>
    <w:rsid w:val="003E72E8"/>
    <w:rsid w:val="003E7993"/>
    <w:rsid w:val="003E7C79"/>
    <w:rsid w:val="003E7EAF"/>
    <w:rsid w:val="003F0372"/>
    <w:rsid w:val="003F03BF"/>
    <w:rsid w:val="003F05C9"/>
    <w:rsid w:val="003F088D"/>
    <w:rsid w:val="003F0FB6"/>
    <w:rsid w:val="003F198C"/>
    <w:rsid w:val="003F210E"/>
    <w:rsid w:val="003F2A72"/>
    <w:rsid w:val="003F2E23"/>
    <w:rsid w:val="003F2E38"/>
    <w:rsid w:val="003F37A1"/>
    <w:rsid w:val="003F4237"/>
    <w:rsid w:val="003F42F1"/>
    <w:rsid w:val="003F4525"/>
    <w:rsid w:val="003F4595"/>
    <w:rsid w:val="003F4945"/>
    <w:rsid w:val="003F4A8A"/>
    <w:rsid w:val="003F4C3F"/>
    <w:rsid w:val="003F4C75"/>
    <w:rsid w:val="0040014F"/>
    <w:rsid w:val="00400562"/>
    <w:rsid w:val="00400AC9"/>
    <w:rsid w:val="00400EFC"/>
    <w:rsid w:val="00400FCE"/>
    <w:rsid w:val="00401323"/>
    <w:rsid w:val="0040136C"/>
    <w:rsid w:val="004016F8"/>
    <w:rsid w:val="004019B0"/>
    <w:rsid w:val="00401A07"/>
    <w:rsid w:val="00403714"/>
    <w:rsid w:val="0040460D"/>
    <w:rsid w:val="0040472D"/>
    <w:rsid w:val="00404D35"/>
    <w:rsid w:val="00404D70"/>
    <w:rsid w:val="004063EF"/>
    <w:rsid w:val="00406465"/>
    <w:rsid w:val="00406BBE"/>
    <w:rsid w:val="00406C10"/>
    <w:rsid w:val="004071D8"/>
    <w:rsid w:val="004074C0"/>
    <w:rsid w:val="00407C2B"/>
    <w:rsid w:val="00410288"/>
    <w:rsid w:val="00410552"/>
    <w:rsid w:val="0041082D"/>
    <w:rsid w:val="00410C28"/>
    <w:rsid w:val="00410C66"/>
    <w:rsid w:val="00410F9B"/>
    <w:rsid w:val="0041118F"/>
    <w:rsid w:val="004115D9"/>
    <w:rsid w:val="00411DCB"/>
    <w:rsid w:val="00412A0F"/>
    <w:rsid w:val="00412B12"/>
    <w:rsid w:val="00412D07"/>
    <w:rsid w:val="0041314A"/>
    <w:rsid w:val="00413428"/>
    <w:rsid w:val="00413BE9"/>
    <w:rsid w:val="00414190"/>
    <w:rsid w:val="00414298"/>
    <w:rsid w:val="004146B2"/>
    <w:rsid w:val="00414D66"/>
    <w:rsid w:val="00414D94"/>
    <w:rsid w:val="00415060"/>
    <w:rsid w:val="004166FA"/>
    <w:rsid w:val="0041790B"/>
    <w:rsid w:val="00417F8B"/>
    <w:rsid w:val="00420347"/>
    <w:rsid w:val="00420B76"/>
    <w:rsid w:val="004214CC"/>
    <w:rsid w:val="00421AE8"/>
    <w:rsid w:val="00421C95"/>
    <w:rsid w:val="00421D42"/>
    <w:rsid w:val="00421D5E"/>
    <w:rsid w:val="0042252E"/>
    <w:rsid w:val="004228F4"/>
    <w:rsid w:val="004229F4"/>
    <w:rsid w:val="00423067"/>
    <w:rsid w:val="00423528"/>
    <w:rsid w:val="00423C14"/>
    <w:rsid w:val="00423F13"/>
    <w:rsid w:val="0042400B"/>
    <w:rsid w:val="00424194"/>
    <w:rsid w:val="00424354"/>
    <w:rsid w:val="00424378"/>
    <w:rsid w:val="004246BC"/>
    <w:rsid w:val="0042488E"/>
    <w:rsid w:val="00424BB2"/>
    <w:rsid w:val="00424EA9"/>
    <w:rsid w:val="00425377"/>
    <w:rsid w:val="004254EF"/>
    <w:rsid w:val="004255CC"/>
    <w:rsid w:val="00425A83"/>
    <w:rsid w:val="00425C55"/>
    <w:rsid w:val="00425CF6"/>
    <w:rsid w:val="004261B3"/>
    <w:rsid w:val="004265EB"/>
    <w:rsid w:val="004268A2"/>
    <w:rsid w:val="00427A07"/>
    <w:rsid w:val="00427F14"/>
    <w:rsid w:val="004303EE"/>
    <w:rsid w:val="00430701"/>
    <w:rsid w:val="004312E0"/>
    <w:rsid w:val="004316A5"/>
    <w:rsid w:val="004319BC"/>
    <w:rsid w:val="00431B4B"/>
    <w:rsid w:val="0043200C"/>
    <w:rsid w:val="004321FA"/>
    <w:rsid w:val="00432285"/>
    <w:rsid w:val="0043231A"/>
    <w:rsid w:val="004323DC"/>
    <w:rsid w:val="00432904"/>
    <w:rsid w:val="00432D90"/>
    <w:rsid w:val="004331B9"/>
    <w:rsid w:val="004333F5"/>
    <w:rsid w:val="00434A56"/>
    <w:rsid w:val="00434E47"/>
    <w:rsid w:val="00435824"/>
    <w:rsid w:val="00435D6C"/>
    <w:rsid w:val="0043626B"/>
    <w:rsid w:val="00436508"/>
    <w:rsid w:val="004365B8"/>
    <w:rsid w:val="004369FB"/>
    <w:rsid w:val="00437B55"/>
    <w:rsid w:val="00437B89"/>
    <w:rsid w:val="0044014A"/>
    <w:rsid w:val="00440609"/>
    <w:rsid w:val="00440898"/>
    <w:rsid w:val="00440CE2"/>
    <w:rsid w:val="0044103D"/>
    <w:rsid w:val="00441328"/>
    <w:rsid w:val="00441414"/>
    <w:rsid w:val="00441426"/>
    <w:rsid w:val="00441970"/>
    <w:rsid w:val="00441B40"/>
    <w:rsid w:val="00441E9E"/>
    <w:rsid w:val="00442278"/>
    <w:rsid w:val="00442BA0"/>
    <w:rsid w:val="00442ED6"/>
    <w:rsid w:val="00443448"/>
    <w:rsid w:val="00443643"/>
    <w:rsid w:val="004437E7"/>
    <w:rsid w:val="00443BFC"/>
    <w:rsid w:val="00443DB6"/>
    <w:rsid w:val="0044408D"/>
    <w:rsid w:val="004441C7"/>
    <w:rsid w:val="004443F1"/>
    <w:rsid w:val="0044473D"/>
    <w:rsid w:val="0044491F"/>
    <w:rsid w:val="004449E4"/>
    <w:rsid w:val="00444AC0"/>
    <w:rsid w:val="00444FCA"/>
    <w:rsid w:val="004454E6"/>
    <w:rsid w:val="0044569B"/>
    <w:rsid w:val="004459E4"/>
    <w:rsid w:val="00445FC4"/>
    <w:rsid w:val="00446140"/>
    <w:rsid w:val="0044666D"/>
    <w:rsid w:val="004467AC"/>
    <w:rsid w:val="00446EFB"/>
    <w:rsid w:val="004470D0"/>
    <w:rsid w:val="00447395"/>
    <w:rsid w:val="00447776"/>
    <w:rsid w:val="0045028E"/>
    <w:rsid w:val="0045062A"/>
    <w:rsid w:val="00450677"/>
    <w:rsid w:val="004509C8"/>
    <w:rsid w:val="00451081"/>
    <w:rsid w:val="00451AC3"/>
    <w:rsid w:val="00451B60"/>
    <w:rsid w:val="00451E11"/>
    <w:rsid w:val="00452247"/>
    <w:rsid w:val="00452463"/>
    <w:rsid w:val="00452652"/>
    <w:rsid w:val="004527F2"/>
    <w:rsid w:val="004528B0"/>
    <w:rsid w:val="004528B8"/>
    <w:rsid w:val="00452BB5"/>
    <w:rsid w:val="00452EB3"/>
    <w:rsid w:val="00452F24"/>
    <w:rsid w:val="00453BED"/>
    <w:rsid w:val="004540B0"/>
    <w:rsid w:val="0045433F"/>
    <w:rsid w:val="0045581D"/>
    <w:rsid w:val="00455B48"/>
    <w:rsid w:val="00455EE9"/>
    <w:rsid w:val="00455F01"/>
    <w:rsid w:val="004561FF"/>
    <w:rsid w:val="004562E7"/>
    <w:rsid w:val="00457008"/>
    <w:rsid w:val="00457149"/>
    <w:rsid w:val="00457186"/>
    <w:rsid w:val="00457CC2"/>
    <w:rsid w:val="004601F5"/>
    <w:rsid w:val="0046038B"/>
    <w:rsid w:val="004603C8"/>
    <w:rsid w:val="004605C6"/>
    <w:rsid w:val="004606DA"/>
    <w:rsid w:val="00460CDF"/>
    <w:rsid w:val="00461010"/>
    <w:rsid w:val="00461AEC"/>
    <w:rsid w:val="00461C3B"/>
    <w:rsid w:val="004622D3"/>
    <w:rsid w:val="00462591"/>
    <w:rsid w:val="004629D8"/>
    <w:rsid w:val="00462FF9"/>
    <w:rsid w:val="0046311B"/>
    <w:rsid w:val="00463797"/>
    <w:rsid w:val="00463A18"/>
    <w:rsid w:val="00463B97"/>
    <w:rsid w:val="0046418A"/>
    <w:rsid w:val="004641C6"/>
    <w:rsid w:val="00464A66"/>
    <w:rsid w:val="00465382"/>
    <w:rsid w:val="00465512"/>
    <w:rsid w:val="0046551A"/>
    <w:rsid w:val="004656F1"/>
    <w:rsid w:val="00465BAA"/>
    <w:rsid w:val="00465C0D"/>
    <w:rsid w:val="00465D4E"/>
    <w:rsid w:val="00465FE9"/>
    <w:rsid w:val="0046628B"/>
    <w:rsid w:val="004664BC"/>
    <w:rsid w:val="00466707"/>
    <w:rsid w:val="0046684C"/>
    <w:rsid w:val="00466A1B"/>
    <w:rsid w:val="00466E3D"/>
    <w:rsid w:val="0046716D"/>
    <w:rsid w:val="004671B7"/>
    <w:rsid w:val="004671C9"/>
    <w:rsid w:val="004677AF"/>
    <w:rsid w:val="00467B3E"/>
    <w:rsid w:val="004701D7"/>
    <w:rsid w:val="004710B6"/>
    <w:rsid w:val="00471568"/>
    <w:rsid w:val="004716DC"/>
    <w:rsid w:val="00471874"/>
    <w:rsid w:val="00471A0F"/>
    <w:rsid w:val="004723B2"/>
    <w:rsid w:val="0047292F"/>
    <w:rsid w:val="00472B2F"/>
    <w:rsid w:val="00472C81"/>
    <w:rsid w:val="00472ED9"/>
    <w:rsid w:val="00472F77"/>
    <w:rsid w:val="004735A1"/>
    <w:rsid w:val="00473626"/>
    <w:rsid w:val="004737DE"/>
    <w:rsid w:val="00473B34"/>
    <w:rsid w:val="00473E97"/>
    <w:rsid w:val="00474105"/>
    <w:rsid w:val="004742F1"/>
    <w:rsid w:val="00474AC5"/>
    <w:rsid w:val="004752B7"/>
    <w:rsid w:val="004757AA"/>
    <w:rsid w:val="00475863"/>
    <w:rsid w:val="00475B47"/>
    <w:rsid w:val="00475BA3"/>
    <w:rsid w:val="00475C0B"/>
    <w:rsid w:val="00475E95"/>
    <w:rsid w:val="00475FE8"/>
    <w:rsid w:val="004773A3"/>
    <w:rsid w:val="00477A75"/>
    <w:rsid w:val="0048063B"/>
    <w:rsid w:val="004813F3"/>
    <w:rsid w:val="00481C53"/>
    <w:rsid w:val="00481F56"/>
    <w:rsid w:val="004821AF"/>
    <w:rsid w:val="004827DC"/>
    <w:rsid w:val="00482A72"/>
    <w:rsid w:val="0048300F"/>
    <w:rsid w:val="004831C3"/>
    <w:rsid w:val="00483310"/>
    <w:rsid w:val="00483353"/>
    <w:rsid w:val="004835BB"/>
    <w:rsid w:val="0048367B"/>
    <w:rsid w:val="0048373E"/>
    <w:rsid w:val="00483D5E"/>
    <w:rsid w:val="00483DB5"/>
    <w:rsid w:val="00483E2F"/>
    <w:rsid w:val="00483E76"/>
    <w:rsid w:val="004844DE"/>
    <w:rsid w:val="00484FC4"/>
    <w:rsid w:val="00485060"/>
    <w:rsid w:val="00485B16"/>
    <w:rsid w:val="00485BE2"/>
    <w:rsid w:val="0048601C"/>
    <w:rsid w:val="00486C6C"/>
    <w:rsid w:val="004872F1"/>
    <w:rsid w:val="00487D35"/>
    <w:rsid w:val="00487D54"/>
    <w:rsid w:val="00487D5D"/>
    <w:rsid w:val="0049024D"/>
    <w:rsid w:val="004903BC"/>
    <w:rsid w:val="00490892"/>
    <w:rsid w:val="00490B40"/>
    <w:rsid w:val="004911DF"/>
    <w:rsid w:val="004912BD"/>
    <w:rsid w:val="0049146C"/>
    <w:rsid w:val="004915A6"/>
    <w:rsid w:val="00491905"/>
    <w:rsid w:val="00491980"/>
    <w:rsid w:val="0049261A"/>
    <w:rsid w:val="00492D70"/>
    <w:rsid w:val="00492DCF"/>
    <w:rsid w:val="004934E0"/>
    <w:rsid w:val="00493520"/>
    <w:rsid w:val="004936B8"/>
    <w:rsid w:val="00493AE4"/>
    <w:rsid w:val="00493DED"/>
    <w:rsid w:val="00494400"/>
    <w:rsid w:val="00494441"/>
    <w:rsid w:val="00494EBA"/>
    <w:rsid w:val="0049528B"/>
    <w:rsid w:val="004953A3"/>
    <w:rsid w:val="00495BCA"/>
    <w:rsid w:val="00495F89"/>
    <w:rsid w:val="00496227"/>
    <w:rsid w:val="00496240"/>
    <w:rsid w:val="00496789"/>
    <w:rsid w:val="00496FCD"/>
    <w:rsid w:val="00497888"/>
    <w:rsid w:val="00497889"/>
    <w:rsid w:val="00497FEC"/>
    <w:rsid w:val="004A02B0"/>
    <w:rsid w:val="004A0AE2"/>
    <w:rsid w:val="004A0E11"/>
    <w:rsid w:val="004A10A5"/>
    <w:rsid w:val="004A1372"/>
    <w:rsid w:val="004A1478"/>
    <w:rsid w:val="004A1791"/>
    <w:rsid w:val="004A19A4"/>
    <w:rsid w:val="004A1B21"/>
    <w:rsid w:val="004A1C5C"/>
    <w:rsid w:val="004A1E2B"/>
    <w:rsid w:val="004A2531"/>
    <w:rsid w:val="004A28AF"/>
    <w:rsid w:val="004A28FC"/>
    <w:rsid w:val="004A2F2C"/>
    <w:rsid w:val="004A3593"/>
    <w:rsid w:val="004A3669"/>
    <w:rsid w:val="004A3D8B"/>
    <w:rsid w:val="004A4208"/>
    <w:rsid w:val="004A4B94"/>
    <w:rsid w:val="004A4E3F"/>
    <w:rsid w:val="004A504F"/>
    <w:rsid w:val="004A5175"/>
    <w:rsid w:val="004A56E7"/>
    <w:rsid w:val="004A5A6D"/>
    <w:rsid w:val="004A5D39"/>
    <w:rsid w:val="004A5D60"/>
    <w:rsid w:val="004A6096"/>
    <w:rsid w:val="004A6288"/>
    <w:rsid w:val="004A665C"/>
    <w:rsid w:val="004A6897"/>
    <w:rsid w:val="004A756D"/>
    <w:rsid w:val="004B03AF"/>
    <w:rsid w:val="004B0A1A"/>
    <w:rsid w:val="004B0E4D"/>
    <w:rsid w:val="004B112B"/>
    <w:rsid w:val="004B141E"/>
    <w:rsid w:val="004B14B3"/>
    <w:rsid w:val="004B1AF6"/>
    <w:rsid w:val="004B1E19"/>
    <w:rsid w:val="004B3120"/>
    <w:rsid w:val="004B31F2"/>
    <w:rsid w:val="004B32FD"/>
    <w:rsid w:val="004B3C78"/>
    <w:rsid w:val="004B3CD8"/>
    <w:rsid w:val="004B3D7E"/>
    <w:rsid w:val="004B426B"/>
    <w:rsid w:val="004B4662"/>
    <w:rsid w:val="004B4AED"/>
    <w:rsid w:val="004B56A5"/>
    <w:rsid w:val="004B5B8A"/>
    <w:rsid w:val="004B5BA2"/>
    <w:rsid w:val="004B5D2F"/>
    <w:rsid w:val="004B5FD8"/>
    <w:rsid w:val="004B66A0"/>
    <w:rsid w:val="004B66F0"/>
    <w:rsid w:val="004B6D17"/>
    <w:rsid w:val="004B6F68"/>
    <w:rsid w:val="004B746E"/>
    <w:rsid w:val="004B77A7"/>
    <w:rsid w:val="004B7894"/>
    <w:rsid w:val="004B7B9C"/>
    <w:rsid w:val="004C01D1"/>
    <w:rsid w:val="004C029E"/>
    <w:rsid w:val="004C03BA"/>
    <w:rsid w:val="004C0BDA"/>
    <w:rsid w:val="004C1570"/>
    <w:rsid w:val="004C1AD5"/>
    <w:rsid w:val="004C1FFF"/>
    <w:rsid w:val="004C23D5"/>
    <w:rsid w:val="004C2683"/>
    <w:rsid w:val="004C2992"/>
    <w:rsid w:val="004C2AAF"/>
    <w:rsid w:val="004C3990"/>
    <w:rsid w:val="004C3ADE"/>
    <w:rsid w:val="004C3F34"/>
    <w:rsid w:val="004C4551"/>
    <w:rsid w:val="004C4854"/>
    <w:rsid w:val="004C48B6"/>
    <w:rsid w:val="004C49F6"/>
    <w:rsid w:val="004C4BBA"/>
    <w:rsid w:val="004C5CA1"/>
    <w:rsid w:val="004C5D1A"/>
    <w:rsid w:val="004C5D55"/>
    <w:rsid w:val="004C686B"/>
    <w:rsid w:val="004C6A58"/>
    <w:rsid w:val="004C6CC3"/>
    <w:rsid w:val="004C6F63"/>
    <w:rsid w:val="004C6FA0"/>
    <w:rsid w:val="004C707A"/>
    <w:rsid w:val="004C712A"/>
    <w:rsid w:val="004C79FB"/>
    <w:rsid w:val="004C7F45"/>
    <w:rsid w:val="004D0016"/>
    <w:rsid w:val="004D08AC"/>
    <w:rsid w:val="004D0ACB"/>
    <w:rsid w:val="004D0F4B"/>
    <w:rsid w:val="004D1197"/>
    <w:rsid w:val="004D127D"/>
    <w:rsid w:val="004D1821"/>
    <w:rsid w:val="004D21DF"/>
    <w:rsid w:val="004D2535"/>
    <w:rsid w:val="004D2910"/>
    <w:rsid w:val="004D3A55"/>
    <w:rsid w:val="004D3F1E"/>
    <w:rsid w:val="004D3FE6"/>
    <w:rsid w:val="004D406F"/>
    <w:rsid w:val="004D4C81"/>
    <w:rsid w:val="004D555C"/>
    <w:rsid w:val="004D5629"/>
    <w:rsid w:val="004D5723"/>
    <w:rsid w:val="004D5BC7"/>
    <w:rsid w:val="004D5FFB"/>
    <w:rsid w:val="004D6D33"/>
    <w:rsid w:val="004D6D96"/>
    <w:rsid w:val="004D71C4"/>
    <w:rsid w:val="004D7A9A"/>
    <w:rsid w:val="004D7FC6"/>
    <w:rsid w:val="004E086D"/>
    <w:rsid w:val="004E10F1"/>
    <w:rsid w:val="004E1370"/>
    <w:rsid w:val="004E151E"/>
    <w:rsid w:val="004E15DB"/>
    <w:rsid w:val="004E1A86"/>
    <w:rsid w:val="004E2073"/>
    <w:rsid w:val="004E21C3"/>
    <w:rsid w:val="004E24A6"/>
    <w:rsid w:val="004E24AC"/>
    <w:rsid w:val="004E27AF"/>
    <w:rsid w:val="004E2AE9"/>
    <w:rsid w:val="004E2F90"/>
    <w:rsid w:val="004E3774"/>
    <w:rsid w:val="004E3B9A"/>
    <w:rsid w:val="004E3D4C"/>
    <w:rsid w:val="004E3D68"/>
    <w:rsid w:val="004E4F24"/>
    <w:rsid w:val="004E4F4C"/>
    <w:rsid w:val="004E50CC"/>
    <w:rsid w:val="004E5241"/>
    <w:rsid w:val="004E5383"/>
    <w:rsid w:val="004E5B47"/>
    <w:rsid w:val="004E5EDC"/>
    <w:rsid w:val="004E6015"/>
    <w:rsid w:val="004E67F8"/>
    <w:rsid w:val="004E6AC4"/>
    <w:rsid w:val="004E6F93"/>
    <w:rsid w:val="004E76A6"/>
    <w:rsid w:val="004E794F"/>
    <w:rsid w:val="004E7B51"/>
    <w:rsid w:val="004E7B6C"/>
    <w:rsid w:val="004E7C17"/>
    <w:rsid w:val="004E7E69"/>
    <w:rsid w:val="004F03BB"/>
    <w:rsid w:val="004F09FB"/>
    <w:rsid w:val="004F0B54"/>
    <w:rsid w:val="004F0CC3"/>
    <w:rsid w:val="004F12D9"/>
    <w:rsid w:val="004F13F8"/>
    <w:rsid w:val="004F1420"/>
    <w:rsid w:val="004F15A1"/>
    <w:rsid w:val="004F1712"/>
    <w:rsid w:val="004F2257"/>
    <w:rsid w:val="004F261B"/>
    <w:rsid w:val="004F2DD5"/>
    <w:rsid w:val="004F3128"/>
    <w:rsid w:val="004F31F9"/>
    <w:rsid w:val="004F32B0"/>
    <w:rsid w:val="004F377C"/>
    <w:rsid w:val="004F37D2"/>
    <w:rsid w:val="004F3926"/>
    <w:rsid w:val="004F3F35"/>
    <w:rsid w:val="004F437F"/>
    <w:rsid w:val="004F43F8"/>
    <w:rsid w:val="004F4A0C"/>
    <w:rsid w:val="004F4DE5"/>
    <w:rsid w:val="004F583C"/>
    <w:rsid w:val="004F5B3B"/>
    <w:rsid w:val="004F5F40"/>
    <w:rsid w:val="004F6386"/>
    <w:rsid w:val="004F6534"/>
    <w:rsid w:val="004F691D"/>
    <w:rsid w:val="004F6AEA"/>
    <w:rsid w:val="004F6B6E"/>
    <w:rsid w:val="004F6B9C"/>
    <w:rsid w:val="004F6C1E"/>
    <w:rsid w:val="004F6D13"/>
    <w:rsid w:val="004F76CB"/>
    <w:rsid w:val="004F77FD"/>
    <w:rsid w:val="004F7FFC"/>
    <w:rsid w:val="00500256"/>
    <w:rsid w:val="00500378"/>
    <w:rsid w:val="005005CE"/>
    <w:rsid w:val="00500616"/>
    <w:rsid w:val="00500938"/>
    <w:rsid w:val="005011B9"/>
    <w:rsid w:val="005017EA"/>
    <w:rsid w:val="005017F4"/>
    <w:rsid w:val="00501D7C"/>
    <w:rsid w:val="00501EC8"/>
    <w:rsid w:val="00502408"/>
    <w:rsid w:val="00502910"/>
    <w:rsid w:val="0050292E"/>
    <w:rsid w:val="00502DAF"/>
    <w:rsid w:val="0050377E"/>
    <w:rsid w:val="00503806"/>
    <w:rsid w:val="005038B6"/>
    <w:rsid w:val="0050420F"/>
    <w:rsid w:val="005043E0"/>
    <w:rsid w:val="0050499C"/>
    <w:rsid w:val="00504A14"/>
    <w:rsid w:val="005050DF"/>
    <w:rsid w:val="005052AF"/>
    <w:rsid w:val="00505309"/>
    <w:rsid w:val="005054C7"/>
    <w:rsid w:val="0050566D"/>
    <w:rsid w:val="00505726"/>
    <w:rsid w:val="00505986"/>
    <w:rsid w:val="005059FA"/>
    <w:rsid w:val="00505D2C"/>
    <w:rsid w:val="0050619E"/>
    <w:rsid w:val="005063A5"/>
    <w:rsid w:val="00506932"/>
    <w:rsid w:val="00506A2E"/>
    <w:rsid w:val="0050701C"/>
    <w:rsid w:val="005076A1"/>
    <w:rsid w:val="00507CD0"/>
    <w:rsid w:val="00507E98"/>
    <w:rsid w:val="00510059"/>
    <w:rsid w:val="00510C43"/>
    <w:rsid w:val="00510CAB"/>
    <w:rsid w:val="00510E4F"/>
    <w:rsid w:val="00510F3B"/>
    <w:rsid w:val="00511595"/>
    <w:rsid w:val="005115AF"/>
    <w:rsid w:val="0051169D"/>
    <w:rsid w:val="005118A8"/>
    <w:rsid w:val="005119CA"/>
    <w:rsid w:val="00511BC0"/>
    <w:rsid w:val="0051229B"/>
    <w:rsid w:val="0051255B"/>
    <w:rsid w:val="00512A48"/>
    <w:rsid w:val="0051394C"/>
    <w:rsid w:val="00513BF5"/>
    <w:rsid w:val="005140AA"/>
    <w:rsid w:val="005140D2"/>
    <w:rsid w:val="00514175"/>
    <w:rsid w:val="00514EFC"/>
    <w:rsid w:val="005158F3"/>
    <w:rsid w:val="00515DF6"/>
    <w:rsid w:val="00515E2C"/>
    <w:rsid w:val="00515ECA"/>
    <w:rsid w:val="00516086"/>
    <w:rsid w:val="0051617C"/>
    <w:rsid w:val="005167F7"/>
    <w:rsid w:val="00516FA6"/>
    <w:rsid w:val="005172CE"/>
    <w:rsid w:val="00520651"/>
    <w:rsid w:val="0052092D"/>
    <w:rsid w:val="00521060"/>
    <w:rsid w:val="00521151"/>
    <w:rsid w:val="00521247"/>
    <w:rsid w:val="0052161A"/>
    <w:rsid w:val="00521877"/>
    <w:rsid w:val="00521D95"/>
    <w:rsid w:val="00521EC0"/>
    <w:rsid w:val="00522281"/>
    <w:rsid w:val="0052230C"/>
    <w:rsid w:val="005225B4"/>
    <w:rsid w:val="00522700"/>
    <w:rsid w:val="00522765"/>
    <w:rsid w:val="005229E6"/>
    <w:rsid w:val="00522CF0"/>
    <w:rsid w:val="00522D67"/>
    <w:rsid w:val="00522F12"/>
    <w:rsid w:val="00523099"/>
    <w:rsid w:val="0052314D"/>
    <w:rsid w:val="005235FC"/>
    <w:rsid w:val="005238B7"/>
    <w:rsid w:val="00523A47"/>
    <w:rsid w:val="00523A97"/>
    <w:rsid w:val="00523B18"/>
    <w:rsid w:val="00524138"/>
    <w:rsid w:val="00524C17"/>
    <w:rsid w:val="0052556D"/>
    <w:rsid w:val="005255C1"/>
    <w:rsid w:val="00525A99"/>
    <w:rsid w:val="00525AA5"/>
    <w:rsid w:val="005263A1"/>
    <w:rsid w:val="0052682C"/>
    <w:rsid w:val="00526C98"/>
    <w:rsid w:val="005273D1"/>
    <w:rsid w:val="005300EB"/>
    <w:rsid w:val="005304B4"/>
    <w:rsid w:val="005304D3"/>
    <w:rsid w:val="00530A1B"/>
    <w:rsid w:val="00530DEE"/>
    <w:rsid w:val="00531587"/>
    <w:rsid w:val="00531698"/>
    <w:rsid w:val="005316F4"/>
    <w:rsid w:val="00531A2F"/>
    <w:rsid w:val="00531AAD"/>
    <w:rsid w:val="00531E6E"/>
    <w:rsid w:val="0053222A"/>
    <w:rsid w:val="005325DD"/>
    <w:rsid w:val="00532808"/>
    <w:rsid w:val="00532D69"/>
    <w:rsid w:val="00532D76"/>
    <w:rsid w:val="00532FDB"/>
    <w:rsid w:val="00533330"/>
    <w:rsid w:val="00533615"/>
    <w:rsid w:val="005337EB"/>
    <w:rsid w:val="00534D8D"/>
    <w:rsid w:val="00535377"/>
    <w:rsid w:val="005354D9"/>
    <w:rsid w:val="005357F0"/>
    <w:rsid w:val="0053660F"/>
    <w:rsid w:val="00536C78"/>
    <w:rsid w:val="00537438"/>
    <w:rsid w:val="005378CE"/>
    <w:rsid w:val="00537DB8"/>
    <w:rsid w:val="00537E17"/>
    <w:rsid w:val="00537FCE"/>
    <w:rsid w:val="005402F7"/>
    <w:rsid w:val="00540689"/>
    <w:rsid w:val="00540830"/>
    <w:rsid w:val="00540911"/>
    <w:rsid w:val="00540A8D"/>
    <w:rsid w:val="005413E8"/>
    <w:rsid w:val="0054174D"/>
    <w:rsid w:val="00541E4E"/>
    <w:rsid w:val="005421D6"/>
    <w:rsid w:val="00542434"/>
    <w:rsid w:val="00542743"/>
    <w:rsid w:val="00542866"/>
    <w:rsid w:val="00542A16"/>
    <w:rsid w:val="005431AC"/>
    <w:rsid w:val="005431FF"/>
    <w:rsid w:val="0054324B"/>
    <w:rsid w:val="00544774"/>
    <w:rsid w:val="005449EA"/>
    <w:rsid w:val="00545063"/>
    <w:rsid w:val="00545084"/>
    <w:rsid w:val="0054518A"/>
    <w:rsid w:val="00545418"/>
    <w:rsid w:val="00545797"/>
    <w:rsid w:val="005458D5"/>
    <w:rsid w:val="00545E57"/>
    <w:rsid w:val="00546619"/>
    <w:rsid w:val="00546632"/>
    <w:rsid w:val="005468C0"/>
    <w:rsid w:val="00546996"/>
    <w:rsid w:val="005473A4"/>
    <w:rsid w:val="0054784E"/>
    <w:rsid w:val="005478E0"/>
    <w:rsid w:val="005510BC"/>
    <w:rsid w:val="00551515"/>
    <w:rsid w:val="00551B26"/>
    <w:rsid w:val="00551E00"/>
    <w:rsid w:val="00552137"/>
    <w:rsid w:val="0055215E"/>
    <w:rsid w:val="0055234C"/>
    <w:rsid w:val="0055235D"/>
    <w:rsid w:val="005534DE"/>
    <w:rsid w:val="00553A93"/>
    <w:rsid w:val="00554005"/>
    <w:rsid w:val="005550DE"/>
    <w:rsid w:val="00555539"/>
    <w:rsid w:val="0055568A"/>
    <w:rsid w:val="005559E9"/>
    <w:rsid w:val="00555CC8"/>
    <w:rsid w:val="00556006"/>
    <w:rsid w:val="005563CC"/>
    <w:rsid w:val="005563DB"/>
    <w:rsid w:val="0055643A"/>
    <w:rsid w:val="005566A2"/>
    <w:rsid w:val="00556763"/>
    <w:rsid w:val="00556B06"/>
    <w:rsid w:val="00556BEF"/>
    <w:rsid w:val="00556DCB"/>
    <w:rsid w:val="00557129"/>
    <w:rsid w:val="00557199"/>
    <w:rsid w:val="00557247"/>
    <w:rsid w:val="00557647"/>
    <w:rsid w:val="0055787E"/>
    <w:rsid w:val="005579AC"/>
    <w:rsid w:val="005579FB"/>
    <w:rsid w:val="00557B25"/>
    <w:rsid w:val="00560123"/>
    <w:rsid w:val="0056047C"/>
    <w:rsid w:val="00560AC7"/>
    <w:rsid w:val="00560AF4"/>
    <w:rsid w:val="00560DE4"/>
    <w:rsid w:val="005613F2"/>
    <w:rsid w:val="00561701"/>
    <w:rsid w:val="005619E0"/>
    <w:rsid w:val="00561BF0"/>
    <w:rsid w:val="00561FCF"/>
    <w:rsid w:val="00562037"/>
    <w:rsid w:val="005626C6"/>
    <w:rsid w:val="0056292E"/>
    <w:rsid w:val="00562DCA"/>
    <w:rsid w:val="005632E2"/>
    <w:rsid w:val="0056371F"/>
    <w:rsid w:val="00563AFB"/>
    <w:rsid w:val="00563F80"/>
    <w:rsid w:val="0056412D"/>
    <w:rsid w:val="0056439A"/>
    <w:rsid w:val="0056449C"/>
    <w:rsid w:val="00564C58"/>
    <w:rsid w:val="00564CE7"/>
    <w:rsid w:val="00564EB3"/>
    <w:rsid w:val="00565510"/>
    <w:rsid w:val="00565511"/>
    <w:rsid w:val="005659BF"/>
    <w:rsid w:val="00565A35"/>
    <w:rsid w:val="0056622F"/>
    <w:rsid w:val="00566998"/>
    <w:rsid w:val="00566A3E"/>
    <w:rsid w:val="00566CC4"/>
    <w:rsid w:val="00566D24"/>
    <w:rsid w:val="00566FD8"/>
    <w:rsid w:val="005674D4"/>
    <w:rsid w:val="00567638"/>
    <w:rsid w:val="00567737"/>
    <w:rsid w:val="005679D0"/>
    <w:rsid w:val="005700DA"/>
    <w:rsid w:val="00570269"/>
    <w:rsid w:val="005713A0"/>
    <w:rsid w:val="005717D1"/>
    <w:rsid w:val="00571AB3"/>
    <w:rsid w:val="00571ED5"/>
    <w:rsid w:val="005724B1"/>
    <w:rsid w:val="00572682"/>
    <w:rsid w:val="00572F95"/>
    <w:rsid w:val="0057309E"/>
    <w:rsid w:val="00573C43"/>
    <w:rsid w:val="00573DEF"/>
    <w:rsid w:val="005741F3"/>
    <w:rsid w:val="005741F4"/>
    <w:rsid w:val="005746CC"/>
    <w:rsid w:val="0057499D"/>
    <w:rsid w:val="00574BE1"/>
    <w:rsid w:val="00574CCA"/>
    <w:rsid w:val="00574D96"/>
    <w:rsid w:val="00574F18"/>
    <w:rsid w:val="00575054"/>
    <w:rsid w:val="005752ED"/>
    <w:rsid w:val="005753FF"/>
    <w:rsid w:val="00575469"/>
    <w:rsid w:val="00575D49"/>
    <w:rsid w:val="005768FF"/>
    <w:rsid w:val="00577F57"/>
    <w:rsid w:val="005801CE"/>
    <w:rsid w:val="005803D6"/>
    <w:rsid w:val="005805BA"/>
    <w:rsid w:val="005807A6"/>
    <w:rsid w:val="00580947"/>
    <w:rsid w:val="00580FCB"/>
    <w:rsid w:val="005813CA"/>
    <w:rsid w:val="00581624"/>
    <w:rsid w:val="005820A8"/>
    <w:rsid w:val="00582197"/>
    <w:rsid w:val="00582899"/>
    <w:rsid w:val="00582B33"/>
    <w:rsid w:val="00582BB7"/>
    <w:rsid w:val="00582DE9"/>
    <w:rsid w:val="00582FCE"/>
    <w:rsid w:val="005838F1"/>
    <w:rsid w:val="0058391E"/>
    <w:rsid w:val="005839EA"/>
    <w:rsid w:val="00583DB4"/>
    <w:rsid w:val="00583EB3"/>
    <w:rsid w:val="00583F84"/>
    <w:rsid w:val="00584427"/>
    <w:rsid w:val="0058458B"/>
    <w:rsid w:val="00585191"/>
    <w:rsid w:val="0058542D"/>
    <w:rsid w:val="0058602E"/>
    <w:rsid w:val="005860A4"/>
    <w:rsid w:val="00586362"/>
    <w:rsid w:val="0058718F"/>
    <w:rsid w:val="00587324"/>
    <w:rsid w:val="005878FF"/>
    <w:rsid w:val="00587CEB"/>
    <w:rsid w:val="00587DCB"/>
    <w:rsid w:val="005903E5"/>
    <w:rsid w:val="00590862"/>
    <w:rsid w:val="00590AFB"/>
    <w:rsid w:val="00590CF4"/>
    <w:rsid w:val="00590F55"/>
    <w:rsid w:val="005911A4"/>
    <w:rsid w:val="00591D9B"/>
    <w:rsid w:val="00591FFB"/>
    <w:rsid w:val="00592EEB"/>
    <w:rsid w:val="00593395"/>
    <w:rsid w:val="00594369"/>
    <w:rsid w:val="0059461D"/>
    <w:rsid w:val="00594E74"/>
    <w:rsid w:val="00595FCC"/>
    <w:rsid w:val="00596729"/>
    <w:rsid w:val="00596AB6"/>
    <w:rsid w:val="00596AEB"/>
    <w:rsid w:val="00596D18"/>
    <w:rsid w:val="00596E53"/>
    <w:rsid w:val="00597013"/>
    <w:rsid w:val="005975F4"/>
    <w:rsid w:val="00597871"/>
    <w:rsid w:val="00597929"/>
    <w:rsid w:val="00597991"/>
    <w:rsid w:val="005979AC"/>
    <w:rsid w:val="00597D27"/>
    <w:rsid w:val="00597D78"/>
    <w:rsid w:val="00597E49"/>
    <w:rsid w:val="005A040B"/>
    <w:rsid w:val="005A0BCD"/>
    <w:rsid w:val="005A18F0"/>
    <w:rsid w:val="005A20CA"/>
    <w:rsid w:val="005A2314"/>
    <w:rsid w:val="005A2572"/>
    <w:rsid w:val="005A263D"/>
    <w:rsid w:val="005A2E13"/>
    <w:rsid w:val="005A328F"/>
    <w:rsid w:val="005A3451"/>
    <w:rsid w:val="005A3554"/>
    <w:rsid w:val="005A36F7"/>
    <w:rsid w:val="005A3715"/>
    <w:rsid w:val="005A38F4"/>
    <w:rsid w:val="005A398D"/>
    <w:rsid w:val="005A3991"/>
    <w:rsid w:val="005A412E"/>
    <w:rsid w:val="005A477A"/>
    <w:rsid w:val="005A4B1F"/>
    <w:rsid w:val="005A5188"/>
    <w:rsid w:val="005A54CE"/>
    <w:rsid w:val="005A59A0"/>
    <w:rsid w:val="005A67C6"/>
    <w:rsid w:val="005A690C"/>
    <w:rsid w:val="005A6A80"/>
    <w:rsid w:val="005A6EAC"/>
    <w:rsid w:val="005A6F3B"/>
    <w:rsid w:val="005A73E6"/>
    <w:rsid w:val="005A74B2"/>
    <w:rsid w:val="005A7DBF"/>
    <w:rsid w:val="005A7F78"/>
    <w:rsid w:val="005B031C"/>
    <w:rsid w:val="005B05F9"/>
    <w:rsid w:val="005B0A2B"/>
    <w:rsid w:val="005B0B4A"/>
    <w:rsid w:val="005B0FE4"/>
    <w:rsid w:val="005B11D1"/>
    <w:rsid w:val="005B161B"/>
    <w:rsid w:val="005B1AED"/>
    <w:rsid w:val="005B1BD3"/>
    <w:rsid w:val="005B1CFB"/>
    <w:rsid w:val="005B1EC2"/>
    <w:rsid w:val="005B21E4"/>
    <w:rsid w:val="005B27A8"/>
    <w:rsid w:val="005B2850"/>
    <w:rsid w:val="005B3584"/>
    <w:rsid w:val="005B3705"/>
    <w:rsid w:val="005B38F1"/>
    <w:rsid w:val="005B3E11"/>
    <w:rsid w:val="005B3E3D"/>
    <w:rsid w:val="005B4038"/>
    <w:rsid w:val="005B40F3"/>
    <w:rsid w:val="005B462B"/>
    <w:rsid w:val="005B4997"/>
    <w:rsid w:val="005B4DA1"/>
    <w:rsid w:val="005B50CE"/>
    <w:rsid w:val="005B5656"/>
    <w:rsid w:val="005B687C"/>
    <w:rsid w:val="005B6F47"/>
    <w:rsid w:val="005B74FB"/>
    <w:rsid w:val="005B7BB7"/>
    <w:rsid w:val="005C0DEB"/>
    <w:rsid w:val="005C105F"/>
    <w:rsid w:val="005C126D"/>
    <w:rsid w:val="005C1508"/>
    <w:rsid w:val="005C1813"/>
    <w:rsid w:val="005C1916"/>
    <w:rsid w:val="005C1C86"/>
    <w:rsid w:val="005C1FFB"/>
    <w:rsid w:val="005C20D6"/>
    <w:rsid w:val="005C211A"/>
    <w:rsid w:val="005C24A6"/>
    <w:rsid w:val="005C2614"/>
    <w:rsid w:val="005C332A"/>
    <w:rsid w:val="005C3526"/>
    <w:rsid w:val="005C3888"/>
    <w:rsid w:val="005C4164"/>
    <w:rsid w:val="005C4911"/>
    <w:rsid w:val="005C53BE"/>
    <w:rsid w:val="005C541B"/>
    <w:rsid w:val="005C548C"/>
    <w:rsid w:val="005C5D3F"/>
    <w:rsid w:val="005C5F18"/>
    <w:rsid w:val="005C5F20"/>
    <w:rsid w:val="005C66E5"/>
    <w:rsid w:val="005C787A"/>
    <w:rsid w:val="005D0108"/>
    <w:rsid w:val="005D0234"/>
    <w:rsid w:val="005D0648"/>
    <w:rsid w:val="005D0AB4"/>
    <w:rsid w:val="005D0AED"/>
    <w:rsid w:val="005D0BD1"/>
    <w:rsid w:val="005D0F48"/>
    <w:rsid w:val="005D10BF"/>
    <w:rsid w:val="005D12C9"/>
    <w:rsid w:val="005D1353"/>
    <w:rsid w:val="005D1C19"/>
    <w:rsid w:val="005D1CBE"/>
    <w:rsid w:val="005D2669"/>
    <w:rsid w:val="005D299B"/>
    <w:rsid w:val="005D3AA0"/>
    <w:rsid w:val="005D3D31"/>
    <w:rsid w:val="005D430F"/>
    <w:rsid w:val="005D45E8"/>
    <w:rsid w:val="005D46AB"/>
    <w:rsid w:val="005D475A"/>
    <w:rsid w:val="005D4A78"/>
    <w:rsid w:val="005D4BBC"/>
    <w:rsid w:val="005D51E7"/>
    <w:rsid w:val="005D599E"/>
    <w:rsid w:val="005D5F33"/>
    <w:rsid w:val="005D60B7"/>
    <w:rsid w:val="005D6387"/>
    <w:rsid w:val="005D64DD"/>
    <w:rsid w:val="005D6921"/>
    <w:rsid w:val="005D75DC"/>
    <w:rsid w:val="005D7D7B"/>
    <w:rsid w:val="005D7DEE"/>
    <w:rsid w:val="005D7EF6"/>
    <w:rsid w:val="005E0BAC"/>
    <w:rsid w:val="005E0CE2"/>
    <w:rsid w:val="005E0CFF"/>
    <w:rsid w:val="005E0F9F"/>
    <w:rsid w:val="005E1023"/>
    <w:rsid w:val="005E1CA2"/>
    <w:rsid w:val="005E1FC7"/>
    <w:rsid w:val="005E223A"/>
    <w:rsid w:val="005E2FDF"/>
    <w:rsid w:val="005E311C"/>
    <w:rsid w:val="005E3DC2"/>
    <w:rsid w:val="005E3F9D"/>
    <w:rsid w:val="005E409F"/>
    <w:rsid w:val="005E40E8"/>
    <w:rsid w:val="005E4A35"/>
    <w:rsid w:val="005E5006"/>
    <w:rsid w:val="005E539F"/>
    <w:rsid w:val="005E57A1"/>
    <w:rsid w:val="005E5879"/>
    <w:rsid w:val="005E60B2"/>
    <w:rsid w:val="005E62C6"/>
    <w:rsid w:val="005E64BA"/>
    <w:rsid w:val="005E68BE"/>
    <w:rsid w:val="005E7502"/>
    <w:rsid w:val="005E768D"/>
    <w:rsid w:val="005E791A"/>
    <w:rsid w:val="005E7C18"/>
    <w:rsid w:val="005E7D1A"/>
    <w:rsid w:val="005F024A"/>
    <w:rsid w:val="005F0480"/>
    <w:rsid w:val="005F0873"/>
    <w:rsid w:val="005F0E1C"/>
    <w:rsid w:val="005F12FF"/>
    <w:rsid w:val="005F16E9"/>
    <w:rsid w:val="005F1755"/>
    <w:rsid w:val="005F175E"/>
    <w:rsid w:val="005F1AEA"/>
    <w:rsid w:val="005F1C6D"/>
    <w:rsid w:val="005F1DD5"/>
    <w:rsid w:val="005F1F63"/>
    <w:rsid w:val="005F2809"/>
    <w:rsid w:val="005F330E"/>
    <w:rsid w:val="005F350D"/>
    <w:rsid w:val="005F3654"/>
    <w:rsid w:val="005F3A42"/>
    <w:rsid w:val="005F3D5C"/>
    <w:rsid w:val="005F3D71"/>
    <w:rsid w:val="005F3E07"/>
    <w:rsid w:val="005F3EAE"/>
    <w:rsid w:val="005F4D37"/>
    <w:rsid w:val="005F4FE1"/>
    <w:rsid w:val="005F5126"/>
    <w:rsid w:val="005F51B3"/>
    <w:rsid w:val="005F57E5"/>
    <w:rsid w:val="005F5A3F"/>
    <w:rsid w:val="005F5B99"/>
    <w:rsid w:val="005F5D99"/>
    <w:rsid w:val="005F61E7"/>
    <w:rsid w:val="005F6261"/>
    <w:rsid w:val="005F6703"/>
    <w:rsid w:val="005F68A6"/>
    <w:rsid w:val="005F68EF"/>
    <w:rsid w:val="005F72E4"/>
    <w:rsid w:val="005F78D0"/>
    <w:rsid w:val="005F7942"/>
    <w:rsid w:val="005F7BC7"/>
    <w:rsid w:val="005F7D0B"/>
    <w:rsid w:val="005F7E24"/>
    <w:rsid w:val="005F7E84"/>
    <w:rsid w:val="00600346"/>
    <w:rsid w:val="00600574"/>
    <w:rsid w:val="00600C13"/>
    <w:rsid w:val="00601151"/>
    <w:rsid w:val="00601362"/>
    <w:rsid w:val="0060173C"/>
    <w:rsid w:val="006017A7"/>
    <w:rsid w:val="006018C0"/>
    <w:rsid w:val="006027E1"/>
    <w:rsid w:val="00602EEF"/>
    <w:rsid w:val="00603538"/>
    <w:rsid w:val="0060370B"/>
    <w:rsid w:val="00603F00"/>
    <w:rsid w:val="00604639"/>
    <w:rsid w:val="00604B4B"/>
    <w:rsid w:val="00604FAC"/>
    <w:rsid w:val="00605217"/>
    <w:rsid w:val="006054D5"/>
    <w:rsid w:val="006056B8"/>
    <w:rsid w:val="00605C32"/>
    <w:rsid w:val="00605E0E"/>
    <w:rsid w:val="00606145"/>
    <w:rsid w:val="006062D8"/>
    <w:rsid w:val="00606565"/>
    <w:rsid w:val="006074DF"/>
    <w:rsid w:val="00607880"/>
    <w:rsid w:val="0061033C"/>
    <w:rsid w:val="0061035B"/>
    <w:rsid w:val="006104B7"/>
    <w:rsid w:val="0061095C"/>
    <w:rsid w:val="00610B93"/>
    <w:rsid w:val="00611139"/>
    <w:rsid w:val="006112B0"/>
    <w:rsid w:val="00611D1B"/>
    <w:rsid w:val="0061213C"/>
    <w:rsid w:val="0061221C"/>
    <w:rsid w:val="00612976"/>
    <w:rsid w:val="00612A0D"/>
    <w:rsid w:val="00612C16"/>
    <w:rsid w:val="006132E7"/>
    <w:rsid w:val="006139AA"/>
    <w:rsid w:val="006139C2"/>
    <w:rsid w:val="00613DAA"/>
    <w:rsid w:val="00614129"/>
    <w:rsid w:val="00614C0F"/>
    <w:rsid w:val="00614DAA"/>
    <w:rsid w:val="00614F94"/>
    <w:rsid w:val="00615219"/>
    <w:rsid w:val="00615724"/>
    <w:rsid w:val="0061605E"/>
    <w:rsid w:val="006160B6"/>
    <w:rsid w:val="00616177"/>
    <w:rsid w:val="00616AA4"/>
    <w:rsid w:val="006172ED"/>
    <w:rsid w:val="00617315"/>
    <w:rsid w:val="006179CD"/>
    <w:rsid w:val="00617CDC"/>
    <w:rsid w:val="00617D66"/>
    <w:rsid w:val="0062006B"/>
    <w:rsid w:val="006205B1"/>
    <w:rsid w:val="00620690"/>
    <w:rsid w:val="00621292"/>
    <w:rsid w:val="00621760"/>
    <w:rsid w:val="0062182C"/>
    <w:rsid w:val="00621A8D"/>
    <w:rsid w:val="00621CCD"/>
    <w:rsid w:val="00621D43"/>
    <w:rsid w:val="006221FF"/>
    <w:rsid w:val="0062234E"/>
    <w:rsid w:val="006224E8"/>
    <w:rsid w:val="006228A1"/>
    <w:rsid w:val="0062359A"/>
    <w:rsid w:val="006235FF"/>
    <w:rsid w:val="006236A8"/>
    <w:rsid w:val="00623828"/>
    <w:rsid w:val="00623CDC"/>
    <w:rsid w:val="0062421F"/>
    <w:rsid w:val="00624406"/>
    <w:rsid w:val="006245D3"/>
    <w:rsid w:val="00624756"/>
    <w:rsid w:val="00624F00"/>
    <w:rsid w:val="00624FB2"/>
    <w:rsid w:val="006250F3"/>
    <w:rsid w:val="006251CC"/>
    <w:rsid w:val="006252DA"/>
    <w:rsid w:val="00625335"/>
    <w:rsid w:val="00625538"/>
    <w:rsid w:val="0062571A"/>
    <w:rsid w:val="006261ED"/>
    <w:rsid w:val="00627322"/>
    <w:rsid w:val="006273C3"/>
    <w:rsid w:val="006276BF"/>
    <w:rsid w:val="0063015F"/>
    <w:rsid w:val="006303F7"/>
    <w:rsid w:val="006304B8"/>
    <w:rsid w:val="0063076E"/>
    <w:rsid w:val="00630833"/>
    <w:rsid w:val="0063094F"/>
    <w:rsid w:val="00630967"/>
    <w:rsid w:val="00630F8D"/>
    <w:rsid w:val="006313D5"/>
    <w:rsid w:val="006319C2"/>
    <w:rsid w:val="00631AE9"/>
    <w:rsid w:val="00631E1E"/>
    <w:rsid w:val="00631F6E"/>
    <w:rsid w:val="006328A7"/>
    <w:rsid w:val="006328EB"/>
    <w:rsid w:val="00632E81"/>
    <w:rsid w:val="0063304F"/>
    <w:rsid w:val="006338EE"/>
    <w:rsid w:val="00633E76"/>
    <w:rsid w:val="0063400A"/>
    <w:rsid w:val="006346F2"/>
    <w:rsid w:val="00634ED1"/>
    <w:rsid w:val="006350EF"/>
    <w:rsid w:val="00635772"/>
    <w:rsid w:val="006358C7"/>
    <w:rsid w:val="00635E36"/>
    <w:rsid w:val="00635EA3"/>
    <w:rsid w:val="00635FEB"/>
    <w:rsid w:val="006362D5"/>
    <w:rsid w:val="00637122"/>
    <w:rsid w:val="006378E2"/>
    <w:rsid w:val="00637AFB"/>
    <w:rsid w:val="00637B36"/>
    <w:rsid w:val="00637C91"/>
    <w:rsid w:val="00640C69"/>
    <w:rsid w:val="00640D64"/>
    <w:rsid w:val="00641349"/>
    <w:rsid w:val="00641614"/>
    <w:rsid w:val="0064167F"/>
    <w:rsid w:val="00641A72"/>
    <w:rsid w:val="00641E87"/>
    <w:rsid w:val="0064228A"/>
    <w:rsid w:val="00642CAA"/>
    <w:rsid w:val="00642DCE"/>
    <w:rsid w:val="00642EFB"/>
    <w:rsid w:val="006434E9"/>
    <w:rsid w:val="0064353B"/>
    <w:rsid w:val="00643605"/>
    <w:rsid w:val="006438EB"/>
    <w:rsid w:val="006440B8"/>
    <w:rsid w:val="006453F8"/>
    <w:rsid w:val="00645654"/>
    <w:rsid w:val="00645744"/>
    <w:rsid w:val="00645B20"/>
    <w:rsid w:val="00645BF2"/>
    <w:rsid w:val="00645D09"/>
    <w:rsid w:val="00645F72"/>
    <w:rsid w:val="00646398"/>
    <w:rsid w:val="00646976"/>
    <w:rsid w:val="00646D7E"/>
    <w:rsid w:val="00646E72"/>
    <w:rsid w:val="00646EB3"/>
    <w:rsid w:val="006475BB"/>
    <w:rsid w:val="00647724"/>
    <w:rsid w:val="00647A37"/>
    <w:rsid w:val="00647E25"/>
    <w:rsid w:val="006509EE"/>
    <w:rsid w:val="0065112D"/>
    <w:rsid w:val="00651210"/>
    <w:rsid w:val="00651437"/>
    <w:rsid w:val="00651E64"/>
    <w:rsid w:val="00652B85"/>
    <w:rsid w:val="00652F68"/>
    <w:rsid w:val="00653592"/>
    <w:rsid w:val="006535AB"/>
    <w:rsid w:val="006535B2"/>
    <w:rsid w:val="00653E18"/>
    <w:rsid w:val="00653F0D"/>
    <w:rsid w:val="006540B4"/>
    <w:rsid w:val="0065440F"/>
    <w:rsid w:val="00654960"/>
    <w:rsid w:val="00654CD4"/>
    <w:rsid w:val="00654D1F"/>
    <w:rsid w:val="00654EFA"/>
    <w:rsid w:val="0065501F"/>
    <w:rsid w:val="00655382"/>
    <w:rsid w:val="006553D1"/>
    <w:rsid w:val="00655911"/>
    <w:rsid w:val="00655A49"/>
    <w:rsid w:val="00655CAD"/>
    <w:rsid w:val="0065644C"/>
    <w:rsid w:val="00656C86"/>
    <w:rsid w:val="00656DCA"/>
    <w:rsid w:val="00656E6F"/>
    <w:rsid w:val="00657970"/>
    <w:rsid w:val="00657AE1"/>
    <w:rsid w:val="00657D29"/>
    <w:rsid w:val="00657DD9"/>
    <w:rsid w:val="00657F35"/>
    <w:rsid w:val="006602F6"/>
    <w:rsid w:val="00660664"/>
    <w:rsid w:val="00661142"/>
    <w:rsid w:val="0066130C"/>
    <w:rsid w:val="0066191A"/>
    <w:rsid w:val="00661D89"/>
    <w:rsid w:val="006630A3"/>
    <w:rsid w:val="006633DE"/>
    <w:rsid w:val="00663573"/>
    <w:rsid w:val="006635AF"/>
    <w:rsid w:val="006636C6"/>
    <w:rsid w:val="0066380B"/>
    <w:rsid w:val="00663F82"/>
    <w:rsid w:val="00664075"/>
    <w:rsid w:val="00664178"/>
    <w:rsid w:val="00664439"/>
    <w:rsid w:val="0066447C"/>
    <w:rsid w:val="00665334"/>
    <w:rsid w:val="006654D2"/>
    <w:rsid w:val="00665E54"/>
    <w:rsid w:val="00665F77"/>
    <w:rsid w:val="00665FFA"/>
    <w:rsid w:val="0066607F"/>
    <w:rsid w:val="006664E2"/>
    <w:rsid w:val="00666654"/>
    <w:rsid w:val="00667793"/>
    <w:rsid w:val="00667FD8"/>
    <w:rsid w:val="00670181"/>
    <w:rsid w:val="0067037C"/>
    <w:rsid w:val="0067131A"/>
    <w:rsid w:val="00671414"/>
    <w:rsid w:val="0067147F"/>
    <w:rsid w:val="006719BD"/>
    <w:rsid w:val="006728DD"/>
    <w:rsid w:val="00672CF5"/>
    <w:rsid w:val="00672D11"/>
    <w:rsid w:val="0067321E"/>
    <w:rsid w:val="006732B7"/>
    <w:rsid w:val="0067365C"/>
    <w:rsid w:val="006736F1"/>
    <w:rsid w:val="006736F3"/>
    <w:rsid w:val="00673D3F"/>
    <w:rsid w:val="00673E9C"/>
    <w:rsid w:val="0067427A"/>
    <w:rsid w:val="0067436B"/>
    <w:rsid w:val="00674B91"/>
    <w:rsid w:val="00675041"/>
    <w:rsid w:val="006752D5"/>
    <w:rsid w:val="00675494"/>
    <w:rsid w:val="006756F8"/>
    <w:rsid w:val="00675919"/>
    <w:rsid w:val="00675B00"/>
    <w:rsid w:val="00675E1B"/>
    <w:rsid w:val="00676040"/>
    <w:rsid w:val="0067691A"/>
    <w:rsid w:val="00676FE8"/>
    <w:rsid w:val="0067703C"/>
    <w:rsid w:val="0067738A"/>
    <w:rsid w:val="00677784"/>
    <w:rsid w:val="006777E2"/>
    <w:rsid w:val="00677B3C"/>
    <w:rsid w:val="00680208"/>
    <w:rsid w:val="0068032A"/>
    <w:rsid w:val="006808D4"/>
    <w:rsid w:val="0068092E"/>
    <w:rsid w:val="006809B8"/>
    <w:rsid w:val="00680DCC"/>
    <w:rsid w:val="00680EDD"/>
    <w:rsid w:val="006812DA"/>
    <w:rsid w:val="00681567"/>
    <w:rsid w:val="006815DA"/>
    <w:rsid w:val="00681BA9"/>
    <w:rsid w:val="00681D10"/>
    <w:rsid w:val="00682021"/>
    <w:rsid w:val="006822CB"/>
    <w:rsid w:val="0068257E"/>
    <w:rsid w:val="0068286E"/>
    <w:rsid w:val="0068288E"/>
    <w:rsid w:val="00682BAD"/>
    <w:rsid w:val="00682D61"/>
    <w:rsid w:val="00682E34"/>
    <w:rsid w:val="0068391E"/>
    <w:rsid w:val="00683D8A"/>
    <w:rsid w:val="00683DC6"/>
    <w:rsid w:val="00683EE2"/>
    <w:rsid w:val="00683FD4"/>
    <w:rsid w:val="00684C67"/>
    <w:rsid w:val="006853FA"/>
    <w:rsid w:val="00685556"/>
    <w:rsid w:val="00685947"/>
    <w:rsid w:val="00686C55"/>
    <w:rsid w:val="00686D5E"/>
    <w:rsid w:val="00686F84"/>
    <w:rsid w:val="00690726"/>
    <w:rsid w:val="00690899"/>
    <w:rsid w:val="00690A34"/>
    <w:rsid w:val="00690A73"/>
    <w:rsid w:val="00691069"/>
    <w:rsid w:val="006913F4"/>
    <w:rsid w:val="006915C1"/>
    <w:rsid w:val="00691611"/>
    <w:rsid w:val="006921F3"/>
    <w:rsid w:val="0069228C"/>
    <w:rsid w:val="00692A5C"/>
    <w:rsid w:val="00692D3A"/>
    <w:rsid w:val="00692E88"/>
    <w:rsid w:val="0069317D"/>
    <w:rsid w:val="00693345"/>
    <w:rsid w:val="006942E4"/>
    <w:rsid w:val="0069451D"/>
    <w:rsid w:val="00694DED"/>
    <w:rsid w:val="00694EDA"/>
    <w:rsid w:val="00695DF4"/>
    <w:rsid w:val="00695F6E"/>
    <w:rsid w:val="00696422"/>
    <w:rsid w:val="006968E2"/>
    <w:rsid w:val="00696BEE"/>
    <w:rsid w:val="00696C68"/>
    <w:rsid w:val="006974C2"/>
    <w:rsid w:val="00697598"/>
    <w:rsid w:val="00697BC7"/>
    <w:rsid w:val="006A0280"/>
    <w:rsid w:val="006A06D4"/>
    <w:rsid w:val="006A0747"/>
    <w:rsid w:val="006A090D"/>
    <w:rsid w:val="006A0CE3"/>
    <w:rsid w:val="006A14A4"/>
    <w:rsid w:val="006A16FA"/>
    <w:rsid w:val="006A1885"/>
    <w:rsid w:val="006A1FCD"/>
    <w:rsid w:val="006A23AB"/>
    <w:rsid w:val="006A26DF"/>
    <w:rsid w:val="006A3B93"/>
    <w:rsid w:val="006A3BA6"/>
    <w:rsid w:val="006A4621"/>
    <w:rsid w:val="006A4709"/>
    <w:rsid w:val="006A47EC"/>
    <w:rsid w:val="006A522B"/>
    <w:rsid w:val="006A54BE"/>
    <w:rsid w:val="006A554D"/>
    <w:rsid w:val="006A597F"/>
    <w:rsid w:val="006A5B92"/>
    <w:rsid w:val="006A5D6E"/>
    <w:rsid w:val="006A6359"/>
    <w:rsid w:val="006A6440"/>
    <w:rsid w:val="006A66CC"/>
    <w:rsid w:val="006A69DF"/>
    <w:rsid w:val="006A6D9B"/>
    <w:rsid w:val="006A6F50"/>
    <w:rsid w:val="006A702C"/>
    <w:rsid w:val="006A70DB"/>
    <w:rsid w:val="006A71AD"/>
    <w:rsid w:val="006A7857"/>
    <w:rsid w:val="006A7CC2"/>
    <w:rsid w:val="006A7D59"/>
    <w:rsid w:val="006B03C4"/>
    <w:rsid w:val="006B04E9"/>
    <w:rsid w:val="006B089D"/>
    <w:rsid w:val="006B0959"/>
    <w:rsid w:val="006B0B60"/>
    <w:rsid w:val="006B20B4"/>
    <w:rsid w:val="006B2149"/>
    <w:rsid w:val="006B21FF"/>
    <w:rsid w:val="006B2DB6"/>
    <w:rsid w:val="006B3930"/>
    <w:rsid w:val="006B399B"/>
    <w:rsid w:val="006B3A8C"/>
    <w:rsid w:val="006B3B15"/>
    <w:rsid w:val="006B3D1E"/>
    <w:rsid w:val="006B506A"/>
    <w:rsid w:val="006B51ED"/>
    <w:rsid w:val="006B5504"/>
    <w:rsid w:val="006B5729"/>
    <w:rsid w:val="006B5879"/>
    <w:rsid w:val="006B5B1F"/>
    <w:rsid w:val="006B5DB9"/>
    <w:rsid w:val="006B5E3D"/>
    <w:rsid w:val="006B5E51"/>
    <w:rsid w:val="006B5EF6"/>
    <w:rsid w:val="006B5F4F"/>
    <w:rsid w:val="006B612F"/>
    <w:rsid w:val="006B67E0"/>
    <w:rsid w:val="006B68AF"/>
    <w:rsid w:val="006B6ADB"/>
    <w:rsid w:val="006B6E93"/>
    <w:rsid w:val="006B714D"/>
    <w:rsid w:val="006B7267"/>
    <w:rsid w:val="006B736F"/>
    <w:rsid w:val="006B73E3"/>
    <w:rsid w:val="006B7493"/>
    <w:rsid w:val="006B79D4"/>
    <w:rsid w:val="006C0038"/>
    <w:rsid w:val="006C00F5"/>
    <w:rsid w:val="006C12A0"/>
    <w:rsid w:val="006C1454"/>
    <w:rsid w:val="006C14CA"/>
    <w:rsid w:val="006C1710"/>
    <w:rsid w:val="006C1746"/>
    <w:rsid w:val="006C1C91"/>
    <w:rsid w:val="006C202A"/>
    <w:rsid w:val="006C216E"/>
    <w:rsid w:val="006C2365"/>
    <w:rsid w:val="006C25E8"/>
    <w:rsid w:val="006C26F6"/>
    <w:rsid w:val="006C27DE"/>
    <w:rsid w:val="006C3038"/>
    <w:rsid w:val="006C38A8"/>
    <w:rsid w:val="006C3D60"/>
    <w:rsid w:val="006C3F5E"/>
    <w:rsid w:val="006C420C"/>
    <w:rsid w:val="006C45ED"/>
    <w:rsid w:val="006C4EC0"/>
    <w:rsid w:val="006C557D"/>
    <w:rsid w:val="006C5C27"/>
    <w:rsid w:val="006C5DCF"/>
    <w:rsid w:val="006C6147"/>
    <w:rsid w:val="006C6458"/>
    <w:rsid w:val="006C69A7"/>
    <w:rsid w:val="006C6F86"/>
    <w:rsid w:val="006C7068"/>
    <w:rsid w:val="006C7F5C"/>
    <w:rsid w:val="006D0A00"/>
    <w:rsid w:val="006D0A51"/>
    <w:rsid w:val="006D11CB"/>
    <w:rsid w:val="006D1889"/>
    <w:rsid w:val="006D19BD"/>
    <w:rsid w:val="006D1E7B"/>
    <w:rsid w:val="006D243E"/>
    <w:rsid w:val="006D27A2"/>
    <w:rsid w:val="006D3005"/>
    <w:rsid w:val="006D32CC"/>
    <w:rsid w:val="006D393D"/>
    <w:rsid w:val="006D3E3D"/>
    <w:rsid w:val="006D3F7E"/>
    <w:rsid w:val="006D4697"/>
    <w:rsid w:val="006D4C8A"/>
    <w:rsid w:val="006D4E2D"/>
    <w:rsid w:val="006D52CE"/>
    <w:rsid w:val="006D52DA"/>
    <w:rsid w:val="006D5DCB"/>
    <w:rsid w:val="006D5F5E"/>
    <w:rsid w:val="006D6516"/>
    <w:rsid w:val="006D667D"/>
    <w:rsid w:val="006D66F0"/>
    <w:rsid w:val="006D6B4D"/>
    <w:rsid w:val="006D6EAB"/>
    <w:rsid w:val="006D7686"/>
    <w:rsid w:val="006D7765"/>
    <w:rsid w:val="006D77FE"/>
    <w:rsid w:val="006D7C81"/>
    <w:rsid w:val="006E0205"/>
    <w:rsid w:val="006E0264"/>
    <w:rsid w:val="006E02D3"/>
    <w:rsid w:val="006E0833"/>
    <w:rsid w:val="006E08AF"/>
    <w:rsid w:val="006E1AF5"/>
    <w:rsid w:val="006E1AFE"/>
    <w:rsid w:val="006E1DC5"/>
    <w:rsid w:val="006E1EDC"/>
    <w:rsid w:val="006E216B"/>
    <w:rsid w:val="006E241F"/>
    <w:rsid w:val="006E2E9C"/>
    <w:rsid w:val="006E30AE"/>
    <w:rsid w:val="006E33B2"/>
    <w:rsid w:val="006E33DB"/>
    <w:rsid w:val="006E35E8"/>
    <w:rsid w:val="006E3A6B"/>
    <w:rsid w:val="006E3E05"/>
    <w:rsid w:val="006E3F08"/>
    <w:rsid w:val="006E3F68"/>
    <w:rsid w:val="006E435C"/>
    <w:rsid w:val="006E4415"/>
    <w:rsid w:val="006E46A1"/>
    <w:rsid w:val="006E4940"/>
    <w:rsid w:val="006E4AB6"/>
    <w:rsid w:val="006E4B22"/>
    <w:rsid w:val="006E4FBB"/>
    <w:rsid w:val="006E51AA"/>
    <w:rsid w:val="006E54C5"/>
    <w:rsid w:val="006E555A"/>
    <w:rsid w:val="006E590E"/>
    <w:rsid w:val="006E5933"/>
    <w:rsid w:val="006E5B5D"/>
    <w:rsid w:val="006E5DBF"/>
    <w:rsid w:val="006E5EF3"/>
    <w:rsid w:val="006E6C00"/>
    <w:rsid w:val="006E70D2"/>
    <w:rsid w:val="006E7210"/>
    <w:rsid w:val="006E73E4"/>
    <w:rsid w:val="006E7A7B"/>
    <w:rsid w:val="006F09F9"/>
    <w:rsid w:val="006F0F33"/>
    <w:rsid w:val="006F0FD7"/>
    <w:rsid w:val="006F1243"/>
    <w:rsid w:val="006F1343"/>
    <w:rsid w:val="006F1570"/>
    <w:rsid w:val="006F17CB"/>
    <w:rsid w:val="006F1BD3"/>
    <w:rsid w:val="006F1CE3"/>
    <w:rsid w:val="006F1E71"/>
    <w:rsid w:val="006F21F7"/>
    <w:rsid w:val="006F2735"/>
    <w:rsid w:val="006F2E62"/>
    <w:rsid w:val="006F2ECA"/>
    <w:rsid w:val="006F3CD4"/>
    <w:rsid w:val="006F40C5"/>
    <w:rsid w:val="006F4BB6"/>
    <w:rsid w:val="006F52FD"/>
    <w:rsid w:val="006F5807"/>
    <w:rsid w:val="006F6A4E"/>
    <w:rsid w:val="006F6E33"/>
    <w:rsid w:val="006F766B"/>
    <w:rsid w:val="006F7F1C"/>
    <w:rsid w:val="006F7F7D"/>
    <w:rsid w:val="007001C7"/>
    <w:rsid w:val="007003D3"/>
    <w:rsid w:val="0070075A"/>
    <w:rsid w:val="007014B4"/>
    <w:rsid w:val="00701506"/>
    <w:rsid w:val="007016C8"/>
    <w:rsid w:val="00701EFB"/>
    <w:rsid w:val="007024BA"/>
    <w:rsid w:val="00702D2B"/>
    <w:rsid w:val="00702DBF"/>
    <w:rsid w:val="00702FB4"/>
    <w:rsid w:val="00703282"/>
    <w:rsid w:val="00703977"/>
    <w:rsid w:val="00703A55"/>
    <w:rsid w:val="0070443E"/>
    <w:rsid w:val="00704CFC"/>
    <w:rsid w:val="00704F61"/>
    <w:rsid w:val="007053BD"/>
    <w:rsid w:val="00705537"/>
    <w:rsid w:val="007060FD"/>
    <w:rsid w:val="00706724"/>
    <w:rsid w:val="00707234"/>
    <w:rsid w:val="00707668"/>
    <w:rsid w:val="00707718"/>
    <w:rsid w:val="007078C8"/>
    <w:rsid w:val="007078E5"/>
    <w:rsid w:val="00707ABB"/>
    <w:rsid w:val="00710260"/>
    <w:rsid w:val="00710CDE"/>
    <w:rsid w:val="00710D9A"/>
    <w:rsid w:val="00711F44"/>
    <w:rsid w:val="007121D6"/>
    <w:rsid w:val="00712967"/>
    <w:rsid w:val="00712C9D"/>
    <w:rsid w:val="00712E23"/>
    <w:rsid w:val="00712EB9"/>
    <w:rsid w:val="00712FC4"/>
    <w:rsid w:val="007130F7"/>
    <w:rsid w:val="00713100"/>
    <w:rsid w:val="007131B0"/>
    <w:rsid w:val="00713426"/>
    <w:rsid w:val="00713B78"/>
    <w:rsid w:val="007141BD"/>
    <w:rsid w:val="00714715"/>
    <w:rsid w:val="0071485E"/>
    <w:rsid w:val="00714952"/>
    <w:rsid w:val="007149DC"/>
    <w:rsid w:val="007150F5"/>
    <w:rsid w:val="0071548B"/>
    <w:rsid w:val="00715B16"/>
    <w:rsid w:val="00715E89"/>
    <w:rsid w:val="00716512"/>
    <w:rsid w:val="00716777"/>
    <w:rsid w:val="00716990"/>
    <w:rsid w:val="00716DD6"/>
    <w:rsid w:val="00716E7E"/>
    <w:rsid w:val="00717152"/>
    <w:rsid w:val="0071715D"/>
    <w:rsid w:val="007174AA"/>
    <w:rsid w:val="00717507"/>
    <w:rsid w:val="00717745"/>
    <w:rsid w:val="00717C4F"/>
    <w:rsid w:val="007202AE"/>
    <w:rsid w:val="00720BBB"/>
    <w:rsid w:val="00720ED2"/>
    <w:rsid w:val="007211A7"/>
    <w:rsid w:val="00721568"/>
    <w:rsid w:val="00721962"/>
    <w:rsid w:val="00721BCB"/>
    <w:rsid w:val="00721D60"/>
    <w:rsid w:val="00721FA8"/>
    <w:rsid w:val="00722034"/>
    <w:rsid w:val="0072227C"/>
    <w:rsid w:val="00722349"/>
    <w:rsid w:val="00722526"/>
    <w:rsid w:val="00722B20"/>
    <w:rsid w:val="00723410"/>
    <w:rsid w:val="007235FD"/>
    <w:rsid w:val="00723859"/>
    <w:rsid w:val="00723AF7"/>
    <w:rsid w:val="00724056"/>
    <w:rsid w:val="007249B0"/>
    <w:rsid w:val="00725479"/>
    <w:rsid w:val="00725CFA"/>
    <w:rsid w:val="00725F25"/>
    <w:rsid w:val="007260D2"/>
    <w:rsid w:val="0072678A"/>
    <w:rsid w:val="00726A69"/>
    <w:rsid w:val="00726B3E"/>
    <w:rsid w:val="00726D0F"/>
    <w:rsid w:val="00727557"/>
    <w:rsid w:val="00727753"/>
    <w:rsid w:val="00727B26"/>
    <w:rsid w:val="007301FB"/>
    <w:rsid w:val="0073037E"/>
    <w:rsid w:val="007306E7"/>
    <w:rsid w:val="00730AD6"/>
    <w:rsid w:val="00730F73"/>
    <w:rsid w:val="00730FA4"/>
    <w:rsid w:val="007310B5"/>
    <w:rsid w:val="00731C28"/>
    <w:rsid w:val="007321AA"/>
    <w:rsid w:val="00732664"/>
    <w:rsid w:val="0073378C"/>
    <w:rsid w:val="00733855"/>
    <w:rsid w:val="0073439B"/>
    <w:rsid w:val="00734627"/>
    <w:rsid w:val="0073477F"/>
    <w:rsid w:val="00734C70"/>
    <w:rsid w:val="00734E9F"/>
    <w:rsid w:val="0073579A"/>
    <w:rsid w:val="0073584F"/>
    <w:rsid w:val="00735BAE"/>
    <w:rsid w:val="00736531"/>
    <w:rsid w:val="0073658A"/>
    <w:rsid w:val="007366C1"/>
    <w:rsid w:val="00736A96"/>
    <w:rsid w:val="00736C4D"/>
    <w:rsid w:val="00736DC8"/>
    <w:rsid w:val="0073702A"/>
    <w:rsid w:val="0073731A"/>
    <w:rsid w:val="007374E3"/>
    <w:rsid w:val="007375A3"/>
    <w:rsid w:val="00737FF1"/>
    <w:rsid w:val="0074064F"/>
    <w:rsid w:val="00740A10"/>
    <w:rsid w:val="00740C05"/>
    <w:rsid w:val="00740F89"/>
    <w:rsid w:val="00741536"/>
    <w:rsid w:val="007415D0"/>
    <w:rsid w:val="00741689"/>
    <w:rsid w:val="0074191B"/>
    <w:rsid w:val="00742529"/>
    <w:rsid w:val="0074268F"/>
    <w:rsid w:val="00742721"/>
    <w:rsid w:val="0074304E"/>
    <w:rsid w:val="007435FE"/>
    <w:rsid w:val="00743C2F"/>
    <w:rsid w:val="00743D3D"/>
    <w:rsid w:val="00743EFE"/>
    <w:rsid w:val="0074403E"/>
    <w:rsid w:val="00744266"/>
    <w:rsid w:val="007447C5"/>
    <w:rsid w:val="00744B5B"/>
    <w:rsid w:val="00745025"/>
    <w:rsid w:val="0074510E"/>
    <w:rsid w:val="00745112"/>
    <w:rsid w:val="00745D8D"/>
    <w:rsid w:val="007460D3"/>
    <w:rsid w:val="00746250"/>
    <w:rsid w:val="007469BF"/>
    <w:rsid w:val="00746A6C"/>
    <w:rsid w:val="00746A95"/>
    <w:rsid w:val="00746D6E"/>
    <w:rsid w:val="00747238"/>
    <w:rsid w:val="00747250"/>
    <w:rsid w:val="00747411"/>
    <w:rsid w:val="00747838"/>
    <w:rsid w:val="007479AF"/>
    <w:rsid w:val="00747A6C"/>
    <w:rsid w:val="00750276"/>
    <w:rsid w:val="00750891"/>
    <w:rsid w:val="007508BB"/>
    <w:rsid w:val="00750931"/>
    <w:rsid w:val="00750963"/>
    <w:rsid w:val="00750F4C"/>
    <w:rsid w:val="007511C8"/>
    <w:rsid w:val="007517F7"/>
    <w:rsid w:val="007521B6"/>
    <w:rsid w:val="0075230A"/>
    <w:rsid w:val="00753161"/>
    <w:rsid w:val="00753203"/>
    <w:rsid w:val="00753952"/>
    <w:rsid w:val="00753A06"/>
    <w:rsid w:val="00753B18"/>
    <w:rsid w:val="00753C2E"/>
    <w:rsid w:val="00754191"/>
    <w:rsid w:val="00754600"/>
    <w:rsid w:val="007548BF"/>
    <w:rsid w:val="00754DDA"/>
    <w:rsid w:val="00754EFC"/>
    <w:rsid w:val="007561CD"/>
    <w:rsid w:val="0075628F"/>
    <w:rsid w:val="007569C7"/>
    <w:rsid w:val="00756BC3"/>
    <w:rsid w:val="00756D46"/>
    <w:rsid w:val="00756EAC"/>
    <w:rsid w:val="007570FA"/>
    <w:rsid w:val="007575FF"/>
    <w:rsid w:val="00757D60"/>
    <w:rsid w:val="007601CF"/>
    <w:rsid w:val="00760DC6"/>
    <w:rsid w:val="00761237"/>
    <w:rsid w:val="0076181C"/>
    <w:rsid w:val="00762026"/>
    <w:rsid w:val="00762148"/>
    <w:rsid w:val="0076249A"/>
    <w:rsid w:val="00762981"/>
    <w:rsid w:val="00762C54"/>
    <w:rsid w:val="00762D4C"/>
    <w:rsid w:val="00762ECA"/>
    <w:rsid w:val="00763087"/>
    <w:rsid w:val="007634E3"/>
    <w:rsid w:val="007635FC"/>
    <w:rsid w:val="007637D8"/>
    <w:rsid w:val="00763801"/>
    <w:rsid w:val="00763F3B"/>
    <w:rsid w:val="007640FA"/>
    <w:rsid w:val="007644AD"/>
    <w:rsid w:val="0076481A"/>
    <w:rsid w:val="00764FF9"/>
    <w:rsid w:val="00765491"/>
    <w:rsid w:val="007657F6"/>
    <w:rsid w:val="00765FED"/>
    <w:rsid w:val="007664A8"/>
    <w:rsid w:val="00766D22"/>
    <w:rsid w:val="00766DB1"/>
    <w:rsid w:val="0076705E"/>
    <w:rsid w:val="00767146"/>
    <w:rsid w:val="007672AA"/>
    <w:rsid w:val="00767B48"/>
    <w:rsid w:val="00767D0F"/>
    <w:rsid w:val="00770133"/>
    <w:rsid w:val="007701BF"/>
    <w:rsid w:val="00770A69"/>
    <w:rsid w:val="00770B73"/>
    <w:rsid w:val="00770D92"/>
    <w:rsid w:val="007716F4"/>
    <w:rsid w:val="007725B5"/>
    <w:rsid w:val="00772A72"/>
    <w:rsid w:val="00773233"/>
    <w:rsid w:val="00773304"/>
    <w:rsid w:val="007733DC"/>
    <w:rsid w:val="00773619"/>
    <w:rsid w:val="007737E9"/>
    <w:rsid w:val="00774274"/>
    <w:rsid w:val="0077437A"/>
    <w:rsid w:val="00774411"/>
    <w:rsid w:val="00774429"/>
    <w:rsid w:val="00774B2D"/>
    <w:rsid w:val="00774DE4"/>
    <w:rsid w:val="00774F6E"/>
    <w:rsid w:val="007753C8"/>
    <w:rsid w:val="007753FA"/>
    <w:rsid w:val="00775B7C"/>
    <w:rsid w:val="00775C0C"/>
    <w:rsid w:val="00775CED"/>
    <w:rsid w:val="00775D65"/>
    <w:rsid w:val="00775FAC"/>
    <w:rsid w:val="007768E2"/>
    <w:rsid w:val="00776F05"/>
    <w:rsid w:val="00777357"/>
    <w:rsid w:val="00777EEC"/>
    <w:rsid w:val="0078071F"/>
    <w:rsid w:val="007807EF"/>
    <w:rsid w:val="00780FBD"/>
    <w:rsid w:val="007810EC"/>
    <w:rsid w:val="007812F2"/>
    <w:rsid w:val="00781520"/>
    <w:rsid w:val="0078161B"/>
    <w:rsid w:val="007819CD"/>
    <w:rsid w:val="00781AAC"/>
    <w:rsid w:val="00781D10"/>
    <w:rsid w:val="00782504"/>
    <w:rsid w:val="007831BD"/>
    <w:rsid w:val="0078336C"/>
    <w:rsid w:val="007836B9"/>
    <w:rsid w:val="00783B94"/>
    <w:rsid w:val="00783D4E"/>
    <w:rsid w:val="0078442A"/>
    <w:rsid w:val="007846A4"/>
    <w:rsid w:val="007846CF"/>
    <w:rsid w:val="007848C2"/>
    <w:rsid w:val="00784B0D"/>
    <w:rsid w:val="00784E80"/>
    <w:rsid w:val="00785071"/>
    <w:rsid w:val="0078530D"/>
    <w:rsid w:val="007857B6"/>
    <w:rsid w:val="007857BE"/>
    <w:rsid w:val="007858D2"/>
    <w:rsid w:val="00786738"/>
    <w:rsid w:val="00786883"/>
    <w:rsid w:val="00786BD1"/>
    <w:rsid w:val="00786C60"/>
    <w:rsid w:val="00786CC3"/>
    <w:rsid w:val="00786D11"/>
    <w:rsid w:val="0078704B"/>
    <w:rsid w:val="0078715F"/>
    <w:rsid w:val="0078726E"/>
    <w:rsid w:val="007874E4"/>
    <w:rsid w:val="0078775B"/>
    <w:rsid w:val="00790188"/>
    <w:rsid w:val="007902F7"/>
    <w:rsid w:val="00790495"/>
    <w:rsid w:val="00790771"/>
    <w:rsid w:val="007909C4"/>
    <w:rsid w:val="00790C20"/>
    <w:rsid w:val="00790D29"/>
    <w:rsid w:val="007912E2"/>
    <w:rsid w:val="007918DD"/>
    <w:rsid w:val="00791D6F"/>
    <w:rsid w:val="00791DEA"/>
    <w:rsid w:val="007920F4"/>
    <w:rsid w:val="00792E48"/>
    <w:rsid w:val="0079303A"/>
    <w:rsid w:val="00793252"/>
    <w:rsid w:val="00793A26"/>
    <w:rsid w:val="00793BDF"/>
    <w:rsid w:val="00793EBD"/>
    <w:rsid w:val="007942DE"/>
    <w:rsid w:val="0079447B"/>
    <w:rsid w:val="00794771"/>
    <w:rsid w:val="00794849"/>
    <w:rsid w:val="00794E3C"/>
    <w:rsid w:val="00794F17"/>
    <w:rsid w:val="00795576"/>
    <w:rsid w:val="007958E5"/>
    <w:rsid w:val="00795967"/>
    <w:rsid w:val="00795A15"/>
    <w:rsid w:val="00795A16"/>
    <w:rsid w:val="0079655B"/>
    <w:rsid w:val="007967C9"/>
    <w:rsid w:val="00796C22"/>
    <w:rsid w:val="00796E06"/>
    <w:rsid w:val="00797105"/>
    <w:rsid w:val="007971FD"/>
    <w:rsid w:val="00797478"/>
    <w:rsid w:val="00797569"/>
    <w:rsid w:val="007978B0"/>
    <w:rsid w:val="00797F7C"/>
    <w:rsid w:val="00797FDD"/>
    <w:rsid w:val="007A05B3"/>
    <w:rsid w:val="007A06BB"/>
    <w:rsid w:val="007A084A"/>
    <w:rsid w:val="007A08E2"/>
    <w:rsid w:val="007A0B5B"/>
    <w:rsid w:val="007A0F8C"/>
    <w:rsid w:val="007A1011"/>
    <w:rsid w:val="007A11B7"/>
    <w:rsid w:val="007A1C22"/>
    <w:rsid w:val="007A1E30"/>
    <w:rsid w:val="007A24B3"/>
    <w:rsid w:val="007A2600"/>
    <w:rsid w:val="007A267B"/>
    <w:rsid w:val="007A28D2"/>
    <w:rsid w:val="007A29CD"/>
    <w:rsid w:val="007A2CCE"/>
    <w:rsid w:val="007A3934"/>
    <w:rsid w:val="007A396D"/>
    <w:rsid w:val="007A3BAF"/>
    <w:rsid w:val="007A3CE9"/>
    <w:rsid w:val="007A3F21"/>
    <w:rsid w:val="007A4588"/>
    <w:rsid w:val="007A4786"/>
    <w:rsid w:val="007A4F95"/>
    <w:rsid w:val="007A5171"/>
    <w:rsid w:val="007A528F"/>
    <w:rsid w:val="007A5315"/>
    <w:rsid w:val="007A553B"/>
    <w:rsid w:val="007A5611"/>
    <w:rsid w:val="007A5F60"/>
    <w:rsid w:val="007A6007"/>
    <w:rsid w:val="007A61C4"/>
    <w:rsid w:val="007A6378"/>
    <w:rsid w:val="007A6739"/>
    <w:rsid w:val="007A6924"/>
    <w:rsid w:val="007A693E"/>
    <w:rsid w:val="007A6A13"/>
    <w:rsid w:val="007A6E8C"/>
    <w:rsid w:val="007A6F74"/>
    <w:rsid w:val="007A7039"/>
    <w:rsid w:val="007A70C7"/>
    <w:rsid w:val="007A7459"/>
    <w:rsid w:val="007A7801"/>
    <w:rsid w:val="007A783E"/>
    <w:rsid w:val="007A786D"/>
    <w:rsid w:val="007A79CF"/>
    <w:rsid w:val="007A7BC8"/>
    <w:rsid w:val="007A7C21"/>
    <w:rsid w:val="007B0CF0"/>
    <w:rsid w:val="007B0D6C"/>
    <w:rsid w:val="007B0E51"/>
    <w:rsid w:val="007B0FC1"/>
    <w:rsid w:val="007B1AAF"/>
    <w:rsid w:val="007B1CB3"/>
    <w:rsid w:val="007B1D7B"/>
    <w:rsid w:val="007B2078"/>
    <w:rsid w:val="007B21E3"/>
    <w:rsid w:val="007B241D"/>
    <w:rsid w:val="007B26A8"/>
    <w:rsid w:val="007B3043"/>
    <w:rsid w:val="007B3E9A"/>
    <w:rsid w:val="007B4318"/>
    <w:rsid w:val="007B4582"/>
    <w:rsid w:val="007B47D0"/>
    <w:rsid w:val="007B4A36"/>
    <w:rsid w:val="007B506E"/>
    <w:rsid w:val="007B51EC"/>
    <w:rsid w:val="007B5683"/>
    <w:rsid w:val="007B5D5F"/>
    <w:rsid w:val="007B5DC6"/>
    <w:rsid w:val="007B6534"/>
    <w:rsid w:val="007B6677"/>
    <w:rsid w:val="007B694B"/>
    <w:rsid w:val="007B7168"/>
    <w:rsid w:val="007B726E"/>
    <w:rsid w:val="007B734F"/>
    <w:rsid w:val="007B73A0"/>
    <w:rsid w:val="007B7A17"/>
    <w:rsid w:val="007C017C"/>
    <w:rsid w:val="007C048D"/>
    <w:rsid w:val="007C0706"/>
    <w:rsid w:val="007C0A74"/>
    <w:rsid w:val="007C0EDC"/>
    <w:rsid w:val="007C12B8"/>
    <w:rsid w:val="007C157C"/>
    <w:rsid w:val="007C160B"/>
    <w:rsid w:val="007C1877"/>
    <w:rsid w:val="007C195A"/>
    <w:rsid w:val="007C1B6A"/>
    <w:rsid w:val="007C1F7A"/>
    <w:rsid w:val="007C26F0"/>
    <w:rsid w:val="007C297A"/>
    <w:rsid w:val="007C2D2D"/>
    <w:rsid w:val="007C3401"/>
    <w:rsid w:val="007C36CC"/>
    <w:rsid w:val="007C3E2B"/>
    <w:rsid w:val="007C3E64"/>
    <w:rsid w:val="007C40D3"/>
    <w:rsid w:val="007C5FAC"/>
    <w:rsid w:val="007C6071"/>
    <w:rsid w:val="007C65C0"/>
    <w:rsid w:val="007C6A15"/>
    <w:rsid w:val="007C6AFC"/>
    <w:rsid w:val="007C73EF"/>
    <w:rsid w:val="007C7484"/>
    <w:rsid w:val="007C7D97"/>
    <w:rsid w:val="007D06B4"/>
    <w:rsid w:val="007D1336"/>
    <w:rsid w:val="007D1572"/>
    <w:rsid w:val="007D1A91"/>
    <w:rsid w:val="007D1FAB"/>
    <w:rsid w:val="007D2879"/>
    <w:rsid w:val="007D2D2D"/>
    <w:rsid w:val="007D3069"/>
    <w:rsid w:val="007D3A8D"/>
    <w:rsid w:val="007D3B7B"/>
    <w:rsid w:val="007D3C94"/>
    <w:rsid w:val="007D479D"/>
    <w:rsid w:val="007D4873"/>
    <w:rsid w:val="007D4EDA"/>
    <w:rsid w:val="007D52BB"/>
    <w:rsid w:val="007D554C"/>
    <w:rsid w:val="007D5826"/>
    <w:rsid w:val="007D5EA7"/>
    <w:rsid w:val="007D6F52"/>
    <w:rsid w:val="007D71A7"/>
    <w:rsid w:val="007D7D56"/>
    <w:rsid w:val="007E00F2"/>
    <w:rsid w:val="007E028E"/>
    <w:rsid w:val="007E06B1"/>
    <w:rsid w:val="007E0B57"/>
    <w:rsid w:val="007E1086"/>
    <w:rsid w:val="007E1182"/>
    <w:rsid w:val="007E1FCE"/>
    <w:rsid w:val="007E2C66"/>
    <w:rsid w:val="007E2FB6"/>
    <w:rsid w:val="007E35F4"/>
    <w:rsid w:val="007E373D"/>
    <w:rsid w:val="007E3D0A"/>
    <w:rsid w:val="007E3E32"/>
    <w:rsid w:val="007E4B27"/>
    <w:rsid w:val="007E4F76"/>
    <w:rsid w:val="007E52CC"/>
    <w:rsid w:val="007E54B0"/>
    <w:rsid w:val="007E574F"/>
    <w:rsid w:val="007E5766"/>
    <w:rsid w:val="007E6539"/>
    <w:rsid w:val="007E6704"/>
    <w:rsid w:val="007E6ABA"/>
    <w:rsid w:val="007E6C03"/>
    <w:rsid w:val="007E6DD5"/>
    <w:rsid w:val="007E7A23"/>
    <w:rsid w:val="007E7EF3"/>
    <w:rsid w:val="007E7F79"/>
    <w:rsid w:val="007F004C"/>
    <w:rsid w:val="007F00CF"/>
    <w:rsid w:val="007F0456"/>
    <w:rsid w:val="007F0813"/>
    <w:rsid w:val="007F0A74"/>
    <w:rsid w:val="007F0F62"/>
    <w:rsid w:val="007F15DA"/>
    <w:rsid w:val="007F1661"/>
    <w:rsid w:val="007F1BC4"/>
    <w:rsid w:val="007F24D6"/>
    <w:rsid w:val="007F2881"/>
    <w:rsid w:val="007F2AB4"/>
    <w:rsid w:val="007F2F03"/>
    <w:rsid w:val="007F2F36"/>
    <w:rsid w:val="007F31A7"/>
    <w:rsid w:val="007F3606"/>
    <w:rsid w:val="007F3F2C"/>
    <w:rsid w:val="007F42F4"/>
    <w:rsid w:val="007F54FB"/>
    <w:rsid w:val="007F5509"/>
    <w:rsid w:val="007F55AA"/>
    <w:rsid w:val="007F5DA1"/>
    <w:rsid w:val="007F6232"/>
    <w:rsid w:val="007F6558"/>
    <w:rsid w:val="007F67FE"/>
    <w:rsid w:val="007F6B59"/>
    <w:rsid w:val="007F6B7B"/>
    <w:rsid w:val="007F6F6A"/>
    <w:rsid w:val="007F7371"/>
    <w:rsid w:val="007F78D3"/>
    <w:rsid w:val="007F7EB4"/>
    <w:rsid w:val="007F7F91"/>
    <w:rsid w:val="0080018A"/>
    <w:rsid w:val="00800330"/>
    <w:rsid w:val="0080114F"/>
    <w:rsid w:val="00801975"/>
    <w:rsid w:val="00801C4C"/>
    <w:rsid w:val="00801CF7"/>
    <w:rsid w:val="0080248A"/>
    <w:rsid w:val="00802732"/>
    <w:rsid w:val="008027EE"/>
    <w:rsid w:val="00802A06"/>
    <w:rsid w:val="00802D07"/>
    <w:rsid w:val="00802E67"/>
    <w:rsid w:val="00802ED1"/>
    <w:rsid w:val="00802F0B"/>
    <w:rsid w:val="00803D16"/>
    <w:rsid w:val="00803F75"/>
    <w:rsid w:val="00804208"/>
    <w:rsid w:val="0080433C"/>
    <w:rsid w:val="0080462D"/>
    <w:rsid w:val="00804AEE"/>
    <w:rsid w:val="00804B82"/>
    <w:rsid w:val="00805FA9"/>
    <w:rsid w:val="0080647F"/>
    <w:rsid w:val="00806561"/>
    <w:rsid w:val="0080750E"/>
    <w:rsid w:val="00807C00"/>
    <w:rsid w:val="00807ED1"/>
    <w:rsid w:val="008102A7"/>
    <w:rsid w:val="008102C1"/>
    <w:rsid w:val="008102F0"/>
    <w:rsid w:val="00810305"/>
    <w:rsid w:val="0081063E"/>
    <w:rsid w:val="00810AE6"/>
    <w:rsid w:val="00811266"/>
    <w:rsid w:val="00811909"/>
    <w:rsid w:val="00811913"/>
    <w:rsid w:val="00811DD5"/>
    <w:rsid w:val="00811E84"/>
    <w:rsid w:val="00812357"/>
    <w:rsid w:val="00812AEE"/>
    <w:rsid w:val="00812CFE"/>
    <w:rsid w:val="00813066"/>
    <w:rsid w:val="008137B2"/>
    <w:rsid w:val="0081412F"/>
    <w:rsid w:val="00814337"/>
    <w:rsid w:val="00814898"/>
    <w:rsid w:val="0081493D"/>
    <w:rsid w:val="00814B3A"/>
    <w:rsid w:val="00814DC3"/>
    <w:rsid w:val="008150F4"/>
    <w:rsid w:val="008153EA"/>
    <w:rsid w:val="00815A44"/>
    <w:rsid w:val="00815DCE"/>
    <w:rsid w:val="00816C52"/>
    <w:rsid w:val="00816F26"/>
    <w:rsid w:val="0081721F"/>
    <w:rsid w:val="008176B3"/>
    <w:rsid w:val="00817710"/>
    <w:rsid w:val="00817CE9"/>
    <w:rsid w:val="008202D1"/>
    <w:rsid w:val="008205DA"/>
    <w:rsid w:val="00820F56"/>
    <w:rsid w:val="00820F62"/>
    <w:rsid w:val="008217E6"/>
    <w:rsid w:val="00821896"/>
    <w:rsid w:val="00821B1F"/>
    <w:rsid w:val="008221AB"/>
    <w:rsid w:val="00822956"/>
    <w:rsid w:val="00822957"/>
    <w:rsid w:val="0082337F"/>
    <w:rsid w:val="008233CC"/>
    <w:rsid w:val="008236EA"/>
    <w:rsid w:val="008238BC"/>
    <w:rsid w:val="0082393E"/>
    <w:rsid w:val="00823AED"/>
    <w:rsid w:val="00823C21"/>
    <w:rsid w:val="00823D1C"/>
    <w:rsid w:val="00823D83"/>
    <w:rsid w:val="008240A8"/>
    <w:rsid w:val="00824133"/>
    <w:rsid w:val="008245B3"/>
    <w:rsid w:val="00824953"/>
    <w:rsid w:val="008256B7"/>
    <w:rsid w:val="0082576A"/>
    <w:rsid w:val="00825EEE"/>
    <w:rsid w:val="008262B7"/>
    <w:rsid w:val="008266A4"/>
    <w:rsid w:val="00826767"/>
    <w:rsid w:val="00826AD1"/>
    <w:rsid w:val="00826F9A"/>
    <w:rsid w:val="0082709A"/>
    <w:rsid w:val="00827940"/>
    <w:rsid w:val="00827A76"/>
    <w:rsid w:val="00827C8D"/>
    <w:rsid w:val="00827CA8"/>
    <w:rsid w:val="008304F4"/>
    <w:rsid w:val="00830E71"/>
    <w:rsid w:val="00830F0A"/>
    <w:rsid w:val="008317A6"/>
    <w:rsid w:val="00831D2A"/>
    <w:rsid w:val="00831E0F"/>
    <w:rsid w:val="0083262E"/>
    <w:rsid w:val="00832B65"/>
    <w:rsid w:val="008335CF"/>
    <w:rsid w:val="008339E6"/>
    <w:rsid w:val="00833B11"/>
    <w:rsid w:val="00833B25"/>
    <w:rsid w:val="00833EC1"/>
    <w:rsid w:val="00833F2D"/>
    <w:rsid w:val="008341A0"/>
    <w:rsid w:val="00834206"/>
    <w:rsid w:val="00834213"/>
    <w:rsid w:val="00834E78"/>
    <w:rsid w:val="0083552E"/>
    <w:rsid w:val="00835773"/>
    <w:rsid w:val="008357BA"/>
    <w:rsid w:val="00836197"/>
    <w:rsid w:val="0083636C"/>
    <w:rsid w:val="00836388"/>
    <w:rsid w:val="0083647B"/>
    <w:rsid w:val="00836659"/>
    <w:rsid w:val="008372ED"/>
    <w:rsid w:val="008376B6"/>
    <w:rsid w:val="00837CFF"/>
    <w:rsid w:val="008402DE"/>
    <w:rsid w:val="0084044E"/>
    <w:rsid w:val="008411EB"/>
    <w:rsid w:val="008417C2"/>
    <w:rsid w:val="00841E11"/>
    <w:rsid w:val="0084222F"/>
    <w:rsid w:val="008422E7"/>
    <w:rsid w:val="008424EE"/>
    <w:rsid w:val="00842620"/>
    <w:rsid w:val="00842B83"/>
    <w:rsid w:val="00843260"/>
    <w:rsid w:val="008432FF"/>
    <w:rsid w:val="008438CE"/>
    <w:rsid w:val="00843ABC"/>
    <w:rsid w:val="00843E41"/>
    <w:rsid w:val="008440C9"/>
    <w:rsid w:val="00844CE6"/>
    <w:rsid w:val="008454E9"/>
    <w:rsid w:val="008455A6"/>
    <w:rsid w:val="008458BD"/>
    <w:rsid w:val="00846BD7"/>
    <w:rsid w:val="008477CA"/>
    <w:rsid w:val="00847863"/>
    <w:rsid w:val="00847A84"/>
    <w:rsid w:val="00847BAB"/>
    <w:rsid w:val="00847D5A"/>
    <w:rsid w:val="00847DBB"/>
    <w:rsid w:val="00850D72"/>
    <w:rsid w:val="0085140A"/>
    <w:rsid w:val="008515F6"/>
    <w:rsid w:val="0085171C"/>
    <w:rsid w:val="0085174A"/>
    <w:rsid w:val="008518C9"/>
    <w:rsid w:val="00851BA0"/>
    <w:rsid w:val="00851E91"/>
    <w:rsid w:val="00852096"/>
    <w:rsid w:val="00853A37"/>
    <w:rsid w:val="008540FC"/>
    <w:rsid w:val="00854275"/>
    <w:rsid w:val="00854B37"/>
    <w:rsid w:val="00854C0A"/>
    <w:rsid w:val="00854DDE"/>
    <w:rsid w:val="00855D44"/>
    <w:rsid w:val="00855F3D"/>
    <w:rsid w:val="008569DC"/>
    <w:rsid w:val="00856F12"/>
    <w:rsid w:val="0086015C"/>
    <w:rsid w:val="00860389"/>
    <w:rsid w:val="0086078C"/>
    <w:rsid w:val="00860A92"/>
    <w:rsid w:val="00861137"/>
    <w:rsid w:val="008613D9"/>
    <w:rsid w:val="008617E0"/>
    <w:rsid w:val="00862447"/>
    <w:rsid w:val="008627A7"/>
    <w:rsid w:val="008628E1"/>
    <w:rsid w:val="00862A2E"/>
    <w:rsid w:val="008635D7"/>
    <w:rsid w:val="00863865"/>
    <w:rsid w:val="00864024"/>
    <w:rsid w:val="008647F1"/>
    <w:rsid w:val="00864BE3"/>
    <w:rsid w:val="00864FBA"/>
    <w:rsid w:val="00865072"/>
    <w:rsid w:val="0086560E"/>
    <w:rsid w:val="00865F6F"/>
    <w:rsid w:val="00866460"/>
    <w:rsid w:val="008664EB"/>
    <w:rsid w:val="00866520"/>
    <w:rsid w:val="00866564"/>
    <w:rsid w:val="00866A62"/>
    <w:rsid w:val="00866CCF"/>
    <w:rsid w:val="00866F1E"/>
    <w:rsid w:val="00870542"/>
    <w:rsid w:val="008707C3"/>
    <w:rsid w:val="0087083B"/>
    <w:rsid w:val="00870EB3"/>
    <w:rsid w:val="0087124C"/>
    <w:rsid w:val="008722B6"/>
    <w:rsid w:val="00872426"/>
    <w:rsid w:val="0087271B"/>
    <w:rsid w:val="00872723"/>
    <w:rsid w:val="0087289D"/>
    <w:rsid w:val="00872D3A"/>
    <w:rsid w:val="008734FE"/>
    <w:rsid w:val="00873536"/>
    <w:rsid w:val="00873686"/>
    <w:rsid w:val="00873697"/>
    <w:rsid w:val="008736B1"/>
    <w:rsid w:val="00873804"/>
    <w:rsid w:val="0087425C"/>
    <w:rsid w:val="008745C8"/>
    <w:rsid w:val="0087487F"/>
    <w:rsid w:val="00874B3E"/>
    <w:rsid w:val="00874DF0"/>
    <w:rsid w:val="0087511B"/>
    <w:rsid w:val="00875295"/>
    <w:rsid w:val="00875C8B"/>
    <w:rsid w:val="00875FDD"/>
    <w:rsid w:val="00876435"/>
    <w:rsid w:val="008767FE"/>
    <w:rsid w:val="00876B14"/>
    <w:rsid w:val="00876E27"/>
    <w:rsid w:val="00876E93"/>
    <w:rsid w:val="0087772C"/>
    <w:rsid w:val="00877FA5"/>
    <w:rsid w:val="0088087A"/>
    <w:rsid w:val="008809AE"/>
    <w:rsid w:val="00880C87"/>
    <w:rsid w:val="00881164"/>
    <w:rsid w:val="008811F6"/>
    <w:rsid w:val="00881213"/>
    <w:rsid w:val="00881874"/>
    <w:rsid w:val="00881950"/>
    <w:rsid w:val="00882345"/>
    <w:rsid w:val="00882D12"/>
    <w:rsid w:val="00882ED5"/>
    <w:rsid w:val="008830C7"/>
    <w:rsid w:val="008833BF"/>
    <w:rsid w:val="008834CA"/>
    <w:rsid w:val="00883721"/>
    <w:rsid w:val="00883AD0"/>
    <w:rsid w:val="00883F0A"/>
    <w:rsid w:val="00883F4F"/>
    <w:rsid w:val="00883F5B"/>
    <w:rsid w:val="00883FB5"/>
    <w:rsid w:val="00884162"/>
    <w:rsid w:val="008848F9"/>
    <w:rsid w:val="00884B01"/>
    <w:rsid w:val="00884BE8"/>
    <w:rsid w:val="00884DB7"/>
    <w:rsid w:val="0088584A"/>
    <w:rsid w:val="0088595B"/>
    <w:rsid w:val="008859FE"/>
    <w:rsid w:val="00886354"/>
    <w:rsid w:val="00886617"/>
    <w:rsid w:val="0088667E"/>
    <w:rsid w:val="0088692E"/>
    <w:rsid w:val="00886ABC"/>
    <w:rsid w:val="00886EB4"/>
    <w:rsid w:val="008871B7"/>
    <w:rsid w:val="0088759D"/>
    <w:rsid w:val="00887A01"/>
    <w:rsid w:val="00890161"/>
    <w:rsid w:val="008901E8"/>
    <w:rsid w:val="0089025D"/>
    <w:rsid w:val="0089031C"/>
    <w:rsid w:val="0089053C"/>
    <w:rsid w:val="008908AD"/>
    <w:rsid w:val="008917AC"/>
    <w:rsid w:val="00891912"/>
    <w:rsid w:val="00891A65"/>
    <w:rsid w:val="00891D2D"/>
    <w:rsid w:val="0089219C"/>
    <w:rsid w:val="008922EF"/>
    <w:rsid w:val="0089273D"/>
    <w:rsid w:val="00892F50"/>
    <w:rsid w:val="0089326C"/>
    <w:rsid w:val="00893727"/>
    <w:rsid w:val="00893B87"/>
    <w:rsid w:val="00894394"/>
    <w:rsid w:val="008945EB"/>
    <w:rsid w:val="00894DF7"/>
    <w:rsid w:val="00894E44"/>
    <w:rsid w:val="0089529E"/>
    <w:rsid w:val="00895710"/>
    <w:rsid w:val="00895B9E"/>
    <w:rsid w:val="00895D36"/>
    <w:rsid w:val="0089630E"/>
    <w:rsid w:val="00896332"/>
    <w:rsid w:val="0089664E"/>
    <w:rsid w:val="0089671F"/>
    <w:rsid w:val="00896A13"/>
    <w:rsid w:val="00896E0F"/>
    <w:rsid w:val="0089707B"/>
    <w:rsid w:val="008974DD"/>
    <w:rsid w:val="008976AE"/>
    <w:rsid w:val="00897800"/>
    <w:rsid w:val="00897835"/>
    <w:rsid w:val="008978D7"/>
    <w:rsid w:val="0089798B"/>
    <w:rsid w:val="00897B7B"/>
    <w:rsid w:val="008A036C"/>
    <w:rsid w:val="008A0E43"/>
    <w:rsid w:val="008A15C9"/>
    <w:rsid w:val="008A17B6"/>
    <w:rsid w:val="008A1B56"/>
    <w:rsid w:val="008A1C79"/>
    <w:rsid w:val="008A1CBD"/>
    <w:rsid w:val="008A20D0"/>
    <w:rsid w:val="008A273D"/>
    <w:rsid w:val="008A2A4C"/>
    <w:rsid w:val="008A2A54"/>
    <w:rsid w:val="008A2C6D"/>
    <w:rsid w:val="008A2D22"/>
    <w:rsid w:val="008A2F0C"/>
    <w:rsid w:val="008A3323"/>
    <w:rsid w:val="008A3906"/>
    <w:rsid w:val="008A3C72"/>
    <w:rsid w:val="008A3CC9"/>
    <w:rsid w:val="008A3DE8"/>
    <w:rsid w:val="008A41E6"/>
    <w:rsid w:val="008A4D04"/>
    <w:rsid w:val="008A4D56"/>
    <w:rsid w:val="008A5317"/>
    <w:rsid w:val="008A568F"/>
    <w:rsid w:val="008A5848"/>
    <w:rsid w:val="008A5A3F"/>
    <w:rsid w:val="008A6172"/>
    <w:rsid w:val="008A72D0"/>
    <w:rsid w:val="008A7B01"/>
    <w:rsid w:val="008B0B01"/>
    <w:rsid w:val="008B1CC7"/>
    <w:rsid w:val="008B1CDD"/>
    <w:rsid w:val="008B1CF1"/>
    <w:rsid w:val="008B1D73"/>
    <w:rsid w:val="008B1DDC"/>
    <w:rsid w:val="008B23AE"/>
    <w:rsid w:val="008B2545"/>
    <w:rsid w:val="008B2567"/>
    <w:rsid w:val="008B262C"/>
    <w:rsid w:val="008B2E21"/>
    <w:rsid w:val="008B3751"/>
    <w:rsid w:val="008B37AE"/>
    <w:rsid w:val="008B3CDB"/>
    <w:rsid w:val="008B4051"/>
    <w:rsid w:val="008B4459"/>
    <w:rsid w:val="008B5107"/>
    <w:rsid w:val="008B5312"/>
    <w:rsid w:val="008B5398"/>
    <w:rsid w:val="008B5EC5"/>
    <w:rsid w:val="008B62A4"/>
    <w:rsid w:val="008B63EA"/>
    <w:rsid w:val="008B6928"/>
    <w:rsid w:val="008B6C63"/>
    <w:rsid w:val="008B6CE1"/>
    <w:rsid w:val="008B75AD"/>
    <w:rsid w:val="008B7737"/>
    <w:rsid w:val="008B7F3A"/>
    <w:rsid w:val="008C078E"/>
    <w:rsid w:val="008C0AE2"/>
    <w:rsid w:val="008C0B9D"/>
    <w:rsid w:val="008C0C6D"/>
    <w:rsid w:val="008C0EA6"/>
    <w:rsid w:val="008C0F73"/>
    <w:rsid w:val="008C10C5"/>
    <w:rsid w:val="008C1E9B"/>
    <w:rsid w:val="008C21E7"/>
    <w:rsid w:val="008C22C6"/>
    <w:rsid w:val="008C273D"/>
    <w:rsid w:val="008C29E6"/>
    <w:rsid w:val="008C2C31"/>
    <w:rsid w:val="008C2EC0"/>
    <w:rsid w:val="008C37BE"/>
    <w:rsid w:val="008C39B6"/>
    <w:rsid w:val="008C4188"/>
    <w:rsid w:val="008C436B"/>
    <w:rsid w:val="008C4C30"/>
    <w:rsid w:val="008C4F57"/>
    <w:rsid w:val="008C5035"/>
    <w:rsid w:val="008C5194"/>
    <w:rsid w:val="008C5963"/>
    <w:rsid w:val="008C5A6D"/>
    <w:rsid w:val="008C5E92"/>
    <w:rsid w:val="008C6058"/>
    <w:rsid w:val="008C6078"/>
    <w:rsid w:val="008C6B74"/>
    <w:rsid w:val="008C7295"/>
    <w:rsid w:val="008C749D"/>
    <w:rsid w:val="008C77D6"/>
    <w:rsid w:val="008C798F"/>
    <w:rsid w:val="008C7BFA"/>
    <w:rsid w:val="008C7CFD"/>
    <w:rsid w:val="008D0C80"/>
    <w:rsid w:val="008D0D37"/>
    <w:rsid w:val="008D0FD0"/>
    <w:rsid w:val="008D1970"/>
    <w:rsid w:val="008D1B04"/>
    <w:rsid w:val="008D1B0E"/>
    <w:rsid w:val="008D1D36"/>
    <w:rsid w:val="008D1F58"/>
    <w:rsid w:val="008D25F7"/>
    <w:rsid w:val="008D290C"/>
    <w:rsid w:val="008D3094"/>
    <w:rsid w:val="008D345E"/>
    <w:rsid w:val="008D34FA"/>
    <w:rsid w:val="008D36B3"/>
    <w:rsid w:val="008D3738"/>
    <w:rsid w:val="008D3907"/>
    <w:rsid w:val="008D3BDD"/>
    <w:rsid w:val="008D4005"/>
    <w:rsid w:val="008D46C3"/>
    <w:rsid w:val="008D4BB0"/>
    <w:rsid w:val="008D5746"/>
    <w:rsid w:val="008D58B4"/>
    <w:rsid w:val="008D58C1"/>
    <w:rsid w:val="008D5CF4"/>
    <w:rsid w:val="008D601F"/>
    <w:rsid w:val="008D66B3"/>
    <w:rsid w:val="008D67CB"/>
    <w:rsid w:val="008D6ECC"/>
    <w:rsid w:val="008D6EF6"/>
    <w:rsid w:val="008D7027"/>
    <w:rsid w:val="008D72B5"/>
    <w:rsid w:val="008D7683"/>
    <w:rsid w:val="008D7C6F"/>
    <w:rsid w:val="008D7DF5"/>
    <w:rsid w:val="008D7F4E"/>
    <w:rsid w:val="008E0075"/>
    <w:rsid w:val="008E00E9"/>
    <w:rsid w:val="008E0DFF"/>
    <w:rsid w:val="008E1A27"/>
    <w:rsid w:val="008E1EA2"/>
    <w:rsid w:val="008E218A"/>
    <w:rsid w:val="008E24DC"/>
    <w:rsid w:val="008E275E"/>
    <w:rsid w:val="008E2B27"/>
    <w:rsid w:val="008E3CD3"/>
    <w:rsid w:val="008E3D4D"/>
    <w:rsid w:val="008E3D57"/>
    <w:rsid w:val="008E4308"/>
    <w:rsid w:val="008E4B23"/>
    <w:rsid w:val="008E55C9"/>
    <w:rsid w:val="008E5601"/>
    <w:rsid w:val="008E5EA7"/>
    <w:rsid w:val="008E64BE"/>
    <w:rsid w:val="008E6855"/>
    <w:rsid w:val="008E6B80"/>
    <w:rsid w:val="008E6D9B"/>
    <w:rsid w:val="008E75C7"/>
    <w:rsid w:val="008E7647"/>
    <w:rsid w:val="008E77B2"/>
    <w:rsid w:val="008E79C6"/>
    <w:rsid w:val="008F02DE"/>
    <w:rsid w:val="008F0558"/>
    <w:rsid w:val="008F0786"/>
    <w:rsid w:val="008F0B8F"/>
    <w:rsid w:val="008F0C84"/>
    <w:rsid w:val="008F0CB9"/>
    <w:rsid w:val="008F0CBC"/>
    <w:rsid w:val="008F0E38"/>
    <w:rsid w:val="008F17DA"/>
    <w:rsid w:val="008F19A5"/>
    <w:rsid w:val="008F1B7A"/>
    <w:rsid w:val="008F20D5"/>
    <w:rsid w:val="008F243D"/>
    <w:rsid w:val="008F25C8"/>
    <w:rsid w:val="008F28A3"/>
    <w:rsid w:val="008F2CF7"/>
    <w:rsid w:val="008F2D61"/>
    <w:rsid w:val="008F3703"/>
    <w:rsid w:val="008F3F98"/>
    <w:rsid w:val="008F3FA3"/>
    <w:rsid w:val="008F43C9"/>
    <w:rsid w:val="008F4EA9"/>
    <w:rsid w:val="008F572C"/>
    <w:rsid w:val="008F5804"/>
    <w:rsid w:val="008F632D"/>
    <w:rsid w:val="008F659C"/>
    <w:rsid w:val="008F6BE8"/>
    <w:rsid w:val="008F75DE"/>
    <w:rsid w:val="008F7637"/>
    <w:rsid w:val="008F774B"/>
    <w:rsid w:val="008F79DE"/>
    <w:rsid w:val="008F7A09"/>
    <w:rsid w:val="008F7FAC"/>
    <w:rsid w:val="009000C6"/>
    <w:rsid w:val="009001DF"/>
    <w:rsid w:val="009004A9"/>
    <w:rsid w:val="009005AF"/>
    <w:rsid w:val="009009A6"/>
    <w:rsid w:val="00900A71"/>
    <w:rsid w:val="00900F63"/>
    <w:rsid w:val="0090112C"/>
    <w:rsid w:val="0090137D"/>
    <w:rsid w:val="00901EF3"/>
    <w:rsid w:val="00902279"/>
    <w:rsid w:val="00902704"/>
    <w:rsid w:val="00903117"/>
    <w:rsid w:val="00903325"/>
    <w:rsid w:val="00903B2B"/>
    <w:rsid w:val="00903E2C"/>
    <w:rsid w:val="00904013"/>
    <w:rsid w:val="00904498"/>
    <w:rsid w:val="00904817"/>
    <w:rsid w:val="009049FF"/>
    <w:rsid w:val="00905797"/>
    <w:rsid w:val="00905906"/>
    <w:rsid w:val="00905EF7"/>
    <w:rsid w:val="00906584"/>
    <w:rsid w:val="00906A9C"/>
    <w:rsid w:val="00906E0F"/>
    <w:rsid w:val="00906E9E"/>
    <w:rsid w:val="00906EB0"/>
    <w:rsid w:val="00906F4F"/>
    <w:rsid w:val="0090764E"/>
    <w:rsid w:val="00907FC4"/>
    <w:rsid w:val="00910516"/>
    <w:rsid w:val="00910EDC"/>
    <w:rsid w:val="00910F89"/>
    <w:rsid w:val="0091105D"/>
    <w:rsid w:val="0091198E"/>
    <w:rsid w:val="00911E8A"/>
    <w:rsid w:val="00912341"/>
    <w:rsid w:val="00912C28"/>
    <w:rsid w:val="00912CA9"/>
    <w:rsid w:val="00912FE3"/>
    <w:rsid w:val="009133DD"/>
    <w:rsid w:val="009134A3"/>
    <w:rsid w:val="00913596"/>
    <w:rsid w:val="00913628"/>
    <w:rsid w:val="009138A0"/>
    <w:rsid w:val="00913A31"/>
    <w:rsid w:val="00913E5C"/>
    <w:rsid w:val="00913F71"/>
    <w:rsid w:val="009141AD"/>
    <w:rsid w:val="009141F9"/>
    <w:rsid w:val="009147A3"/>
    <w:rsid w:val="00915362"/>
    <w:rsid w:val="009154C1"/>
    <w:rsid w:val="00915837"/>
    <w:rsid w:val="00915EDE"/>
    <w:rsid w:val="00915FD4"/>
    <w:rsid w:val="009160C5"/>
    <w:rsid w:val="009160D0"/>
    <w:rsid w:val="009171D6"/>
    <w:rsid w:val="0091792E"/>
    <w:rsid w:val="00917FF2"/>
    <w:rsid w:val="00920850"/>
    <w:rsid w:val="00920880"/>
    <w:rsid w:val="00920B5B"/>
    <w:rsid w:val="00920CBC"/>
    <w:rsid w:val="00920F5D"/>
    <w:rsid w:val="0092125D"/>
    <w:rsid w:val="009215CC"/>
    <w:rsid w:val="00921734"/>
    <w:rsid w:val="009218EE"/>
    <w:rsid w:val="009219D6"/>
    <w:rsid w:val="00921D7D"/>
    <w:rsid w:val="00921EE4"/>
    <w:rsid w:val="00922409"/>
    <w:rsid w:val="00923198"/>
    <w:rsid w:val="00923254"/>
    <w:rsid w:val="00923386"/>
    <w:rsid w:val="009235B8"/>
    <w:rsid w:val="009239F9"/>
    <w:rsid w:val="00923ACF"/>
    <w:rsid w:val="00923BFE"/>
    <w:rsid w:val="00923F59"/>
    <w:rsid w:val="0092410B"/>
    <w:rsid w:val="0092485D"/>
    <w:rsid w:val="00924C08"/>
    <w:rsid w:val="00924C54"/>
    <w:rsid w:val="00924D44"/>
    <w:rsid w:val="00924E0D"/>
    <w:rsid w:val="00925076"/>
    <w:rsid w:val="00925CBA"/>
    <w:rsid w:val="00925F30"/>
    <w:rsid w:val="00926B36"/>
    <w:rsid w:val="00926E6A"/>
    <w:rsid w:val="009270DB"/>
    <w:rsid w:val="00927367"/>
    <w:rsid w:val="009275D0"/>
    <w:rsid w:val="00927C0D"/>
    <w:rsid w:val="00927E60"/>
    <w:rsid w:val="00927EAD"/>
    <w:rsid w:val="009308A9"/>
    <w:rsid w:val="00930CDA"/>
    <w:rsid w:val="009313FE"/>
    <w:rsid w:val="0093264C"/>
    <w:rsid w:val="00932841"/>
    <w:rsid w:val="0093292B"/>
    <w:rsid w:val="00932C7C"/>
    <w:rsid w:val="00932D82"/>
    <w:rsid w:val="009335C1"/>
    <w:rsid w:val="009339F1"/>
    <w:rsid w:val="00933C6E"/>
    <w:rsid w:val="00933FE5"/>
    <w:rsid w:val="0093453C"/>
    <w:rsid w:val="00934788"/>
    <w:rsid w:val="00934CCD"/>
    <w:rsid w:val="00934EBE"/>
    <w:rsid w:val="009351E8"/>
    <w:rsid w:val="00935DDC"/>
    <w:rsid w:val="00935E74"/>
    <w:rsid w:val="009361E2"/>
    <w:rsid w:val="00936207"/>
    <w:rsid w:val="0093641D"/>
    <w:rsid w:val="00936C8F"/>
    <w:rsid w:val="009373EC"/>
    <w:rsid w:val="0093797D"/>
    <w:rsid w:val="00937CDC"/>
    <w:rsid w:val="009403E0"/>
    <w:rsid w:val="00940530"/>
    <w:rsid w:val="009407F4"/>
    <w:rsid w:val="00941251"/>
    <w:rsid w:val="009414F6"/>
    <w:rsid w:val="00941A48"/>
    <w:rsid w:val="009424BF"/>
    <w:rsid w:val="00942609"/>
    <w:rsid w:val="00942E5F"/>
    <w:rsid w:val="009431D2"/>
    <w:rsid w:val="00943B11"/>
    <w:rsid w:val="00943EB9"/>
    <w:rsid w:val="00943FBA"/>
    <w:rsid w:val="00944D77"/>
    <w:rsid w:val="0094526A"/>
    <w:rsid w:val="009455DF"/>
    <w:rsid w:val="009461E1"/>
    <w:rsid w:val="0094620D"/>
    <w:rsid w:val="00946707"/>
    <w:rsid w:val="00946CC0"/>
    <w:rsid w:val="0094700E"/>
    <w:rsid w:val="0094737C"/>
    <w:rsid w:val="009473A9"/>
    <w:rsid w:val="00947883"/>
    <w:rsid w:val="00947E68"/>
    <w:rsid w:val="00950020"/>
    <w:rsid w:val="009501C0"/>
    <w:rsid w:val="009503D0"/>
    <w:rsid w:val="00950507"/>
    <w:rsid w:val="00950D48"/>
    <w:rsid w:val="00950D6C"/>
    <w:rsid w:val="009510E1"/>
    <w:rsid w:val="00951459"/>
    <w:rsid w:val="009518DD"/>
    <w:rsid w:val="00951E94"/>
    <w:rsid w:val="009524B0"/>
    <w:rsid w:val="00952C06"/>
    <w:rsid w:val="00952C40"/>
    <w:rsid w:val="009530FF"/>
    <w:rsid w:val="00953BDB"/>
    <w:rsid w:val="00953F2E"/>
    <w:rsid w:val="00953FEB"/>
    <w:rsid w:val="00954983"/>
    <w:rsid w:val="009558E4"/>
    <w:rsid w:val="00955DDB"/>
    <w:rsid w:val="00955F05"/>
    <w:rsid w:val="0095630A"/>
    <w:rsid w:val="00956542"/>
    <w:rsid w:val="009566F2"/>
    <w:rsid w:val="00956C4C"/>
    <w:rsid w:val="00956ECC"/>
    <w:rsid w:val="009576AD"/>
    <w:rsid w:val="00957A21"/>
    <w:rsid w:val="00957EF3"/>
    <w:rsid w:val="00961224"/>
    <w:rsid w:val="00961886"/>
    <w:rsid w:val="009623D3"/>
    <w:rsid w:val="0096248A"/>
    <w:rsid w:val="009626AE"/>
    <w:rsid w:val="009626F8"/>
    <w:rsid w:val="00962FC0"/>
    <w:rsid w:val="00963562"/>
    <w:rsid w:val="009638D0"/>
    <w:rsid w:val="00963A43"/>
    <w:rsid w:val="00963B1F"/>
    <w:rsid w:val="00963CF6"/>
    <w:rsid w:val="0096435B"/>
    <w:rsid w:val="009643F0"/>
    <w:rsid w:val="009646E3"/>
    <w:rsid w:val="00964E85"/>
    <w:rsid w:val="0096520A"/>
    <w:rsid w:val="00965DEA"/>
    <w:rsid w:val="00965DF3"/>
    <w:rsid w:val="0096605B"/>
    <w:rsid w:val="00966566"/>
    <w:rsid w:val="00966B06"/>
    <w:rsid w:val="0096708F"/>
    <w:rsid w:val="00967320"/>
    <w:rsid w:val="00967575"/>
    <w:rsid w:val="00967E1C"/>
    <w:rsid w:val="00967F5F"/>
    <w:rsid w:val="00970103"/>
    <w:rsid w:val="00970264"/>
    <w:rsid w:val="0097092D"/>
    <w:rsid w:val="00970A66"/>
    <w:rsid w:val="00971664"/>
    <w:rsid w:val="00971A5D"/>
    <w:rsid w:val="00971BBB"/>
    <w:rsid w:val="00972347"/>
    <w:rsid w:val="009731DE"/>
    <w:rsid w:val="00973638"/>
    <w:rsid w:val="00973892"/>
    <w:rsid w:val="00973FC5"/>
    <w:rsid w:val="0097430E"/>
    <w:rsid w:val="00974506"/>
    <w:rsid w:val="00974B50"/>
    <w:rsid w:val="00975393"/>
    <w:rsid w:val="00975C14"/>
    <w:rsid w:val="00975E1E"/>
    <w:rsid w:val="00975FA5"/>
    <w:rsid w:val="00976532"/>
    <w:rsid w:val="0097675B"/>
    <w:rsid w:val="00976F04"/>
    <w:rsid w:val="00976F31"/>
    <w:rsid w:val="00976FE3"/>
    <w:rsid w:val="0097709B"/>
    <w:rsid w:val="009773C5"/>
    <w:rsid w:val="00977490"/>
    <w:rsid w:val="00980164"/>
    <w:rsid w:val="009801A6"/>
    <w:rsid w:val="009803C7"/>
    <w:rsid w:val="00980DEC"/>
    <w:rsid w:val="00980E4E"/>
    <w:rsid w:val="0098115F"/>
    <w:rsid w:val="00981599"/>
    <w:rsid w:val="00981858"/>
    <w:rsid w:val="00982264"/>
    <w:rsid w:val="009825A0"/>
    <w:rsid w:val="00982608"/>
    <w:rsid w:val="00982823"/>
    <w:rsid w:val="00982CB2"/>
    <w:rsid w:val="00982F5C"/>
    <w:rsid w:val="009832D3"/>
    <w:rsid w:val="0098354F"/>
    <w:rsid w:val="009837E5"/>
    <w:rsid w:val="00983A5C"/>
    <w:rsid w:val="00984301"/>
    <w:rsid w:val="0098464B"/>
    <w:rsid w:val="00984EAE"/>
    <w:rsid w:val="00985320"/>
    <w:rsid w:val="00985C73"/>
    <w:rsid w:val="00986775"/>
    <w:rsid w:val="00986AE6"/>
    <w:rsid w:val="00986BCF"/>
    <w:rsid w:val="00986C03"/>
    <w:rsid w:val="00986C05"/>
    <w:rsid w:val="00986DAC"/>
    <w:rsid w:val="009872C2"/>
    <w:rsid w:val="009904DB"/>
    <w:rsid w:val="009906E7"/>
    <w:rsid w:val="00990A9F"/>
    <w:rsid w:val="00990F48"/>
    <w:rsid w:val="00991376"/>
    <w:rsid w:val="009918CE"/>
    <w:rsid w:val="009919EE"/>
    <w:rsid w:val="00991A19"/>
    <w:rsid w:val="00991F98"/>
    <w:rsid w:val="00992083"/>
    <w:rsid w:val="009925AC"/>
    <w:rsid w:val="009928CE"/>
    <w:rsid w:val="0099316C"/>
    <w:rsid w:val="009931F8"/>
    <w:rsid w:val="0099332A"/>
    <w:rsid w:val="0099360C"/>
    <w:rsid w:val="00993885"/>
    <w:rsid w:val="00993C4E"/>
    <w:rsid w:val="0099427E"/>
    <w:rsid w:val="00994A8F"/>
    <w:rsid w:val="00995370"/>
    <w:rsid w:val="0099583C"/>
    <w:rsid w:val="00995AA7"/>
    <w:rsid w:val="00996228"/>
    <w:rsid w:val="00996438"/>
    <w:rsid w:val="00996B2C"/>
    <w:rsid w:val="00996CA4"/>
    <w:rsid w:val="00996DD1"/>
    <w:rsid w:val="009970B8"/>
    <w:rsid w:val="00997E31"/>
    <w:rsid w:val="00997F2A"/>
    <w:rsid w:val="009A0304"/>
    <w:rsid w:val="009A0530"/>
    <w:rsid w:val="009A05E4"/>
    <w:rsid w:val="009A104B"/>
    <w:rsid w:val="009A11D5"/>
    <w:rsid w:val="009A125F"/>
    <w:rsid w:val="009A15E5"/>
    <w:rsid w:val="009A1A0B"/>
    <w:rsid w:val="009A1BCB"/>
    <w:rsid w:val="009A2088"/>
    <w:rsid w:val="009A211D"/>
    <w:rsid w:val="009A24E9"/>
    <w:rsid w:val="009A3318"/>
    <w:rsid w:val="009A375F"/>
    <w:rsid w:val="009A448D"/>
    <w:rsid w:val="009A4771"/>
    <w:rsid w:val="009A4A6C"/>
    <w:rsid w:val="009A503B"/>
    <w:rsid w:val="009A53A9"/>
    <w:rsid w:val="009A6074"/>
    <w:rsid w:val="009A62DE"/>
    <w:rsid w:val="009A6451"/>
    <w:rsid w:val="009A6BBB"/>
    <w:rsid w:val="009A6F78"/>
    <w:rsid w:val="009A7B71"/>
    <w:rsid w:val="009A7E16"/>
    <w:rsid w:val="009A7EA4"/>
    <w:rsid w:val="009B002D"/>
    <w:rsid w:val="009B057C"/>
    <w:rsid w:val="009B081E"/>
    <w:rsid w:val="009B089D"/>
    <w:rsid w:val="009B09EB"/>
    <w:rsid w:val="009B0CD6"/>
    <w:rsid w:val="009B0DEF"/>
    <w:rsid w:val="009B179A"/>
    <w:rsid w:val="009B1ED3"/>
    <w:rsid w:val="009B21CB"/>
    <w:rsid w:val="009B239B"/>
    <w:rsid w:val="009B255E"/>
    <w:rsid w:val="009B26D1"/>
    <w:rsid w:val="009B27BE"/>
    <w:rsid w:val="009B2840"/>
    <w:rsid w:val="009B28CA"/>
    <w:rsid w:val="009B2C60"/>
    <w:rsid w:val="009B2E63"/>
    <w:rsid w:val="009B2EB8"/>
    <w:rsid w:val="009B34BA"/>
    <w:rsid w:val="009B36AA"/>
    <w:rsid w:val="009B3D4D"/>
    <w:rsid w:val="009B41D9"/>
    <w:rsid w:val="009B44C3"/>
    <w:rsid w:val="009B48D6"/>
    <w:rsid w:val="009B4B84"/>
    <w:rsid w:val="009B4BC0"/>
    <w:rsid w:val="009B4D4B"/>
    <w:rsid w:val="009B4DF4"/>
    <w:rsid w:val="009B51F2"/>
    <w:rsid w:val="009B6043"/>
    <w:rsid w:val="009B6051"/>
    <w:rsid w:val="009B64DD"/>
    <w:rsid w:val="009B659F"/>
    <w:rsid w:val="009B6678"/>
    <w:rsid w:val="009B66F9"/>
    <w:rsid w:val="009B69A5"/>
    <w:rsid w:val="009B6B22"/>
    <w:rsid w:val="009B7090"/>
    <w:rsid w:val="009B7118"/>
    <w:rsid w:val="009B74AF"/>
    <w:rsid w:val="009B765C"/>
    <w:rsid w:val="009B77A9"/>
    <w:rsid w:val="009B7CFD"/>
    <w:rsid w:val="009B7E80"/>
    <w:rsid w:val="009B7F3F"/>
    <w:rsid w:val="009C116E"/>
    <w:rsid w:val="009C1613"/>
    <w:rsid w:val="009C1974"/>
    <w:rsid w:val="009C1BCA"/>
    <w:rsid w:val="009C1CEC"/>
    <w:rsid w:val="009C237C"/>
    <w:rsid w:val="009C27DF"/>
    <w:rsid w:val="009C31B1"/>
    <w:rsid w:val="009C3742"/>
    <w:rsid w:val="009C3E13"/>
    <w:rsid w:val="009C411D"/>
    <w:rsid w:val="009C433A"/>
    <w:rsid w:val="009C4656"/>
    <w:rsid w:val="009C48CC"/>
    <w:rsid w:val="009C4B21"/>
    <w:rsid w:val="009C5A1F"/>
    <w:rsid w:val="009C5C38"/>
    <w:rsid w:val="009C61DA"/>
    <w:rsid w:val="009C655C"/>
    <w:rsid w:val="009C65EB"/>
    <w:rsid w:val="009C6DF2"/>
    <w:rsid w:val="009C700F"/>
    <w:rsid w:val="009C7337"/>
    <w:rsid w:val="009C7BF7"/>
    <w:rsid w:val="009C7FE6"/>
    <w:rsid w:val="009D0129"/>
    <w:rsid w:val="009D0281"/>
    <w:rsid w:val="009D0318"/>
    <w:rsid w:val="009D0364"/>
    <w:rsid w:val="009D0BAA"/>
    <w:rsid w:val="009D0C22"/>
    <w:rsid w:val="009D1143"/>
    <w:rsid w:val="009D119B"/>
    <w:rsid w:val="009D15E4"/>
    <w:rsid w:val="009D1726"/>
    <w:rsid w:val="009D17E9"/>
    <w:rsid w:val="009D1DB3"/>
    <w:rsid w:val="009D1E5E"/>
    <w:rsid w:val="009D242B"/>
    <w:rsid w:val="009D2452"/>
    <w:rsid w:val="009D2948"/>
    <w:rsid w:val="009D39A2"/>
    <w:rsid w:val="009D3ECA"/>
    <w:rsid w:val="009D4239"/>
    <w:rsid w:val="009D428A"/>
    <w:rsid w:val="009D469E"/>
    <w:rsid w:val="009D4910"/>
    <w:rsid w:val="009D4BEC"/>
    <w:rsid w:val="009D52AB"/>
    <w:rsid w:val="009D6221"/>
    <w:rsid w:val="009D62CD"/>
    <w:rsid w:val="009D6B8F"/>
    <w:rsid w:val="009D7254"/>
    <w:rsid w:val="009D78A5"/>
    <w:rsid w:val="009E15A0"/>
    <w:rsid w:val="009E1B98"/>
    <w:rsid w:val="009E1E7B"/>
    <w:rsid w:val="009E2223"/>
    <w:rsid w:val="009E2900"/>
    <w:rsid w:val="009E2AE4"/>
    <w:rsid w:val="009E2AFE"/>
    <w:rsid w:val="009E31D8"/>
    <w:rsid w:val="009E3426"/>
    <w:rsid w:val="009E34C1"/>
    <w:rsid w:val="009E368F"/>
    <w:rsid w:val="009E36AF"/>
    <w:rsid w:val="009E3AA0"/>
    <w:rsid w:val="009E3BE9"/>
    <w:rsid w:val="009E3D97"/>
    <w:rsid w:val="009E3E3E"/>
    <w:rsid w:val="009E3E98"/>
    <w:rsid w:val="009E41B8"/>
    <w:rsid w:val="009E44B2"/>
    <w:rsid w:val="009E4900"/>
    <w:rsid w:val="009E4A3B"/>
    <w:rsid w:val="009E4C64"/>
    <w:rsid w:val="009E504F"/>
    <w:rsid w:val="009E58CA"/>
    <w:rsid w:val="009E5BEC"/>
    <w:rsid w:val="009E5C0A"/>
    <w:rsid w:val="009E5DDD"/>
    <w:rsid w:val="009E6080"/>
    <w:rsid w:val="009E6223"/>
    <w:rsid w:val="009E73FB"/>
    <w:rsid w:val="009E7511"/>
    <w:rsid w:val="009F0625"/>
    <w:rsid w:val="009F0B33"/>
    <w:rsid w:val="009F0B51"/>
    <w:rsid w:val="009F0C60"/>
    <w:rsid w:val="009F0E9E"/>
    <w:rsid w:val="009F0FDC"/>
    <w:rsid w:val="009F1889"/>
    <w:rsid w:val="009F23F8"/>
    <w:rsid w:val="009F2757"/>
    <w:rsid w:val="009F275E"/>
    <w:rsid w:val="009F2855"/>
    <w:rsid w:val="009F2D2A"/>
    <w:rsid w:val="009F30D3"/>
    <w:rsid w:val="009F32BA"/>
    <w:rsid w:val="009F35AD"/>
    <w:rsid w:val="009F38CA"/>
    <w:rsid w:val="009F3D54"/>
    <w:rsid w:val="009F3F19"/>
    <w:rsid w:val="009F40F0"/>
    <w:rsid w:val="009F45BF"/>
    <w:rsid w:val="009F4842"/>
    <w:rsid w:val="009F4C97"/>
    <w:rsid w:val="009F4D54"/>
    <w:rsid w:val="009F4DE5"/>
    <w:rsid w:val="009F4F31"/>
    <w:rsid w:val="009F51E2"/>
    <w:rsid w:val="009F5593"/>
    <w:rsid w:val="009F5821"/>
    <w:rsid w:val="009F60C8"/>
    <w:rsid w:val="009F6136"/>
    <w:rsid w:val="009F616F"/>
    <w:rsid w:val="009F6205"/>
    <w:rsid w:val="009F6375"/>
    <w:rsid w:val="009F67C4"/>
    <w:rsid w:val="009F6862"/>
    <w:rsid w:val="009F6B6F"/>
    <w:rsid w:val="009F6CA3"/>
    <w:rsid w:val="009F6D57"/>
    <w:rsid w:val="009F71FC"/>
    <w:rsid w:val="009F73FF"/>
    <w:rsid w:val="009F7A97"/>
    <w:rsid w:val="009F7BEA"/>
    <w:rsid w:val="009F7E1B"/>
    <w:rsid w:val="00A0017D"/>
    <w:rsid w:val="00A005EC"/>
    <w:rsid w:val="00A00843"/>
    <w:rsid w:val="00A008FB"/>
    <w:rsid w:val="00A009E4"/>
    <w:rsid w:val="00A00A1E"/>
    <w:rsid w:val="00A00C1B"/>
    <w:rsid w:val="00A00FF3"/>
    <w:rsid w:val="00A01435"/>
    <w:rsid w:val="00A018B4"/>
    <w:rsid w:val="00A023E8"/>
    <w:rsid w:val="00A02A03"/>
    <w:rsid w:val="00A02CD8"/>
    <w:rsid w:val="00A0313C"/>
    <w:rsid w:val="00A033CF"/>
    <w:rsid w:val="00A0353B"/>
    <w:rsid w:val="00A03790"/>
    <w:rsid w:val="00A037B5"/>
    <w:rsid w:val="00A0413A"/>
    <w:rsid w:val="00A0474E"/>
    <w:rsid w:val="00A04880"/>
    <w:rsid w:val="00A04ACA"/>
    <w:rsid w:val="00A04B5B"/>
    <w:rsid w:val="00A04ECD"/>
    <w:rsid w:val="00A0508D"/>
    <w:rsid w:val="00A05664"/>
    <w:rsid w:val="00A05942"/>
    <w:rsid w:val="00A05C9A"/>
    <w:rsid w:val="00A05CB1"/>
    <w:rsid w:val="00A05F3D"/>
    <w:rsid w:val="00A061E5"/>
    <w:rsid w:val="00A06894"/>
    <w:rsid w:val="00A0702F"/>
    <w:rsid w:val="00A07060"/>
    <w:rsid w:val="00A070ED"/>
    <w:rsid w:val="00A0768E"/>
    <w:rsid w:val="00A077CD"/>
    <w:rsid w:val="00A07AC7"/>
    <w:rsid w:val="00A07B25"/>
    <w:rsid w:val="00A10775"/>
    <w:rsid w:val="00A10A4D"/>
    <w:rsid w:val="00A10D22"/>
    <w:rsid w:val="00A112D8"/>
    <w:rsid w:val="00A117EA"/>
    <w:rsid w:val="00A11A1F"/>
    <w:rsid w:val="00A11AC2"/>
    <w:rsid w:val="00A11E89"/>
    <w:rsid w:val="00A1231E"/>
    <w:rsid w:val="00A1258A"/>
    <w:rsid w:val="00A128F1"/>
    <w:rsid w:val="00A12DDA"/>
    <w:rsid w:val="00A12F4F"/>
    <w:rsid w:val="00A12F9D"/>
    <w:rsid w:val="00A13835"/>
    <w:rsid w:val="00A13A26"/>
    <w:rsid w:val="00A13E8B"/>
    <w:rsid w:val="00A13F45"/>
    <w:rsid w:val="00A13F89"/>
    <w:rsid w:val="00A14223"/>
    <w:rsid w:val="00A1432B"/>
    <w:rsid w:val="00A1461F"/>
    <w:rsid w:val="00A14C46"/>
    <w:rsid w:val="00A1511E"/>
    <w:rsid w:val="00A1521D"/>
    <w:rsid w:val="00A15404"/>
    <w:rsid w:val="00A15AD1"/>
    <w:rsid w:val="00A16183"/>
    <w:rsid w:val="00A162F5"/>
    <w:rsid w:val="00A163BC"/>
    <w:rsid w:val="00A1653D"/>
    <w:rsid w:val="00A16596"/>
    <w:rsid w:val="00A16A28"/>
    <w:rsid w:val="00A17392"/>
    <w:rsid w:val="00A17508"/>
    <w:rsid w:val="00A17672"/>
    <w:rsid w:val="00A1770F"/>
    <w:rsid w:val="00A2089D"/>
    <w:rsid w:val="00A20C0A"/>
    <w:rsid w:val="00A20C4A"/>
    <w:rsid w:val="00A20CE9"/>
    <w:rsid w:val="00A212F9"/>
    <w:rsid w:val="00A21EC5"/>
    <w:rsid w:val="00A21F9A"/>
    <w:rsid w:val="00A22BE3"/>
    <w:rsid w:val="00A2319D"/>
    <w:rsid w:val="00A232FC"/>
    <w:rsid w:val="00A23360"/>
    <w:rsid w:val="00A23411"/>
    <w:rsid w:val="00A2348F"/>
    <w:rsid w:val="00A23B33"/>
    <w:rsid w:val="00A23C95"/>
    <w:rsid w:val="00A23D66"/>
    <w:rsid w:val="00A242A2"/>
    <w:rsid w:val="00A2486F"/>
    <w:rsid w:val="00A248C7"/>
    <w:rsid w:val="00A24C3B"/>
    <w:rsid w:val="00A24CA4"/>
    <w:rsid w:val="00A24E67"/>
    <w:rsid w:val="00A24E75"/>
    <w:rsid w:val="00A250BA"/>
    <w:rsid w:val="00A25C50"/>
    <w:rsid w:val="00A25D44"/>
    <w:rsid w:val="00A260D5"/>
    <w:rsid w:val="00A263AC"/>
    <w:rsid w:val="00A301E8"/>
    <w:rsid w:val="00A305E3"/>
    <w:rsid w:val="00A307B9"/>
    <w:rsid w:val="00A3086D"/>
    <w:rsid w:val="00A30A4D"/>
    <w:rsid w:val="00A30BEC"/>
    <w:rsid w:val="00A31BC4"/>
    <w:rsid w:val="00A322D0"/>
    <w:rsid w:val="00A329F9"/>
    <w:rsid w:val="00A32D51"/>
    <w:rsid w:val="00A32F5D"/>
    <w:rsid w:val="00A32F92"/>
    <w:rsid w:val="00A334F7"/>
    <w:rsid w:val="00A33941"/>
    <w:rsid w:val="00A33950"/>
    <w:rsid w:val="00A33A79"/>
    <w:rsid w:val="00A34198"/>
    <w:rsid w:val="00A341B7"/>
    <w:rsid w:val="00A34B34"/>
    <w:rsid w:val="00A351BC"/>
    <w:rsid w:val="00A36024"/>
    <w:rsid w:val="00A3604B"/>
    <w:rsid w:val="00A3681C"/>
    <w:rsid w:val="00A36A72"/>
    <w:rsid w:val="00A401D2"/>
    <w:rsid w:val="00A407F8"/>
    <w:rsid w:val="00A40A83"/>
    <w:rsid w:val="00A40E40"/>
    <w:rsid w:val="00A40EAF"/>
    <w:rsid w:val="00A40F80"/>
    <w:rsid w:val="00A41150"/>
    <w:rsid w:val="00A41688"/>
    <w:rsid w:val="00A4193B"/>
    <w:rsid w:val="00A41996"/>
    <w:rsid w:val="00A41DC4"/>
    <w:rsid w:val="00A429CA"/>
    <w:rsid w:val="00A42CF8"/>
    <w:rsid w:val="00A433AF"/>
    <w:rsid w:val="00A43426"/>
    <w:rsid w:val="00A4382D"/>
    <w:rsid w:val="00A43ACE"/>
    <w:rsid w:val="00A44089"/>
    <w:rsid w:val="00A442C1"/>
    <w:rsid w:val="00A442D1"/>
    <w:rsid w:val="00A44A45"/>
    <w:rsid w:val="00A452F5"/>
    <w:rsid w:val="00A4530F"/>
    <w:rsid w:val="00A45794"/>
    <w:rsid w:val="00A459B0"/>
    <w:rsid w:val="00A45BBE"/>
    <w:rsid w:val="00A45FBC"/>
    <w:rsid w:val="00A4609B"/>
    <w:rsid w:val="00A4663B"/>
    <w:rsid w:val="00A46771"/>
    <w:rsid w:val="00A4684A"/>
    <w:rsid w:val="00A47846"/>
    <w:rsid w:val="00A47CC5"/>
    <w:rsid w:val="00A47D96"/>
    <w:rsid w:val="00A47D98"/>
    <w:rsid w:val="00A502A3"/>
    <w:rsid w:val="00A5061F"/>
    <w:rsid w:val="00A506A9"/>
    <w:rsid w:val="00A50B01"/>
    <w:rsid w:val="00A50CB1"/>
    <w:rsid w:val="00A50DC7"/>
    <w:rsid w:val="00A51497"/>
    <w:rsid w:val="00A51874"/>
    <w:rsid w:val="00A528FE"/>
    <w:rsid w:val="00A52D69"/>
    <w:rsid w:val="00A52E77"/>
    <w:rsid w:val="00A52F3A"/>
    <w:rsid w:val="00A537DC"/>
    <w:rsid w:val="00A539BE"/>
    <w:rsid w:val="00A5442C"/>
    <w:rsid w:val="00A54769"/>
    <w:rsid w:val="00A5505C"/>
    <w:rsid w:val="00A55D45"/>
    <w:rsid w:val="00A562FC"/>
    <w:rsid w:val="00A56BB1"/>
    <w:rsid w:val="00A56DA1"/>
    <w:rsid w:val="00A570C1"/>
    <w:rsid w:val="00A572B5"/>
    <w:rsid w:val="00A577A1"/>
    <w:rsid w:val="00A577D2"/>
    <w:rsid w:val="00A5784A"/>
    <w:rsid w:val="00A57BEC"/>
    <w:rsid w:val="00A603E0"/>
    <w:rsid w:val="00A606C3"/>
    <w:rsid w:val="00A607BA"/>
    <w:rsid w:val="00A608F8"/>
    <w:rsid w:val="00A60B22"/>
    <w:rsid w:val="00A60E57"/>
    <w:rsid w:val="00A60FEB"/>
    <w:rsid w:val="00A6109D"/>
    <w:rsid w:val="00A616F9"/>
    <w:rsid w:val="00A61E1F"/>
    <w:rsid w:val="00A61EA9"/>
    <w:rsid w:val="00A638DE"/>
    <w:rsid w:val="00A63A00"/>
    <w:rsid w:val="00A64342"/>
    <w:rsid w:val="00A644EA"/>
    <w:rsid w:val="00A650B9"/>
    <w:rsid w:val="00A650D2"/>
    <w:rsid w:val="00A6513B"/>
    <w:rsid w:val="00A651D0"/>
    <w:rsid w:val="00A65339"/>
    <w:rsid w:val="00A6582D"/>
    <w:rsid w:val="00A658B7"/>
    <w:rsid w:val="00A65D37"/>
    <w:rsid w:val="00A6613B"/>
    <w:rsid w:val="00A66638"/>
    <w:rsid w:val="00A66859"/>
    <w:rsid w:val="00A66F5F"/>
    <w:rsid w:val="00A670CF"/>
    <w:rsid w:val="00A679CD"/>
    <w:rsid w:val="00A700E8"/>
    <w:rsid w:val="00A7046A"/>
    <w:rsid w:val="00A7078D"/>
    <w:rsid w:val="00A70D92"/>
    <w:rsid w:val="00A71010"/>
    <w:rsid w:val="00A71A37"/>
    <w:rsid w:val="00A721CE"/>
    <w:rsid w:val="00A7278D"/>
    <w:rsid w:val="00A7322A"/>
    <w:rsid w:val="00A735FF"/>
    <w:rsid w:val="00A73D48"/>
    <w:rsid w:val="00A73D4D"/>
    <w:rsid w:val="00A73F11"/>
    <w:rsid w:val="00A74240"/>
    <w:rsid w:val="00A74513"/>
    <w:rsid w:val="00A74EDF"/>
    <w:rsid w:val="00A75700"/>
    <w:rsid w:val="00A76B23"/>
    <w:rsid w:val="00A76E2D"/>
    <w:rsid w:val="00A773A2"/>
    <w:rsid w:val="00A775DB"/>
    <w:rsid w:val="00A77BE7"/>
    <w:rsid w:val="00A77E80"/>
    <w:rsid w:val="00A80392"/>
    <w:rsid w:val="00A80545"/>
    <w:rsid w:val="00A818DC"/>
    <w:rsid w:val="00A8257B"/>
    <w:rsid w:val="00A82AF9"/>
    <w:rsid w:val="00A82D73"/>
    <w:rsid w:val="00A83311"/>
    <w:rsid w:val="00A83409"/>
    <w:rsid w:val="00A83A31"/>
    <w:rsid w:val="00A83B82"/>
    <w:rsid w:val="00A83C31"/>
    <w:rsid w:val="00A83E4A"/>
    <w:rsid w:val="00A83EA4"/>
    <w:rsid w:val="00A83F1D"/>
    <w:rsid w:val="00A83F20"/>
    <w:rsid w:val="00A83F5E"/>
    <w:rsid w:val="00A848CB"/>
    <w:rsid w:val="00A8535F"/>
    <w:rsid w:val="00A85DC3"/>
    <w:rsid w:val="00A866BA"/>
    <w:rsid w:val="00A86A04"/>
    <w:rsid w:val="00A86A80"/>
    <w:rsid w:val="00A8704D"/>
    <w:rsid w:val="00A870A5"/>
    <w:rsid w:val="00A87602"/>
    <w:rsid w:val="00A87A91"/>
    <w:rsid w:val="00A87CD4"/>
    <w:rsid w:val="00A90000"/>
    <w:rsid w:val="00A9049F"/>
    <w:rsid w:val="00A908F0"/>
    <w:rsid w:val="00A91134"/>
    <w:rsid w:val="00A914CA"/>
    <w:rsid w:val="00A91692"/>
    <w:rsid w:val="00A920A9"/>
    <w:rsid w:val="00A92655"/>
    <w:rsid w:val="00A9291B"/>
    <w:rsid w:val="00A930A8"/>
    <w:rsid w:val="00A932C8"/>
    <w:rsid w:val="00A9340C"/>
    <w:rsid w:val="00A93702"/>
    <w:rsid w:val="00A93A12"/>
    <w:rsid w:val="00A93C7A"/>
    <w:rsid w:val="00A94316"/>
    <w:rsid w:val="00A944E4"/>
    <w:rsid w:val="00A94597"/>
    <w:rsid w:val="00A9462B"/>
    <w:rsid w:val="00A94875"/>
    <w:rsid w:val="00A94B8D"/>
    <w:rsid w:val="00A94BC2"/>
    <w:rsid w:val="00A95540"/>
    <w:rsid w:val="00A9591B"/>
    <w:rsid w:val="00A95C59"/>
    <w:rsid w:val="00A95ED9"/>
    <w:rsid w:val="00A96401"/>
    <w:rsid w:val="00A96F73"/>
    <w:rsid w:val="00A973D5"/>
    <w:rsid w:val="00A9795D"/>
    <w:rsid w:val="00A97AD3"/>
    <w:rsid w:val="00AA02F6"/>
    <w:rsid w:val="00AA057F"/>
    <w:rsid w:val="00AA0580"/>
    <w:rsid w:val="00AA08A2"/>
    <w:rsid w:val="00AA08FC"/>
    <w:rsid w:val="00AA09DD"/>
    <w:rsid w:val="00AA0CED"/>
    <w:rsid w:val="00AA100A"/>
    <w:rsid w:val="00AA1367"/>
    <w:rsid w:val="00AA167B"/>
    <w:rsid w:val="00AA19AE"/>
    <w:rsid w:val="00AA1B41"/>
    <w:rsid w:val="00AA1C34"/>
    <w:rsid w:val="00AA200A"/>
    <w:rsid w:val="00AA218F"/>
    <w:rsid w:val="00AA2534"/>
    <w:rsid w:val="00AA3039"/>
    <w:rsid w:val="00AA3092"/>
    <w:rsid w:val="00AA3342"/>
    <w:rsid w:val="00AA367E"/>
    <w:rsid w:val="00AA36DD"/>
    <w:rsid w:val="00AA389A"/>
    <w:rsid w:val="00AA3994"/>
    <w:rsid w:val="00AA3A9C"/>
    <w:rsid w:val="00AA3EA0"/>
    <w:rsid w:val="00AA4139"/>
    <w:rsid w:val="00AA44E1"/>
    <w:rsid w:val="00AA4BE1"/>
    <w:rsid w:val="00AA4E25"/>
    <w:rsid w:val="00AA5208"/>
    <w:rsid w:val="00AA5646"/>
    <w:rsid w:val="00AA5C0F"/>
    <w:rsid w:val="00AA65DB"/>
    <w:rsid w:val="00AA66CB"/>
    <w:rsid w:val="00AA72EF"/>
    <w:rsid w:val="00AA7487"/>
    <w:rsid w:val="00AA782C"/>
    <w:rsid w:val="00AB01E9"/>
    <w:rsid w:val="00AB026B"/>
    <w:rsid w:val="00AB06C7"/>
    <w:rsid w:val="00AB0F3A"/>
    <w:rsid w:val="00AB1247"/>
    <w:rsid w:val="00AB1498"/>
    <w:rsid w:val="00AB1517"/>
    <w:rsid w:val="00AB15D2"/>
    <w:rsid w:val="00AB15DC"/>
    <w:rsid w:val="00AB21F3"/>
    <w:rsid w:val="00AB2716"/>
    <w:rsid w:val="00AB271E"/>
    <w:rsid w:val="00AB2D3C"/>
    <w:rsid w:val="00AB3379"/>
    <w:rsid w:val="00AB3811"/>
    <w:rsid w:val="00AB3AC5"/>
    <w:rsid w:val="00AB3C55"/>
    <w:rsid w:val="00AB3C73"/>
    <w:rsid w:val="00AB41A1"/>
    <w:rsid w:val="00AB438B"/>
    <w:rsid w:val="00AB4AFB"/>
    <w:rsid w:val="00AB4CD4"/>
    <w:rsid w:val="00AB4DAF"/>
    <w:rsid w:val="00AB4FF7"/>
    <w:rsid w:val="00AB5148"/>
    <w:rsid w:val="00AB5386"/>
    <w:rsid w:val="00AB57C1"/>
    <w:rsid w:val="00AB59CA"/>
    <w:rsid w:val="00AB5A55"/>
    <w:rsid w:val="00AB5C05"/>
    <w:rsid w:val="00AB5E51"/>
    <w:rsid w:val="00AB5ECF"/>
    <w:rsid w:val="00AB5EDE"/>
    <w:rsid w:val="00AB5F82"/>
    <w:rsid w:val="00AB5F9F"/>
    <w:rsid w:val="00AB632A"/>
    <w:rsid w:val="00AB6FD6"/>
    <w:rsid w:val="00AB70A4"/>
    <w:rsid w:val="00AB73F2"/>
    <w:rsid w:val="00AB7F98"/>
    <w:rsid w:val="00AC0138"/>
    <w:rsid w:val="00AC0740"/>
    <w:rsid w:val="00AC0B7A"/>
    <w:rsid w:val="00AC0BBF"/>
    <w:rsid w:val="00AC0D32"/>
    <w:rsid w:val="00AC0D6E"/>
    <w:rsid w:val="00AC1373"/>
    <w:rsid w:val="00AC1500"/>
    <w:rsid w:val="00AC19D7"/>
    <w:rsid w:val="00AC1AFE"/>
    <w:rsid w:val="00AC22E2"/>
    <w:rsid w:val="00AC27BB"/>
    <w:rsid w:val="00AC3349"/>
    <w:rsid w:val="00AC3466"/>
    <w:rsid w:val="00AC36A5"/>
    <w:rsid w:val="00AC3B77"/>
    <w:rsid w:val="00AC3C17"/>
    <w:rsid w:val="00AC3D75"/>
    <w:rsid w:val="00AC3E1B"/>
    <w:rsid w:val="00AC45AD"/>
    <w:rsid w:val="00AC480D"/>
    <w:rsid w:val="00AC4CED"/>
    <w:rsid w:val="00AC5053"/>
    <w:rsid w:val="00AC5197"/>
    <w:rsid w:val="00AC5585"/>
    <w:rsid w:val="00AC5961"/>
    <w:rsid w:val="00AC5B5A"/>
    <w:rsid w:val="00AC6139"/>
    <w:rsid w:val="00AC6866"/>
    <w:rsid w:val="00AC6B6E"/>
    <w:rsid w:val="00AC6B82"/>
    <w:rsid w:val="00AC6BD0"/>
    <w:rsid w:val="00AC6D62"/>
    <w:rsid w:val="00AC6F61"/>
    <w:rsid w:val="00AC6FA6"/>
    <w:rsid w:val="00AC7AB2"/>
    <w:rsid w:val="00AC7D74"/>
    <w:rsid w:val="00AD0371"/>
    <w:rsid w:val="00AD038D"/>
    <w:rsid w:val="00AD071C"/>
    <w:rsid w:val="00AD09EE"/>
    <w:rsid w:val="00AD0A21"/>
    <w:rsid w:val="00AD0A31"/>
    <w:rsid w:val="00AD194E"/>
    <w:rsid w:val="00AD1B8F"/>
    <w:rsid w:val="00AD1BEF"/>
    <w:rsid w:val="00AD1C94"/>
    <w:rsid w:val="00AD1E85"/>
    <w:rsid w:val="00AD273A"/>
    <w:rsid w:val="00AD2783"/>
    <w:rsid w:val="00AD2820"/>
    <w:rsid w:val="00AD28AF"/>
    <w:rsid w:val="00AD2FBF"/>
    <w:rsid w:val="00AD30CF"/>
    <w:rsid w:val="00AD36A1"/>
    <w:rsid w:val="00AD3718"/>
    <w:rsid w:val="00AD4031"/>
    <w:rsid w:val="00AD407C"/>
    <w:rsid w:val="00AD4239"/>
    <w:rsid w:val="00AD48A2"/>
    <w:rsid w:val="00AD4958"/>
    <w:rsid w:val="00AD4962"/>
    <w:rsid w:val="00AD4B0F"/>
    <w:rsid w:val="00AD4E75"/>
    <w:rsid w:val="00AD4EEF"/>
    <w:rsid w:val="00AD4F02"/>
    <w:rsid w:val="00AD55BD"/>
    <w:rsid w:val="00AD5A80"/>
    <w:rsid w:val="00AD5BDB"/>
    <w:rsid w:val="00AD5CFB"/>
    <w:rsid w:val="00AD5D39"/>
    <w:rsid w:val="00AD5DEF"/>
    <w:rsid w:val="00AD622D"/>
    <w:rsid w:val="00AD6697"/>
    <w:rsid w:val="00AD69B8"/>
    <w:rsid w:val="00AD746A"/>
    <w:rsid w:val="00AD7577"/>
    <w:rsid w:val="00AD764C"/>
    <w:rsid w:val="00AD77F2"/>
    <w:rsid w:val="00AD7BDB"/>
    <w:rsid w:val="00AD7E45"/>
    <w:rsid w:val="00AD7EAC"/>
    <w:rsid w:val="00AD7F1E"/>
    <w:rsid w:val="00AE01C2"/>
    <w:rsid w:val="00AE08D3"/>
    <w:rsid w:val="00AE08E6"/>
    <w:rsid w:val="00AE0CAC"/>
    <w:rsid w:val="00AE0DDA"/>
    <w:rsid w:val="00AE0E50"/>
    <w:rsid w:val="00AE127E"/>
    <w:rsid w:val="00AE14B9"/>
    <w:rsid w:val="00AE16FE"/>
    <w:rsid w:val="00AE1AA8"/>
    <w:rsid w:val="00AE1E73"/>
    <w:rsid w:val="00AE2161"/>
    <w:rsid w:val="00AE231E"/>
    <w:rsid w:val="00AE27DA"/>
    <w:rsid w:val="00AE2834"/>
    <w:rsid w:val="00AE28EE"/>
    <w:rsid w:val="00AE2B52"/>
    <w:rsid w:val="00AE2ECA"/>
    <w:rsid w:val="00AE3427"/>
    <w:rsid w:val="00AE3C39"/>
    <w:rsid w:val="00AE3CA7"/>
    <w:rsid w:val="00AE3FC4"/>
    <w:rsid w:val="00AE41E7"/>
    <w:rsid w:val="00AE45DA"/>
    <w:rsid w:val="00AE4716"/>
    <w:rsid w:val="00AE4EBB"/>
    <w:rsid w:val="00AE563A"/>
    <w:rsid w:val="00AE66FF"/>
    <w:rsid w:val="00AE6EA2"/>
    <w:rsid w:val="00AE760E"/>
    <w:rsid w:val="00AE773D"/>
    <w:rsid w:val="00AE7DDF"/>
    <w:rsid w:val="00AF071D"/>
    <w:rsid w:val="00AF0C02"/>
    <w:rsid w:val="00AF0D87"/>
    <w:rsid w:val="00AF0E1E"/>
    <w:rsid w:val="00AF0F00"/>
    <w:rsid w:val="00AF1121"/>
    <w:rsid w:val="00AF11F2"/>
    <w:rsid w:val="00AF12CC"/>
    <w:rsid w:val="00AF187C"/>
    <w:rsid w:val="00AF1DEF"/>
    <w:rsid w:val="00AF2062"/>
    <w:rsid w:val="00AF2202"/>
    <w:rsid w:val="00AF32EA"/>
    <w:rsid w:val="00AF362F"/>
    <w:rsid w:val="00AF38CF"/>
    <w:rsid w:val="00AF4AD4"/>
    <w:rsid w:val="00AF59D9"/>
    <w:rsid w:val="00AF61C2"/>
    <w:rsid w:val="00AF6EA1"/>
    <w:rsid w:val="00AF72EE"/>
    <w:rsid w:val="00AF730E"/>
    <w:rsid w:val="00AF7B27"/>
    <w:rsid w:val="00AF7DAA"/>
    <w:rsid w:val="00B0009E"/>
    <w:rsid w:val="00B0068B"/>
    <w:rsid w:val="00B00779"/>
    <w:rsid w:val="00B0095A"/>
    <w:rsid w:val="00B0096B"/>
    <w:rsid w:val="00B00EA2"/>
    <w:rsid w:val="00B01AFA"/>
    <w:rsid w:val="00B01BF2"/>
    <w:rsid w:val="00B02009"/>
    <w:rsid w:val="00B02A26"/>
    <w:rsid w:val="00B030AB"/>
    <w:rsid w:val="00B030C0"/>
    <w:rsid w:val="00B03644"/>
    <w:rsid w:val="00B03B09"/>
    <w:rsid w:val="00B04BF3"/>
    <w:rsid w:val="00B052D0"/>
    <w:rsid w:val="00B05A09"/>
    <w:rsid w:val="00B05AFE"/>
    <w:rsid w:val="00B0607F"/>
    <w:rsid w:val="00B06408"/>
    <w:rsid w:val="00B06678"/>
    <w:rsid w:val="00B06837"/>
    <w:rsid w:val="00B06B49"/>
    <w:rsid w:val="00B06D7E"/>
    <w:rsid w:val="00B074EC"/>
    <w:rsid w:val="00B104BB"/>
    <w:rsid w:val="00B104F0"/>
    <w:rsid w:val="00B108EF"/>
    <w:rsid w:val="00B10CB6"/>
    <w:rsid w:val="00B10DCB"/>
    <w:rsid w:val="00B10DD7"/>
    <w:rsid w:val="00B11655"/>
    <w:rsid w:val="00B11960"/>
    <w:rsid w:val="00B11D68"/>
    <w:rsid w:val="00B12067"/>
    <w:rsid w:val="00B126F9"/>
    <w:rsid w:val="00B12877"/>
    <w:rsid w:val="00B12D63"/>
    <w:rsid w:val="00B137D4"/>
    <w:rsid w:val="00B13912"/>
    <w:rsid w:val="00B13C67"/>
    <w:rsid w:val="00B13C6F"/>
    <w:rsid w:val="00B13E37"/>
    <w:rsid w:val="00B14653"/>
    <w:rsid w:val="00B14820"/>
    <w:rsid w:val="00B14843"/>
    <w:rsid w:val="00B14CAF"/>
    <w:rsid w:val="00B14D93"/>
    <w:rsid w:val="00B14DF0"/>
    <w:rsid w:val="00B15574"/>
    <w:rsid w:val="00B15F70"/>
    <w:rsid w:val="00B15FF5"/>
    <w:rsid w:val="00B1641E"/>
    <w:rsid w:val="00B16996"/>
    <w:rsid w:val="00B16CC0"/>
    <w:rsid w:val="00B16EF5"/>
    <w:rsid w:val="00B176B9"/>
    <w:rsid w:val="00B1784B"/>
    <w:rsid w:val="00B1794C"/>
    <w:rsid w:val="00B17F5B"/>
    <w:rsid w:val="00B20022"/>
    <w:rsid w:val="00B20322"/>
    <w:rsid w:val="00B203C2"/>
    <w:rsid w:val="00B205CC"/>
    <w:rsid w:val="00B20F27"/>
    <w:rsid w:val="00B21081"/>
    <w:rsid w:val="00B210B1"/>
    <w:rsid w:val="00B210FE"/>
    <w:rsid w:val="00B21285"/>
    <w:rsid w:val="00B218D6"/>
    <w:rsid w:val="00B21E0F"/>
    <w:rsid w:val="00B21F1C"/>
    <w:rsid w:val="00B221BD"/>
    <w:rsid w:val="00B2228D"/>
    <w:rsid w:val="00B22588"/>
    <w:rsid w:val="00B225CB"/>
    <w:rsid w:val="00B227DE"/>
    <w:rsid w:val="00B232DB"/>
    <w:rsid w:val="00B23C74"/>
    <w:rsid w:val="00B2425D"/>
    <w:rsid w:val="00B24A0A"/>
    <w:rsid w:val="00B24DE9"/>
    <w:rsid w:val="00B25289"/>
    <w:rsid w:val="00B252BC"/>
    <w:rsid w:val="00B256B2"/>
    <w:rsid w:val="00B257B1"/>
    <w:rsid w:val="00B25805"/>
    <w:rsid w:val="00B259C0"/>
    <w:rsid w:val="00B25B3B"/>
    <w:rsid w:val="00B25B58"/>
    <w:rsid w:val="00B26061"/>
    <w:rsid w:val="00B2615F"/>
    <w:rsid w:val="00B262B1"/>
    <w:rsid w:val="00B267C2"/>
    <w:rsid w:val="00B2682D"/>
    <w:rsid w:val="00B26BFA"/>
    <w:rsid w:val="00B26C8F"/>
    <w:rsid w:val="00B26D29"/>
    <w:rsid w:val="00B26DF3"/>
    <w:rsid w:val="00B279C0"/>
    <w:rsid w:val="00B27B88"/>
    <w:rsid w:val="00B27F08"/>
    <w:rsid w:val="00B2FAB6"/>
    <w:rsid w:val="00B301FA"/>
    <w:rsid w:val="00B30250"/>
    <w:rsid w:val="00B303E4"/>
    <w:rsid w:val="00B30847"/>
    <w:rsid w:val="00B30869"/>
    <w:rsid w:val="00B31134"/>
    <w:rsid w:val="00B3142D"/>
    <w:rsid w:val="00B31754"/>
    <w:rsid w:val="00B31A4F"/>
    <w:rsid w:val="00B31E0C"/>
    <w:rsid w:val="00B320AC"/>
    <w:rsid w:val="00B32248"/>
    <w:rsid w:val="00B322DA"/>
    <w:rsid w:val="00B32534"/>
    <w:rsid w:val="00B32966"/>
    <w:rsid w:val="00B32CB0"/>
    <w:rsid w:val="00B32DAF"/>
    <w:rsid w:val="00B3310C"/>
    <w:rsid w:val="00B339F1"/>
    <w:rsid w:val="00B33B51"/>
    <w:rsid w:val="00B33DD4"/>
    <w:rsid w:val="00B33F3E"/>
    <w:rsid w:val="00B343F7"/>
    <w:rsid w:val="00B34D7D"/>
    <w:rsid w:val="00B3537D"/>
    <w:rsid w:val="00B359B4"/>
    <w:rsid w:val="00B35E8D"/>
    <w:rsid w:val="00B35F8E"/>
    <w:rsid w:val="00B362D1"/>
    <w:rsid w:val="00B363D8"/>
    <w:rsid w:val="00B36688"/>
    <w:rsid w:val="00B3696B"/>
    <w:rsid w:val="00B36F8F"/>
    <w:rsid w:val="00B3772A"/>
    <w:rsid w:val="00B37EB9"/>
    <w:rsid w:val="00B40292"/>
    <w:rsid w:val="00B40320"/>
    <w:rsid w:val="00B4098F"/>
    <w:rsid w:val="00B41231"/>
    <w:rsid w:val="00B41DE6"/>
    <w:rsid w:val="00B42548"/>
    <w:rsid w:val="00B432B8"/>
    <w:rsid w:val="00B43509"/>
    <w:rsid w:val="00B437C7"/>
    <w:rsid w:val="00B437D8"/>
    <w:rsid w:val="00B43A20"/>
    <w:rsid w:val="00B43B7F"/>
    <w:rsid w:val="00B43F77"/>
    <w:rsid w:val="00B43FC4"/>
    <w:rsid w:val="00B44066"/>
    <w:rsid w:val="00B440C2"/>
    <w:rsid w:val="00B4474E"/>
    <w:rsid w:val="00B448A1"/>
    <w:rsid w:val="00B448AA"/>
    <w:rsid w:val="00B448AB"/>
    <w:rsid w:val="00B44D43"/>
    <w:rsid w:val="00B44DE4"/>
    <w:rsid w:val="00B45089"/>
    <w:rsid w:val="00B454A0"/>
    <w:rsid w:val="00B45501"/>
    <w:rsid w:val="00B45B38"/>
    <w:rsid w:val="00B46123"/>
    <w:rsid w:val="00B46230"/>
    <w:rsid w:val="00B46360"/>
    <w:rsid w:val="00B465B8"/>
    <w:rsid w:val="00B469D5"/>
    <w:rsid w:val="00B46AFB"/>
    <w:rsid w:val="00B46E8C"/>
    <w:rsid w:val="00B46FBD"/>
    <w:rsid w:val="00B47003"/>
    <w:rsid w:val="00B47672"/>
    <w:rsid w:val="00B4778D"/>
    <w:rsid w:val="00B47A16"/>
    <w:rsid w:val="00B50511"/>
    <w:rsid w:val="00B5081A"/>
    <w:rsid w:val="00B509E7"/>
    <w:rsid w:val="00B50AD5"/>
    <w:rsid w:val="00B5134D"/>
    <w:rsid w:val="00B51C46"/>
    <w:rsid w:val="00B51D46"/>
    <w:rsid w:val="00B51E29"/>
    <w:rsid w:val="00B52671"/>
    <w:rsid w:val="00B52A12"/>
    <w:rsid w:val="00B52ADC"/>
    <w:rsid w:val="00B53013"/>
    <w:rsid w:val="00B53030"/>
    <w:rsid w:val="00B53530"/>
    <w:rsid w:val="00B53770"/>
    <w:rsid w:val="00B53921"/>
    <w:rsid w:val="00B53D17"/>
    <w:rsid w:val="00B54211"/>
    <w:rsid w:val="00B54748"/>
    <w:rsid w:val="00B54D9E"/>
    <w:rsid w:val="00B54DF4"/>
    <w:rsid w:val="00B54F01"/>
    <w:rsid w:val="00B55945"/>
    <w:rsid w:val="00B55DAF"/>
    <w:rsid w:val="00B55F0B"/>
    <w:rsid w:val="00B56137"/>
    <w:rsid w:val="00B56175"/>
    <w:rsid w:val="00B568AD"/>
    <w:rsid w:val="00B56CA4"/>
    <w:rsid w:val="00B570E7"/>
    <w:rsid w:val="00B5771B"/>
    <w:rsid w:val="00B57845"/>
    <w:rsid w:val="00B6044B"/>
    <w:rsid w:val="00B6052C"/>
    <w:rsid w:val="00B605B0"/>
    <w:rsid w:val="00B60726"/>
    <w:rsid w:val="00B6083F"/>
    <w:rsid w:val="00B60E36"/>
    <w:rsid w:val="00B613A8"/>
    <w:rsid w:val="00B61812"/>
    <w:rsid w:val="00B61958"/>
    <w:rsid w:val="00B619B6"/>
    <w:rsid w:val="00B620CA"/>
    <w:rsid w:val="00B623AE"/>
    <w:rsid w:val="00B628A1"/>
    <w:rsid w:val="00B62D26"/>
    <w:rsid w:val="00B62E5A"/>
    <w:rsid w:val="00B63126"/>
    <w:rsid w:val="00B635EA"/>
    <w:rsid w:val="00B63AB2"/>
    <w:rsid w:val="00B63B29"/>
    <w:rsid w:val="00B63D81"/>
    <w:rsid w:val="00B64491"/>
    <w:rsid w:val="00B6456A"/>
    <w:rsid w:val="00B6489F"/>
    <w:rsid w:val="00B64CA4"/>
    <w:rsid w:val="00B65792"/>
    <w:rsid w:val="00B65CFF"/>
    <w:rsid w:val="00B669C7"/>
    <w:rsid w:val="00B66E91"/>
    <w:rsid w:val="00B672F6"/>
    <w:rsid w:val="00B6771B"/>
    <w:rsid w:val="00B67F80"/>
    <w:rsid w:val="00B70028"/>
    <w:rsid w:val="00B706F8"/>
    <w:rsid w:val="00B70AC2"/>
    <w:rsid w:val="00B70AC8"/>
    <w:rsid w:val="00B70D78"/>
    <w:rsid w:val="00B7103F"/>
    <w:rsid w:val="00B714DA"/>
    <w:rsid w:val="00B71869"/>
    <w:rsid w:val="00B72A2B"/>
    <w:rsid w:val="00B72ABE"/>
    <w:rsid w:val="00B72EF5"/>
    <w:rsid w:val="00B738E1"/>
    <w:rsid w:val="00B73ABB"/>
    <w:rsid w:val="00B741BE"/>
    <w:rsid w:val="00B7472D"/>
    <w:rsid w:val="00B74DA0"/>
    <w:rsid w:val="00B75086"/>
    <w:rsid w:val="00B753C8"/>
    <w:rsid w:val="00B7573A"/>
    <w:rsid w:val="00B75845"/>
    <w:rsid w:val="00B75CBB"/>
    <w:rsid w:val="00B7621C"/>
    <w:rsid w:val="00B762C3"/>
    <w:rsid w:val="00B76408"/>
    <w:rsid w:val="00B76EAB"/>
    <w:rsid w:val="00B76F54"/>
    <w:rsid w:val="00B7717E"/>
    <w:rsid w:val="00B77478"/>
    <w:rsid w:val="00B775B4"/>
    <w:rsid w:val="00B77840"/>
    <w:rsid w:val="00B77C7A"/>
    <w:rsid w:val="00B77DD5"/>
    <w:rsid w:val="00B804F6"/>
    <w:rsid w:val="00B806AE"/>
    <w:rsid w:val="00B80974"/>
    <w:rsid w:val="00B80D25"/>
    <w:rsid w:val="00B80E8A"/>
    <w:rsid w:val="00B81043"/>
    <w:rsid w:val="00B810A0"/>
    <w:rsid w:val="00B81EC3"/>
    <w:rsid w:val="00B827D6"/>
    <w:rsid w:val="00B82CA3"/>
    <w:rsid w:val="00B83351"/>
    <w:rsid w:val="00B836BA"/>
    <w:rsid w:val="00B838B6"/>
    <w:rsid w:val="00B850BB"/>
    <w:rsid w:val="00B852AF"/>
    <w:rsid w:val="00B8531E"/>
    <w:rsid w:val="00B853A6"/>
    <w:rsid w:val="00B8550C"/>
    <w:rsid w:val="00B85C87"/>
    <w:rsid w:val="00B85DE0"/>
    <w:rsid w:val="00B85F28"/>
    <w:rsid w:val="00B86279"/>
    <w:rsid w:val="00B863CF"/>
    <w:rsid w:val="00B865F2"/>
    <w:rsid w:val="00B86ABB"/>
    <w:rsid w:val="00B876DA"/>
    <w:rsid w:val="00B877E8"/>
    <w:rsid w:val="00B901C3"/>
    <w:rsid w:val="00B90973"/>
    <w:rsid w:val="00B912A9"/>
    <w:rsid w:val="00B9134F"/>
    <w:rsid w:val="00B91A59"/>
    <w:rsid w:val="00B91CC2"/>
    <w:rsid w:val="00B91E59"/>
    <w:rsid w:val="00B91FD7"/>
    <w:rsid w:val="00B930AD"/>
    <w:rsid w:val="00B931F0"/>
    <w:rsid w:val="00B9356E"/>
    <w:rsid w:val="00B93A79"/>
    <w:rsid w:val="00B93E2F"/>
    <w:rsid w:val="00B944A6"/>
    <w:rsid w:val="00B944D2"/>
    <w:rsid w:val="00B952C5"/>
    <w:rsid w:val="00B95356"/>
    <w:rsid w:val="00B95834"/>
    <w:rsid w:val="00B95C7F"/>
    <w:rsid w:val="00B95F3D"/>
    <w:rsid w:val="00B97667"/>
    <w:rsid w:val="00B97940"/>
    <w:rsid w:val="00B97C12"/>
    <w:rsid w:val="00BA04C4"/>
    <w:rsid w:val="00BA05B9"/>
    <w:rsid w:val="00BA1843"/>
    <w:rsid w:val="00BA1966"/>
    <w:rsid w:val="00BA1ACA"/>
    <w:rsid w:val="00BA1BA7"/>
    <w:rsid w:val="00BA21E6"/>
    <w:rsid w:val="00BA2E5E"/>
    <w:rsid w:val="00BA2FEF"/>
    <w:rsid w:val="00BA3692"/>
    <w:rsid w:val="00BA38F6"/>
    <w:rsid w:val="00BA38FD"/>
    <w:rsid w:val="00BA3C39"/>
    <w:rsid w:val="00BA3E20"/>
    <w:rsid w:val="00BA3F7B"/>
    <w:rsid w:val="00BA46A2"/>
    <w:rsid w:val="00BA51D8"/>
    <w:rsid w:val="00BA5590"/>
    <w:rsid w:val="00BA55FF"/>
    <w:rsid w:val="00BA56DF"/>
    <w:rsid w:val="00BA64E5"/>
    <w:rsid w:val="00BA68D7"/>
    <w:rsid w:val="00BA6AFA"/>
    <w:rsid w:val="00BA7382"/>
    <w:rsid w:val="00BA73A4"/>
    <w:rsid w:val="00BA7775"/>
    <w:rsid w:val="00BB0540"/>
    <w:rsid w:val="00BB075D"/>
    <w:rsid w:val="00BB1A9D"/>
    <w:rsid w:val="00BB2563"/>
    <w:rsid w:val="00BB27C9"/>
    <w:rsid w:val="00BB2842"/>
    <w:rsid w:val="00BB3038"/>
    <w:rsid w:val="00BB3609"/>
    <w:rsid w:val="00BB3689"/>
    <w:rsid w:val="00BB3EAF"/>
    <w:rsid w:val="00BB4031"/>
    <w:rsid w:val="00BB47F6"/>
    <w:rsid w:val="00BB491F"/>
    <w:rsid w:val="00BB4B8C"/>
    <w:rsid w:val="00BB5406"/>
    <w:rsid w:val="00BB5653"/>
    <w:rsid w:val="00BB59C8"/>
    <w:rsid w:val="00BB5AE9"/>
    <w:rsid w:val="00BB5DB6"/>
    <w:rsid w:val="00BB5DF8"/>
    <w:rsid w:val="00BB6105"/>
    <w:rsid w:val="00BB6878"/>
    <w:rsid w:val="00BB6DDC"/>
    <w:rsid w:val="00BB7456"/>
    <w:rsid w:val="00BB763B"/>
    <w:rsid w:val="00BB7662"/>
    <w:rsid w:val="00BB7C3F"/>
    <w:rsid w:val="00BC0667"/>
    <w:rsid w:val="00BC16DE"/>
    <w:rsid w:val="00BC19D0"/>
    <w:rsid w:val="00BC1E3B"/>
    <w:rsid w:val="00BC2D32"/>
    <w:rsid w:val="00BC2F6A"/>
    <w:rsid w:val="00BC3070"/>
    <w:rsid w:val="00BC3849"/>
    <w:rsid w:val="00BC397B"/>
    <w:rsid w:val="00BC3E7B"/>
    <w:rsid w:val="00BC4748"/>
    <w:rsid w:val="00BC494D"/>
    <w:rsid w:val="00BC4DC3"/>
    <w:rsid w:val="00BC5EA4"/>
    <w:rsid w:val="00BC5F2E"/>
    <w:rsid w:val="00BC6FC5"/>
    <w:rsid w:val="00BC6FF6"/>
    <w:rsid w:val="00BC704E"/>
    <w:rsid w:val="00BC7374"/>
    <w:rsid w:val="00BC75FB"/>
    <w:rsid w:val="00BC7984"/>
    <w:rsid w:val="00BC7A14"/>
    <w:rsid w:val="00BC7AA6"/>
    <w:rsid w:val="00BC7E55"/>
    <w:rsid w:val="00BC7EA6"/>
    <w:rsid w:val="00BD081B"/>
    <w:rsid w:val="00BD12E4"/>
    <w:rsid w:val="00BD1F89"/>
    <w:rsid w:val="00BD23A2"/>
    <w:rsid w:val="00BD2640"/>
    <w:rsid w:val="00BD2E9B"/>
    <w:rsid w:val="00BD3082"/>
    <w:rsid w:val="00BD33FB"/>
    <w:rsid w:val="00BD3432"/>
    <w:rsid w:val="00BD36C9"/>
    <w:rsid w:val="00BD385A"/>
    <w:rsid w:val="00BD3D1F"/>
    <w:rsid w:val="00BD40F3"/>
    <w:rsid w:val="00BD412C"/>
    <w:rsid w:val="00BD4586"/>
    <w:rsid w:val="00BD5304"/>
    <w:rsid w:val="00BD5377"/>
    <w:rsid w:val="00BD548E"/>
    <w:rsid w:val="00BD5BB4"/>
    <w:rsid w:val="00BD669A"/>
    <w:rsid w:val="00BD6793"/>
    <w:rsid w:val="00BD7E3E"/>
    <w:rsid w:val="00BE05D9"/>
    <w:rsid w:val="00BE07CD"/>
    <w:rsid w:val="00BE0AE5"/>
    <w:rsid w:val="00BE0C78"/>
    <w:rsid w:val="00BE0FEE"/>
    <w:rsid w:val="00BE10AC"/>
    <w:rsid w:val="00BE1B09"/>
    <w:rsid w:val="00BE1DCA"/>
    <w:rsid w:val="00BE20B7"/>
    <w:rsid w:val="00BE26FF"/>
    <w:rsid w:val="00BE2727"/>
    <w:rsid w:val="00BE2742"/>
    <w:rsid w:val="00BE29C1"/>
    <w:rsid w:val="00BE2AB6"/>
    <w:rsid w:val="00BE2B40"/>
    <w:rsid w:val="00BE3640"/>
    <w:rsid w:val="00BE3668"/>
    <w:rsid w:val="00BE3914"/>
    <w:rsid w:val="00BE4FB8"/>
    <w:rsid w:val="00BE53E3"/>
    <w:rsid w:val="00BE579E"/>
    <w:rsid w:val="00BE69E0"/>
    <w:rsid w:val="00BE6E7D"/>
    <w:rsid w:val="00BE6F15"/>
    <w:rsid w:val="00BE74A4"/>
    <w:rsid w:val="00BE7956"/>
    <w:rsid w:val="00BE7D55"/>
    <w:rsid w:val="00BE7D7A"/>
    <w:rsid w:val="00BF04C2"/>
    <w:rsid w:val="00BF061E"/>
    <w:rsid w:val="00BF1196"/>
    <w:rsid w:val="00BF1FA0"/>
    <w:rsid w:val="00BF20F0"/>
    <w:rsid w:val="00BF2325"/>
    <w:rsid w:val="00BF2510"/>
    <w:rsid w:val="00BF2625"/>
    <w:rsid w:val="00BF30E3"/>
    <w:rsid w:val="00BF347E"/>
    <w:rsid w:val="00BF3756"/>
    <w:rsid w:val="00BF3B2B"/>
    <w:rsid w:val="00BF404D"/>
    <w:rsid w:val="00BF4B70"/>
    <w:rsid w:val="00BF4C3B"/>
    <w:rsid w:val="00BF4DB1"/>
    <w:rsid w:val="00BF4E9E"/>
    <w:rsid w:val="00BF52FE"/>
    <w:rsid w:val="00BF5472"/>
    <w:rsid w:val="00BF5595"/>
    <w:rsid w:val="00BF5957"/>
    <w:rsid w:val="00BF59CE"/>
    <w:rsid w:val="00BF5B6A"/>
    <w:rsid w:val="00BF60F8"/>
    <w:rsid w:val="00BF6311"/>
    <w:rsid w:val="00BF64B6"/>
    <w:rsid w:val="00BF64F4"/>
    <w:rsid w:val="00BF65A1"/>
    <w:rsid w:val="00BF6BDD"/>
    <w:rsid w:val="00BF6F4B"/>
    <w:rsid w:val="00BF71B1"/>
    <w:rsid w:val="00BF75E2"/>
    <w:rsid w:val="00C0049A"/>
    <w:rsid w:val="00C00741"/>
    <w:rsid w:val="00C008DD"/>
    <w:rsid w:val="00C00A0C"/>
    <w:rsid w:val="00C00CFE"/>
    <w:rsid w:val="00C00EB8"/>
    <w:rsid w:val="00C01C7A"/>
    <w:rsid w:val="00C0209E"/>
    <w:rsid w:val="00C02120"/>
    <w:rsid w:val="00C02322"/>
    <w:rsid w:val="00C026B6"/>
    <w:rsid w:val="00C02738"/>
    <w:rsid w:val="00C0285E"/>
    <w:rsid w:val="00C02AC4"/>
    <w:rsid w:val="00C02E11"/>
    <w:rsid w:val="00C033B9"/>
    <w:rsid w:val="00C03739"/>
    <w:rsid w:val="00C03B08"/>
    <w:rsid w:val="00C03B4B"/>
    <w:rsid w:val="00C041D8"/>
    <w:rsid w:val="00C04620"/>
    <w:rsid w:val="00C04F11"/>
    <w:rsid w:val="00C04FBC"/>
    <w:rsid w:val="00C054FB"/>
    <w:rsid w:val="00C05826"/>
    <w:rsid w:val="00C05BCD"/>
    <w:rsid w:val="00C05EB3"/>
    <w:rsid w:val="00C0627C"/>
    <w:rsid w:val="00C066CD"/>
    <w:rsid w:val="00C06A9E"/>
    <w:rsid w:val="00C07A10"/>
    <w:rsid w:val="00C07A77"/>
    <w:rsid w:val="00C07CDD"/>
    <w:rsid w:val="00C07E23"/>
    <w:rsid w:val="00C100E8"/>
    <w:rsid w:val="00C1011D"/>
    <w:rsid w:val="00C103B5"/>
    <w:rsid w:val="00C10543"/>
    <w:rsid w:val="00C116AB"/>
    <w:rsid w:val="00C120F4"/>
    <w:rsid w:val="00C12472"/>
    <w:rsid w:val="00C12652"/>
    <w:rsid w:val="00C12F2E"/>
    <w:rsid w:val="00C13042"/>
    <w:rsid w:val="00C13445"/>
    <w:rsid w:val="00C138D1"/>
    <w:rsid w:val="00C138DF"/>
    <w:rsid w:val="00C13CB4"/>
    <w:rsid w:val="00C14186"/>
    <w:rsid w:val="00C14208"/>
    <w:rsid w:val="00C14503"/>
    <w:rsid w:val="00C150D6"/>
    <w:rsid w:val="00C15B72"/>
    <w:rsid w:val="00C16334"/>
    <w:rsid w:val="00C1636A"/>
    <w:rsid w:val="00C16AEB"/>
    <w:rsid w:val="00C16BC8"/>
    <w:rsid w:val="00C16D1D"/>
    <w:rsid w:val="00C173ED"/>
    <w:rsid w:val="00C17946"/>
    <w:rsid w:val="00C17A3C"/>
    <w:rsid w:val="00C17DB7"/>
    <w:rsid w:val="00C200C1"/>
    <w:rsid w:val="00C201A8"/>
    <w:rsid w:val="00C2037A"/>
    <w:rsid w:val="00C204AB"/>
    <w:rsid w:val="00C20B0E"/>
    <w:rsid w:val="00C20B13"/>
    <w:rsid w:val="00C20C0B"/>
    <w:rsid w:val="00C20F8C"/>
    <w:rsid w:val="00C2147D"/>
    <w:rsid w:val="00C21784"/>
    <w:rsid w:val="00C2299B"/>
    <w:rsid w:val="00C23248"/>
    <w:rsid w:val="00C23684"/>
    <w:rsid w:val="00C2383D"/>
    <w:rsid w:val="00C23A31"/>
    <w:rsid w:val="00C23D33"/>
    <w:rsid w:val="00C241D8"/>
    <w:rsid w:val="00C242DF"/>
    <w:rsid w:val="00C247AD"/>
    <w:rsid w:val="00C24C0E"/>
    <w:rsid w:val="00C24FC7"/>
    <w:rsid w:val="00C25087"/>
    <w:rsid w:val="00C2527F"/>
    <w:rsid w:val="00C25384"/>
    <w:rsid w:val="00C253E7"/>
    <w:rsid w:val="00C266D3"/>
    <w:rsid w:val="00C26C2D"/>
    <w:rsid w:val="00C273A1"/>
    <w:rsid w:val="00C276C8"/>
    <w:rsid w:val="00C27892"/>
    <w:rsid w:val="00C27C49"/>
    <w:rsid w:val="00C3032E"/>
    <w:rsid w:val="00C30A4F"/>
    <w:rsid w:val="00C30A9A"/>
    <w:rsid w:val="00C31486"/>
    <w:rsid w:val="00C31F68"/>
    <w:rsid w:val="00C321D7"/>
    <w:rsid w:val="00C32571"/>
    <w:rsid w:val="00C326D7"/>
    <w:rsid w:val="00C32955"/>
    <w:rsid w:val="00C32B46"/>
    <w:rsid w:val="00C338C9"/>
    <w:rsid w:val="00C34333"/>
    <w:rsid w:val="00C3436F"/>
    <w:rsid w:val="00C345CF"/>
    <w:rsid w:val="00C34AE6"/>
    <w:rsid w:val="00C350D1"/>
    <w:rsid w:val="00C353F0"/>
    <w:rsid w:val="00C35967"/>
    <w:rsid w:val="00C35A5D"/>
    <w:rsid w:val="00C3632E"/>
    <w:rsid w:val="00C364B2"/>
    <w:rsid w:val="00C36EB4"/>
    <w:rsid w:val="00C375AF"/>
    <w:rsid w:val="00C375E3"/>
    <w:rsid w:val="00C37700"/>
    <w:rsid w:val="00C37BF1"/>
    <w:rsid w:val="00C37CEC"/>
    <w:rsid w:val="00C37E78"/>
    <w:rsid w:val="00C4021A"/>
    <w:rsid w:val="00C41141"/>
    <w:rsid w:val="00C41577"/>
    <w:rsid w:val="00C41836"/>
    <w:rsid w:val="00C41A73"/>
    <w:rsid w:val="00C421F5"/>
    <w:rsid w:val="00C4235B"/>
    <w:rsid w:val="00C42426"/>
    <w:rsid w:val="00C4271F"/>
    <w:rsid w:val="00C4283A"/>
    <w:rsid w:val="00C429B6"/>
    <w:rsid w:val="00C42F76"/>
    <w:rsid w:val="00C436C5"/>
    <w:rsid w:val="00C43F86"/>
    <w:rsid w:val="00C44511"/>
    <w:rsid w:val="00C4545B"/>
    <w:rsid w:val="00C45556"/>
    <w:rsid w:val="00C45643"/>
    <w:rsid w:val="00C45886"/>
    <w:rsid w:val="00C45B33"/>
    <w:rsid w:val="00C463BA"/>
    <w:rsid w:val="00C467C9"/>
    <w:rsid w:val="00C470E9"/>
    <w:rsid w:val="00C47469"/>
    <w:rsid w:val="00C4755A"/>
    <w:rsid w:val="00C4784D"/>
    <w:rsid w:val="00C47E25"/>
    <w:rsid w:val="00C47ED2"/>
    <w:rsid w:val="00C47F66"/>
    <w:rsid w:val="00C50010"/>
    <w:rsid w:val="00C50D06"/>
    <w:rsid w:val="00C51421"/>
    <w:rsid w:val="00C51B13"/>
    <w:rsid w:val="00C51BD6"/>
    <w:rsid w:val="00C51C8A"/>
    <w:rsid w:val="00C52916"/>
    <w:rsid w:val="00C52ABF"/>
    <w:rsid w:val="00C52E0A"/>
    <w:rsid w:val="00C53292"/>
    <w:rsid w:val="00C53562"/>
    <w:rsid w:val="00C53645"/>
    <w:rsid w:val="00C53B35"/>
    <w:rsid w:val="00C540E6"/>
    <w:rsid w:val="00C543FF"/>
    <w:rsid w:val="00C54760"/>
    <w:rsid w:val="00C54A76"/>
    <w:rsid w:val="00C554B2"/>
    <w:rsid w:val="00C55924"/>
    <w:rsid w:val="00C559D9"/>
    <w:rsid w:val="00C55AC8"/>
    <w:rsid w:val="00C55ACA"/>
    <w:rsid w:val="00C5613C"/>
    <w:rsid w:val="00C5639E"/>
    <w:rsid w:val="00C56529"/>
    <w:rsid w:val="00C565A3"/>
    <w:rsid w:val="00C56AC9"/>
    <w:rsid w:val="00C56D1C"/>
    <w:rsid w:val="00C56E65"/>
    <w:rsid w:val="00C57457"/>
    <w:rsid w:val="00C57B4C"/>
    <w:rsid w:val="00C57C28"/>
    <w:rsid w:val="00C60672"/>
    <w:rsid w:val="00C60D80"/>
    <w:rsid w:val="00C6141F"/>
    <w:rsid w:val="00C6149A"/>
    <w:rsid w:val="00C616F9"/>
    <w:rsid w:val="00C6190E"/>
    <w:rsid w:val="00C61A77"/>
    <w:rsid w:val="00C61B58"/>
    <w:rsid w:val="00C62438"/>
    <w:rsid w:val="00C627FA"/>
    <w:rsid w:val="00C62965"/>
    <w:rsid w:val="00C62966"/>
    <w:rsid w:val="00C62AE6"/>
    <w:rsid w:val="00C62BD5"/>
    <w:rsid w:val="00C630E0"/>
    <w:rsid w:val="00C635F1"/>
    <w:rsid w:val="00C63895"/>
    <w:rsid w:val="00C63CD9"/>
    <w:rsid w:val="00C63D4B"/>
    <w:rsid w:val="00C63E4F"/>
    <w:rsid w:val="00C640FA"/>
    <w:rsid w:val="00C64347"/>
    <w:rsid w:val="00C644B2"/>
    <w:rsid w:val="00C64CEF"/>
    <w:rsid w:val="00C652EE"/>
    <w:rsid w:val="00C65326"/>
    <w:rsid w:val="00C65469"/>
    <w:rsid w:val="00C6587E"/>
    <w:rsid w:val="00C65BB8"/>
    <w:rsid w:val="00C65D24"/>
    <w:rsid w:val="00C660C1"/>
    <w:rsid w:val="00C663AF"/>
    <w:rsid w:val="00C6664F"/>
    <w:rsid w:val="00C67095"/>
    <w:rsid w:val="00C67AAA"/>
    <w:rsid w:val="00C7004F"/>
    <w:rsid w:val="00C70C91"/>
    <w:rsid w:val="00C70C95"/>
    <w:rsid w:val="00C71158"/>
    <w:rsid w:val="00C71982"/>
    <w:rsid w:val="00C71B51"/>
    <w:rsid w:val="00C71E4B"/>
    <w:rsid w:val="00C71E50"/>
    <w:rsid w:val="00C72E7C"/>
    <w:rsid w:val="00C73895"/>
    <w:rsid w:val="00C73903"/>
    <w:rsid w:val="00C73C30"/>
    <w:rsid w:val="00C7457F"/>
    <w:rsid w:val="00C74BE5"/>
    <w:rsid w:val="00C74C41"/>
    <w:rsid w:val="00C74D87"/>
    <w:rsid w:val="00C757A7"/>
    <w:rsid w:val="00C7581A"/>
    <w:rsid w:val="00C759FD"/>
    <w:rsid w:val="00C75DF7"/>
    <w:rsid w:val="00C76BAD"/>
    <w:rsid w:val="00C77588"/>
    <w:rsid w:val="00C776DC"/>
    <w:rsid w:val="00C77C9A"/>
    <w:rsid w:val="00C77D49"/>
    <w:rsid w:val="00C80075"/>
    <w:rsid w:val="00C80431"/>
    <w:rsid w:val="00C80440"/>
    <w:rsid w:val="00C804D2"/>
    <w:rsid w:val="00C807A9"/>
    <w:rsid w:val="00C8085C"/>
    <w:rsid w:val="00C80F3A"/>
    <w:rsid w:val="00C8109A"/>
    <w:rsid w:val="00C81212"/>
    <w:rsid w:val="00C81449"/>
    <w:rsid w:val="00C81548"/>
    <w:rsid w:val="00C8167D"/>
    <w:rsid w:val="00C82099"/>
    <w:rsid w:val="00C82855"/>
    <w:rsid w:val="00C831D0"/>
    <w:rsid w:val="00C836A2"/>
    <w:rsid w:val="00C83A90"/>
    <w:rsid w:val="00C84011"/>
    <w:rsid w:val="00C8459D"/>
    <w:rsid w:val="00C849D1"/>
    <w:rsid w:val="00C852F0"/>
    <w:rsid w:val="00C85519"/>
    <w:rsid w:val="00C85C0F"/>
    <w:rsid w:val="00C85D4D"/>
    <w:rsid w:val="00C85F1B"/>
    <w:rsid w:val="00C860CF"/>
    <w:rsid w:val="00C86106"/>
    <w:rsid w:val="00C862D4"/>
    <w:rsid w:val="00C86413"/>
    <w:rsid w:val="00C86DB6"/>
    <w:rsid w:val="00C875B4"/>
    <w:rsid w:val="00C87B34"/>
    <w:rsid w:val="00C87DE8"/>
    <w:rsid w:val="00C901B8"/>
    <w:rsid w:val="00C902E6"/>
    <w:rsid w:val="00C90357"/>
    <w:rsid w:val="00C90AE1"/>
    <w:rsid w:val="00C90DE2"/>
    <w:rsid w:val="00C917BC"/>
    <w:rsid w:val="00C918B1"/>
    <w:rsid w:val="00C91AAC"/>
    <w:rsid w:val="00C91F07"/>
    <w:rsid w:val="00C925BA"/>
    <w:rsid w:val="00C92691"/>
    <w:rsid w:val="00C92C31"/>
    <w:rsid w:val="00C9347B"/>
    <w:rsid w:val="00C93DDB"/>
    <w:rsid w:val="00C93F09"/>
    <w:rsid w:val="00C93F2F"/>
    <w:rsid w:val="00C93F79"/>
    <w:rsid w:val="00C93FF8"/>
    <w:rsid w:val="00C94024"/>
    <w:rsid w:val="00C9415F"/>
    <w:rsid w:val="00C942F3"/>
    <w:rsid w:val="00C94D5E"/>
    <w:rsid w:val="00C94DAC"/>
    <w:rsid w:val="00C94FAC"/>
    <w:rsid w:val="00C951E3"/>
    <w:rsid w:val="00C954F1"/>
    <w:rsid w:val="00C959C9"/>
    <w:rsid w:val="00C95F45"/>
    <w:rsid w:val="00C9609C"/>
    <w:rsid w:val="00C960FF"/>
    <w:rsid w:val="00C96330"/>
    <w:rsid w:val="00C96562"/>
    <w:rsid w:val="00C96EFE"/>
    <w:rsid w:val="00C9726E"/>
    <w:rsid w:val="00C97389"/>
    <w:rsid w:val="00C97762"/>
    <w:rsid w:val="00C97B8A"/>
    <w:rsid w:val="00CA0523"/>
    <w:rsid w:val="00CA0A86"/>
    <w:rsid w:val="00CA0D7B"/>
    <w:rsid w:val="00CA1240"/>
    <w:rsid w:val="00CA12B6"/>
    <w:rsid w:val="00CA1410"/>
    <w:rsid w:val="00CA1873"/>
    <w:rsid w:val="00CA1880"/>
    <w:rsid w:val="00CA1AB5"/>
    <w:rsid w:val="00CA1ADA"/>
    <w:rsid w:val="00CA1B29"/>
    <w:rsid w:val="00CA1C2C"/>
    <w:rsid w:val="00CA224A"/>
    <w:rsid w:val="00CA3DFC"/>
    <w:rsid w:val="00CA5064"/>
    <w:rsid w:val="00CA518C"/>
    <w:rsid w:val="00CA52E1"/>
    <w:rsid w:val="00CA54C7"/>
    <w:rsid w:val="00CA5515"/>
    <w:rsid w:val="00CA553D"/>
    <w:rsid w:val="00CA56FF"/>
    <w:rsid w:val="00CA570C"/>
    <w:rsid w:val="00CA58FD"/>
    <w:rsid w:val="00CA64AC"/>
    <w:rsid w:val="00CA6520"/>
    <w:rsid w:val="00CA6E90"/>
    <w:rsid w:val="00CA7235"/>
    <w:rsid w:val="00CA735B"/>
    <w:rsid w:val="00CA7471"/>
    <w:rsid w:val="00CA78FA"/>
    <w:rsid w:val="00CA7E71"/>
    <w:rsid w:val="00CA7E72"/>
    <w:rsid w:val="00CB02C6"/>
    <w:rsid w:val="00CB030A"/>
    <w:rsid w:val="00CB0523"/>
    <w:rsid w:val="00CB0ACE"/>
    <w:rsid w:val="00CB141C"/>
    <w:rsid w:val="00CB1802"/>
    <w:rsid w:val="00CB1B40"/>
    <w:rsid w:val="00CB21AB"/>
    <w:rsid w:val="00CB23B5"/>
    <w:rsid w:val="00CB24DA"/>
    <w:rsid w:val="00CB3148"/>
    <w:rsid w:val="00CB356C"/>
    <w:rsid w:val="00CB3B35"/>
    <w:rsid w:val="00CB3B57"/>
    <w:rsid w:val="00CB3CA3"/>
    <w:rsid w:val="00CB3CC2"/>
    <w:rsid w:val="00CB3D2A"/>
    <w:rsid w:val="00CB3DB3"/>
    <w:rsid w:val="00CB4426"/>
    <w:rsid w:val="00CB4A80"/>
    <w:rsid w:val="00CB4E03"/>
    <w:rsid w:val="00CB52A6"/>
    <w:rsid w:val="00CB5611"/>
    <w:rsid w:val="00CB5774"/>
    <w:rsid w:val="00CB5E3D"/>
    <w:rsid w:val="00CB6128"/>
    <w:rsid w:val="00CB61A0"/>
    <w:rsid w:val="00CB62D9"/>
    <w:rsid w:val="00CB65C6"/>
    <w:rsid w:val="00CB67C5"/>
    <w:rsid w:val="00CB68CB"/>
    <w:rsid w:val="00CB6A03"/>
    <w:rsid w:val="00CB6E2B"/>
    <w:rsid w:val="00CB7A74"/>
    <w:rsid w:val="00CB7E0D"/>
    <w:rsid w:val="00CB7E92"/>
    <w:rsid w:val="00CC00FE"/>
    <w:rsid w:val="00CC0449"/>
    <w:rsid w:val="00CC04E8"/>
    <w:rsid w:val="00CC062A"/>
    <w:rsid w:val="00CC0D63"/>
    <w:rsid w:val="00CC0F78"/>
    <w:rsid w:val="00CC11EA"/>
    <w:rsid w:val="00CC131B"/>
    <w:rsid w:val="00CC14EC"/>
    <w:rsid w:val="00CC157D"/>
    <w:rsid w:val="00CC1800"/>
    <w:rsid w:val="00CC20AF"/>
    <w:rsid w:val="00CC29C1"/>
    <w:rsid w:val="00CC2D17"/>
    <w:rsid w:val="00CC3110"/>
    <w:rsid w:val="00CC32FC"/>
    <w:rsid w:val="00CC399E"/>
    <w:rsid w:val="00CC3DD4"/>
    <w:rsid w:val="00CC403B"/>
    <w:rsid w:val="00CC42C1"/>
    <w:rsid w:val="00CC4316"/>
    <w:rsid w:val="00CC5B6D"/>
    <w:rsid w:val="00CC5C88"/>
    <w:rsid w:val="00CC5D97"/>
    <w:rsid w:val="00CC7E81"/>
    <w:rsid w:val="00CD0295"/>
    <w:rsid w:val="00CD03CE"/>
    <w:rsid w:val="00CD06DB"/>
    <w:rsid w:val="00CD0F92"/>
    <w:rsid w:val="00CD1A5F"/>
    <w:rsid w:val="00CD1AC2"/>
    <w:rsid w:val="00CD2CB9"/>
    <w:rsid w:val="00CD33DE"/>
    <w:rsid w:val="00CD34FC"/>
    <w:rsid w:val="00CD3504"/>
    <w:rsid w:val="00CD35AF"/>
    <w:rsid w:val="00CD3DFF"/>
    <w:rsid w:val="00CD415F"/>
    <w:rsid w:val="00CD41C3"/>
    <w:rsid w:val="00CD435E"/>
    <w:rsid w:val="00CD4692"/>
    <w:rsid w:val="00CD473C"/>
    <w:rsid w:val="00CD599C"/>
    <w:rsid w:val="00CD5D54"/>
    <w:rsid w:val="00CD6193"/>
    <w:rsid w:val="00CD65B6"/>
    <w:rsid w:val="00CD6937"/>
    <w:rsid w:val="00CD6C8D"/>
    <w:rsid w:val="00CD78A8"/>
    <w:rsid w:val="00CD790A"/>
    <w:rsid w:val="00CD7CFB"/>
    <w:rsid w:val="00CD7F20"/>
    <w:rsid w:val="00CE04C5"/>
    <w:rsid w:val="00CE0D16"/>
    <w:rsid w:val="00CE13D0"/>
    <w:rsid w:val="00CE1CB8"/>
    <w:rsid w:val="00CE2092"/>
    <w:rsid w:val="00CE2220"/>
    <w:rsid w:val="00CE2C2C"/>
    <w:rsid w:val="00CE3530"/>
    <w:rsid w:val="00CE43D3"/>
    <w:rsid w:val="00CE442D"/>
    <w:rsid w:val="00CE4605"/>
    <w:rsid w:val="00CE467D"/>
    <w:rsid w:val="00CE4CF0"/>
    <w:rsid w:val="00CE4F76"/>
    <w:rsid w:val="00CE540F"/>
    <w:rsid w:val="00CE55FD"/>
    <w:rsid w:val="00CE5C05"/>
    <w:rsid w:val="00CE5C79"/>
    <w:rsid w:val="00CE608D"/>
    <w:rsid w:val="00CE6149"/>
    <w:rsid w:val="00CE618E"/>
    <w:rsid w:val="00CE63C0"/>
    <w:rsid w:val="00CE64A0"/>
    <w:rsid w:val="00CE6680"/>
    <w:rsid w:val="00CE67A4"/>
    <w:rsid w:val="00CE6927"/>
    <w:rsid w:val="00CE6A5B"/>
    <w:rsid w:val="00CE6EF3"/>
    <w:rsid w:val="00CE70AC"/>
    <w:rsid w:val="00CE754F"/>
    <w:rsid w:val="00CF0713"/>
    <w:rsid w:val="00CF073F"/>
    <w:rsid w:val="00CF08E5"/>
    <w:rsid w:val="00CF0CA5"/>
    <w:rsid w:val="00CF0CFD"/>
    <w:rsid w:val="00CF0D2D"/>
    <w:rsid w:val="00CF1025"/>
    <w:rsid w:val="00CF1061"/>
    <w:rsid w:val="00CF1961"/>
    <w:rsid w:val="00CF1ADC"/>
    <w:rsid w:val="00CF1BB1"/>
    <w:rsid w:val="00CF2593"/>
    <w:rsid w:val="00CF2EF9"/>
    <w:rsid w:val="00CF30DF"/>
    <w:rsid w:val="00CF3218"/>
    <w:rsid w:val="00CF348A"/>
    <w:rsid w:val="00CF379D"/>
    <w:rsid w:val="00CF438E"/>
    <w:rsid w:val="00CF4438"/>
    <w:rsid w:val="00CF451E"/>
    <w:rsid w:val="00CF480A"/>
    <w:rsid w:val="00CF492D"/>
    <w:rsid w:val="00CF4ADC"/>
    <w:rsid w:val="00CF4B2E"/>
    <w:rsid w:val="00CF4B46"/>
    <w:rsid w:val="00CF4B54"/>
    <w:rsid w:val="00CF5742"/>
    <w:rsid w:val="00CF5A5C"/>
    <w:rsid w:val="00CF5B0E"/>
    <w:rsid w:val="00CF71A4"/>
    <w:rsid w:val="00CF7565"/>
    <w:rsid w:val="00CF75DA"/>
    <w:rsid w:val="00CF75E4"/>
    <w:rsid w:val="00CF79D5"/>
    <w:rsid w:val="00CF7B95"/>
    <w:rsid w:val="00CF7DE6"/>
    <w:rsid w:val="00D000A7"/>
    <w:rsid w:val="00D00256"/>
    <w:rsid w:val="00D00520"/>
    <w:rsid w:val="00D0052F"/>
    <w:rsid w:val="00D00BFA"/>
    <w:rsid w:val="00D00C58"/>
    <w:rsid w:val="00D00EB4"/>
    <w:rsid w:val="00D00ED8"/>
    <w:rsid w:val="00D01353"/>
    <w:rsid w:val="00D013E4"/>
    <w:rsid w:val="00D0178C"/>
    <w:rsid w:val="00D019F9"/>
    <w:rsid w:val="00D01B08"/>
    <w:rsid w:val="00D01D3A"/>
    <w:rsid w:val="00D01D46"/>
    <w:rsid w:val="00D021CF"/>
    <w:rsid w:val="00D02485"/>
    <w:rsid w:val="00D027F7"/>
    <w:rsid w:val="00D029BC"/>
    <w:rsid w:val="00D02C65"/>
    <w:rsid w:val="00D02E95"/>
    <w:rsid w:val="00D030C6"/>
    <w:rsid w:val="00D032A2"/>
    <w:rsid w:val="00D03A0C"/>
    <w:rsid w:val="00D03D5F"/>
    <w:rsid w:val="00D03D71"/>
    <w:rsid w:val="00D042AB"/>
    <w:rsid w:val="00D04549"/>
    <w:rsid w:val="00D0492F"/>
    <w:rsid w:val="00D04F59"/>
    <w:rsid w:val="00D05843"/>
    <w:rsid w:val="00D05F8E"/>
    <w:rsid w:val="00D0623B"/>
    <w:rsid w:val="00D066A0"/>
    <w:rsid w:val="00D06810"/>
    <w:rsid w:val="00D068A9"/>
    <w:rsid w:val="00D078F3"/>
    <w:rsid w:val="00D079C6"/>
    <w:rsid w:val="00D07BFA"/>
    <w:rsid w:val="00D07EE6"/>
    <w:rsid w:val="00D105A5"/>
    <w:rsid w:val="00D111B6"/>
    <w:rsid w:val="00D11264"/>
    <w:rsid w:val="00D11595"/>
    <w:rsid w:val="00D11B0B"/>
    <w:rsid w:val="00D11D37"/>
    <w:rsid w:val="00D11EBA"/>
    <w:rsid w:val="00D1234A"/>
    <w:rsid w:val="00D12389"/>
    <w:rsid w:val="00D129B6"/>
    <w:rsid w:val="00D12F92"/>
    <w:rsid w:val="00D13227"/>
    <w:rsid w:val="00D1380C"/>
    <w:rsid w:val="00D13BD1"/>
    <w:rsid w:val="00D13BF3"/>
    <w:rsid w:val="00D13DB4"/>
    <w:rsid w:val="00D13EEE"/>
    <w:rsid w:val="00D14091"/>
    <w:rsid w:val="00D144FB"/>
    <w:rsid w:val="00D14508"/>
    <w:rsid w:val="00D14C53"/>
    <w:rsid w:val="00D14E63"/>
    <w:rsid w:val="00D14F01"/>
    <w:rsid w:val="00D156BA"/>
    <w:rsid w:val="00D16672"/>
    <w:rsid w:val="00D168AC"/>
    <w:rsid w:val="00D16D99"/>
    <w:rsid w:val="00D16FCB"/>
    <w:rsid w:val="00D171FD"/>
    <w:rsid w:val="00D17F3F"/>
    <w:rsid w:val="00D2018B"/>
    <w:rsid w:val="00D207E1"/>
    <w:rsid w:val="00D20844"/>
    <w:rsid w:val="00D20C88"/>
    <w:rsid w:val="00D20CD4"/>
    <w:rsid w:val="00D21375"/>
    <w:rsid w:val="00D21422"/>
    <w:rsid w:val="00D21579"/>
    <w:rsid w:val="00D215C7"/>
    <w:rsid w:val="00D21D37"/>
    <w:rsid w:val="00D221A3"/>
    <w:rsid w:val="00D223FD"/>
    <w:rsid w:val="00D22567"/>
    <w:rsid w:val="00D225F6"/>
    <w:rsid w:val="00D228BE"/>
    <w:rsid w:val="00D22CC2"/>
    <w:rsid w:val="00D22D0F"/>
    <w:rsid w:val="00D23304"/>
    <w:rsid w:val="00D23481"/>
    <w:rsid w:val="00D235A1"/>
    <w:rsid w:val="00D23D58"/>
    <w:rsid w:val="00D243E9"/>
    <w:rsid w:val="00D24824"/>
    <w:rsid w:val="00D24A47"/>
    <w:rsid w:val="00D25350"/>
    <w:rsid w:val="00D25997"/>
    <w:rsid w:val="00D259FC"/>
    <w:rsid w:val="00D25E94"/>
    <w:rsid w:val="00D2607D"/>
    <w:rsid w:val="00D26148"/>
    <w:rsid w:val="00D26311"/>
    <w:rsid w:val="00D26429"/>
    <w:rsid w:val="00D2751F"/>
    <w:rsid w:val="00D27A28"/>
    <w:rsid w:val="00D27B69"/>
    <w:rsid w:val="00D27B81"/>
    <w:rsid w:val="00D27E31"/>
    <w:rsid w:val="00D3035A"/>
    <w:rsid w:val="00D30659"/>
    <w:rsid w:val="00D31239"/>
    <w:rsid w:val="00D31555"/>
    <w:rsid w:val="00D316E6"/>
    <w:rsid w:val="00D31CCA"/>
    <w:rsid w:val="00D3204E"/>
    <w:rsid w:val="00D32140"/>
    <w:rsid w:val="00D321AC"/>
    <w:rsid w:val="00D323CB"/>
    <w:rsid w:val="00D327BA"/>
    <w:rsid w:val="00D328EC"/>
    <w:rsid w:val="00D333F6"/>
    <w:rsid w:val="00D3348B"/>
    <w:rsid w:val="00D33C2D"/>
    <w:rsid w:val="00D34776"/>
    <w:rsid w:val="00D3483D"/>
    <w:rsid w:val="00D3496A"/>
    <w:rsid w:val="00D34DBC"/>
    <w:rsid w:val="00D34E6C"/>
    <w:rsid w:val="00D35FD0"/>
    <w:rsid w:val="00D361E5"/>
    <w:rsid w:val="00D363DA"/>
    <w:rsid w:val="00D36AAE"/>
    <w:rsid w:val="00D36C6A"/>
    <w:rsid w:val="00D36FDF"/>
    <w:rsid w:val="00D374A6"/>
    <w:rsid w:val="00D37DE3"/>
    <w:rsid w:val="00D37E71"/>
    <w:rsid w:val="00D37FD3"/>
    <w:rsid w:val="00D40728"/>
    <w:rsid w:val="00D409CD"/>
    <w:rsid w:val="00D40B42"/>
    <w:rsid w:val="00D40DC4"/>
    <w:rsid w:val="00D4166C"/>
    <w:rsid w:val="00D41CDA"/>
    <w:rsid w:val="00D41D48"/>
    <w:rsid w:val="00D41E5F"/>
    <w:rsid w:val="00D4204B"/>
    <w:rsid w:val="00D4232A"/>
    <w:rsid w:val="00D4238E"/>
    <w:rsid w:val="00D42B6E"/>
    <w:rsid w:val="00D42CFF"/>
    <w:rsid w:val="00D43A5D"/>
    <w:rsid w:val="00D43CB2"/>
    <w:rsid w:val="00D43E84"/>
    <w:rsid w:val="00D44AC6"/>
    <w:rsid w:val="00D44B24"/>
    <w:rsid w:val="00D44BC9"/>
    <w:rsid w:val="00D44C53"/>
    <w:rsid w:val="00D44CDA"/>
    <w:rsid w:val="00D45196"/>
    <w:rsid w:val="00D45471"/>
    <w:rsid w:val="00D4572F"/>
    <w:rsid w:val="00D45A9B"/>
    <w:rsid w:val="00D45F72"/>
    <w:rsid w:val="00D46081"/>
    <w:rsid w:val="00D46581"/>
    <w:rsid w:val="00D467EE"/>
    <w:rsid w:val="00D46800"/>
    <w:rsid w:val="00D468DF"/>
    <w:rsid w:val="00D47332"/>
    <w:rsid w:val="00D47336"/>
    <w:rsid w:val="00D474B1"/>
    <w:rsid w:val="00D47C8C"/>
    <w:rsid w:val="00D47D27"/>
    <w:rsid w:val="00D503F1"/>
    <w:rsid w:val="00D50453"/>
    <w:rsid w:val="00D506A2"/>
    <w:rsid w:val="00D5098A"/>
    <w:rsid w:val="00D511BF"/>
    <w:rsid w:val="00D51646"/>
    <w:rsid w:val="00D51798"/>
    <w:rsid w:val="00D51A3D"/>
    <w:rsid w:val="00D51BFA"/>
    <w:rsid w:val="00D52365"/>
    <w:rsid w:val="00D52906"/>
    <w:rsid w:val="00D533CF"/>
    <w:rsid w:val="00D5362D"/>
    <w:rsid w:val="00D5380F"/>
    <w:rsid w:val="00D53907"/>
    <w:rsid w:val="00D54244"/>
    <w:rsid w:val="00D5429D"/>
    <w:rsid w:val="00D543E7"/>
    <w:rsid w:val="00D54A11"/>
    <w:rsid w:val="00D5510D"/>
    <w:rsid w:val="00D557E2"/>
    <w:rsid w:val="00D55CF8"/>
    <w:rsid w:val="00D55F53"/>
    <w:rsid w:val="00D562AE"/>
    <w:rsid w:val="00D566B4"/>
    <w:rsid w:val="00D56EB4"/>
    <w:rsid w:val="00D601E2"/>
    <w:rsid w:val="00D602DE"/>
    <w:rsid w:val="00D606CC"/>
    <w:rsid w:val="00D60736"/>
    <w:rsid w:val="00D60807"/>
    <w:rsid w:val="00D60973"/>
    <w:rsid w:val="00D609DF"/>
    <w:rsid w:val="00D6124C"/>
    <w:rsid w:val="00D616CB"/>
    <w:rsid w:val="00D61CA2"/>
    <w:rsid w:val="00D61D4F"/>
    <w:rsid w:val="00D6215F"/>
    <w:rsid w:val="00D632EE"/>
    <w:rsid w:val="00D635C0"/>
    <w:rsid w:val="00D63957"/>
    <w:rsid w:val="00D63D9E"/>
    <w:rsid w:val="00D641F3"/>
    <w:rsid w:val="00D64502"/>
    <w:rsid w:val="00D646A9"/>
    <w:rsid w:val="00D64890"/>
    <w:rsid w:val="00D65217"/>
    <w:rsid w:val="00D65367"/>
    <w:rsid w:val="00D654FB"/>
    <w:rsid w:val="00D65766"/>
    <w:rsid w:val="00D65FB4"/>
    <w:rsid w:val="00D6612E"/>
    <w:rsid w:val="00D67826"/>
    <w:rsid w:val="00D67D41"/>
    <w:rsid w:val="00D67DDE"/>
    <w:rsid w:val="00D70201"/>
    <w:rsid w:val="00D703A8"/>
    <w:rsid w:val="00D70469"/>
    <w:rsid w:val="00D70D9B"/>
    <w:rsid w:val="00D7167C"/>
    <w:rsid w:val="00D71D78"/>
    <w:rsid w:val="00D71FD6"/>
    <w:rsid w:val="00D721BB"/>
    <w:rsid w:val="00D722F3"/>
    <w:rsid w:val="00D72773"/>
    <w:rsid w:val="00D727CE"/>
    <w:rsid w:val="00D72824"/>
    <w:rsid w:val="00D72826"/>
    <w:rsid w:val="00D72F86"/>
    <w:rsid w:val="00D733BC"/>
    <w:rsid w:val="00D7367F"/>
    <w:rsid w:val="00D73B15"/>
    <w:rsid w:val="00D73DA6"/>
    <w:rsid w:val="00D73DBF"/>
    <w:rsid w:val="00D73FED"/>
    <w:rsid w:val="00D73FFC"/>
    <w:rsid w:val="00D740AE"/>
    <w:rsid w:val="00D741A6"/>
    <w:rsid w:val="00D741D0"/>
    <w:rsid w:val="00D742C7"/>
    <w:rsid w:val="00D7431B"/>
    <w:rsid w:val="00D743AB"/>
    <w:rsid w:val="00D74C1D"/>
    <w:rsid w:val="00D74E39"/>
    <w:rsid w:val="00D75115"/>
    <w:rsid w:val="00D7515B"/>
    <w:rsid w:val="00D75F58"/>
    <w:rsid w:val="00D75F95"/>
    <w:rsid w:val="00D76192"/>
    <w:rsid w:val="00D76572"/>
    <w:rsid w:val="00D76A1E"/>
    <w:rsid w:val="00D76C4D"/>
    <w:rsid w:val="00D77148"/>
    <w:rsid w:val="00D772B6"/>
    <w:rsid w:val="00D7752B"/>
    <w:rsid w:val="00D77797"/>
    <w:rsid w:val="00D77ABC"/>
    <w:rsid w:val="00D77FBB"/>
    <w:rsid w:val="00D80129"/>
    <w:rsid w:val="00D80327"/>
    <w:rsid w:val="00D807BD"/>
    <w:rsid w:val="00D80A00"/>
    <w:rsid w:val="00D8143C"/>
    <w:rsid w:val="00D81480"/>
    <w:rsid w:val="00D8183D"/>
    <w:rsid w:val="00D81937"/>
    <w:rsid w:val="00D81BFA"/>
    <w:rsid w:val="00D82559"/>
    <w:rsid w:val="00D8293A"/>
    <w:rsid w:val="00D82958"/>
    <w:rsid w:val="00D83196"/>
    <w:rsid w:val="00D837DF"/>
    <w:rsid w:val="00D83EA9"/>
    <w:rsid w:val="00D860FC"/>
    <w:rsid w:val="00D86578"/>
    <w:rsid w:val="00D8693D"/>
    <w:rsid w:val="00D86954"/>
    <w:rsid w:val="00D86BBD"/>
    <w:rsid w:val="00D871FF"/>
    <w:rsid w:val="00D87839"/>
    <w:rsid w:val="00D900FD"/>
    <w:rsid w:val="00D90B2A"/>
    <w:rsid w:val="00D90BE8"/>
    <w:rsid w:val="00D90E99"/>
    <w:rsid w:val="00D90F7A"/>
    <w:rsid w:val="00D91354"/>
    <w:rsid w:val="00D91600"/>
    <w:rsid w:val="00D916F0"/>
    <w:rsid w:val="00D91A84"/>
    <w:rsid w:val="00D91AFC"/>
    <w:rsid w:val="00D91C9D"/>
    <w:rsid w:val="00D92095"/>
    <w:rsid w:val="00D920CC"/>
    <w:rsid w:val="00D925A0"/>
    <w:rsid w:val="00D925E1"/>
    <w:rsid w:val="00D92829"/>
    <w:rsid w:val="00D929E1"/>
    <w:rsid w:val="00D92A90"/>
    <w:rsid w:val="00D92C47"/>
    <w:rsid w:val="00D92DF7"/>
    <w:rsid w:val="00D934A5"/>
    <w:rsid w:val="00D93539"/>
    <w:rsid w:val="00D93776"/>
    <w:rsid w:val="00D93870"/>
    <w:rsid w:val="00D93DD2"/>
    <w:rsid w:val="00D93FC9"/>
    <w:rsid w:val="00D94420"/>
    <w:rsid w:val="00D94635"/>
    <w:rsid w:val="00D95347"/>
    <w:rsid w:val="00D95977"/>
    <w:rsid w:val="00D95D93"/>
    <w:rsid w:val="00D9632C"/>
    <w:rsid w:val="00D96476"/>
    <w:rsid w:val="00D965BE"/>
    <w:rsid w:val="00D965F6"/>
    <w:rsid w:val="00D96D0F"/>
    <w:rsid w:val="00D96D90"/>
    <w:rsid w:val="00D9701C"/>
    <w:rsid w:val="00D97070"/>
    <w:rsid w:val="00D977F3"/>
    <w:rsid w:val="00D9782F"/>
    <w:rsid w:val="00DA0013"/>
    <w:rsid w:val="00DA0950"/>
    <w:rsid w:val="00DA0BD4"/>
    <w:rsid w:val="00DA0C2D"/>
    <w:rsid w:val="00DA0CBE"/>
    <w:rsid w:val="00DA0E4C"/>
    <w:rsid w:val="00DA10F2"/>
    <w:rsid w:val="00DA12C5"/>
    <w:rsid w:val="00DA140F"/>
    <w:rsid w:val="00DA1452"/>
    <w:rsid w:val="00DA1B73"/>
    <w:rsid w:val="00DA248A"/>
    <w:rsid w:val="00DA2834"/>
    <w:rsid w:val="00DA2B27"/>
    <w:rsid w:val="00DA2ECD"/>
    <w:rsid w:val="00DA32C0"/>
    <w:rsid w:val="00DA3331"/>
    <w:rsid w:val="00DA33E4"/>
    <w:rsid w:val="00DA3488"/>
    <w:rsid w:val="00DA37E6"/>
    <w:rsid w:val="00DA3AE4"/>
    <w:rsid w:val="00DA3EE5"/>
    <w:rsid w:val="00DA4703"/>
    <w:rsid w:val="00DA4B9C"/>
    <w:rsid w:val="00DA504C"/>
    <w:rsid w:val="00DA5101"/>
    <w:rsid w:val="00DA54EA"/>
    <w:rsid w:val="00DA60E7"/>
    <w:rsid w:val="00DA64AD"/>
    <w:rsid w:val="00DA6B05"/>
    <w:rsid w:val="00DA6B3A"/>
    <w:rsid w:val="00DA6DE0"/>
    <w:rsid w:val="00DA7815"/>
    <w:rsid w:val="00DA78ED"/>
    <w:rsid w:val="00DA79C3"/>
    <w:rsid w:val="00DA7B7A"/>
    <w:rsid w:val="00DB063C"/>
    <w:rsid w:val="00DB1089"/>
    <w:rsid w:val="00DB12AA"/>
    <w:rsid w:val="00DB12CD"/>
    <w:rsid w:val="00DB143D"/>
    <w:rsid w:val="00DB1593"/>
    <w:rsid w:val="00DB166A"/>
    <w:rsid w:val="00DB1EC2"/>
    <w:rsid w:val="00DB24C2"/>
    <w:rsid w:val="00DB26B4"/>
    <w:rsid w:val="00DB26E6"/>
    <w:rsid w:val="00DB2884"/>
    <w:rsid w:val="00DB2A0D"/>
    <w:rsid w:val="00DB2BD5"/>
    <w:rsid w:val="00DB2D57"/>
    <w:rsid w:val="00DB3169"/>
    <w:rsid w:val="00DB347C"/>
    <w:rsid w:val="00DB4000"/>
    <w:rsid w:val="00DB43A5"/>
    <w:rsid w:val="00DB4568"/>
    <w:rsid w:val="00DB4782"/>
    <w:rsid w:val="00DB4961"/>
    <w:rsid w:val="00DB4A5E"/>
    <w:rsid w:val="00DB4DB3"/>
    <w:rsid w:val="00DB5071"/>
    <w:rsid w:val="00DB5346"/>
    <w:rsid w:val="00DB553E"/>
    <w:rsid w:val="00DB5C82"/>
    <w:rsid w:val="00DB5DFA"/>
    <w:rsid w:val="00DB6785"/>
    <w:rsid w:val="00DB6AE7"/>
    <w:rsid w:val="00DB6B04"/>
    <w:rsid w:val="00DB7516"/>
    <w:rsid w:val="00DB76D1"/>
    <w:rsid w:val="00DB7CA2"/>
    <w:rsid w:val="00DC1541"/>
    <w:rsid w:val="00DC15CA"/>
    <w:rsid w:val="00DC1824"/>
    <w:rsid w:val="00DC21FE"/>
    <w:rsid w:val="00DC22E4"/>
    <w:rsid w:val="00DC2B90"/>
    <w:rsid w:val="00DC3637"/>
    <w:rsid w:val="00DC36FA"/>
    <w:rsid w:val="00DC37AE"/>
    <w:rsid w:val="00DC4236"/>
    <w:rsid w:val="00DC4462"/>
    <w:rsid w:val="00DC47E5"/>
    <w:rsid w:val="00DC4DCF"/>
    <w:rsid w:val="00DC5068"/>
    <w:rsid w:val="00DC5273"/>
    <w:rsid w:val="00DC539C"/>
    <w:rsid w:val="00DC5598"/>
    <w:rsid w:val="00DC57DF"/>
    <w:rsid w:val="00DC5B55"/>
    <w:rsid w:val="00DC5F21"/>
    <w:rsid w:val="00DC61B1"/>
    <w:rsid w:val="00DC6231"/>
    <w:rsid w:val="00DC6280"/>
    <w:rsid w:val="00DC63C2"/>
    <w:rsid w:val="00DC647D"/>
    <w:rsid w:val="00DC6B75"/>
    <w:rsid w:val="00DC6C9B"/>
    <w:rsid w:val="00DC75AD"/>
    <w:rsid w:val="00DC79B7"/>
    <w:rsid w:val="00DC7C42"/>
    <w:rsid w:val="00DC7E17"/>
    <w:rsid w:val="00DC7F86"/>
    <w:rsid w:val="00DD002D"/>
    <w:rsid w:val="00DD0265"/>
    <w:rsid w:val="00DD0630"/>
    <w:rsid w:val="00DD0B83"/>
    <w:rsid w:val="00DD0D2C"/>
    <w:rsid w:val="00DD0FFB"/>
    <w:rsid w:val="00DD118B"/>
    <w:rsid w:val="00DD1355"/>
    <w:rsid w:val="00DD17E5"/>
    <w:rsid w:val="00DD1E4A"/>
    <w:rsid w:val="00DD33CA"/>
    <w:rsid w:val="00DD3624"/>
    <w:rsid w:val="00DD394A"/>
    <w:rsid w:val="00DD3B96"/>
    <w:rsid w:val="00DD3CC7"/>
    <w:rsid w:val="00DD3D21"/>
    <w:rsid w:val="00DD3E51"/>
    <w:rsid w:val="00DD41D9"/>
    <w:rsid w:val="00DD4541"/>
    <w:rsid w:val="00DD548C"/>
    <w:rsid w:val="00DD54DC"/>
    <w:rsid w:val="00DD5562"/>
    <w:rsid w:val="00DD578E"/>
    <w:rsid w:val="00DD65E4"/>
    <w:rsid w:val="00DD67A3"/>
    <w:rsid w:val="00DD7055"/>
    <w:rsid w:val="00DD7120"/>
    <w:rsid w:val="00DD7350"/>
    <w:rsid w:val="00DD76D0"/>
    <w:rsid w:val="00DD7C00"/>
    <w:rsid w:val="00DE00F7"/>
    <w:rsid w:val="00DE05F9"/>
    <w:rsid w:val="00DE0C9B"/>
    <w:rsid w:val="00DE0CCB"/>
    <w:rsid w:val="00DE1A57"/>
    <w:rsid w:val="00DE1B0F"/>
    <w:rsid w:val="00DE1B80"/>
    <w:rsid w:val="00DE1FD3"/>
    <w:rsid w:val="00DE22A4"/>
    <w:rsid w:val="00DE2740"/>
    <w:rsid w:val="00DE2BC4"/>
    <w:rsid w:val="00DE2FC9"/>
    <w:rsid w:val="00DE304D"/>
    <w:rsid w:val="00DE31DA"/>
    <w:rsid w:val="00DE3D5B"/>
    <w:rsid w:val="00DE3F6D"/>
    <w:rsid w:val="00DE3F74"/>
    <w:rsid w:val="00DE444B"/>
    <w:rsid w:val="00DE47F3"/>
    <w:rsid w:val="00DE483A"/>
    <w:rsid w:val="00DE4887"/>
    <w:rsid w:val="00DE4E56"/>
    <w:rsid w:val="00DE5370"/>
    <w:rsid w:val="00DE53DE"/>
    <w:rsid w:val="00DE5FE3"/>
    <w:rsid w:val="00DE6362"/>
    <w:rsid w:val="00DE659B"/>
    <w:rsid w:val="00DE667F"/>
    <w:rsid w:val="00DE6CF2"/>
    <w:rsid w:val="00DE726F"/>
    <w:rsid w:val="00DE72CB"/>
    <w:rsid w:val="00DE7564"/>
    <w:rsid w:val="00DE76A6"/>
    <w:rsid w:val="00DE7A5F"/>
    <w:rsid w:val="00DE7E0C"/>
    <w:rsid w:val="00DF0B54"/>
    <w:rsid w:val="00DF0F15"/>
    <w:rsid w:val="00DF10FD"/>
    <w:rsid w:val="00DF1F0D"/>
    <w:rsid w:val="00DF1F29"/>
    <w:rsid w:val="00DF1FEB"/>
    <w:rsid w:val="00DF2357"/>
    <w:rsid w:val="00DF290F"/>
    <w:rsid w:val="00DF299E"/>
    <w:rsid w:val="00DF300E"/>
    <w:rsid w:val="00DF3471"/>
    <w:rsid w:val="00DF3A41"/>
    <w:rsid w:val="00DF3A60"/>
    <w:rsid w:val="00DF3BF3"/>
    <w:rsid w:val="00DF4008"/>
    <w:rsid w:val="00DF4471"/>
    <w:rsid w:val="00DF44B7"/>
    <w:rsid w:val="00DF46C0"/>
    <w:rsid w:val="00DF4715"/>
    <w:rsid w:val="00DF491B"/>
    <w:rsid w:val="00DF4C1B"/>
    <w:rsid w:val="00DF4C41"/>
    <w:rsid w:val="00DF5163"/>
    <w:rsid w:val="00DF52EA"/>
    <w:rsid w:val="00DF5773"/>
    <w:rsid w:val="00DF5D42"/>
    <w:rsid w:val="00DF5E4B"/>
    <w:rsid w:val="00DF604B"/>
    <w:rsid w:val="00DF6061"/>
    <w:rsid w:val="00DF6982"/>
    <w:rsid w:val="00DF6C63"/>
    <w:rsid w:val="00DF6DEB"/>
    <w:rsid w:val="00DF71CC"/>
    <w:rsid w:val="00DF7522"/>
    <w:rsid w:val="00DF75F1"/>
    <w:rsid w:val="00DF7A91"/>
    <w:rsid w:val="00E00415"/>
    <w:rsid w:val="00E0067E"/>
    <w:rsid w:val="00E00943"/>
    <w:rsid w:val="00E00B87"/>
    <w:rsid w:val="00E00D28"/>
    <w:rsid w:val="00E00E5A"/>
    <w:rsid w:val="00E015AE"/>
    <w:rsid w:val="00E0170D"/>
    <w:rsid w:val="00E01F9F"/>
    <w:rsid w:val="00E02332"/>
    <w:rsid w:val="00E02369"/>
    <w:rsid w:val="00E023CD"/>
    <w:rsid w:val="00E02786"/>
    <w:rsid w:val="00E031D7"/>
    <w:rsid w:val="00E03569"/>
    <w:rsid w:val="00E0403D"/>
    <w:rsid w:val="00E04222"/>
    <w:rsid w:val="00E04711"/>
    <w:rsid w:val="00E04C82"/>
    <w:rsid w:val="00E04CEF"/>
    <w:rsid w:val="00E05779"/>
    <w:rsid w:val="00E05788"/>
    <w:rsid w:val="00E058F7"/>
    <w:rsid w:val="00E05ABD"/>
    <w:rsid w:val="00E05C0A"/>
    <w:rsid w:val="00E05EE3"/>
    <w:rsid w:val="00E0663F"/>
    <w:rsid w:val="00E0679F"/>
    <w:rsid w:val="00E06BE4"/>
    <w:rsid w:val="00E06CA8"/>
    <w:rsid w:val="00E0738B"/>
    <w:rsid w:val="00E077CE"/>
    <w:rsid w:val="00E079B6"/>
    <w:rsid w:val="00E07C6C"/>
    <w:rsid w:val="00E07CFE"/>
    <w:rsid w:val="00E1005C"/>
    <w:rsid w:val="00E104B5"/>
    <w:rsid w:val="00E107C7"/>
    <w:rsid w:val="00E11717"/>
    <w:rsid w:val="00E12443"/>
    <w:rsid w:val="00E1280D"/>
    <w:rsid w:val="00E128DC"/>
    <w:rsid w:val="00E12DDE"/>
    <w:rsid w:val="00E1315C"/>
    <w:rsid w:val="00E1411E"/>
    <w:rsid w:val="00E1466B"/>
    <w:rsid w:val="00E14734"/>
    <w:rsid w:val="00E14B7C"/>
    <w:rsid w:val="00E14B88"/>
    <w:rsid w:val="00E14D20"/>
    <w:rsid w:val="00E14DBB"/>
    <w:rsid w:val="00E150EB"/>
    <w:rsid w:val="00E1523B"/>
    <w:rsid w:val="00E15487"/>
    <w:rsid w:val="00E155FC"/>
    <w:rsid w:val="00E15A14"/>
    <w:rsid w:val="00E15A33"/>
    <w:rsid w:val="00E15C54"/>
    <w:rsid w:val="00E16296"/>
    <w:rsid w:val="00E168BF"/>
    <w:rsid w:val="00E16E8F"/>
    <w:rsid w:val="00E173C4"/>
    <w:rsid w:val="00E17A8C"/>
    <w:rsid w:val="00E2027C"/>
    <w:rsid w:val="00E2042F"/>
    <w:rsid w:val="00E2067A"/>
    <w:rsid w:val="00E206C4"/>
    <w:rsid w:val="00E20928"/>
    <w:rsid w:val="00E20986"/>
    <w:rsid w:val="00E20B30"/>
    <w:rsid w:val="00E21779"/>
    <w:rsid w:val="00E21DCE"/>
    <w:rsid w:val="00E21EE2"/>
    <w:rsid w:val="00E227EB"/>
    <w:rsid w:val="00E22947"/>
    <w:rsid w:val="00E22A2A"/>
    <w:rsid w:val="00E22A4F"/>
    <w:rsid w:val="00E22ACB"/>
    <w:rsid w:val="00E22B63"/>
    <w:rsid w:val="00E23A02"/>
    <w:rsid w:val="00E23EFA"/>
    <w:rsid w:val="00E240A3"/>
    <w:rsid w:val="00E241A0"/>
    <w:rsid w:val="00E2472E"/>
    <w:rsid w:val="00E2483C"/>
    <w:rsid w:val="00E24ADE"/>
    <w:rsid w:val="00E252FB"/>
    <w:rsid w:val="00E25538"/>
    <w:rsid w:val="00E25E20"/>
    <w:rsid w:val="00E260B9"/>
    <w:rsid w:val="00E2691A"/>
    <w:rsid w:val="00E26EB1"/>
    <w:rsid w:val="00E2709C"/>
    <w:rsid w:val="00E27B64"/>
    <w:rsid w:val="00E27CB5"/>
    <w:rsid w:val="00E27D33"/>
    <w:rsid w:val="00E27E5E"/>
    <w:rsid w:val="00E30075"/>
    <w:rsid w:val="00E3132B"/>
    <w:rsid w:val="00E31840"/>
    <w:rsid w:val="00E3187C"/>
    <w:rsid w:val="00E31FB0"/>
    <w:rsid w:val="00E3246F"/>
    <w:rsid w:val="00E32593"/>
    <w:rsid w:val="00E32EC0"/>
    <w:rsid w:val="00E33280"/>
    <w:rsid w:val="00E333BF"/>
    <w:rsid w:val="00E335A6"/>
    <w:rsid w:val="00E3375C"/>
    <w:rsid w:val="00E33EB6"/>
    <w:rsid w:val="00E34139"/>
    <w:rsid w:val="00E341B0"/>
    <w:rsid w:val="00E346A1"/>
    <w:rsid w:val="00E34978"/>
    <w:rsid w:val="00E349B6"/>
    <w:rsid w:val="00E34FA9"/>
    <w:rsid w:val="00E34FE1"/>
    <w:rsid w:val="00E352F8"/>
    <w:rsid w:val="00E35BC8"/>
    <w:rsid w:val="00E36D0A"/>
    <w:rsid w:val="00E36E35"/>
    <w:rsid w:val="00E373D4"/>
    <w:rsid w:val="00E3768E"/>
    <w:rsid w:val="00E3786F"/>
    <w:rsid w:val="00E37FD5"/>
    <w:rsid w:val="00E4060F"/>
    <w:rsid w:val="00E406DD"/>
    <w:rsid w:val="00E40BB9"/>
    <w:rsid w:val="00E40F90"/>
    <w:rsid w:val="00E4132D"/>
    <w:rsid w:val="00E4185E"/>
    <w:rsid w:val="00E4197B"/>
    <w:rsid w:val="00E41A32"/>
    <w:rsid w:val="00E42066"/>
    <w:rsid w:val="00E42163"/>
    <w:rsid w:val="00E4244D"/>
    <w:rsid w:val="00E429A5"/>
    <w:rsid w:val="00E43294"/>
    <w:rsid w:val="00E43536"/>
    <w:rsid w:val="00E43642"/>
    <w:rsid w:val="00E436A3"/>
    <w:rsid w:val="00E4381F"/>
    <w:rsid w:val="00E43889"/>
    <w:rsid w:val="00E43B01"/>
    <w:rsid w:val="00E43C0F"/>
    <w:rsid w:val="00E43DF0"/>
    <w:rsid w:val="00E440DE"/>
    <w:rsid w:val="00E4434A"/>
    <w:rsid w:val="00E45E57"/>
    <w:rsid w:val="00E46151"/>
    <w:rsid w:val="00E46BF7"/>
    <w:rsid w:val="00E46FAE"/>
    <w:rsid w:val="00E471A2"/>
    <w:rsid w:val="00E4725E"/>
    <w:rsid w:val="00E4728C"/>
    <w:rsid w:val="00E47B61"/>
    <w:rsid w:val="00E47BC4"/>
    <w:rsid w:val="00E47F8C"/>
    <w:rsid w:val="00E50A98"/>
    <w:rsid w:val="00E50E6E"/>
    <w:rsid w:val="00E5152C"/>
    <w:rsid w:val="00E516EE"/>
    <w:rsid w:val="00E5228B"/>
    <w:rsid w:val="00E52468"/>
    <w:rsid w:val="00E52594"/>
    <w:rsid w:val="00E52C34"/>
    <w:rsid w:val="00E52FD8"/>
    <w:rsid w:val="00E53128"/>
    <w:rsid w:val="00E53BA7"/>
    <w:rsid w:val="00E53FFD"/>
    <w:rsid w:val="00E54676"/>
    <w:rsid w:val="00E546E9"/>
    <w:rsid w:val="00E550BA"/>
    <w:rsid w:val="00E55132"/>
    <w:rsid w:val="00E55195"/>
    <w:rsid w:val="00E55586"/>
    <w:rsid w:val="00E55911"/>
    <w:rsid w:val="00E5598D"/>
    <w:rsid w:val="00E55DC6"/>
    <w:rsid w:val="00E5616D"/>
    <w:rsid w:val="00E5636D"/>
    <w:rsid w:val="00E56511"/>
    <w:rsid w:val="00E566E4"/>
    <w:rsid w:val="00E5673D"/>
    <w:rsid w:val="00E5689F"/>
    <w:rsid w:val="00E56AEE"/>
    <w:rsid w:val="00E56C92"/>
    <w:rsid w:val="00E56D2C"/>
    <w:rsid w:val="00E572A0"/>
    <w:rsid w:val="00E57314"/>
    <w:rsid w:val="00E573EE"/>
    <w:rsid w:val="00E57556"/>
    <w:rsid w:val="00E5775B"/>
    <w:rsid w:val="00E579DF"/>
    <w:rsid w:val="00E60019"/>
    <w:rsid w:val="00E600CB"/>
    <w:rsid w:val="00E60205"/>
    <w:rsid w:val="00E60A1C"/>
    <w:rsid w:val="00E60B1A"/>
    <w:rsid w:val="00E60C95"/>
    <w:rsid w:val="00E61045"/>
    <w:rsid w:val="00E61081"/>
    <w:rsid w:val="00E6119E"/>
    <w:rsid w:val="00E61725"/>
    <w:rsid w:val="00E617C4"/>
    <w:rsid w:val="00E6199E"/>
    <w:rsid w:val="00E61BE6"/>
    <w:rsid w:val="00E61E5B"/>
    <w:rsid w:val="00E61E97"/>
    <w:rsid w:val="00E6241B"/>
    <w:rsid w:val="00E627A4"/>
    <w:rsid w:val="00E62B8D"/>
    <w:rsid w:val="00E62D28"/>
    <w:rsid w:val="00E62F24"/>
    <w:rsid w:val="00E63001"/>
    <w:rsid w:val="00E630B5"/>
    <w:rsid w:val="00E6323A"/>
    <w:rsid w:val="00E634BF"/>
    <w:rsid w:val="00E6363A"/>
    <w:rsid w:val="00E6370F"/>
    <w:rsid w:val="00E639C8"/>
    <w:rsid w:val="00E63A4B"/>
    <w:rsid w:val="00E646A0"/>
    <w:rsid w:val="00E64DD9"/>
    <w:rsid w:val="00E6553E"/>
    <w:rsid w:val="00E65FC6"/>
    <w:rsid w:val="00E6603D"/>
    <w:rsid w:val="00E675F9"/>
    <w:rsid w:val="00E6764B"/>
    <w:rsid w:val="00E676C9"/>
    <w:rsid w:val="00E67891"/>
    <w:rsid w:val="00E67DE4"/>
    <w:rsid w:val="00E7015A"/>
    <w:rsid w:val="00E70330"/>
    <w:rsid w:val="00E7059D"/>
    <w:rsid w:val="00E70608"/>
    <w:rsid w:val="00E70617"/>
    <w:rsid w:val="00E70A00"/>
    <w:rsid w:val="00E70F9D"/>
    <w:rsid w:val="00E713F3"/>
    <w:rsid w:val="00E72487"/>
    <w:rsid w:val="00E727BB"/>
    <w:rsid w:val="00E72DC8"/>
    <w:rsid w:val="00E72E90"/>
    <w:rsid w:val="00E73142"/>
    <w:rsid w:val="00E73406"/>
    <w:rsid w:val="00E73518"/>
    <w:rsid w:val="00E737F4"/>
    <w:rsid w:val="00E739F8"/>
    <w:rsid w:val="00E73BBF"/>
    <w:rsid w:val="00E74B01"/>
    <w:rsid w:val="00E74C17"/>
    <w:rsid w:val="00E74EE1"/>
    <w:rsid w:val="00E751CD"/>
    <w:rsid w:val="00E755BE"/>
    <w:rsid w:val="00E75BB1"/>
    <w:rsid w:val="00E75D8F"/>
    <w:rsid w:val="00E765CF"/>
    <w:rsid w:val="00E76BD5"/>
    <w:rsid w:val="00E77386"/>
    <w:rsid w:val="00E77D45"/>
    <w:rsid w:val="00E806E8"/>
    <w:rsid w:val="00E80BF2"/>
    <w:rsid w:val="00E80BF4"/>
    <w:rsid w:val="00E80CC3"/>
    <w:rsid w:val="00E80E38"/>
    <w:rsid w:val="00E80E6B"/>
    <w:rsid w:val="00E81A66"/>
    <w:rsid w:val="00E83288"/>
    <w:rsid w:val="00E83528"/>
    <w:rsid w:val="00E83A16"/>
    <w:rsid w:val="00E83E5E"/>
    <w:rsid w:val="00E83FC3"/>
    <w:rsid w:val="00E84307"/>
    <w:rsid w:val="00E844DE"/>
    <w:rsid w:val="00E84651"/>
    <w:rsid w:val="00E84D1A"/>
    <w:rsid w:val="00E84F1E"/>
    <w:rsid w:val="00E84F33"/>
    <w:rsid w:val="00E85354"/>
    <w:rsid w:val="00E8546F"/>
    <w:rsid w:val="00E85D52"/>
    <w:rsid w:val="00E86038"/>
    <w:rsid w:val="00E862FA"/>
    <w:rsid w:val="00E86A6E"/>
    <w:rsid w:val="00E86E57"/>
    <w:rsid w:val="00E8789B"/>
    <w:rsid w:val="00E87958"/>
    <w:rsid w:val="00E90096"/>
    <w:rsid w:val="00E9057D"/>
    <w:rsid w:val="00E90857"/>
    <w:rsid w:val="00E90C96"/>
    <w:rsid w:val="00E911D4"/>
    <w:rsid w:val="00E913A5"/>
    <w:rsid w:val="00E91C40"/>
    <w:rsid w:val="00E92248"/>
    <w:rsid w:val="00E92250"/>
    <w:rsid w:val="00E92E19"/>
    <w:rsid w:val="00E92FC4"/>
    <w:rsid w:val="00E933B4"/>
    <w:rsid w:val="00E935FF"/>
    <w:rsid w:val="00E94D51"/>
    <w:rsid w:val="00E95370"/>
    <w:rsid w:val="00E95473"/>
    <w:rsid w:val="00E95ACF"/>
    <w:rsid w:val="00E95E91"/>
    <w:rsid w:val="00E962D5"/>
    <w:rsid w:val="00E97196"/>
    <w:rsid w:val="00E974AB"/>
    <w:rsid w:val="00E9762F"/>
    <w:rsid w:val="00E977AE"/>
    <w:rsid w:val="00E9782D"/>
    <w:rsid w:val="00E978B1"/>
    <w:rsid w:val="00E97F59"/>
    <w:rsid w:val="00EA0320"/>
    <w:rsid w:val="00EA066E"/>
    <w:rsid w:val="00EA0B6D"/>
    <w:rsid w:val="00EA0E4E"/>
    <w:rsid w:val="00EA1524"/>
    <w:rsid w:val="00EA183A"/>
    <w:rsid w:val="00EA1A74"/>
    <w:rsid w:val="00EA1F0F"/>
    <w:rsid w:val="00EA1F4B"/>
    <w:rsid w:val="00EA22B2"/>
    <w:rsid w:val="00EA2598"/>
    <w:rsid w:val="00EA2DE0"/>
    <w:rsid w:val="00EA2E53"/>
    <w:rsid w:val="00EA2FCA"/>
    <w:rsid w:val="00EA3027"/>
    <w:rsid w:val="00EA31DC"/>
    <w:rsid w:val="00EA32F2"/>
    <w:rsid w:val="00EA3493"/>
    <w:rsid w:val="00EA35AF"/>
    <w:rsid w:val="00EA3684"/>
    <w:rsid w:val="00EA3A4F"/>
    <w:rsid w:val="00EA3C2F"/>
    <w:rsid w:val="00EA3FF9"/>
    <w:rsid w:val="00EA407D"/>
    <w:rsid w:val="00EA4526"/>
    <w:rsid w:val="00EA45EB"/>
    <w:rsid w:val="00EA4CF6"/>
    <w:rsid w:val="00EA52C9"/>
    <w:rsid w:val="00EA5649"/>
    <w:rsid w:val="00EA5D56"/>
    <w:rsid w:val="00EA5EEA"/>
    <w:rsid w:val="00EA5F15"/>
    <w:rsid w:val="00EA605D"/>
    <w:rsid w:val="00EA6568"/>
    <w:rsid w:val="00EA6EF9"/>
    <w:rsid w:val="00EA7336"/>
    <w:rsid w:val="00EA735A"/>
    <w:rsid w:val="00EA7388"/>
    <w:rsid w:val="00EA7604"/>
    <w:rsid w:val="00EA7822"/>
    <w:rsid w:val="00EA7F12"/>
    <w:rsid w:val="00EB03EE"/>
    <w:rsid w:val="00EB05E4"/>
    <w:rsid w:val="00EB0A95"/>
    <w:rsid w:val="00EB0E9B"/>
    <w:rsid w:val="00EB0E9F"/>
    <w:rsid w:val="00EB0F9C"/>
    <w:rsid w:val="00EB134F"/>
    <w:rsid w:val="00EB144C"/>
    <w:rsid w:val="00EB1AB6"/>
    <w:rsid w:val="00EB210D"/>
    <w:rsid w:val="00EB2BB0"/>
    <w:rsid w:val="00EB2BCF"/>
    <w:rsid w:val="00EB37B1"/>
    <w:rsid w:val="00EB3CB0"/>
    <w:rsid w:val="00EB42BF"/>
    <w:rsid w:val="00EB4AB1"/>
    <w:rsid w:val="00EB4D4B"/>
    <w:rsid w:val="00EB4FB4"/>
    <w:rsid w:val="00EB5070"/>
    <w:rsid w:val="00EB523A"/>
    <w:rsid w:val="00EB5830"/>
    <w:rsid w:val="00EB5C35"/>
    <w:rsid w:val="00EB60A9"/>
    <w:rsid w:val="00EB65FE"/>
    <w:rsid w:val="00EB6715"/>
    <w:rsid w:val="00EB6AC3"/>
    <w:rsid w:val="00EB72D6"/>
    <w:rsid w:val="00EB7835"/>
    <w:rsid w:val="00EB7AAF"/>
    <w:rsid w:val="00EB7CD1"/>
    <w:rsid w:val="00EC0510"/>
    <w:rsid w:val="00EC06A9"/>
    <w:rsid w:val="00EC0CEB"/>
    <w:rsid w:val="00EC1E05"/>
    <w:rsid w:val="00EC1EB9"/>
    <w:rsid w:val="00EC2430"/>
    <w:rsid w:val="00EC29BF"/>
    <w:rsid w:val="00EC29C9"/>
    <w:rsid w:val="00EC34BB"/>
    <w:rsid w:val="00EC3CC2"/>
    <w:rsid w:val="00EC3E6A"/>
    <w:rsid w:val="00EC47BD"/>
    <w:rsid w:val="00EC50D5"/>
    <w:rsid w:val="00EC5210"/>
    <w:rsid w:val="00EC57E8"/>
    <w:rsid w:val="00EC5845"/>
    <w:rsid w:val="00EC5F0F"/>
    <w:rsid w:val="00EC6464"/>
    <w:rsid w:val="00EC7191"/>
    <w:rsid w:val="00EC7869"/>
    <w:rsid w:val="00EC7A74"/>
    <w:rsid w:val="00ED0231"/>
    <w:rsid w:val="00ED0303"/>
    <w:rsid w:val="00ED0BBB"/>
    <w:rsid w:val="00ED0CBB"/>
    <w:rsid w:val="00ED0F74"/>
    <w:rsid w:val="00ED1479"/>
    <w:rsid w:val="00ED15E0"/>
    <w:rsid w:val="00ED1764"/>
    <w:rsid w:val="00ED18BD"/>
    <w:rsid w:val="00ED1958"/>
    <w:rsid w:val="00ED1BDC"/>
    <w:rsid w:val="00ED1F75"/>
    <w:rsid w:val="00ED2024"/>
    <w:rsid w:val="00ED239B"/>
    <w:rsid w:val="00ED27E7"/>
    <w:rsid w:val="00ED3204"/>
    <w:rsid w:val="00ED343B"/>
    <w:rsid w:val="00ED34B5"/>
    <w:rsid w:val="00ED3536"/>
    <w:rsid w:val="00ED375B"/>
    <w:rsid w:val="00ED387E"/>
    <w:rsid w:val="00ED3AAC"/>
    <w:rsid w:val="00ED3B21"/>
    <w:rsid w:val="00ED3F41"/>
    <w:rsid w:val="00ED4183"/>
    <w:rsid w:val="00ED49C0"/>
    <w:rsid w:val="00ED564A"/>
    <w:rsid w:val="00ED564D"/>
    <w:rsid w:val="00ED5C0F"/>
    <w:rsid w:val="00ED6029"/>
    <w:rsid w:val="00ED6B0E"/>
    <w:rsid w:val="00ED79D0"/>
    <w:rsid w:val="00ED7C5B"/>
    <w:rsid w:val="00EE0762"/>
    <w:rsid w:val="00EE0852"/>
    <w:rsid w:val="00EE0965"/>
    <w:rsid w:val="00EE11A8"/>
    <w:rsid w:val="00EE19B0"/>
    <w:rsid w:val="00EE2078"/>
    <w:rsid w:val="00EE246A"/>
    <w:rsid w:val="00EE2B52"/>
    <w:rsid w:val="00EE2DE7"/>
    <w:rsid w:val="00EE3244"/>
    <w:rsid w:val="00EE38C7"/>
    <w:rsid w:val="00EE3CDC"/>
    <w:rsid w:val="00EE40DC"/>
    <w:rsid w:val="00EE4156"/>
    <w:rsid w:val="00EE4586"/>
    <w:rsid w:val="00EE46B1"/>
    <w:rsid w:val="00EE52E2"/>
    <w:rsid w:val="00EE52EE"/>
    <w:rsid w:val="00EE59AA"/>
    <w:rsid w:val="00EE59F9"/>
    <w:rsid w:val="00EE65C1"/>
    <w:rsid w:val="00EE6703"/>
    <w:rsid w:val="00EE69B7"/>
    <w:rsid w:val="00EE7D75"/>
    <w:rsid w:val="00EF0143"/>
    <w:rsid w:val="00EF0B3C"/>
    <w:rsid w:val="00EF0C5F"/>
    <w:rsid w:val="00EF0F47"/>
    <w:rsid w:val="00EF16D4"/>
    <w:rsid w:val="00EF18EE"/>
    <w:rsid w:val="00EF18F1"/>
    <w:rsid w:val="00EF18F2"/>
    <w:rsid w:val="00EF1937"/>
    <w:rsid w:val="00EF222B"/>
    <w:rsid w:val="00EF24E8"/>
    <w:rsid w:val="00EF286D"/>
    <w:rsid w:val="00EF2B1B"/>
    <w:rsid w:val="00EF2C25"/>
    <w:rsid w:val="00EF2E0E"/>
    <w:rsid w:val="00EF31FC"/>
    <w:rsid w:val="00EF36EA"/>
    <w:rsid w:val="00EF3DE3"/>
    <w:rsid w:val="00EF3F2D"/>
    <w:rsid w:val="00EF3F33"/>
    <w:rsid w:val="00EF46C4"/>
    <w:rsid w:val="00EF4E28"/>
    <w:rsid w:val="00EF51D1"/>
    <w:rsid w:val="00EF5E58"/>
    <w:rsid w:val="00EF6234"/>
    <w:rsid w:val="00EF67BC"/>
    <w:rsid w:val="00EF6AB2"/>
    <w:rsid w:val="00EF7895"/>
    <w:rsid w:val="00EF7C76"/>
    <w:rsid w:val="00EF7FF9"/>
    <w:rsid w:val="00F002E0"/>
    <w:rsid w:val="00F00604"/>
    <w:rsid w:val="00F006FA"/>
    <w:rsid w:val="00F00A16"/>
    <w:rsid w:val="00F00C4B"/>
    <w:rsid w:val="00F010B2"/>
    <w:rsid w:val="00F012D1"/>
    <w:rsid w:val="00F01B36"/>
    <w:rsid w:val="00F0225A"/>
    <w:rsid w:val="00F02582"/>
    <w:rsid w:val="00F02775"/>
    <w:rsid w:val="00F0279E"/>
    <w:rsid w:val="00F03477"/>
    <w:rsid w:val="00F038E1"/>
    <w:rsid w:val="00F03955"/>
    <w:rsid w:val="00F039E0"/>
    <w:rsid w:val="00F042AC"/>
    <w:rsid w:val="00F04682"/>
    <w:rsid w:val="00F04BBA"/>
    <w:rsid w:val="00F0508A"/>
    <w:rsid w:val="00F05644"/>
    <w:rsid w:val="00F0600C"/>
    <w:rsid w:val="00F06130"/>
    <w:rsid w:val="00F0653D"/>
    <w:rsid w:val="00F06881"/>
    <w:rsid w:val="00F06E8B"/>
    <w:rsid w:val="00F06F69"/>
    <w:rsid w:val="00F076BA"/>
    <w:rsid w:val="00F079AC"/>
    <w:rsid w:val="00F07FCC"/>
    <w:rsid w:val="00F1018C"/>
    <w:rsid w:val="00F105F6"/>
    <w:rsid w:val="00F10765"/>
    <w:rsid w:val="00F10801"/>
    <w:rsid w:val="00F10AE8"/>
    <w:rsid w:val="00F10D35"/>
    <w:rsid w:val="00F10E37"/>
    <w:rsid w:val="00F1146B"/>
    <w:rsid w:val="00F11759"/>
    <w:rsid w:val="00F12013"/>
    <w:rsid w:val="00F12225"/>
    <w:rsid w:val="00F12692"/>
    <w:rsid w:val="00F12EE2"/>
    <w:rsid w:val="00F1301B"/>
    <w:rsid w:val="00F13141"/>
    <w:rsid w:val="00F135E2"/>
    <w:rsid w:val="00F13612"/>
    <w:rsid w:val="00F13DB5"/>
    <w:rsid w:val="00F14098"/>
    <w:rsid w:val="00F14286"/>
    <w:rsid w:val="00F142AA"/>
    <w:rsid w:val="00F14623"/>
    <w:rsid w:val="00F147C5"/>
    <w:rsid w:val="00F14D44"/>
    <w:rsid w:val="00F1508A"/>
    <w:rsid w:val="00F1542C"/>
    <w:rsid w:val="00F154E5"/>
    <w:rsid w:val="00F15610"/>
    <w:rsid w:val="00F16F06"/>
    <w:rsid w:val="00F16FFB"/>
    <w:rsid w:val="00F170F7"/>
    <w:rsid w:val="00F1743A"/>
    <w:rsid w:val="00F177D1"/>
    <w:rsid w:val="00F177DE"/>
    <w:rsid w:val="00F201D7"/>
    <w:rsid w:val="00F201F5"/>
    <w:rsid w:val="00F202AE"/>
    <w:rsid w:val="00F20B64"/>
    <w:rsid w:val="00F20FF8"/>
    <w:rsid w:val="00F2150C"/>
    <w:rsid w:val="00F218C5"/>
    <w:rsid w:val="00F21A01"/>
    <w:rsid w:val="00F21DBA"/>
    <w:rsid w:val="00F22252"/>
    <w:rsid w:val="00F232B0"/>
    <w:rsid w:val="00F235A0"/>
    <w:rsid w:val="00F237D7"/>
    <w:rsid w:val="00F23974"/>
    <w:rsid w:val="00F23BEA"/>
    <w:rsid w:val="00F23C22"/>
    <w:rsid w:val="00F23DCD"/>
    <w:rsid w:val="00F23DF3"/>
    <w:rsid w:val="00F24060"/>
    <w:rsid w:val="00F24310"/>
    <w:rsid w:val="00F24BE4"/>
    <w:rsid w:val="00F25649"/>
    <w:rsid w:val="00F25774"/>
    <w:rsid w:val="00F25798"/>
    <w:rsid w:val="00F258AD"/>
    <w:rsid w:val="00F259D4"/>
    <w:rsid w:val="00F259E2"/>
    <w:rsid w:val="00F25A5F"/>
    <w:rsid w:val="00F25CA0"/>
    <w:rsid w:val="00F26390"/>
    <w:rsid w:val="00F26500"/>
    <w:rsid w:val="00F276E2"/>
    <w:rsid w:val="00F27ACF"/>
    <w:rsid w:val="00F27D17"/>
    <w:rsid w:val="00F27E97"/>
    <w:rsid w:val="00F303E0"/>
    <w:rsid w:val="00F316A0"/>
    <w:rsid w:val="00F31F73"/>
    <w:rsid w:val="00F32019"/>
    <w:rsid w:val="00F325BF"/>
    <w:rsid w:val="00F3277B"/>
    <w:rsid w:val="00F32A1B"/>
    <w:rsid w:val="00F32B38"/>
    <w:rsid w:val="00F32BE8"/>
    <w:rsid w:val="00F32DF6"/>
    <w:rsid w:val="00F32E04"/>
    <w:rsid w:val="00F33068"/>
    <w:rsid w:val="00F33139"/>
    <w:rsid w:val="00F33183"/>
    <w:rsid w:val="00F33294"/>
    <w:rsid w:val="00F332CE"/>
    <w:rsid w:val="00F335EF"/>
    <w:rsid w:val="00F33A63"/>
    <w:rsid w:val="00F342FE"/>
    <w:rsid w:val="00F346B7"/>
    <w:rsid w:val="00F353A5"/>
    <w:rsid w:val="00F35564"/>
    <w:rsid w:val="00F35ABE"/>
    <w:rsid w:val="00F35EEA"/>
    <w:rsid w:val="00F35F71"/>
    <w:rsid w:val="00F36012"/>
    <w:rsid w:val="00F36027"/>
    <w:rsid w:val="00F3607F"/>
    <w:rsid w:val="00F36255"/>
    <w:rsid w:val="00F362A8"/>
    <w:rsid w:val="00F36693"/>
    <w:rsid w:val="00F366C0"/>
    <w:rsid w:val="00F36B15"/>
    <w:rsid w:val="00F371E8"/>
    <w:rsid w:val="00F372DC"/>
    <w:rsid w:val="00F375B2"/>
    <w:rsid w:val="00F37A70"/>
    <w:rsid w:val="00F37BE3"/>
    <w:rsid w:val="00F37CFA"/>
    <w:rsid w:val="00F4007F"/>
    <w:rsid w:val="00F4135C"/>
    <w:rsid w:val="00F4145C"/>
    <w:rsid w:val="00F41988"/>
    <w:rsid w:val="00F41AC6"/>
    <w:rsid w:val="00F420BF"/>
    <w:rsid w:val="00F420FF"/>
    <w:rsid w:val="00F425A4"/>
    <w:rsid w:val="00F426EA"/>
    <w:rsid w:val="00F43610"/>
    <w:rsid w:val="00F436A6"/>
    <w:rsid w:val="00F43E40"/>
    <w:rsid w:val="00F43EFE"/>
    <w:rsid w:val="00F4420C"/>
    <w:rsid w:val="00F4443E"/>
    <w:rsid w:val="00F4490F"/>
    <w:rsid w:val="00F450AA"/>
    <w:rsid w:val="00F45746"/>
    <w:rsid w:val="00F45792"/>
    <w:rsid w:val="00F45825"/>
    <w:rsid w:val="00F462FF"/>
    <w:rsid w:val="00F465BD"/>
    <w:rsid w:val="00F4668D"/>
    <w:rsid w:val="00F471FF"/>
    <w:rsid w:val="00F47D10"/>
    <w:rsid w:val="00F47D4D"/>
    <w:rsid w:val="00F500B2"/>
    <w:rsid w:val="00F504E9"/>
    <w:rsid w:val="00F505E4"/>
    <w:rsid w:val="00F50870"/>
    <w:rsid w:val="00F508B3"/>
    <w:rsid w:val="00F509DB"/>
    <w:rsid w:val="00F51715"/>
    <w:rsid w:val="00F519C0"/>
    <w:rsid w:val="00F51FA4"/>
    <w:rsid w:val="00F520AB"/>
    <w:rsid w:val="00F522F2"/>
    <w:rsid w:val="00F52A14"/>
    <w:rsid w:val="00F52CE2"/>
    <w:rsid w:val="00F52E5F"/>
    <w:rsid w:val="00F53065"/>
    <w:rsid w:val="00F53158"/>
    <w:rsid w:val="00F534B1"/>
    <w:rsid w:val="00F53A9C"/>
    <w:rsid w:val="00F53B23"/>
    <w:rsid w:val="00F53CAC"/>
    <w:rsid w:val="00F54016"/>
    <w:rsid w:val="00F54167"/>
    <w:rsid w:val="00F54296"/>
    <w:rsid w:val="00F54661"/>
    <w:rsid w:val="00F5476C"/>
    <w:rsid w:val="00F5478F"/>
    <w:rsid w:val="00F54A68"/>
    <w:rsid w:val="00F54DC0"/>
    <w:rsid w:val="00F555AD"/>
    <w:rsid w:val="00F557E2"/>
    <w:rsid w:val="00F55E74"/>
    <w:rsid w:val="00F56299"/>
    <w:rsid w:val="00F562A4"/>
    <w:rsid w:val="00F5640C"/>
    <w:rsid w:val="00F56454"/>
    <w:rsid w:val="00F5719A"/>
    <w:rsid w:val="00F5722B"/>
    <w:rsid w:val="00F5761B"/>
    <w:rsid w:val="00F5783A"/>
    <w:rsid w:val="00F57A41"/>
    <w:rsid w:val="00F57CBB"/>
    <w:rsid w:val="00F6036F"/>
    <w:rsid w:val="00F606FE"/>
    <w:rsid w:val="00F60C04"/>
    <w:rsid w:val="00F60CC1"/>
    <w:rsid w:val="00F60D7D"/>
    <w:rsid w:val="00F611DF"/>
    <w:rsid w:val="00F61B41"/>
    <w:rsid w:val="00F61DD3"/>
    <w:rsid w:val="00F61F12"/>
    <w:rsid w:val="00F61FB8"/>
    <w:rsid w:val="00F6249C"/>
    <w:rsid w:val="00F624C8"/>
    <w:rsid w:val="00F62A56"/>
    <w:rsid w:val="00F63152"/>
    <w:rsid w:val="00F63294"/>
    <w:rsid w:val="00F63629"/>
    <w:rsid w:val="00F636D1"/>
    <w:rsid w:val="00F64178"/>
    <w:rsid w:val="00F6427F"/>
    <w:rsid w:val="00F652D7"/>
    <w:rsid w:val="00F65483"/>
    <w:rsid w:val="00F6581A"/>
    <w:rsid w:val="00F65F73"/>
    <w:rsid w:val="00F66665"/>
    <w:rsid w:val="00F66BBA"/>
    <w:rsid w:val="00F670B9"/>
    <w:rsid w:val="00F67205"/>
    <w:rsid w:val="00F6733D"/>
    <w:rsid w:val="00F67658"/>
    <w:rsid w:val="00F67ADB"/>
    <w:rsid w:val="00F67B63"/>
    <w:rsid w:val="00F707C8"/>
    <w:rsid w:val="00F70C02"/>
    <w:rsid w:val="00F7110E"/>
    <w:rsid w:val="00F71524"/>
    <w:rsid w:val="00F716E0"/>
    <w:rsid w:val="00F71810"/>
    <w:rsid w:val="00F7216C"/>
    <w:rsid w:val="00F72BFD"/>
    <w:rsid w:val="00F731CE"/>
    <w:rsid w:val="00F732BA"/>
    <w:rsid w:val="00F732BE"/>
    <w:rsid w:val="00F735FD"/>
    <w:rsid w:val="00F73CB1"/>
    <w:rsid w:val="00F73F63"/>
    <w:rsid w:val="00F74112"/>
    <w:rsid w:val="00F745D7"/>
    <w:rsid w:val="00F746C0"/>
    <w:rsid w:val="00F74B7B"/>
    <w:rsid w:val="00F74F58"/>
    <w:rsid w:val="00F75194"/>
    <w:rsid w:val="00F755AD"/>
    <w:rsid w:val="00F757E1"/>
    <w:rsid w:val="00F7668E"/>
    <w:rsid w:val="00F7685A"/>
    <w:rsid w:val="00F77B04"/>
    <w:rsid w:val="00F800D8"/>
    <w:rsid w:val="00F801AC"/>
    <w:rsid w:val="00F80219"/>
    <w:rsid w:val="00F80518"/>
    <w:rsid w:val="00F805D9"/>
    <w:rsid w:val="00F80B6E"/>
    <w:rsid w:val="00F80C54"/>
    <w:rsid w:val="00F8161B"/>
    <w:rsid w:val="00F8179E"/>
    <w:rsid w:val="00F81C9A"/>
    <w:rsid w:val="00F81E3B"/>
    <w:rsid w:val="00F81FD3"/>
    <w:rsid w:val="00F82371"/>
    <w:rsid w:val="00F823C3"/>
    <w:rsid w:val="00F8251A"/>
    <w:rsid w:val="00F8274F"/>
    <w:rsid w:val="00F82D09"/>
    <w:rsid w:val="00F8305C"/>
    <w:rsid w:val="00F8309F"/>
    <w:rsid w:val="00F83E03"/>
    <w:rsid w:val="00F84077"/>
    <w:rsid w:val="00F84EF1"/>
    <w:rsid w:val="00F84F65"/>
    <w:rsid w:val="00F84FFC"/>
    <w:rsid w:val="00F8553C"/>
    <w:rsid w:val="00F8569C"/>
    <w:rsid w:val="00F86283"/>
    <w:rsid w:val="00F8666F"/>
    <w:rsid w:val="00F868CF"/>
    <w:rsid w:val="00F86995"/>
    <w:rsid w:val="00F869DD"/>
    <w:rsid w:val="00F86C63"/>
    <w:rsid w:val="00F876C6"/>
    <w:rsid w:val="00F8778F"/>
    <w:rsid w:val="00F87F22"/>
    <w:rsid w:val="00F9088E"/>
    <w:rsid w:val="00F908BD"/>
    <w:rsid w:val="00F90B3A"/>
    <w:rsid w:val="00F914E1"/>
    <w:rsid w:val="00F917D4"/>
    <w:rsid w:val="00F91A34"/>
    <w:rsid w:val="00F91B72"/>
    <w:rsid w:val="00F91C53"/>
    <w:rsid w:val="00F91C85"/>
    <w:rsid w:val="00F92B8A"/>
    <w:rsid w:val="00F92BE5"/>
    <w:rsid w:val="00F92F20"/>
    <w:rsid w:val="00F93207"/>
    <w:rsid w:val="00F9350E"/>
    <w:rsid w:val="00F93613"/>
    <w:rsid w:val="00F93C1A"/>
    <w:rsid w:val="00F93E0F"/>
    <w:rsid w:val="00F9426B"/>
    <w:rsid w:val="00F94808"/>
    <w:rsid w:val="00F94DB1"/>
    <w:rsid w:val="00F94F71"/>
    <w:rsid w:val="00F9518E"/>
    <w:rsid w:val="00F95964"/>
    <w:rsid w:val="00F95B13"/>
    <w:rsid w:val="00F96016"/>
    <w:rsid w:val="00F96267"/>
    <w:rsid w:val="00F963F7"/>
    <w:rsid w:val="00F972BD"/>
    <w:rsid w:val="00F97F82"/>
    <w:rsid w:val="00F97FD6"/>
    <w:rsid w:val="00FA0065"/>
    <w:rsid w:val="00FA01D2"/>
    <w:rsid w:val="00FA02FF"/>
    <w:rsid w:val="00FA04A7"/>
    <w:rsid w:val="00FA08CC"/>
    <w:rsid w:val="00FA092A"/>
    <w:rsid w:val="00FA0F5A"/>
    <w:rsid w:val="00FA14E1"/>
    <w:rsid w:val="00FA1690"/>
    <w:rsid w:val="00FA1B6C"/>
    <w:rsid w:val="00FA1E71"/>
    <w:rsid w:val="00FA2407"/>
    <w:rsid w:val="00FA2709"/>
    <w:rsid w:val="00FA2835"/>
    <w:rsid w:val="00FA2CCB"/>
    <w:rsid w:val="00FA3231"/>
    <w:rsid w:val="00FA3379"/>
    <w:rsid w:val="00FA3DFF"/>
    <w:rsid w:val="00FA46DB"/>
    <w:rsid w:val="00FA50AE"/>
    <w:rsid w:val="00FA65E8"/>
    <w:rsid w:val="00FA68B4"/>
    <w:rsid w:val="00FA6C5F"/>
    <w:rsid w:val="00FA7274"/>
    <w:rsid w:val="00FA739E"/>
    <w:rsid w:val="00FA7CBF"/>
    <w:rsid w:val="00FB044E"/>
    <w:rsid w:val="00FB0490"/>
    <w:rsid w:val="00FB091D"/>
    <w:rsid w:val="00FB0B3A"/>
    <w:rsid w:val="00FB0D46"/>
    <w:rsid w:val="00FB0FA6"/>
    <w:rsid w:val="00FB16EA"/>
    <w:rsid w:val="00FB16F7"/>
    <w:rsid w:val="00FB17FC"/>
    <w:rsid w:val="00FB1EFD"/>
    <w:rsid w:val="00FB1FC5"/>
    <w:rsid w:val="00FB20FF"/>
    <w:rsid w:val="00FB2753"/>
    <w:rsid w:val="00FB2EF4"/>
    <w:rsid w:val="00FB33F6"/>
    <w:rsid w:val="00FB3450"/>
    <w:rsid w:val="00FB3DE6"/>
    <w:rsid w:val="00FB42B5"/>
    <w:rsid w:val="00FB4634"/>
    <w:rsid w:val="00FB46BF"/>
    <w:rsid w:val="00FB47B6"/>
    <w:rsid w:val="00FB57F8"/>
    <w:rsid w:val="00FB5D25"/>
    <w:rsid w:val="00FB5E55"/>
    <w:rsid w:val="00FB61C3"/>
    <w:rsid w:val="00FB6238"/>
    <w:rsid w:val="00FB6A52"/>
    <w:rsid w:val="00FB6B1B"/>
    <w:rsid w:val="00FB6D55"/>
    <w:rsid w:val="00FB6EDC"/>
    <w:rsid w:val="00FB7080"/>
    <w:rsid w:val="00FB7250"/>
    <w:rsid w:val="00FB72F3"/>
    <w:rsid w:val="00FB749F"/>
    <w:rsid w:val="00FB74CC"/>
    <w:rsid w:val="00FB7A68"/>
    <w:rsid w:val="00FB7B20"/>
    <w:rsid w:val="00FB7B61"/>
    <w:rsid w:val="00FB7C90"/>
    <w:rsid w:val="00FB7EE3"/>
    <w:rsid w:val="00FB7F33"/>
    <w:rsid w:val="00FB7FD8"/>
    <w:rsid w:val="00FC12A1"/>
    <w:rsid w:val="00FC1390"/>
    <w:rsid w:val="00FC17FF"/>
    <w:rsid w:val="00FC18EB"/>
    <w:rsid w:val="00FC1B00"/>
    <w:rsid w:val="00FC2FE2"/>
    <w:rsid w:val="00FC339F"/>
    <w:rsid w:val="00FC34DF"/>
    <w:rsid w:val="00FC35EE"/>
    <w:rsid w:val="00FC388B"/>
    <w:rsid w:val="00FC3EA1"/>
    <w:rsid w:val="00FC4459"/>
    <w:rsid w:val="00FC47D1"/>
    <w:rsid w:val="00FC491A"/>
    <w:rsid w:val="00FC4B64"/>
    <w:rsid w:val="00FC5098"/>
    <w:rsid w:val="00FC52DE"/>
    <w:rsid w:val="00FC5495"/>
    <w:rsid w:val="00FC54F9"/>
    <w:rsid w:val="00FC5C5C"/>
    <w:rsid w:val="00FC5D28"/>
    <w:rsid w:val="00FC5FB7"/>
    <w:rsid w:val="00FC60EC"/>
    <w:rsid w:val="00FC65CE"/>
    <w:rsid w:val="00FC6655"/>
    <w:rsid w:val="00FC6EB6"/>
    <w:rsid w:val="00FC7168"/>
    <w:rsid w:val="00FC79DF"/>
    <w:rsid w:val="00FD073C"/>
    <w:rsid w:val="00FD0910"/>
    <w:rsid w:val="00FD0B7D"/>
    <w:rsid w:val="00FD1680"/>
    <w:rsid w:val="00FD1AA5"/>
    <w:rsid w:val="00FD22B2"/>
    <w:rsid w:val="00FD2356"/>
    <w:rsid w:val="00FD2CCF"/>
    <w:rsid w:val="00FD2DFA"/>
    <w:rsid w:val="00FD3128"/>
    <w:rsid w:val="00FD31E1"/>
    <w:rsid w:val="00FD3494"/>
    <w:rsid w:val="00FD37B7"/>
    <w:rsid w:val="00FD37E0"/>
    <w:rsid w:val="00FD3DC7"/>
    <w:rsid w:val="00FD403A"/>
    <w:rsid w:val="00FD45C9"/>
    <w:rsid w:val="00FD48F7"/>
    <w:rsid w:val="00FD494D"/>
    <w:rsid w:val="00FD5534"/>
    <w:rsid w:val="00FD5555"/>
    <w:rsid w:val="00FD6C92"/>
    <w:rsid w:val="00FD7383"/>
    <w:rsid w:val="00FD78ED"/>
    <w:rsid w:val="00FD7900"/>
    <w:rsid w:val="00FD7E2A"/>
    <w:rsid w:val="00FE0126"/>
    <w:rsid w:val="00FE0343"/>
    <w:rsid w:val="00FE0FC6"/>
    <w:rsid w:val="00FE1801"/>
    <w:rsid w:val="00FE1875"/>
    <w:rsid w:val="00FE1E45"/>
    <w:rsid w:val="00FE1F96"/>
    <w:rsid w:val="00FE207F"/>
    <w:rsid w:val="00FE20A4"/>
    <w:rsid w:val="00FE24A6"/>
    <w:rsid w:val="00FE374B"/>
    <w:rsid w:val="00FE4395"/>
    <w:rsid w:val="00FE448A"/>
    <w:rsid w:val="00FE4633"/>
    <w:rsid w:val="00FE468C"/>
    <w:rsid w:val="00FE4B79"/>
    <w:rsid w:val="00FE4C3F"/>
    <w:rsid w:val="00FE4EF1"/>
    <w:rsid w:val="00FE4F29"/>
    <w:rsid w:val="00FE4FCE"/>
    <w:rsid w:val="00FE50D2"/>
    <w:rsid w:val="00FE50E3"/>
    <w:rsid w:val="00FE5689"/>
    <w:rsid w:val="00FE56E4"/>
    <w:rsid w:val="00FE5781"/>
    <w:rsid w:val="00FE622A"/>
    <w:rsid w:val="00FE68DA"/>
    <w:rsid w:val="00FE70B1"/>
    <w:rsid w:val="00FE78F0"/>
    <w:rsid w:val="00FE7A41"/>
    <w:rsid w:val="00FE7E92"/>
    <w:rsid w:val="00FF0166"/>
    <w:rsid w:val="00FF0749"/>
    <w:rsid w:val="00FF07C1"/>
    <w:rsid w:val="00FF09CE"/>
    <w:rsid w:val="00FF0B0A"/>
    <w:rsid w:val="00FF0CA3"/>
    <w:rsid w:val="00FF0CE5"/>
    <w:rsid w:val="00FF1853"/>
    <w:rsid w:val="00FF188E"/>
    <w:rsid w:val="00FF18C7"/>
    <w:rsid w:val="00FF312C"/>
    <w:rsid w:val="00FF386E"/>
    <w:rsid w:val="00FF3DFA"/>
    <w:rsid w:val="00FF4029"/>
    <w:rsid w:val="00FF5074"/>
    <w:rsid w:val="00FF509E"/>
    <w:rsid w:val="00FF5460"/>
    <w:rsid w:val="00FF5825"/>
    <w:rsid w:val="00FF5A2C"/>
    <w:rsid w:val="00FF5CF0"/>
    <w:rsid w:val="00FF5E4C"/>
    <w:rsid w:val="00FF5F9C"/>
    <w:rsid w:val="00FF6B26"/>
    <w:rsid w:val="00FF6C74"/>
    <w:rsid w:val="00FF6E6D"/>
    <w:rsid w:val="00FF6FC3"/>
    <w:rsid w:val="00FF714A"/>
    <w:rsid w:val="00FF788E"/>
    <w:rsid w:val="00FF78D5"/>
    <w:rsid w:val="016AEE5B"/>
    <w:rsid w:val="01C26E3C"/>
    <w:rsid w:val="03EA45BD"/>
    <w:rsid w:val="05BDD71F"/>
    <w:rsid w:val="08D5C47A"/>
    <w:rsid w:val="0A00B0D5"/>
    <w:rsid w:val="0A7FF2DF"/>
    <w:rsid w:val="0AAA5921"/>
    <w:rsid w:val="0BE875DD"/>
    <w:rsid w:val="0C56667E"/>
    <w:rsid w:val="0CC5D38C"/>
    <w:rsid w:val="0D22872B"/>
    <w:rsid w:val="10B0BC57"/>
    <w:rsid w:val="122A9C9E"/>
    <w:rsid w:val="122F0A05"/>
    <w:rsid w:val="13141724"/>
    <w:rsid w:val="1364D3F4"/>
    <w:rsid w:val="13A72162"/>
    <w:rsid w:val="1473EF0D"/>
    <w:rsid w:val="14A80DB1"/>
    <w:rsid w:val="155ABC05"/>
    <w:rsid w:val="15E62331"/>
    <w:rsid w:val="161EC609"/>
    <w:rsid w:val="16785666"/>
    <w:rsid w:val="17CA838D"/>
    <w:rsid w:val="1805170B"/>
    <w:rsid w:val="1828BAB2"/>
    <w:rsid w:val="18A7F3DF"/>
    <w:rsid w:val="1A1D663C"/>
    <w:rsid w:val="1B0AF5A6"/>
    <w:rsid w:val="1B9E7CCD"/>
    <w:rsid w:val="1CA4D44D"/>
    <w:rsid w:val="1CEDD6E0"/>
    <w:rsid w:val="1E6F6CEC"/>
    <w:rsid w:val="1EA07C7A"/>
    <w:rsid w:val="1F8BAE1D"/>
    <w:rsid w:val="20117C66"/>
    <w:rsid w:val="20DD77ED"/>
    <w:rsid w:val="2116204A"/>
    <w:rsid w:val="2225A71D"/>
    <w:rsid w:val="244F0C9E"/>
    <w:rsid w:val="266380C8"/>
    <w:rsid w:val="275D8AD5"/>
    <w:rsid w:val="27C3062F"/>
    <w:rsid w:val="287B8DA2"/>
    <w:rsid w:val="28AB0AB2"/>
    <w:rsid w:val="28CE9433"/>
    <w:rsid w:val="299474E8"/>
    <w:rsid w:val="2A803B65"/>
    <w:rsid w:val="2AB05C09"/>
    <w:rsid w:val="2B1E0573"/>
    <w:rsid w:val="2BC3C3A3"/>
    <w:rsid w:val="2CDB19D5"/>
    <w:rsid w:val="2CF51171"/>
    <w:rsid w:val="2D06AC86"/>
    <w:rsid w:val="2D1D14DC"/>
    <w:rsid w:val="2D2137CC"/>
    <w:rsid w:val="2E31B9A1"/>
    <w:rsid w:val="2F7F1595"/>
    <w:rsid w:val="30A1658A"/>
    <w:rsid w:val="311F01E7"/>
    <w:rsid w:val="329698EE"/>
    <w:rsid w:val="331FC9FA"/>
    <w:rsid w:val="343A7483"/>
    <w:rsid w:val="346EB5BA"/>
    <w:rsid w:val="364B14C8"/>
    <w:rsid w:val="36AC4E79"/>
    <w:rsid w:val="36C59425"/>
    <w:rsid w:val="37653E8C"/>
    <w:rsid w:val="385D222C"/>
    <w:rsid w:val="395A1CD1"/>
    <w:rsid w:val="399B0039"/>
    <w:rsid w:val="39EC1EC9"/>
    <w:rsid w:val="3A39CAD2"/>
    <w:rsid w:val="3B1BFFBF"/>
    <w:rsid w:val="3DD52275"/>
    <w:rsid w:val="3DE19D02"/>
    <w:rsid w:val="3E1CA4E7"/>
    <w:rsid w:val="3E1D420C"/>
    <w:rsid w:val="3EDD4A29"/>
    <w:rsid w:val="40ADBA57"/>
    <w:rsid w:val="414BAFA3"/>
    <w:rsid w:val="4354DE30"/>
    <w:rsid w:val="443C5BE7"/>
    <w:rsid w:val="4459A18C"/>
    <w:rsid w:val="458CBFC5"/>
    <w:rsid w:val="46587A9C"/>
    <w:rsid w:val="4688F2D4"/>
    <w:rsid w:val="46B4BA77"/>
    <w:rsid w:val="46B894A2"/>
    <w:rsid w:val="47EEAF77"/>
    <w:rsid w:val="48054669"/>
    <w:rsid w:val="4923DC2D"/>
    <w:rsid w:val="49C18A7C"/>
    <w:rsid w:val="4ACBD26B"/>
    <w:rsid w:val="4B4ABA9D"/>
    <w:rsid w:val="4C96263E"/>
    <w:rsid w:val="4D399A92"/>
    <w:rsid w:val="4E59BE46"/>
    <w:rsid w:val="4EE5ACBF"/>
    <w:rsid w:val="4FC087A8"/>
    <w:rsid w:val="4FDC1392"/>
    <w:rsid w:val="50E5172D"/>
    <w:rsid w:val="52B28B1F"/>
    <w:rsid w:val="53ACF4CD"/>
    <w:rsid w:val="53AF1AE8"/>
    <w:rsid w:val="53EB7DA2"/>
    <w:rsid w:val="543EBFA9"/>
    <w:rsid w:val="5451B7AE"/>
    <w:rsid w:val="54D4276F"/>
    <w:rsid w:val="54FB3B4C"/>
    <w:rsid w:val="554F0305"/>
    <w:rsid w:val="55545D78"/>
    <w:rsid w:val="561ADBF2"/>
    <w:rsid w:val="572B31D0"/>
    <w:rsid w:val="572C1E48"/>
    <w:rsid w:val="573029D2"/>
    <w:rsid w:val="5846C7C2"/>
    <w:rsid w:val="5861C9B7"/>
    <w:rsid w:val="58824AA8"/>
    <w:rsid w:val="58CB90EB"/>
    <w:rsid w:val="59EBB2E3"/>
    <w:rsid w:val="5A500DC5"/>
    <w:rsid w:val="5A805626"/>
    <w:rsid w:val="5A87E97E"/>
    <w:rsid w:val="5A904BC7"/>
    <w:rsid w:val="5AA7B45E"/>
    <w:rsid w:val="5B024161"/>
    <w:rsid w:val="5D53F59D"/>
    <w:rsid w:val="5DE72AB5"/>
    <w:rsid w:val="60448F16"/>
    <w:rsid w:val="61C78197"/>
    <w:rsid w:val="655EE832"/>
    <w:rsid w:val="6571864D"/>
    <w:rsid w:val="66F40F88"/>
    <w:rsid w:val="6890E631"/>
    <w:rsid w:val="691F9D60"/>
    <w:rsid w:val="6A9BE172"/>
    <w:rsid w:val="6D6F653B"/>
    <w:rsid w:val="6DEB7451"/>
    <w:rsid w:val="6F28FABC"/>
    <w:rsid w:val="71D74A35"/>
    <w:rsid w:val="72F75B07"/>
    <w:rsid w:val="73A56B90"/>
    <w:rsid w:val="73DCAD30"/>
    <w:rsid w:val="7438A9E0"/>
    <w:rsid w:val="74CD3524"/>
    <w:rsid w:val="75019DFC"/>
    <w:rsid w:val="75324616"/>
    <w:rsid w:val="75AD7176"/>
    <w:rsid w:val="75EF74D8"/>
    <w:rsid w:val="76AC9128"/>
    <w:rsid w:val="76F3DA76"/>
    <w:rsid w:val="776638F7"/>
    <w:rsid w:val="786EAEDB"/>
    <w:rsid w:val="797CC350"/>
    <w:rsid w:val="7B622EE2"/>
    <w:rsid w:val="7CBD684D"/>
    <w:rsid w:val="7CCB0139"/>
    <w:rsid w:val="7D463469"/>
    <w:rsid w:val="7D6D629E"/>
    <w:rsid w:val="7F57E315"/>
    <w:rsid w:val="7F60D253"/>
    <w:rsid w:val="7F8A7A54"/>
    <w:rsid w:val="7FA6035E"/>
    <w:rsid w:val="7FF754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ED340"/>
  <w15:chartTrackingRefBased/>
  <w15:docId w15:val="{519E49CF-6AF0-4476-B775-FBD55A82D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A55"/>
    <w:rPr>
      <w:lang w:val="es-DO"/>
    </w:rPr>
  </w:style>
  <w:style w:type="paragraph" w:styleId="Ttulo1">
    <w:name w:val="heading 1"/>
    <w:basedOn w:val="Normal"/>
    <w:next w:val="Normal"/>
    <w:link w:val="Ttulo1Car"/>
    <w:uiPriority w:val="9"/>
    <w:qFormat/>
    <w:rsid w:val="005273D1"/>
    <w:pPr>
      <w:keepNext/>
      <w:keepLines/>
      <w:spacing w:before="240" w:after="0"/>
      <w:outlineLvl w:val="0"/>
    </w:pPr>
    <w:rPr>
      <w:rFonts w:ascii="Times New Roman" w:eastAsiaTheme="majorEastAsia" w:hAnsi="Times New Roman" w:cstheme="majorBidi"/>
      <w:color w:val="595959" w:themeColor="text1" w:themeTint="A6"/>
      <w:sz w:val="28"/>
      <w:szCs w:val="32"/>
    </w:rPr>
  </w:style>
  <w:style w:type="paragraph" w:styleId="Ttulo2">
    <w:name w:val="heading 2"/>
    <w:basedOn w:val="Normal"/>
    <w:next w:val="Normal"/>
    <w:link w:val="Ttulo2Car"/>
    <w:uiPriority w:val="9"/>
    <w:unhideWhenUsed/>
    <w:qFormat/>
    <w:rsid w:val="000E39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6A69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465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84651"/>
  </w:style>
  <w:style w:type="paragraph" w:styleId="Piedepgina">
    <w:name w:val="footer"/>
    <w:basedOn w:val="Normal"/>
    <w:link w:val="PiedepginaCar"/>
    <w:uiPriority w:val="99"/>
    <w:unhideWhenUsed/>
    <w:rsid w:val="00E8465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84651"/>
  </w:style>
  <w:style w:type="paragraph" w:styleId="Sinespaciado">
    <w:name w:val="No Spacing"/>
    <w:uiPriority w:val="1"/>
    <w:qFormat/>
    <w:rsid w:val="005273D1"/>
    <w:pPr>
      <w:spacing w:after="0" w:line="240" w:lineRule="auto"/>
    </w:pPr>
    <w:rPr>
      <w:rFonts w:ascii="Times New Roman" w:eastAsia="Calibri" w:hAnsi="Times New Roman" w:cs="Times New Roman"/>
      <w:color w:val="595959" w:themeColor="text1" w:themeTint="A6"/>
      <w:sz w:val="24"/>
    </w:rPr>
  </w:style>
  <w:style w:type="character" w:customStyle="1" w:styleId="Ttulo1Car">
    <w:name w:val="Título 1 Car"/>
    <w:basedOn w:val="Fuentedeprrafopredeter"/>
    <w:link w:val="Ttulo1"/>
    <w:uiPriority w:val="9"/>
    <w:rsid w:val="005273D1"/>
    <w:rPr>
      <w:rFonts w:ascii="Times New Roman" w:eastAsiaTheme="majorEastAsia" w:hAnsi="Times New Roman" w:cstheme="majorBidi"/>
      <w:color w:val="595959" w:themeColor="text1" w:themeTint="A6"/>
      <w:sz w:val="28"/>
      <w:szCs w:val="32"/>
    </w:rPr>
  </w:style>
  <w:style w:type="paragraph" w:styleId="TtuloTDC">
    <w:name w:val="TOC Heading"/>
    <w:basedOn w:val="Ttulo1"/>
    <w:next w:val="Normal"/>
    <w:uiPriority w:val="39"/>
    <w:unhideWhenUsed/>
    <w:qFormat/>
    <w:rsid w:val="00D743AB"/>
    <w:pPr>
      <w:outlineLvl w:val="9"/>
    </w:pPr>
    <w:rPr>
      <w:rFonts w:asciiTheme="majorHAnsi" w:hAnsiTheme="majorHAnsi"/>
      <w:color w:val="2F5496" w:themeColor="accent1" w:themeShade="BF"/>
      <w:sz w:val="32"/>
    </w:rPr>
  </w:style>
  <w:style w:type="paragraph" w:styleId="TDC1">
    <w:name w:val="toc 1"/>
    <w:basedOn w:val="Normal"/>
    <w:next w:val="Normal"/>
    <w:autoRedefine/>
    <w:uiPriority w:val="39"/>
    <w:unhideWhenUsed/>
    <w:rsid w:val="00D743AB"/>
    <w:pPr>
      <w:spacing w:after="100"/>
    </w:pPr>
  </w:style>
  <w:style w:type="character" w:styleId="Hipervnculo">
    <w:name w:val="Hyperlink"/>
    <w:basedOn w:val="Fuentedeprrafopredeter"/>
    <w:uiPriority w:val="99"/>
    <w:unhideWhenUsed/>
    <w:rsid w:val="00D743AB"/>
    <w:rPr>
      <w:color w:val="0563C1" w:themeColor="hyperlink"/>
      <w:u w:val="single"/>
    </w:rPr>
  </w:style>
  <w:style w:type="paragraph" w:styleId="Prrafodelista">
    <w:name w:val="List Paragraph"/>
    <w:basedOn w:val="Normal"/>
    <w:uiPriority w:val="34"/>
    <w:qFormat/>
    <w:rsid w:val="000872E5"/>
    <w:pPr>
      <w:ind w:left="720"/>
      <w:contextualSpacing/>
    </w:pPr>
  </w:style>
  <w:style w:type="character" w:customStyle="1" w:styleId="Ttulo2Car">
    <w:name w:val="Título 2 Car"/>
    <w:basedOn w:val="Fuentedeprrafopredeter"/>
    <w:link w:val="Ttulo2"/>
    <w:uiPriority w:val="9"/>
    <w:rsid w:val="000E39C1"/>
    <w:rPr>
      <w:rFonts w:asciiTheme="majorHAnsi" w:eastAsiaTheme="majorEastAsia" w:hAnsiTheme="majorHAnsi" w:cstheme="majorBidi"/>
      <w:color w:val="2F5496" w:themeColor="accent1" w:themeShade="BF"/>
      <w:sz w:val="26"/>
      <w:szCs w:val="26"/>
    </w:rPr>
  </w:style>
  <w:style w:type="paragraph" w:styleId="TDC2">
    <w:name w:val="toc 2"/>
    <w:basedOn w:val="Normal"/>
    <w:next w:val="Normal"/>
    <w:autoRedefine/>
    <w:uiPriority w:val="39"/>
    <w:unhideWhenUsed/>
    <w:rsid w:val="00C93F09"/>
    <w:pPr>
      <w:tabs>
        <w:tab w:val="left" w:pos="960"/>
        <w:tab w:val="right" w:leader="dot" w:pos="9350"/>
      </w:tabs>
      <w:spacing w:after="100"/>
      <w:ind w:left="220"/>
    </w:pPr>
    <w:rPr>
      <w:rFonts w:ascii="Times New Roman" w:eastAsia="Calibri" w:hAnsi="Times New Roman" w:cs="Times New Roman"/>
      <w:noProof/>
      <w:color w:val="767171"/>
      <w:spacing w:val="20"/>
      <w:sz w:val="24"/>
      <w:szCs w:val="24"/>
    </w:rPr>
  </w:style>
  <w:style w:type="paragraph" w:styleId="Descripcin">
    <w:name w:val="caption"/>
    <w:basedOn w:val="Normal"/>
    <w:next w:val="Normal"/>
    <w:unhideWhenUsed/>
    <w:qFormat/>
    <w:rsid w:val="00CE540F"/>
    <w:pPr>
      <w:spacing w:after="200" w:line="240" w:lineRule="auto"/>
      <w:ind w:left="284"/>
      <w:jc w:val="both"/>
    </w:pPr>
    <w:rPr>
      <w:rFonts w:ascii="Times New Roman" w:eastAsia="Times New Roman" w:hAnsi="Times New Roman" w:cs="Times New Roman"/>
      <w:b/>
      <w:bCs/>
      <w:color w:val="4F81BD"/>
      <w:sz w:val="18"/>
      <w:szCs w:val="18"/>
      <w:lang w:eastAsia="es-DO"/>
    </w:rPr>
  </w:style>
  <w:style w:type="table" w:styleId="Tablaconcuadrcula">
    <w:name w:val="Table Grid"/>
    <w:basedOn w:val="Tablanormal"/>
    <w:uiPriority w:val="39"/>
    <w:rsid w:val="00CE5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CE540F"/>
    <w:rPr>
      <w:color w:val="605E5C"/>
      <w:shd w:val="clear" w:color="auto" w:fill="E1DFDD"/>
    </w:rPr>
  </w:style>
  <w:style w:type="character" w:styleId="Refdecomentario">
    <w:name w:val="annotation reference"/>
    <w:basedOn w:val="Fuentedeprrafopredeter"/>
    <w:uiPriority w:val="99"/>
    <w:semiHidden/>
    <w:unhideWhenUsed/>
    <w:rsid w:val="00C4235B"/>
    <w:rPr>
      <w:sz w:val="16"/>
      <w:szCs w:val="16"/>
    </w:rPr>
  </w:style>
  <w:style w:type="paragraph" w:styleId="Textocomentario">
    <w:name w:val="annotation text"/>
    <w:basedOn w:val="Normal"/>
    <w:link w:val="TextocomentarioCar"/>
    <w:uiPriority w:val="99"/>
    <w:unhideWhenUsed/>
    <w:rsid w:val="00C4235B"/>
    <w:pPr>
      <w:spacing w:line="240" w:lineRule="auto"/>
    </w:pPr>
    <w:rPr>
      <w:sz w:val="20"/>
      <w:szCs w:val="20"/>
    </w:rPr>
  </w:style>
  <w:style w:type="character" w:customStyle="1" w:styleId="TextocomentarioCar">
    <w:name w:val="Texto comentario Car"/>
    <w:basedOn w:val="Fuentedeprrafopredeter"/>
    <w:link w:val="Textocomentario"/>
    <w:uiPriority w:val="99"/>
    <w:rsid w:val="00C4235B"/>
    <w:rPr>
      <w:sz w:val="20"/>
      <w:szCs w:val="20"/>
    </w:rPr>
  </w:style>
  <w:style w:type="paragraph" w:styleId="Asuntodelcomentario">
    <w:name w:val="annotation subject"/>
    <w:basedOn w:val="Textocomentario"/>
    <w:next w:val="Textocomentario"/>
    <w:link w:val="AsuntodelcomentarioCar"/>
    <w:uiPriority w:val="99"/>
    <w:semiHidden/>
    <w:unhideWhenUsed/>
    <w:rsid w:val="00C4235B"/>
    <w:rPr>
      <w:b/>
      <w:bCs/>
    </w:rPr>
  </w:style>
  <w:style w:type="character" w:customStyle="1" w:styleId="AsuntodelcomentarioCar">
    <w:name w:val="Asunto del comentario Car"/>
    <w:basedOn w:val="TextocomentarioCar"/>
    <w:link w:val="Asuntodelcomentario"/>
    <w:uiPriority w:val="99"/>
    <w:semiHidden/>
    <w:rsid w:val="00C4235B"/>
    <w:rPr>
      <w:b/>
      <w:bCs/>
      <w:sz w:val="20"/>
      <w:szCs w:val="20"/>
    </w:rPr>
  </w:style>
  <w:style w:type="character" w:styleId="Mencionar">
    <w:name w:val="Mention"/>
    <w:basedOn w:val="Fuentedeprrafopredeter"/>
    <w:uiPriority w:val="99"/>
    <w:unhideWhenUsed/>
    <w:rsid w:val="005C4911"/>
    <w:rPr>
      <w:color w:val="2B579A"/>
      <w:shd w:val="clear" w:color="auto" w:fill="E1DFDD"/>
    </w:rPr>
  </w:style>
  <w:style w:type="paragraph" w:styleId="Revisin">
    <w:name w:val="Revision"/>
    <w:hidden/>
    <w:uiPriority w:val="99"/>
    <w:semiHidden/>
    <w:rsid w:val="007A24B3"/>
    <w:pPr>
      <w:spacing w:after="0" w:line="240" w:lineRule="auto"/>
    </w:pPr>
  </w:style>
  <w:style w:type="paragraph" w:customStyle="1" w:styleId="CuerpoSB">
    <w:name w:val="Cuerpo SB"/>
    <w:basedOn w:val="Normal"/>
    <w:link w:val="CuerpoSBCar"/>
    <w:qFormat/>
    <w:rsid w:val="00C17DB7"/>
    <w:pPr>
      <w:pBdr>
        <w:top w:val="nil"/>
        <w:left w:val="nil"/>
        <w:bottom w:val="nil"/>
        <w:right w:val="nil"/>
        <w:between w:val="nil"/>
        <w:bar w:val="nil"/>
      </w:pBdr>
      <w:suppressAutoHyphens/>
      <w:spacing w:line="456" w:lineRule="auto"/>
      <w:ind w:left="284"/>
      <w:contextualSpacing/>
      <w:jc w:val="both"/>
    </w:pPr>
    <w:rPr>
      <w:rFonts w:ascii="Artifex CF Light" w:eastAsia="Arial Unicode MS" w:hAnsi="Artifex CF Light" w:cs="Arial Unicode MS"/>
      <w:color w:val="1F4E79"/>
      <w:sz w:val="18"/>
      <w:szCs w:val="18"/>
      <w:u w:color="000000"/>
      <w:bdr w:val="nil"/>
      <w:lang w:eastAsia="es-DO"/>
    </w:rPr>
  </w:style>
  <w:style w:type="character" w:customStyle="1" w:styleId="CuerpoSBCar">
    <w:name w:val="Cuerpo SB Car"/>
    <w:link w:val="CuerpoSB"/>
    <w:rsid w:val="00C17DB7"/>
    <w:rPr>
      <w:rFonts w:ascii="Artifex CF Light" w:eastAsia="Arial Unicode MS" w:hAnsi="Artifex CF Light" w:cs="Arial Unicode MS"/>
      <w:color w:val="1F4E79"/>
      <w:sz w:val="18"/>
      <w:szCs w:val="18"/>
      <w:u w:color="000000"/>
      <w:bdr w:val="nil"/>
      <w:lang w:val="es-DO" w:eastAsia="es-DO"/>
    </w:rPr>
  </w:style>
  <w:style w:type="paragraph" w:customStyle="1" w:styleId="Estilo3">
    <w:name w:val="Estilo3"/>
    <w:basedOn w:val="Normal"/>
    <w:link w:val="Estilo3Car"/>
    <w:qFormat/>
    <w:rsid w:val="00C17DB7"/>
    <w:pPr>
      <w:keepNext/>
      <w:spacing w:before="240" w:after="60"/>
      <w:jc w:val="center"/>
      <w:outlineLvl w:val="1"/>
    </w:pPr>
    <w:rPr>
      <w:rFonts w:ascii="Times New Roman" w:eastAsia="Times New Roman" w:hAnsi="Times New Roman" w:cs="Times New Roman"/>
      <w:bCs/>
      <w:iCs/>
      <w:color w:val="767171"/>
      <w:spacing w:val="20"/>
      <w:sz w:val="24"/>
      <w:szCs w:val="28"/>
    </w:rPr>
  </w:style>
  <w:style w:type="character" w:customStyle="1" w:styleId="Estilo3Car">
    <w:name w:val="Estilo3 Car"/>
    <w:link w:val="Estilo3"/>
    <w:rsid w:val="00C17DB7"/>
    <w:rPr>
      <w:rFonts w:ascii="Times New Roman" w:eastAsia="Times New Roman" w:hAnsi="Times New Roman" w:cs="Times New Roman"/>
      <w:bCs/>
      <w:iCs/>
      <w:color w:val="767171"/>
      <w:spacing w:val="20"/>
      <w:sz w:val="24"/>
      <w:szCs w:val="28"/>
      <w:lang w:val="es-DO"/>
    </w:rPr>
  </w:style>
  <w:style w:type="character" w:customStyle="1" w:styleId="ui-provider">
    <w:name w:val="ui-provider"/>
    <w:basedOn w:val="Fuentedeprrafopredeter"/>
    <w:rsid w:val="00B01BF2"/>
  </w:style>
  <w:style w:type="paragraph" w:customStyle="1" w:styleId="EstiloTItulosMemorias">
    <w:name w:val="Estilo TItulos Memorias"/>
    <w:basedOn w:val="Ttulo1"/>
    <w:link w:val="EstiloTItulosMemoriasCar"/>
    <w:qFormat/>
    <w:rsid w:val="006A69DF"/>
    <w:pPr>
      <w:jc w:val="center"/>
    </w:pPr>
    <w:rPr>
      <w:rFonts w:eastAsia="Times New Roman"/>
      <w:color w:val="767171" w:themeColor="background2" w:themeShade="80"/>
      <w:spacing w:val="20"/>
    </w:rPr>
  </w:style>
  <w:style w:type="character" w:customStyle="1" w:styleId="EstiloTItulosMemoriasCar">
    <w:name w:val="Estilo TItulos Memorias Car"/>
    <w:basedOn w:val="Ttulo1Car"/>
    <w:link w:val="EstiloTItulosMemorias"/>
    <w:rsid w:val="006A69DF"/>
    <w:rPr>
      <w:rFonts w:ascii="Times New Roman" w:eastAsia="Times New Roman" w:hAnsi="Times New Roman" w:cstheme="majorBidi"/>
      <w:color w:val="767171" w:themeColor="background2" w:themeShade="80"/>
      <w:spacing w:val="20"/>
      <w:sz w:val="28"/>
      <w:szCs w:val="32"/>
      <w:lang w:val="es-DO"/>
    </w:rPr>
  </w:style>
  <w:style w:type="paragraph" w:customStyle="1" w:styleId="Estilo4">
    <w:name w:val="Estilo4"/>
    <w:basedOn w:val="Ttulo3"/>
    <w:link w:val="Estilo4Car"/>
    <w:qFormat/>
    <w:rsid w:val="006A69DF"/>
    <w:pPr>
      <w:spacing w:before="80" w:line="360" w:lineRule="auto"/>
      <w:ind w:left="708" w:hanging="708"/>
      <w:jc w:val="center"/>
    </w:pPr>
    <w:rPr>
      <w:rFonts w:ascii="Times New Roman" w:eastAsia="SimSun" w:hAnsi="Times New Roman" w:cs="Times New Roman"/>
      <w:b/>
      <w:color w:val="767171"/>
      <w:lang w:eastAsia="es-DO"/>
    </w:rPr>
  </w:style>
  <w:style w:type="character" w:customStyle="1" w:styleId="Estilo4Car">
    <w:name w:val="Estilo4 Car"/>
    <w:link w:val="Estilo4"/>
    <w:rsid w:val="006A69DF"/>
    <w:rPr>
      <w:rFonts w:ascii="Times New Roman" w:eastAsia="SimSun" w:hAnsi="Times New Roman" w:cs="Times New Roman"/>
      <w:b/>
      <w:color w:val="767171"/>
      <w:sz w:val="24"/>
      <w:szCs w:val="24"/>
      <w:lang w:val="es-DO" w:eastAsia="es-DO"/>
    </w:rPr>
  </w:style>
  <w:style w:type="table" w:styleId="Tablaconcuadrcula1clara">
    <w:name w:val="Grid Table 1 Light"/>
    <w:basedOn w:val="Tablanormal"/>
    <w:uiPriority w:val="46"/>
    <w:rsid w:val="006A69DF"/>
    <w:pPr>
      <w:spacing w:after="0" w:line="240" w:lineRule="auto"/>
    </w:pPr>
    <w:rPr>
      <w:rFonts w:ascii="Times New Roman" w:hAnsi="Times New Roman" w:cs="Times New Roman"/>
      <w:color w:val="767171"/>
      <w:spacing w:val="20"/>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tulo3Car">
    <w:name w:val="Título 3 Car"/>
    <w:basedOn w:val="Fuentedeprrafopredeter"/>
    <w:link w:val="Ttulo3"/>
    <w:uiPriority w:val="9"/>
    <w:semiHidden/>
    <w:rsid w:val="006A69DF"/>
    <w:rPr>
      <w:rFonts w:asciiTheme="majorHAnsi" w:eastAsiaTheme="majorEastAsia" w:hAnsiTheme="majorHAnsi" w:cstheme="majorBidi"/>
      <w:color w:val="1F3763" w:themeColor="accent1" w:themeShade="7F"/>
      <w:sz w:val="24"/>
      <w:szCs w:val="24"/>
    </w:rPr>
  </w:style>
  <w:style w:type="paragraph" w:styleId="TDC3">
    <w:name w:val="toc 3"/>
    <w:basedOn w:val="Normal"/>
    <w:next w:val="Normal"/>
    <w:autoRedefine/>
    <w:uiPriority w:val="39"/>
    <w:unhideWhenUsed/>
    <w:rsid w:val="000813B9"/>
    <w:pPr>
      <w:spacing w:after="100"/>
      <w:ind w:left="440"/>
    </w:pPr>
  </w:style>
  <w:style w:type="paragraph" w:customStyle="1" w:styleId="xxmsonormal">
    <w:name w:val="x_x_msonormal"/>
    <w:basedOn w:val="Normal"/>
    <w:rsid w:val="00206E1F"/>
    <w:pPr>
      <w:spacing w:after="0" w:line="240" w:lineRule="auto"/>
    </w:pPr>
    <w:rPr>
      <w:rFonts w:ascii="Calibri" w:hAnsi="Calibri" w:cs="Calibri"/>
      <w:lang w:eastAsia="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1392">
      <w:bodyDiv w:val="1"/>
      <w:marLeft w:val="0"/>
      <w:marRight w:val="0"/>
      <w:marTop w:val="0"/>
      <w:marBottom w:val="0"/>
      <w:divBdr>
        <w:top w:val="none" w:sz="0" w:space="0" w:color="auto"/>
        <w:left w:val="none" w:sz="0" w:space="0" w:color="auto"/>
        <w:bottom w:val="none" w:sz="0" w:space="0" w:color="auto"/>
        <w:right w:val="none" w:sz="0" w:space="0" w:color="auto"/>
      </w:divBdr>
    </w:div>
    <w:div w:id="16204162">
      <w:bodyDiv w:val="1"/>
      <w:marLeft w:val="0"/>
      <w:marRight w:val="0"/>
      <w:marTop w:val="0"/>
      <w:marBottom w:val="0"/>
      <w:divBdr>
        <w:top w:val="none" w:sz="0" w:space="0" w:color="auto"/>
        <w:left w:val="none" w:sz="0" w:space="0" w:color="auto"/>
        <w:bottom w:val="none" w:sz="0" w:space="0" w:color="auto"/>
        <w:right w:val="none" w:sz="0" w:space="0" w:color="auto"/>
      </w:divBdr>
    </w:div>
    <w:div w:id="230966328">
      <w:bodyDiv w:val="1"/>
      <w:marLeft w:val="0"/>
      <w:marRight w:val="0"/>
      <w:marTop w:val="0"/>
      <w:marBottom w:val="0"/>
      <w:divBdr>
        <w:top w:val="none" w:sz="0" w:space="0" w:color="auto"/>
        <w:left w:val="none" w:sz="0" w:space="0" w:color="auto"/>
        <w:bottom w:val="none" w:sz="0" w:space="0" w:color="auto"/>
        <w:right w:val="none" w:sz="0" w:space="0" w:color="auto"/>
      </w:divBdr>
    </w:div>
    <w:div w:id="359672341">
      <w:bodyDiv w:val="1"/>
      <w:marLeft w:val="0"/>
      <w:marRight w:val="0"/>
      <w:marTop w:val="0"/>
      <w:marBottom w:val="0"/>
      <w:divBdr>
        <w:top w:val="none" w:sz="0" w:space="0" w:color="auto"/>
        <w:left w:val="none" w:sz="0" w:space="0" w:color="auto"/>
        <w:bottom w:val="none" w:sz="0" w:space="0" w:color="auto"/>
        <w:right w:val="none" w:sz="0" w:space="0" w:color="auto"/>
      </w:divBdr>
    </w:div>
    <w:div w:id="624888600">
      <w:bodyDiv w:val="1"/>
      <w:marLeft w:val="0"/>
      <w:marRight w:val="0"/>
      <w:marTop w:val="0"/>
      <w:marBottom w:val="0"/>
      <w:divBdr>
        <w:top w:val="none" w:sz="0" w:space="0" w:color="auto"/>
        <w:left w:val="none" w:sz="0" w:space="0" w:color="auto"/>
        <w:bottom w:val="none" w:sz="0" w:space="0" w:color="auto"/>
        <w:right w:val="none" w:sz="0" w:space="0" w:color="auto"/>
      </w:divBdr>
      <w:divsChild>
        <w:div w:id="299040910">
          <w:marLeft w:val="0"/>
          <w:marRight w:val="0"/>
          <w:marTop w:val="0"/>
          <w:marBottom w:val="0"/>
          <w:divBdr>
            <w:top w:val="none" w:sz="0" w:space="0" w:color="auto"/>
            <w:left w:val="none" w:sz="0" w:space="0" w:color="auto"/>
            <w:bottom w:val="none" w:sz="0" w:space="0" w:color="auto"/>
            <w:right w:val="none" w:sz="0" w:space="0" w:color="auto"/>
          </w:divBdr>
        </w:div>
        <w:div w:id="1323126093">
          <w:marLeft w:val="0"/>
          <w:marRight w:val="0"/>
          <w:marTop w:val="0"/>
          <w:marBottom w:val="0"/>
          <w:divBdr>
            <w:top w:val="none" w:sz="0" w:space="0" w:color="auto"/>
            <w:left w:val="none" w:sz="0" w:space="0" w:color="auto"/>
            <w:bottom w:val="none" w:sz="0" w:space="0" w:color="auto"/>
            <w:right w:val="none" w:sz="0" w:space="0" w:color="auto"/>
          </w:divBdr>
        </w:div>
      </w:divsChild>
    </w:div>
    <w:div w:id="781218768">
      <w:bodyDiv w:val="1"/>
      <w:marLeft w:val="0"/>
      <w:marRight w:val="0"/>
      <w:marTop w:val="0"/>
      <w:marBottom w:val="0"/>
      <w:divBdr>
        <w:top w:val="none" w:sz="0" w:space="0" w:color="auto"/>
        <w:left w:val="none" w:sz="0" w:space="0" w:color="auto"/>
        <w:bottom w:val="none" w:sz="0" w:space="0" w:color="auto"/>
        <w:right w:val="none" w:sz="0" w:space="0" w:color="auto"/>
      </w:divBdr>
    </w:div>
    <w:div w:id="807939081">
      <w:bodyDiv w:val="1"/>
      <w:marLeft w:val="0"/>
      <w:marRight w:val="0"/>
      <w:marTop w:val="0"/>
      <w:marBottom w:val="0"/>
      <w:divBdr>
        <w:top w:val="none" w:sz="0" w:space="0" w:color="auto"/>
        <w:left w:val="none" w:sz="0" w:space="0" w:color="auto"/>
        <w:bottom w:val="none" w:sz="0" w:space="0" w:color="auto"/>
        <w:right w:val="none" w:sz="0" w:space="0" w:color="auto"/>
      </w:divBdr>
      <w:divsChild>
        <w:div w:id="56705437">
          <w:marLeft w:val="0"/>
          <w:marRight w:val="0"/>
          <w:marTop w:val="0"/>
          <w:marBottom w:val="0"/>
          <w:divBdr>
            <w:top w:val="none" w:sz="0" w:space="0" w:color="auto"/>
            <w:left w:val="none" w:sz="0" w:space="0" w:color="auto"/>
            <w:bottom w:val="none" w:sz="0" w:space="0" w:color="auto"/>
            <w:right w:val="none" w:sz="0" w:space="0" w:color="auto"/>
          </w:divBdr>
        </w:div>
        <w:div w:id="831070500">
          <w:marLeft w:val="0"/>
          <w:marRight w:val="0"/>
          <w:marTop w:val="0"/>
          <w:marBottom w:val="0"/>
          <w:divBdr>
            <w:top w:val="none" w:sz="0" w:space="0" w:color="auto"/>
            <w:left w:val="none" w:sz="0" w:space="0" w:color="auto"/>
            <w:bottom w:val="none" w:sz="0" w:space="0" w:color="auto"/>
            <w:right w:val="none" w:sz="0" w:space="0" w:color="auto"/>
          </w:divBdr>
        </w:div>
      </w:divsChild>
    </w:div>
    <w:div w:id="847058489">
      <w:bodyDiv w:val="1"/>
      <w:marLeft w:val="0"/>
      <w:marRight w:val="0"/>
      <w:marTop w:val="0"/>
      <w:marBottom w:val="0"/>
      <w:divBdr>
        <w:top w:val="none" w:sz="0" w:space="0" w:color="auto"/>
        <w:left w:val="none" w:sz="0" w:space="0" w:color="auto"/>
        <w:bottom w:val="none" w:sz="0" w:space="0" w:color="auto"/>
        <w:right w:val="none" w:sz="0" w:space="0" w:color="auto"/>
      </w:divBdr>
    </w:div>
    <w:div w:id="869296467">
      <w:bodyDiv w:val="1"/>
      <w:marLeft w:val="0"/>
      <w:marRight w:val="0"/>
      <w:marTop w:val="0"/>
      <w:marBottom w:val="0"/>
      <w:divBdr>
        <w:top w:val="none" w:sz="0" w:space="0" w:color="auto"/>
        <w:left w:val="none" w:sz="0" w:space="0" w:color="auto"/>
        <w:bottom w:val="none" w:sz="0" w:space="0" w:color="auto"/>
        <w:right w:val="none" w:sz="0" w:space="0" w:color="auto"/>
      </w:divBdr>
    </w:div>
    <w:div w:id="915745312">
      <w:bodyDiv w:val="1"/>
      <w:marLeft w:val="0"/>
      <w:marRight w:val="0"/>
      <w:marTop w:val="0"/>
      <w:marBottom w:val="0"/>
      <w:divBdr>
        <w:top w:val="none" w:sz="0" w:space="0" w:color="auto"/>
        <w:left w:val="none" w:sz="0" w:space="0" w:color="auto"/>
        <w:bottom w:val="none" w:sz="0" w:space="0" w:color="auto"/>
        <w:right w:val="none" w:sz="0" w:space="0" w:color="auto"/>
      </w:divBdr>
    </w:div>
    <w:div w:id="973947469">
      <w:bodyDiv w:val="1"/>
      <w:marLeft w:val="0"/>
      <w:marRight w:val="0"/>
      <w:marTop w:val="0"/>
      <w:marBottom w:val="0"/>
      <w:divBdr>
        <w:top w:val="none" w:sz="0" w:space="0" w:color="auto"/>
        <w:left w:val="none" w:sz="0" w:space="0" w:color="auto"/>
        <w:bottom w:val="none" w:sz="0" w:space="0" w:color="auto"/>
        <w:right w:val="none" w:sz="0" w:space="0" w:color="auto"/>
      </w:divBdr>
    </w:div>
    <w:div w:id="1019430832">
      <w:bodyDiv w:val="1"/>
      <w:marLeft w:val="0"/>
      <w:marRight w:val="0"/>
      <w:marTop w:val="0"/>
      <w:marBottom w:val="0"/>
      <w:divBdr>
        <w:top w:val="none" w:sz="0" w:space="0" w:color="auto"/>
        <w:left w:val="none" w:sz="0" w:space="0" w:color="auto"/>
        <w:bottom w:val="none" w:sz="0" w:space="0" w:color="auto"/>
        <w:right w:val="none" w:sz="0" w:space="0" w:color="auto"/>
      </w:divBdr>
    </w:div>
    <w:div w:id="1334993427">
      <w:bodyDiv w:val="1"/>
      <w:marLeft w:val="0"/>
      <w:marRight w:val="0"/>
      <w:marTop w:val="0"/>
      <w:marBottom w:val="0"/>
      <w:divBdr>
        <w:top w:val="none" w:sz="0" w:space="0" w:color="auto"/>
        <w:left w:val="none" w:sz="0" w:space="0" w:color="auto"/>
        <w:bottom w:val="none" w:sz="0" w:space="0" w:color="auto"/>
        <w:right w:val="none" w:sz="0" w:space="0" w:color="auto"/>
      </w:divBdr>
    </w:div>
    <w:div w:id="1340623319">
      <w:bodyDiv w:val="1"/>
      <w:marLeft w:val="0"/>
      <w:marRight w:val="0"/>
      <w:marTop w:val="0"/>
      <w:marBottom w:val="0"/>
      <w:divBdr>
        <w:top w:val="none" w:sz="0" w:space="0" w:color="auto"/>
        <w:left w:val="none" w:sz="0" w:space="0" w:color="auto"/>
        <w:bottom w:val="none" w:sz="0" w:space="0" w:color="auto"/>
        <w:right w:val="none" w:sz="0" w:space="0" w:color="auto"/>
      </w:divBdr>
    </w:div>
    <w:div w:id="1451780956">
      <w:bodyDiv w:val="1"/>
      <w:marLeft w:val="0"/>
      <w:marRight w:val="0"/>
      <w:marTop w:val="0"/>
      <w:marBottom w:val="0"/>
      <w:divBdr>
        <w:top w:val="none" w:sz="0" w:space="0" w:color="auto"/>
        <w:left w:val="none" w:sz="0" w:space="0" w:color="auto"/>
        <w:bottom w:val="none" w:sz="0" w:space="0" w:color="auto"/>
        <w:right w:val="none" w:sz="0" w:space="0" w:color="auto"/>
      </w:divBdr>
    </w:div>
    <w:div w:id="1456100937">
      <w:bodyDiv w:val="1"/>
      <w:marLeft w:val="0"/>
      <w:marRight w:val="0"/>
      <w:marTop w:val="0"/>
      <w:marBottom w:val="0"/>
      <w:divBdr>
        <w:top w:val="none" w:sz="0" w:space="0" w:color="auto"/>
        <w:left w:val="none" w:sz="0" w:space="0" w:color="auto"/>
        <w:bottom w:val="none" w:sz="0" w:space="0" w:color="auto"/>
        <w:right w:val="none" w:sz="0" w:space="0" w:color="auto"/>
      </w:divBdr>
    </w:div>
    <w:div w:id="1490247498">
      <w:bodyDiv w:val="1"/>
      <w:marLeft w:val="0"/>
      <w:marRight w:val="0"/>
      <w:marTop w:val="0"/>
      <w:marBottom w:val="0"/>
      <w:divBdr>
        <w:top w:val="none" w:sz="0" w:space="0" w:color="auto"/>
        <w:left w:val="none" w:sz="0" w:space="0" w:color="auto"/>
        <w:bottom w:val="none" w:sz="0" w:space="0" w:color="auto"/>
        <w:right w:val="none" w:sz="0" w:space="0" w:color="auto"/>
      </w:divBdr>
    </w:div>
    <w:div w:id="1887833939">
      <w:bodyDiv w:val="1"/>
      <w:marLeft w:val="0"/>
      <w:marRight w:val="0"/>
      <w:marTop w:val="0"/>
      <w:marBottom w:val="0"/>
      <w:divBdr>
        <w:top w:val="none" w:sz="0" w:space="0" w:color="auto"/>
        <w:left w:val="none" w:sz="0" w:space="0" w:color="auto"/>
        <w:bottom w:val="none" w:sz="0" w:space="0" w:color="auto"/>
        <w:right w:val="none" w:sz="0" w:space="0" w:color="auto"/>
      </w:divBdr>
    </w:div>
    <w:div w:id="2015762075">
      <w:bodyDiv w:val="1"/>
      <w:marLeft w:val="0"/>
      <w:marRight w:val="0"/>
      <w:marTop w:val="0"/>
      <w:marBottom w:val="0"/>
      <w:divBdr>
        <w:top w:val="none" w:sz="0" w:space="0" w:color="auto"/>
        <w:left w:val="none" w:sz="0" w:space="0" w:color="auto"/>
        <w:bottom w:val="none" w:sz="0" w:space="0" w:color="auto"/>
        <w:right w:val="none" w:sz="0" w:space="0" w:color="auto"/>
      </w:divBdr>
      <w:divsChild>
        <w:div w:id="674500429">
          <w:marLeft w:val="806"/>
          <w:marRight w:val="0"/>
          <w:marTop w:val="0"/>
          <w:marBottom w:val="0"/>
          <w:divBdr>
            <w:top w:val="none" w:sz="0" w:space="0" w:color="auto"/>
            <w:left w:val="none" w:sz="0" w:space="0" w:color="auto"/>
            <w:bottom w:val="none" w:sz="0" w:space="0" w:color="auto"/>
            <w:right w:val="none" w:sz="0" w:space="0" w:color="auto"/>
          </w:divBdr>
        </w:div>
      </w:divsChild>
    </w:div>
    <w:div w:id="2102145431">
      <w:bodyDiv w:val="1"/>
      <w:marLeft w:val="0"/>
      <w:marRight w:val="0"/>
      <w:marTop w:val="0"/>
      <w:marBottom w:val="0"/>
      <w:divBdr>
        <w:top w:val="none" w:sz="0" w:space="0" w:color="auto"/>
        <w:left w:val="none" w:sz="0" w:space="0" w:color="auto"/>
        <w:bottom w:val="none" w:sz="0" w:space="0" w:color="auto"/>
        <w:right w:val="none" w:sz="0" w:space="0" w:color="auto"/>
      </w:divBdr>
    </w:div>
    <w:div w:id="210333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59925D5DAF3E0A4893FDBB199FC9739D" ma:contentTypeVersion="13" ma:contentTypeDescription="Crear nuevo documento." ma:contentTypeScope="" ma:versionID="579429c718db20bfe402074dcceac748">
  <xsd:schema xmlns:xsd="http://www.w3.org/2001/XMLSchema" xmlns:xs="http://www.w3.org/2001/XMLSchema" xmlns:p="http://schemas.microsoft.com/office/2006/metadata/properties" xmlns:ns2="90522e38-1962-477c-af98-629becbeab9b" xmlns:ns3="69e4a72e-5d1e-45a6-8064-ff5a35288b5a" targetNamespace="http://schemas.microsoft.com/office/2006/metadata/properties" ma:root="true" ma:fieldsID="db379fb4814bcb95951db01428de3991" ns2:_="" ns3:_="">
    <xsd:import namespace="90522e38-1962-477c-af98-629becbeab9b"/>
    <xsd:import namespace="69e4a72e-5d1e-45a6-8064-ff5a35288b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22e38-1962-477c-af98-629becbea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c6babf98-e910-45e2-a93c-7cd2858202e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4a72e-5d1e-45a6-8064-ff5a35288b5a"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5" nillable="true" ma:displayName="Taxonomy Catch All Column" ma:hidden="true" ma:list="{3a6aaffc-b22d-4ef4-a8ea-0114eab11df2}" ma:internalName="TaxCatchAll" ma:showField="CatchAllData" ma:web="69e4a72e-5d1e-45a6-8064-ff5a35288b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9e4a72e-5d1e-45a6-8064-ff5a35288b5a" xsi:nil="true"/>
    <lcf76f155ced4ddcb4097134ff3c332f xmlns="90522e38-1962-477c-af98-629becbeab9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BCD5C8-7716-420D-8F61-06E824AB4D53}">
  <ds:schemaRefs>
    <ds:schemaRef ds:uri="http://schemas.openxmlformats.org/officeDocument/2006/bibliography"/>
  </ds:schemaRefs>
</ds:datastoreItem>
</file>

<file path=customXml/itemProps2.xml><?xml version="1.0" encoding="utf-8"?>
<ds:datastoreItem xmlns:ds="http://schemas.openxmlformats.org/officeDocument/2006/customXml" ds:itemID="{4EA225C0-0F97-4DEF-9394-A45317489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22e38-1962-477c-af98-629becbeab9b"/>
    <ds:schemaRef ds:uri="69e4a72e-5d1e-45a6-8064-ff5a35288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6FAA44-3EDF-4708-846E-D3B78658451E}">
  <ds:schemaRefs>
    <ds:schemaRef ds:uri="http://schemas.microsoft.com/office/2006/metadata/properties"/>
    <ds:schemaRef ds:uri="http://schemas.microsoft.com/office/infopath/2007/PartnerControls"/>
    <ds:schemaRef ds:uri="69e4a72e-5d1e-45a6-8064-ff5a35288b5a"/>
    <ds:schemaRef ds:uri="90522e38-1962-477c-af98-629becbeab9b"/>
  </ds:schemaRefs>
</ds:datastoreItem>
</file>

<file path=customXml/itemProps4.xml><?xml version="1.0" encoding="utf-8"?>
<ds:datastoreItem xmlns:ds="http://schemas.openxmlformats.org/officeDocument/2006/customXml" ds:itemID="{F1BFBA13-E457-4E90-BC91-0E40E9DB1D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21196</Words>
  <Characters>116584</Characters>
  <Application>Microsoft Office Word</Application>
  <DocSecurity>0</DocSecurity>
  <Lines>971</Lines>
  <Paragraphs>275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137505</CharactersWithSpaces>
  <SharedDoc>false</SharedDoc>
  <HLinks>
    <vt:vector size="240" baseType="variant">
      <vt:variant>
        <vt:i4>1703987</vt:i4>
      </vt:variant>
      <vt:variant>
        <vt:i4>236</vt:i4>
      </vt:variant>
      <vt:variant>
        <vt:i4>0</vt:i4>
      </vt:variant>
      <vt:variant>
        <vt:i4>5</vt:i4>
      </vt:variant>
      <vt:variant>
        <vt:lpwstr/>
      </vt:variant>
      <vt:variant>
        <vt:lpwstr>_Toc185275023</vt:lpwstr>
      </vt:variant>
      <vt:variant>
        <vt:i4>1703987</vt:i4>
      </vt:variant>
      <vt:variant>
        <vt:i4>230</vt:i4>
      </vt:variant>
      <vt:variant>
        <vt:i4>0</vt:i4>
      </vt:variant>
      <vt:variant>
        <vt:i4>5</vt:i4>
      </vt:variant>
      <vt:variant>
        <vt:lpwstr/>
      </vt:variant>
      <vt:variant>
        <vt:lpwstr>_Toc185275022</vt:lpwstr>
      </vt:variant>
      <vt:variant>
        <vt:i4>1703987</vt:i4>
      </vt:variant>
      <vt:variant>
        <vt:i4>224</vt:i4>
      </vt:variant>
      <vt:variant>
        <vt:i4>0</vt:i4>
      </vt:variant>
      <vt:variant>
        <vt:i4>5</vt:i4>
      </vt:variant>
      <vt:variant>
        <vt:lpwstr/>
      </vt:variant>
      <vt:variant>
        <vt:lpwstr>_Toc185275021</vt:lpwstr>
      </vt:variant>
      <vt:variant>
        <vt:i4>1703987</vt:i4>
      </vt:variant>
      <vt:variant>
        <vt:i4>218</vt:i4>
      </vt:variant>
      <vt:variant>
        <vt:i4>0</vt:i4>
      </vt:variant>
      <vt:variant>
        <vt:i4>5</vt:i4>
      </vt:variant>
      <vt:variant>
        <vt:lpwstr/>
      </vt:variant>
      <vt:variant>
        <vt:lpwstr>_Toc185275020</vt:lpwstr>
      </vt:variant>
      <vt:variant>
        <vt:i4>1638451</vt:i4>
      </vt:variant>
      <vt:variant>
        <vt:i4>212</vt:i4>
      </vt:variant>
      <vt:variant>
        <vt:i4>0</vt:i4>
      </vt:variant>
      <vt:variant>
        <vt:i4>5</vt:i4>
      </vt:variant>
      <vt:variant>
        <vt:lpwstr/>
      </vt:variant>
      <vt:variant>
        <vt:lpwstr>_Toc185275018</vt:lpwstr>
      </vt:variant>
      <vt:variant>
        <vt:i4>1638451</vt:i4>
      </vt:variant>
      <vt:variant>
        <vt:i4>206</vt:i4>
      </vt:variant>
      <vt:variant>
        <vt:i4>0</vt:i4>
      </vt:variant>
      <vt:variant>
        <vt:i4>5</vt:i4>
      </vt:variant>
      <vt:variant>
        <vt:lpwstr/>
      </vt:variant>
      <vt:variant>
        <vt:lpwstr>_Toc185275017</vt:lpwstr>
      </vt:variant>
      <vt:variant>
        <vt:i4>1638451</vt:i4>
      </vt:variant>
      <vt:variant>
        <vt:i4>200</vt:i4>
      </vt:variant>
      <vt:variant>
        <vt:i4>0</vt:i4>
      </vt:variant>
      <vt:variant>
        <vt:i4>5</vt:i4>
      </vt:variant>
      <vt:variant>
        <vt:lpwstr/>
      </vt:variant>
      <vt:variant>
        <vt:lpwstr>_Toc185275016</vt:lpwstr>
      </vt:variant>
      <vt:variant>
        <vt:i4>1638451</vt:i4>
      </vt:variant>
      <vt:variant>
        <vt:i4>194</vt:i4>
      </vt:variant>
      <vt:variant>
        <vt:i4>0</vt:i4>
      </vt:variant>
      <vt:variant>
        <vt:i4>5</vt:i4>
      </vt:variant>
      <vt:variant>
        <vt:lpwstr/>
      </vt:variant>
      <vt:variant>
        <vt:lpwstr>_Toc185275015</vt:lpwstr>
      </vt:variant>
      <vt:variant>
        <vt:i4>1638451</vt:i4>
      </vt:variant>
      <vt:variant>
        <vt:i4>188</vt:i4>
      </vt:variant>
      <vt:variant>
        <vt:i4>0</vt:i4>
      </vt:variant>
      <vt:variant>
        <vt:i4>5</vt:i4>
      </vt:variant>
      <vt:variant>
        <vt:lpwstr/>
      </vt:variant>
      <vt:variant>
        <vt:lpwstr>_Toc185275014</vt:lpwstr>
      </vt:variant>
      <vt:variant>
        <vt:i4>1638451</vt:i4>
      </vt:variant>
      <vt:variant>
        <vt:i4>182</vt:i4>
      </vt:variant>
      <vt:variant>
        <vt:i4>0</vt:i4>
      </vt:variant>
      <vt:variant>
        <vt:i4>5</vt:i4>
      </vt:variant>
      <vt:variant>
        <vt:lpwstr/>
      </vt:variant>
      <vt:variant>
        <vt:lpwstr>_Toc185275013</vt:lpwstr>
      </vt:variant>
      <vt:variant>
        <vt:i4>1638451</vt:i4>
      </vt:variant>
      <vt:variant>
        <vt:i4>176</vt:i4>
      </vt:variant>
      <vt:variant>
        <vt:i4>0</vt:i4>
      </vt:variant>
      <vt:variant>
        <vt:i4>5</vt:i4>
      </vt:variant>
      <vt:variant>
        <vt:lpwstr/>
      </vt:variant>
      <vt:variant>
        <vt:lpwstr>_Toc185275012</vt:lpwstr>
      </vt:variant>
      <vt:variant>
        <vt:i4>1638451</vt:i4>
      </vt:variant>
      <vt:variant>
        <vt:i4>170</vt:i4>
      </vt:variant>
      <vt:variant>
        <vt:i4>0</vt:i4>
      </vt:variant>
      <vt:variant>
        <vt:i4>5</vt:i4>
      </vt:variant>
      <vt:variant>
        <vt:lpwstr/>
      </vt:variant>
      <vt:variant>
        <vt:lpwstr>_Toc185275011</vt:lpwstr>
      </vt:variant>
      <vt:variant>
        <vt:i4>1638451</vt:i4>
      </vt:variant>
      <vt:variant>
        <vt:i4>164</vt:i4>
      </vt:variant>
      <vt:variant>
        <vt:i4>0</vt:i4>
      </vt:variant>
      <vt:variant>
        <vt:i4>5</vt:i4>
      </vt:variant>
      <vt:variant>
        <vt:lpwstr/>
      </vt:variant>
      <vt:variant>
        <vt:lpwstr>_Toc185275010</vt:lpwstr>
      </vt:variant>
      <vt:variant>
        <vt:i4>1572915</vt:i4>
      </vt:variant>
      <vt:variant>
        <vt:i4>158</vt:i4>
      </vt:variant>
      <vt:variant>
        <vt:i4>0</vt:i4>
      </vt:variant>
      <vt:variant>
        <vt:i4>5</vt:i4>
      </vt:variant>
      <vt:variant>
        <vt:lpwstr/>
      </vt:variant>
      <vt:variant>
        <vt:lpwstr>_Toc185275009</vt:lpwstr>
      </vt:variant>
      <vt:variant>
        <vt:i4>1572915</vt:i4>
      </vt:variant>
      <vt:variant>
        <vt:i4>152</vt:i4>
      </vt:variant>
      <vt:variant>
        <vt:i4>0</vt:i4>
      </vt:variant>
      <vt:variant>
        <vt:i4>5</vt:i4>
      </vt:variant>
      <vt:variant>
        <vt:lpwstr/>
      </vt:variant>
      <vt:variant>
        <vt:lpwstr>_Toc185275008</vt:lpwstr>
      </vt:variant>
      <vt:variant>
        <vt:i4>1572915</vt:i4>
      </vt:variant>
      <vt:variant>
        <vt:i4>146</vt:i4>
      </vt:variant>
      <vt:variant>
        <vt:i4>0</vt:i4>
      </vt:variant>
      <vt:variant>
        <vt:i4>5</vt:i4>
      </vt:variant>
      <vt:variant>
        <vt:lpwstr/>
      </vt:variant>
      <vt:variant>
        <vt:lpwstr>_Toc185275007</vt:lpwstr>
      </vt:variant>
      <vt:variant>
        <vt:i4>1572915</vt:i4>
      </vt:variant>
      <vt:variant>
        <vt:i4>140</vt:i4>
      </vt:variant>
      <vt:variant>
        <vt:i4>0</vt:i4>
      </vt:variant>
      <vt:variant>
        <vt:i4>5</vt:i4>
      </vt:variant>
      <vt:variant>
        <vt:lpwstr/>
      </vt:variant>
      <vt:variant>
        <vt:lpwstr>_Toc185275006</vt:lpwstr>
      </vt:variant>
      <vt:variant>
        <vt:i4>1572915</vt:i4>
      </vt:variant>
      <vt:variant>
        <vt:i4>134</vt:i4>
      </vt:variant>
      <vt:variant>
        <vt:i4>0</vt:i4>
      </vt:variant>
      <vt:variant>
        <vt:i4>5</vt:i4>
      </vt:variant>
      <vt:variant>
        <vt:lpwstr/>
      </vt:variant>
      <vt:variant>
        <vt:lpwstr>_Toc185275005</vt:lpwstr>
      </vt:variant>
      <vt:variant>
        <vt:i4>1572915</vt:i4>
      </vt:variant>
      <vt:variant>
        <vt:i4>128</vt:i4>
      </vt:variant>
      <vt:variant>
        <vt:i4>0</vt:i4>
      </vt:variant>
      <vt:variant>
        <vt:i4>5</vt:i4>
      </vt:variant>
      <vt:variant>
        <vt:lpwstr/>
      </vt:variant>
      <vt:variant>
        <vt:lpwstr>_Toc185275004</vt:lpwstr>
      </vt:variant>
      <vt:variant>
        <vt:i4>1572915</vt:i4>
      </vt:variant>
      <vt:variant>
        <vt:i4>122</vt:i4>
      </vt:variant>
      <vt:variant>
        <vt:i4>0</vt:i4>
      </vt:variant>
      <vt:variant>
        <vt:i4>5</vt:i4>
      </vt:variant>
      <vt:variant>
        <vt:lpwstr/>
      </vt:variant>
      <vt:variant>
        <vt:lpwstr>_Toc185275003</vt:lpwstr>
      </vt:variant>
      <vt:variant>
        <vt:i4>1572915</vt:i4>
      </vt:variant>
      <vt:variant>
        <vt:i4>116</vt:i4>
      </vt:variant>
      <vt:variant>
        <vt:i4>0</vt:i4>
      </vt:variant>
      <vt:variant>
        <vt:i4>5</vt:i4>
      </vt:variant>
      <vt:variant>
        <vt:lpwstr/>
      </vt:variant>
      <vt:variant>
        <vt:lpwstr>_Toc185275002</vt:lpwstr>
      </vt:variant>
      <vt:variant>
        <vt:i4>1572915</vt:i4>
      </vt:variant>
      <vt:variant>
        <vt:i4>110</vt:i4>
      </vt:variant>
      <vt:variant>
        <vt:i4>0</vt:i4>
      </vt:variant>
      <vt:variant>
        <vt:i4>5</vt:i4>
      </vt:variant>
      <vt:variant>
        <vt:lpwstr/>
      </vt:variant>
      <vt:variant>
        <vt:lpwstr>_Toc185275001</vt:lpwstr>
      </vt:variant>
      <vt:variant>
        <vt:i4>1572915</vt:i4>
      </vt:variant>
      <vt:variant>
        <vt:i4>104</vt:i4>
      </vt:variant>
      <vt:variant>
        <vt:i4>0</vt:i4>
      </vt:variant>
      <vt:variant>
        <vt:i4>5</vt:i4>
      </vt:variant>
      <vt:variant>
        <vt:lpwstr/>
      </vt:variant>
      <vt:variant>
        <vt:lpwstr>_Toc185275000</vt:lpwstr>
      </vt:variant>
      <vt:variant>
        <vt:i4>1048634</vt:i4>
      </vt:variant>
      <vt:variant>
        <vt:i4>98</vt:i4>
      </vt:variant>
      <vt:variant>
        <vt:i4>0</vt:i4>
      </vt:variant>
      <vt:variant>
        <vt:i4>5</vt:i4>
      </vt:variant>
      <vt:variant>
        <vt:lpwstr/>
      </vt:variant>
      <vt:variant>
        <vt:lpwstr>_Toc185274999</vt:lpwstr>
      </vt:variant>
      <vt:variant>
        <vt:i4>1048634</vt:i4>
      </vt:variant>
      <vt:variant>
        <vt:i4>92</vt:i4>
      </vt:variant>
      <vt:variant>
        <vt:i4>0</vt:i4>
      </vt:variant>
      <vt:variant>
        <vt:i4>5</vt:i4>
      </vt:variant>
      <vt:variant>
        <vt:lpwstr/>
      </vt:variant>
      <vt:variant>
        <vt:lpwstr>_Toc185274998</vt:lpwstr>
      </vt:variant>
      <vt:variant>
        <vt:i4>1048634</vt:i4>
      </vt:variant>
      <vt:variant>
        <vt:i4>86</vt:i4>
      </vt:variant>
      <vt:variant>
        <vt:i4>0</vt:i4>
      </vt:variant>
      <vt:variant>
        <vt:i4>5</vt:i4>
      </vt:variant>
      <vt:variant>
        <vt:lpwstr/>
      </vt:variant>
      <vt:variant>
        <vt:lpwstr>_Toc185274997</vt:lpwstr>
      </vt:variant>
      <vt:variant>
        <vt:i4>1048634</vt:i4>
      </vt:variant>
      <vt:variant>
        <vt:i4>80</vt:i4>
      </vt:variant>
      <vt:variant>
        <vt:i4>0</vt:i4>
      </vt:variant>
      <vt:variant>
        <vt:i4>5</vt:i4>
      </vt:variant>
      <vt:variant>
        <vt:lpwstr/>
      </vt:variant>
      <vt:variant>
        <vt:lpwstr>_Toc185274996</vt:lpwstr>
      </vt:variant>
      <vt:variant>
        <vt:i4>1048634</vt:i4>
      </vt:variant>
      <vt:variant>
        <vt:i4>74</vt:i4>
      </vt:variant>
      <vt:variant>
        <vt:i4>0</vt:i4>
      </vt:variant>
      <vt:variant>
        <vt:i4>5</vt:i4>
      </vt:variant>
      <vt:variant>
        <vt:lpwstr/>
      </vt:variant>
      <vt:variant>
        <vt:lpwstr>_Toc185274995</vt:lpwstr>
      </vt:variant>
      <vt:variant>
        <vt:i4>1048634</vt:i4>
      </vt:variant>
      <vt:variant>
        <vt:i4>68</vt:i4>
      </vt:variant>
      <vt:variant>
        <vt:i4>0</vt:i4>
      </vt:variant>
      <vt:variant>
        <vt:i4>5</vt:i4>
      </vt:variant>
      <vt:variant>
        <vt:lpwstr/>
      </vt:variant>
      <vt:variant>
        <vt:lpwstr>_Toc185274994</vt:lpwstr>
      </vt:variant>
      <vt:variant>
        <vt:i4>1048634</vt:i4>
      </vt:variant>
      <vt:variant>
        <vt:i4>62</vt:i4>
      </vt:variant>
      <vt:variant>
        <vt:i4>0</vt:i4>
      </vt:variant>
      <vt:variant>
        <vt:i4>5</vt:i4>
      </vt:variant>
      <vt:variant>
        <vt:lpwstr/>
      </vt:variant>
      <vt:variant>
        <vt:lpwstr>_Toc185274993</vt:lpwstr>
      </vt:variant>
      <vt:variant>
        <vt:i4>1048634</vt:i4>
      </vt:variant>
      <vt:variant>
        <vt:i4>56</vt:i4>
      </vt:variant>
      <vt:variant>
        <vt:i4>0</vt:i4>
      </vt:variant>
      <vt:variant>
        <vt:i4>5</vt:i4>
      </vt:variant>
      <vt:variant>
        <vt:lpwstr/>
      </vt:variant>
      <vt:variant>
        <vt:lpwstr>_Toc185274992</vt:lpwstr>
      </vt:variant>
      <vt:variant>
        <vt:i4>1048634</vt:i4>
      </vt:variant>
      <vt:variant>
        <vt:i4>50</vt:i4>
      </vt:variant>
      <vt:variant>
        <vt:i4>0</vt:i4>
      </vt:variant>
      <vt:variant>
        <vt:i4>5</vt:i4>
      </vt:variant>
      <vt:variant>
        <vt:lpwstr/>
      </vt:variant>
      <vt:variant>
        <vt:lpwstr>_Toc185274991</vt:lpwstr>
      </vt:variant>
      <vt:variant>
        <vt:i4>1048634</vt:i4>
      </vt:variant>
      <vt:variant>
        <vt:i4>44</vt:i4>
      </vt:variant>
      <vt:variant>
        <vt:i4>0</vt:i4>
      </vt:variant>
      <vt:variant>
        <vt:i4>5</vt:i4>
      </vt:variant>
      <vt:variant>
        <vt:lpwstr/>
      </vt:variant>
      <vt:variant>
        <vt:lpwstr>_Toc185274990</vt:lpwstr>
      </vt:variant>
      <vt:variant>
        <vt:i4>1114170</vt:i4>
      </vt:variant>
      <vt:variant>
        <vt:i4>38</vt:i4>
      </vt:variant>
      <vt:variant>
        <vt:i4>0</vt:i4>
      </vt:variant>
      <vt:variant>
        <vt:i4>5</vt:i4>
      </vt:variant>
      <vt:variant>
        <vt:lpwstr/>
      </vt:variant>
      <vt:variant>
        <vt:lpwstr>_Toc185274989</vt:lpwstr>
      </vt:variant>
      <vt:variant>
        <vt:i4>1114170</vt:i4>
      </vt:variant>
      <vt:variant>
        <vt:i4>32</vt:i4>
      </vt:variant>
      <vt:variant>
        <vt:i4>0</vt:i4>
      </vt:variant>
      <vt:variant>
        <vt:i4>5</vt:i4>
      </vt:variant>
      <vt:variant>
        <vt:lpwstr/>
      </vt:variant>
      <vt:variant>
        <vt:lpwstr>_Toc185274988</vt:lpwstr>
      </vt:variant>
      <vt:variant>
        <vt:i4>1114170</vt:i4>
      </vt:variant>
      <vt:variant>
        <vt:i4>26</vt:i4>
      </vt:variant>
      <vt:variant>
        <vt:i4>0</vt:i4>
      </vt:variant>
      <vt:variant>
        <vt:i4>5</vt:i4>
      </vt:variant>
      <vt:variant>
        <vt:lpwstr/>
      </vt:variant>
      <vt:variant>
        <vt:lpwstr>_Toc185274987</vt:lpwstr>
      </vt:variant>
      <vt:variant>
        <vt:i4>1114170</vt:i4>
      </vt:variant>
      <vt:variant>
        <vt:i4>20</vt:i4>
      </vt:variant>
      <vt:variant>
        <vt:i4>0</vt:i4>
      </vt:variant>
      <vt:variant>
        <vt:i4>5</vt:i4>
      </vt:variant>
      <vt:variant>
        <vt:lpwstr/>
      </vt:variant>
      <vt:variant>
        <vt:lpwstr>_Toc185274986</vt:lpwstr>
      </vt:variant>
      <vt:variant>
        <vt:i4>1114170</vt:i4>
      </vt:variant>
      <vt:variant>
        <vt:i4>14</vt:i4>
      </vt:variant>
      <vt:variant>
        <vt:i4>0</vt:i4>
      </vt:variant>
      <vt:variant>
        <vt:i4>5</vt:i4>
      </vt:variant>
      <vt:variant>
        <vt:lpwstr/>
      </vt:variant>
      <vt:variant>
        <vt:lpwstr>_Toc185274985</vt:lpwstr>
      </vt:variant>
      <vt:variant>
        <vt:i4>1114170</vt:i4>
      </vt:variant>
      <vt:variant>
        <vt:i4>8</vt:i4>
      </vt:variant>
      <vt:variant>
        <vt:i4>0</vt:i4>
      </vt:variant>
      <vt:variant>
        <vt:i4>5</vt:i4>
      </vt:variant>
      <vt:variant>
        <vt:lpwstr/>
      </vt:variant>
      <vt:variant>
        <vt:lpwstr>_Toc185274984</vt:lpwstr>
      </vt:variant>
      <vt:variant>
        <vt:i4>1114170</vt:i4>
      </vt:variant>
      <vt:variant>
        <vt:i4>2</vt:i4>
      </vt:variant>
      <vt:variant>
        <vt:i4>0</vt:i4>
      </vt:variant>
      <vt:variant>
        <vt:i4>5</vt:i4>
      </vt:variant>
      <vt:variant>
        <vt:lpwstr/>
      </vt:variant>
      <vt:variant>
        <vt:lpwstr>_Toc185274983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Peña</dc:creator>
  <cp:keywords/>
  <dc:description/>
  <cp:lastModifiedBy>Johan Manuel Mercado</cp:lastModifiedBy>
  <cp:revision>122</cp:revision>
  <cp:lastPrinted>2021-11-05T17:14:00Z</cp:lastPrinted>
  <dcterms:created xsi:type="dcterms:W3CDTF">2024-12-11T22:47:00Z</dcterms:created>
  <dcterms:modified xsi:type="dcterms:W3CDTF">2025-01-13T18:58:00Z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f5a2da-7ac4-4e60-a27b-a125ee74514f_Enabled">
    <vt:lpwstr>true</vt:lpwstr>
  </property>
  <property fmtid="{D5CDD505-2E9C-101B-9397-08002B2CF9AE}" pid="3" name="MSIP_Label_81f5a2da-7ac4-4e60-a27b-a125ee74514f_SetDate">
    <vt:lpwstr>2024-05-27T14:49:28Z</vt:lpwstr>
  </property>
  <property fmtid="{D5CDD505-2E9C-101B-9397-08002B2CF9AE}" pid="4" name="MSIP_Label_81f5a2da-7ac4-4e60-a27b-a125ee74514f_Method">
    <vt:lpwstr>Privileged</vt:lpwstr>
  </property>
  <property fmtid="{D5CDD505-2E9C-101B-9397-08002B2CF9AE}" pid="5" name="MSIP_Label_81f5a2da-7ac4-4e60-a27b-a125ee74514f_Name">
    <vt:lpwstr>Publica - Visual Marking</vt:lpwstr>
  </property>
  <property fmtid="{D5CDD505-2E9C-101B-9397-08002B2CF9AE}" pid="6" name="MSIP_Label_81f5a2da-7ac4-4e60-a27b-a125ee74514f_SiteId">
    <vt:lpwstr>d994480d-72f7-4fe9-8095-21c86c20a5a3</vt:lpwstr>
  </property>
  <property fmtid="{D5CDD505-2E9C-101B-9397-08002B2CF9AE}" pid="7" name="MSIP_Label_81f5a2da-7ac4-4e60-a27b-a125ee74514f_ActionId">
    <vt:lpwstr>ec49657a-c5d6-466a-9c5e-3b0a754fd9f8</vt:lpwstr>
  </property>
  <property fmtid="{D5CDD505-2E9C-101B-9397-08002B2CF9AE}" pid="8" name="MSIP_Label_81f5a2da-7ac4-4e60-a27b-a125ee74514f_ContentBits">
    <vt:lpwstr>0</vt:lpwstr>
  </property>
  <property fmtid="{D5CDD505-2E9C-101B-9397-08002B2CF9AE}" pid="9" name="ContentTypeId">
    <vt:lpwstr>0x01010059925D5DAF3E0A4893FDBB199FC9739D</vt:lpwstr>
  </property>
  <property fmtid="{D5CDD505-2E9C-101B-9397-08002B2CF9AE}" pid="10" name="MediaServiceImageTags">
    <vt:lpwstr/>
  </property>
</Properties>
</file>