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E23DE" w14:textId="77777777" w:rsidR="00D87A4B" w:rsidRDefault="00D87A4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2FC9EEF5" w14:textId="204FF3F1" w:rsidR="005C19EB" w:rsidRPr="00B04E45" w:rsidRDefault="00C8247A"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r w:rsidRPr="00B04E45">
        <w:rPr>
          <w:rFonts w:ascii="Times New Roman" w:hAnsi="Times New Roman" w:cs="Times New Roman"/>
          <w:b/>
          <w:bCs/>
          <w:noProof/>
          <w:color w:val="D5B788"/>
          <w:spacing w:val="60"/>
          <w:kern w:val="24"/>
          <w:sz w:val="24"/>
          <w:szCs w:val="56"/>
        </w:rPr>
        <w:drawing>
          <wp:anchor distT="0" distB="0" distL="114300" distR="114300" simplePos="0" relativeHeight="251726848" behindDoc="0" locked="0" layoutInCell="1" allowOverlap="1" wp14:anchorId="32BA0D87" wp14:editId="608F0AE4">
            <wp:simplePos x="0" y="0"/>
            <wp:positionH relativeFrom="margin">
              <wp:posOffset>1790700</wp:posOffset>
            </wp:positionH>
            <wp:positionV relativeFrom="margin">
              <wp:posOffset>-403860</wp:posOffset>
            </wp:positionV>
            <wp:extent cx="1270635" cy="1284605"/>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35" cy="128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6831" w:rsidRPr="00B04E45">
        <w:rPr>
          <w:rFonts w:ascii="Times New Roman" w:hAnsi="Times New Roman" w:cs="Times New Roman"/>
          <w:b/>
          <w:bCs/>
          <w:color w:val="767171"/>
          <w:spacing w:val="24"/>
          <w14:textFill>
            <w14:solidFill>
              <w14:srgbClr w14:val="767171">
                <w14:alpha w14:val="50000"/>
              </w14:srgbClr>
            </w14:solidFill>
          </w14:textFill>
        </w:rPr>
        <w:t>Samaná</w:t>
      </w:r>
    </w:p>
    <w:p w14:paraId="03072733" w14:textId="77777777" w:rsidR="005C19EB" w:rsidRPr="00B04E45"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35152FA1" w14:textId="77777777" w:rsidR="005C19EB" w:rsidRPr="00B04E45"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550217D2" w14:textId="77777777" w:rsidR="005C19EB" w:rsidRPr="00B04E45" w:rsidRDefault="005C19EB" w:rsidP="00434A4D">
      <w:pPr>
        <w:pStyle w:val="Sinespaciado"/>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22B74E3B" w14:textId="24C30AA4" w:rsidR="00120A7F" w:rsidRPr="00B04E45" w:rsidRDefault="00120A7F" w:rsidP="00C8247A">
      <w:pPr>
        <w:spacing w:line="259" w:lineRule="auto"/>
        <w:jc w:val="center"/>
        <w:rPr>
          <w:rFonts w:cs="Times New Roman"/>
        </w:rPr>
      </w:pPr>
      <w:r w:rsidRPr="00B04E45">
        <w:rPr>
          <w:rFonts w:cs="Times New Roman"/>
          <w:b/>
          <w:bCs/>
          <w:color w:val="D5B788"/>
          <w:spacing w:val="60"/>
          <w:kern w:val="24"/>
          <w:szCs w:val="56"/>
        </w:rPr>
        <w:t>REPÚBLICA DOMINICANA</w:t>
      </w:r>
    </w:p>
    <w:p w14:paraId="6D40E5B4" w14:textId="77777777" w:rsidR="00120A7F" w:rsidRPr="00B04E45" w:rsidRDefault="00120A7F" w:rsidP="00434A4D">
      <w:pPr>
        <w:rPr>
          <w:rFonts w:cs="Times New Roman"/>
        </w:rPr>
      </w:pPr>
    </w:p>
    <w:p w14:paraId="6DB91409" w14:textId="77777777" w:rsidR="00120A7F" w:rsidRPr="00B04E45" w:rsidRDefault="00120A7F" w:rsidP="00434A4D">
      <w:pPr>
        <w:rPr>
          <w:rFonts w:cs="Times New Roman"/>
        </w:rPr>
      </w:pPr>
    </w:p>
    <w:p w14:paraId="7042A1F7" w14:textId="77777777" w:rsidR="00120A7F" w:rsidRPr="00B04E45" w:rsidRDefault="00120A7F" w:rsidP="00434A4D">
      <w:pPr>
        <w:rPr>
          <w:rFonts w:cs="Times New Roman"/>
        </w:rPr>
      </w:pPr>
    </w:p>
    <w:p w14:paraId="474C74F2" w14:textId="77777777" w:rsidR="00120A7F" w:rsidRPr="00B04E45" w:rsidRDefault="00120A7F" w:rsidP="00434A4D">
      <w:pPr>
        <w:rPr>
          <w:rFonts w:cs="Times New Roman"/>
        </w:rPr>
      </w:pPr>
    </w:p>
    <w:p w14:paraId="5B2F3743" w14:textId="77777777" w:rsidR="00120A7F" w:rsidRPr="00B04E45" w:rsidRDefault="00120A7F" w:rsidP="00434A4D">
      <w:pPr>
        <w:pStyle w:val="Sinespaciado"/>
        <w:spacing w:line="360" w:lineRule="auto"/>
        <w:jc w:val="center"/>
        <w:rPr>
          <w:rFonts w:ascii="Times New Roman" w:hAnsi="Times New Roman" w:cs="Times New Roman"/>
          <w:color w:val="767171"/>
          <w:spacing w:val="18"/>
          <w:sz w:val="48"/>
          <w:szCs w:val="48"/>
          <w14:textFill>
            <w14:solidFill>
              <w14:srgbClr w14:val="767171">
                <w14:alpha w14:val="50000"/>
              </w14:srgbClr>
            </w14:solidFill>
          </w14:textFill>
        </w:rPr>
      </w:pPr>
    </w:p>
    <w:p w14:paraId="3D67ECE4" w14:textId="77777777" w:rsidR="00120A7F" w:rsidRPr="00B04E45" w:rsidRDefault="00120A7F" w:rsidP="00C8247A">
      <w:pPr>
        <w:spacing w:line="259" w:lineRule="auto"/>
        <w:jc w:val="center"/>
        <w:rPr>
          <w:rFonts w:cs="Times New Roman"/>
          <w:b/>
          <w:bCs/>
          <w:color w:val="D5B788"/>
          <w:spacing w:val="60"/>
          <w:kern w:val="24"/>
          <w:sz w:val="56"/>
          <w:szCs w:val="56"/>
        </w:rPr>
      </w:pPr>
      <w:r w:rsidRPr="00B04E45">
        <w:rPr>
          <w:rFonts w:cs="Times New Roman"/>
          <w:b/>
          <w:bCs/>
          <w:color w:val="D5B788"/>
          <w:spacing w:val="60"/>
          <w:kern w:val="24"/>
          <w:sz w:val="56"/>
          <w:szCs w:val="56"/>
        </w:rPr>
        <w:t>MEMORIA</w:t>
      </w:r>
    </w:p>
    <w:p w14:paraId="56F7C1B7" w14:textId="77777777" w:rsidR="00120A7F" w:rsidRPr="00B04E45" w:rsidRDefault="00120A7F" w:rsidP="00C8247A">
      <w:pPr>
        <w:spacing w:line="259" w:lineRule="auto"/>
        <w:jc w:val="center"/>
        <w:rPr>
          <w:rFonts w:cs="Times New Roman"/>
          <w:b/>
          <w:bCs/>
          <w:color w:val="D5B788"/>
          <w:spacing w:val="60"/>
          <w:kern w:val="24"/>
          <w:sz w:val="56"/>
          <w:szCs w:val="56"/>
        </w:rPr>
      </w:pPr>
      <w:r w:rsidRPr="00B04E45">
        <w:rPr>
          <w:rFonts w:cs="Times New Roman"/>
          <w:b/>
          <w:bCs/>
          <w:color w:val="D5B788"/>
          <w:spacing w:val="60"/>
          <w:kern w:val="24"/>
          <w:sz w:val="56"/>
          <w:szCs w:val="56"/>
        </w:rPr>
        <w:t>INSTITUCIONAL</w:t>
      </w:r>
    </w:p>
    <w:p w14:paraId="79CF6FFB" w14:textId="77777777" w:rsidR="00120A7F" w:rsidRPr="00B04E45"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04E45">
        <w:rPr>
          <w:rFonts w:ascii="Times New Roman" w:hAnsi="Times New Roman" w:cs="Times New Roman"/>
          <w:noProof/>
          <w:color w:val="767171"/>
          <w:spacing w:val="18"/>
          <w:sz w:val="48"/>
          <w:szCs w:val="48"/>
          <w14:textFill>
            <w14:solidFill>
              <w14:srgbClr w14:val="767171">
                <w14:alpha w14:val="50000"/>
              </w14:srgbClr>
            </w14:solidFill>
          </w14:textFill>
        </w:rPr>
        <mc:AlternateContent>
          <mc:Choice Requires="wps">
            <w:drawing>
              <wp:anchor distT="0" distB="0" distL="114300" distR="114300" simplePos="0" relativeHeight="251720704" behindDoc="0" locked="0" layoutInCell="1" allowOverlap="1" wp14:anchorId="414E2EFB" wp14:editId="6F6D3291">
                <wp:simplePos x="0" y="0"/>
                <wp:positionH relativeFrom="margin">
                  <wp:align>center</wp:align>
                </wp:positionH>
                <wp:positionV relativeFrom="paragraph">
                  <wp:posOffset>3810</wp:posOffset>
                </wp:positionV>
                <wp:extent cx="439420" cy="8255"/>
                <wp:effectExtent l="19050" t="19050" r="36830" b="29845"/>
                <wp:wrapNone/>
                <wp:docPr id="19"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42DF9E46" id="Conector recto 4" o:spid="_x0000_s1026" style="position:absolute;flip:y;z-index:25172070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AxO6+s9AEAADg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14:paraId="2607DC9B" w14:textId="212B9D54" w:rsidR="00120A7F" w:rsidRPr="00B04E45" w:rsidRDefault="00120A7F" w:rsidP="00C8247A">
      <w:pPr>
        <w:spacing w:line="259" w:lineRule="auto"/>
        <w:jc w:val="center"/>
        <w:rPr>
          <w:rFonts w:cs="Times New Roman"/>
          <w:b/>
          <w:bCs/>
          <w:color w:val="D5B788"/>
          <w:spacing w:val="60"/>
          <w:kern w:val="24"/>
          <w:sz w:val="44"/>
          <w:szCs w:val="56"/>
        </w:rPr>
      </w:pPr>
      <w:r w:rsidRPr="00B04E45">
        <w:rPr>
          <w:rFonts w:cs="Times New Roman"/>
          <w:b/>
          <w:bCs/>
          <w:color w:val="D5B788"/>
          <w:spacing w:val="60"/>
          <w:kern w:val="24"/>
          <w:sz w:val="28"/>
          <w:szCs w:val="28"/>
        </w:rPr>
        <w:t>AÑO</w:t>
      </w:r>
      <w:r w:rsidRPr="00B04E45">
        <w:rPr>
          <w:rFonts w:cs="Times New Roman"/>
          <w:b/>
          <w:bCs/>
          <w:color w:val="D5B788"/>
          <w:spacing w:val="60"/>
          <w:kern w:val="24"/>
          <w:sz w:val="44"/>
          <w:szCs w:val="56"/>
        </w:rPr>
        <w:t xml:space="preserve"> </w:t>
      </w:r>
      <w:r w:rsidRPr="00B04E45">
        <w:rPr>
          <w:rFonts w:cs="Times New Roman"/>
          <w:b/>
          <w:bCs/>
          <w:color w:val="D5B788"/>
          <w:spacing w:val="60"/>
          <w:kern w:val="24"/>
          <w:sz w:val="28"/>
          <w:szCs w:val="28"/>
        </w:rPr>
        <w:t>202</w:t>
      </w:r>
      <w:r w:rsidR="00301A39">
        <w:rPr>
          <w:rFonts w:cs="Times New Roman"/>
          <w:b/>
          <w:bCs/>
          <w:color w:val="D5B788"/>
          <w:spacing w:val="60"/>
          <w:kern w:val="24"/>
          <w:sz w:val="28"/>
          <w:szCs w:val="28"/>
        </w:rPr>
        <w:t>4</w:t>
      </w:r>
    </w:p>
    <w:p w14:paraId="4C044887" w14:textId="77777777" w:rsidR="003D0902" w:rsidRPr="00B04E45" w:rsidRDefault="003D0902" w:rsidP="00E31607">
      <w:pPr>
        <w:spacing w:before="20" w:after="160" w:line="259" w:lineRule="auto"/>
        <w:ind w:left="14"/>
        <w:jc w:val="center"/>
        <w:rPr>
          <w:rFonts w:cs="Times New Roman"/>
          <w:b/>
          <w:bCs/>
          <w:color w:val="D5B788"/>
          <w:spacing w:val="74"/>
          <w:kern w:val="24"/>
          <w:sz w:val="28"/>
          <w:szCs w:val="28"/>
        </w:rPr>
      </w:pPr>
    </w:p>
    <w:p w14:paraId="16A6F9DB" w14:textId="77777777" w:rsidR="00120A7F" w:rsidRPr="00B04E45" w:rsidRDefault="00172FF0" w:rsidP="00434A4D">
      <w:pPr>
        <w:rPr>
          <w:rFonts w:eastAsiaTheme="minorEastAsia" w:cs="Times New Roman"/>
          <w:lang w:eastAsia="es-DO"/>
        </w:rPr>
      </w:pPr>
      <w:r w:rsidRPr="00B04E45">
        <w:rPr>
          <w:rFonts w:cs="Times New Roman"/>
          <w:noProof/>
          <w:lang w:eastAsia="es-DO"/>
        </w:rPr>
        <w:drawing>
          <wp:anchor distT="0" distB="0" distL="114300" distR="114300" simplePos="0" relativeHeight="251721728" behindDoc="0" locked="0" layoutInCell="1" allowOverlap="1" wp14:anchorId="4B39C748" wp14:editId="029EF07F">
            <wp:simplePos x="0" y="0"/>
            <wp:positionH relativeFrom="column">
              <wp:posOffset>-427246</wp:posOffset>
            </wp:positionH>
            <wp:positionV relativeFrom="paragraph">
              <wp:posOffset>1812290</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120A7F" w:rsidRPr="00B04E45">
        <w:rPr>
          <w:rFonts w:cs="Times New Roman"/>
          <w:noProof/>
          <w:lang w:eastAsia="es-DO"/>
        </w:rPr>
        <w:drawing>
          <wp:anchor distT="0" distB="0" distL="114300" distR="114300" simplePos="0" relativeHeight="251727872" behindDoc="1" locked="0" layoutInCell="1" allowOverlap="1" wp14:anchorId="267CFBB9" wp14:editId="23D1BBE8">
            <wp:simplePos x="0" y="0"/>
            <wp:positionH relativeFrom="column">
              <wp:posOffset>3419475</wp:posOffset>
            </wp:positionH>
            <wp:positionV relativeFrom="paragraph">
              <wp:posOffset>2266315</wp:posOffset>
            </wp:positionV>
            <wp:extent cx="2286000" cy="567055"/>
            <wp:effectExtent l="0" t="0" r="0" b="4445"/>
            <wp:wrapNone/>
            <wp:docPr id="23" name="Imagen 23"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A7F" w:rsidRPr="00B04E45">
        <w:rPr>
          <w:rFonts w:cs="Times New Roman"/>
        </w:rPr>
        <w:br w:type="page"/>
      </w:r>
    </w:p>
    <w:p w14:paraId="11D59B50" w14:textId="77777777" w:rsidR="00120A7F" w:rsidRPr="00B04E45"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sectPr w:rsidR="00120A7F" w:rsidRPr="00B04E45" w:rsidSect="00120A7F">
          <w:footerReference w:type="default" r:id="rId11"/>
          <w:pgSz w:w="12240" w:h="15840" w:code="1"/>
          <w:pgMar w:top="2160" w:right="2160" w:bottom="2160" w:left="2160" w:header="709" w:footer="709" w:gutter="0"/>
          <w:pgNumType w:start="0"/>
          <w:cols w:space="708"/>
          <w:titlePg/>
          <w:docGrid w:linePitch="360"/>
        </w:sectPr>
      </w:pPr>
    </w:p>
    <w:p w14:paraId="78590C0A" w14:textId="77777777" w:rsidR="00120A7F" w:rsidRPr="00B04E45" w:rsidRDefault="00120A7F" w:rsidP="00434A4D">
      <w:pPr>
        <w:rPr>
          <w:rFonts w:cs="Times New Roman"/>
        </w:rPr>
      </w:pPr>
    </w:p>
    <w:p w14:paraId="0B2FDEFC" w14:textId="77777777" w:rsidR="00120A7F" w:rsidRPr="00B04E45" w:rsidRDefault="00120A7F" w:rsidP="00434A4D">
      <w:pPr>
        <w:rPr>
          <w:rFonts w:cs="Times New Roman"/>
        </w:rPr>
      </w:pPr>
    </w:p>
    <w:p w14:paraId="468A2D0F" w14:textId="77777777" w:rsidR="00120A7F" w:rsidRPr="00B04E45" w:rsidRDefault="00120A7F" w:rsidP="00434A4D">
      <w:pPr>
        <w:rPr>
          <w:rFonts w:cs="Times New Roman"/>
        </w:rPr>
      </w:pPr>
    </w:p>
    <w:p w14:paraId="3DEF652D" w14:textId="77777777" w:rsidR="00120A7F" w:rsidRPr="00B04E45" w:rsidRDefault="00120A7F" w:rsidP="00434A4D">
      <w:pPr>
        <w:rPr>
          <w:rFonts w:cs="Times New Roman"/>
        </w:rPr>
      </w:pPr>
    </w:p>
    <w:p w14:paraId="24094930" w14:textId="77777777" w:rsidR="00120A7F" w:rsidRPr="00B04E45" w:rsidRDefault="00120A7F" w:rsidP="00434A4D">
      <w:pPr>
        <w:rPr>
          <w:rFonts w:cs="Times New Roman"/>
        </w:rPr>
      </w:pPr>
    </w:p>
    <w:p w14:paraId="1349881D" w14:textId="77777777" w:rsidR="00120A7F" w:rsidRPr="00B04E45" w:rsidRDefault="00120A7F" w:rsidP="00434A4D">
      <w:pPr>
        <w:rPr>
          <w:rFonts w:cs="Times New Roman"/>
        </w:rPr>
      </w:pPr>
    </w:p>
    <w:p w14:paraId="06F77391" w14:textId="18051129" w:rsidR="00120A7F" w:rsidRPr="00B04E45" w:rsidRDefault="00120A7F" w:rsidP="00434A4D">
      <w:pPr>
        <w:rPr>
          <w:rFonts w:cs="Times New Roman"/>
        </w:rPr>
      </w:pPr>
    </w:p>
    <w:p w14:paraId="15701495" w14:textId="7361FEBD" w:rsidR="00E31607" w:rsidRPr="00B04E45" w:rsidRDefault="00E31607" w:rsidP="00434A4D">
      <w:pPr>
        <w:rPr>
          <w:rFonts w:cs="Times New Roman"/>
        </w:rPr>
      </w:pPr>
    </w:p>
    <w:p w14:paraId="1176908C" w14:textId="77777777" w:rsidR="00E31607" w:rsidRPr="00B04E45" w:rsidRDefault="00E31607" w:rsidP="00434A4D">
      <w:pPr>
        <w:rPr>
          <w:rFonts w:cs="Times New Roman"/>
        </w:rPr>
      </w:pPr>
    </w:p>
    <w:p w14:paraId="5E192989" w14:textId="77777777" w:rsidR="00120A7F" w:rsidRPr="00B04E45" w:rsidRDefault="00120A7F" w:rsidP="00E31607">
      <w:pPr>
        <w:spacing w:line="259" w:lineRule="auto"/>
        <w:jc w:val="center"/>
        <w:rPr>
          <w:rFonts w:cs="Times New Roman"/>
          <w:b/>
          <w:bCs/>
          <w:color w:val="D5B788"/>
          <w:spacing w:val="60"/>
          <w:kern w:val="24"/>
          <w:sz w:val="56"/>
          <w:szCs w:val="56"/>
        </w:rPr>
      </w:pPr>
      <w:r w:rsidRPr="00B04E45">
        <w:rPr>
          <w:rFonts w:cs="Times New Roman"/>
          <w:b/>
          <w:bCs/>
          <w:color w:val="D5B788"/>
          <w:spacing w:val="60"/>
          <w:kern w:val="24"/>
          <w:sz w:val="56"/>
          <w:szCs w:val="56"/>
        </w:rPr>
        <w:t>MEMORIA</w:t>
      </w:r>
    </w:p>
    <w:p w14:paraId="065B5EE4" w14:textId="77777777" w:rsidR="00120A7F" w:rsidRPr="00B04E45" w:rsidRDefault="00120A7F" w:rsidP="00E31607">
      <w:pPr>
        <w:spacing w:line="259" w:lineRule="auto"/>
        <w:jc w:val="center"/>
        <w:rPr>
          <w:rFonts w:cs="Times New Roman"/>
          <w:b/>
          <w:bCs/>
          <w:color w:val="D5B788"/>
          <w:spacing w:val="60"/>
          <w:kern w:val="24"/>
          <w:sz w:val="56"/>
          <w:szCs w:val="56"/>
        </w:rPr>
      </w:pPr>
      <w:r w:rsidRPr="00B04E45">
        <w:rPr>
          <w:rFonts w:cs="Times New Roman"/>
          <w:b/>
          <w:bCs/>
          <w:color w:val="D5B788"/>
          <w:spacing w:val="60"/>
          <w:kern w:val="24"/>
          <w:sz w:val="56"/>
          <w:szCs w:val="56"/>
        </w:rPr>
        <w:t>INSTITUCIONAL</w:t>
      </w:r>
    </w:p>
    <w:p w14:paraId="7A53F670" w14:textId="77777777" w:rsidR="00120A7F" w:rsidRPr="00B04E45" w:rsidRDefault="00120A7F" w:rsidP="00434A4D">
      <w:pPr>
        <w:pStyle w:val="Sinespaciado"/>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04E45">
        <w:rPr>
          <w:rFonts w:ascii="Times New Roman" w:hAnsi="Times New Roman" w:cs="Times New Roman"/>
          <w:noProof/>
          <w:color w:val="767171"/>
          <w:spacing w:val="18"/>
          <w:sz w:val="48"/>
          <w:szCs w:val="48"/>
          <w14:textFill>
            <w14:solidFill>
              <w14:srgbClr w14:val="767171">
                <w14:alpha w14:val="50000"/>
              </w14:srgbClr>
            </w14:solidFill>
          </w14:textFill>
        </w:rPr>
        <mc:AlternateContent>
          <mc:Choice Requires="wps">
            <w:drawing>
              <wp:anchor distT="0" distB="0" distL="114300" distR="114300" simplePos="0" relativeHeight="251723776" behindDoc="0" locked="0" layoutInCell="1" allowOverlap="1" wp14:anchorId="402279A4" wp14:editId="05A15190">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4A05DDF2" id="Conector recto 4" o:spid="_x0000_s1026" style="position:absolute;flip:y;z-index:251723776;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2222DF0" w14:textId="1617A3AC" w:rsidR="00120A7F" w:rsidRPr="00B04E45" w:rsidRDefault="00172FF0" w:rsidP="00434A4D">
      <w:pPr>
        <w:pStyle w:val="Sinespaciado"/>
        <w:spacing w:line="360" w:lineRule="auto"/>
        <w:jc w:val="center"/>
        <w:rPr>
          <w:rFonts w:ascii="Times New Roman" w:eastAsiaTheme="minorHAnsi" w:hAnsi="Times New Roman" w:cs="Times New Roman"/>
          <w:b/>
          <w:bCs/>
          <w:color w:val="D5B788"/>
          <w:spacing w:val="74"/>
          <w:kern w:val="24"/>
          <w:sz w:val="28"/>
          <w:szCs w:val="28"/>
          <w:lang w:eastAsia="en-US"/>
        </w:rPr>
        <w:sectPr w:rsidR="00120A7F" w:rsidRPr="00B04E45" w:rsidSect="00120A7F">
          <w:footerReference w:type="default" r:id="rId12"/>
          <w:pgSz w:w="12240" w:h="15840" w:code="1"/>
          <w:pgMar w:top="2160" w:right="2160" w:bottom="2160" w:left="2160" w:header="709" w:footer="709" w:gutter="0"/>
          <w:pgNumType w:start="0"/>
          <w:cols w:space="708"/>
          <w:titlePg/>
          <w:docGrid w:linePitch="360"/>
        </w:sectPr>
      </w:pPr>
      <w:r w:rsidRPr="00B04E45">
        <w:rPr>
          <w:rFonts w:ascii="Times New Roman" w:eastAsiaTheme="minorHAnsi" w:hAnsi="Times New Roman" w:cs="Times New Roman"/>
          <w:b/>
          <w:bCs/>
          <w:noProof/>
          <w:color w:val="D5B788"/>
          <w:spacing w:val="74"/>
          <w:kern w:val="24"/>
          <w:sz w:val="28"/>
          <w:szCs w:val="28"/>
        </w:rPr>
        <w:drawing>
          <wp:anchor distT="0" distB="0" distL="114300" distR="114300" simplePos="0" relativeHeight="251724800" behindDoc="0" locked="0" layoutInCell="1" allowOverlap="1" wp14:anchorId="18C2B1A5" wp14:editId="0025C07E">
            <wp:simplePos x="0" y="0"/>
            <wp:positionH relativeFrom="column">
              <wp:posOffset>-457726</wp:posOffset>
            </wp:positionH>
            <wp:positionV relativeFrom="paragraph">
              <wp:posOffset>2622550</wp:posOffset>
            </wp:positionV>
            <wp:extent cx="2547620" cy="1118870"/>
            <wp:effectExtent l="0" t="0" r="5080" b="5080"/>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120A7F" w:rsidRPr="00B04E45">
        <w:rPr>
          <w:rFonts w:ascii="Times New Roman" w:eastAsiaTheme="minorHAnsi" w:hAnsi="Times New Roman" w:cs="Times New Roman"/>
          <w:b/>
          <w:bCs/>
          <w:noProof/>
          <w:color w:val="D5B788"/>
          <w:spacing w:val="74"/>
          <w:kern w:val="24"/>
          <w:sz w:val="28"/>
          <w:szCs w:val="28"/>
        </w:rPr>
        <w:drawing>
          <wp:anchor distT="0" distB="0" distL="114300" distR="114300" simplePos="0" relativeHeight="251729920" behindDoc="1" locked="0" layoutInCell="1" allowOverlap="1" wp14:anchorId="43564211" wp14:editId="5F316B07">
            <wp:simplePos x="0" y="0"/>
            <wp:positionH relativeFrom="column">
              <wp:posOffset>3591560</wp:posOffset>
            </wp:positionH>
            <wp:positionV relativeFrom="paragraph">
              <wp:posOffset>3034665</wp:posOffset>
            </wp:positionV>
            <wp:extent cx="2286000" cy="567055"/>
            <wp:effectExtent l="0" t="0" r="0" b="4445"/>
            <wp:wrapNone/>
            <wp:docPr id="26" name="Imagen 26"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A7F" w:rsidRPr="00B04E45">
        <w:rPr>
          <w:rFonts w:ascii="Times New Roman" w:eastAsiaTheme="minorHAnsi" w:hAnsi="Times New Roman" w:cs="Times New Roman"/>
          <w:b/>
          <w:bCs/>
          <w:color w:val="D5B788"/>
          <w:spacing w:val="74"/>
          <w:kern w:val="24"/>
          <w:sz w:val="28"/>
          <w:szCs w:val="28"/>
          <w:lang w:eastAsia="en-US"/>
        </w:rPr>
        <w:t xml:space="preserve">AÑO </w:t>
      </w:r>
      <w:r w:rsidR="003D0902" w:rsidRPr="00B04E45">
        <w:rPr>
          <w:rFonts w:ascii="Times New Roman" w:eastAsiaTheme="minorHAnsi" w:hAnsi="Times New Roman" w:cs="Times New Roman"/>
          <w:b/>
          <w:bCs/>
          <w:color w:val="D5B788"/>
          <w:spacing w:val="74"/>
          <w:kern w:val="24"/>
          <w:sz w:val="28"/>
          <w:szCs w:val="28"/>
          <w:lang w:eastAsia="en-US"/>
        </w:rPr>
        <w:t>202</w:t>
      </w:r>
      <w:r w:rsidR="00301A39">
        <w:rPr>
          <w:rFonts w:ascii="Times New Roman" w:eastAsiaTheme="minorHAnsi" w:hAnsi="Times New Roman" w:cs="Times New Roman"/>
          <w:b/>
          <w:bCs/>
          <w:color w:val="D5B788"/>
          <w:spacing w:val="74"/>
          <w:kern w:val="24"/>
          <w:sz w:val="28"/>
          <w:szCs w:val="28"/>
          <w:lang w:eastAsia="en-US"/>
        </w:rPr>
        <w:t>4</w:t>
      </w:r>
    </w:p>
    <w:bookmarkStart w:id="0" w:name="_Toc186924339" w:displacedByCustomXml="next"/>
    <w:bookmarkStart w:id="1" w:name="_Toc186922534" w:displacedByCustomXml="next"/>
    <w:bookmarkStart w:id="2" w:name="_Hlk58570834" w:displacedByCustomXml="next"/>
    <w:sdt>
      <w:sdtPr>
        <w:rPr>
          <w:rFonts w:eastAsiaTheme="minorHAnsi" w:cs="Times New Roman"/>
          <w:b/>
          <w:bCs/>
          <w:noProof/>
          <w:spacing w:val="0"/>
          <w:kern w:val="0"/>
          <w:position w:val="4"/>
          <w:sz w:val="18"/>
          <w:szCs w:val="18"/>
          <w:lang w:val="es-ES"/>
        </w:rPr>
        <w:id w:val="641157754"/>
        <w:docPartObj>
          <w:docPartGallery w:val="Table of Contents"/>
          <w:docPartUnique/>
        </w:docPartObj>
      </w:sdtPr>
      <w:sdtEndPr>
        <w:rPr>
          <w:spacing w:val="20"/>
          <w:sz w:val="22"/>
          <w:szCs w:val="22"/>
        </w:rPr>
      </w:sdtEndPr>
      <w:sdtContent>
        <w:p w14:paraId="2F552B7C" w14:textId="0E1B4AEE" w:rsidR="00213B6D" w:rsidRPr="00B04E45" w:rsidRDefault="00543B73" w:rsidP="00405293">
          <w:pPr>
            <w:pStyle w:val="Ttulo1"/>
            <w:numPr>
              <w:ilvl w:val="0"/>
              <w:numId w:val="0"/>
            </w:numPr>
            <w:spacing w:before="0" w:line="35" w:lineRule="atLeast"/>
            <w:rPr>
              <w:rStyle w:val="Ttulo1Car"/>
              <w:rFonts w:cs="Times New Roman"/>
              <w:b/>
              <w:szCs w:val="24"/>
            </w:rPr>
          </w:pPr>
          <w:r w:rsidRPr="00B04E45">
            <w:rPr>
              <w:rStyle w:val="Ttulo1Car"/>
              <w:rFonts w:cs="Times New Roman"/>
              <w:b/>
              <w:szCs w:val="24"/>
            </w:rPr>
            <w:t>ÍNDICE DE CONTENIDO</w:t>
          </w:r>
          <w:bookmarkEnd w:id="1"/>
          <w:bookmarkEnd w:id="0"/>
        </w:p>
        <w:bookmarkStart w:id="3" w:name="_Toc153833002"/>
        <w:bookmarkStart w:id="4" w:name="_Toc153833167"/>
        <w:bookmarkStart w:id="5" w:name="_Toc153838652"/>
        <w:bookmarkStart w:id="6" w:name="_Toc155373422"/>
        <w:bookmarkStart w:id="7" w:name="_Toc155373537"/>
        <w:bookmarkStart w:id="8" w:name="_Toc156239476"/>
        <w:bookmarkStart w:id="9" w:name="_Toc156240550"/>
        <w:bookmarkStart w:id="10" w:name="_Toc185286420"/>
        <w:bookmarkStart w:id="11" w:name="_Toc185292682"/>
        <w:bookmarkStart w:id="12" w:name="_Toc186922535"/>
        <w:bookmarkStart w:id="13" w:name="_Toc186924340"/>
        <w:p w14:paraId="72D3829E" w14:textId="0B7ACB54" w:rsidR="00F07255" w:rsidRDefault="00F07255" w:rsidP="00405293">
          <w:pPr>
            <w:pStyle w:val="Ttulo2"/>
            <w:spacing w:line="360" w:lineRule="auto"/>
            <w:rPr>
              <w:rFonts w:eastAsia="Calibri" w:cs="Times New Roman"/>
            </w:rPr>
          </w:pPr>
          <w:r w:rsidRPr="00B04E45">
            <w:rPr>
              <w:rStyle w:val="Ttulo1Car"/>
              <w:rFonts w:cs="Times New Roman"/>
              <w:b/>
              <w:noProof/>
              <w:szCs w:val="24"/>
              <w:lang w:eastAsia="es-DO"/>
            </w:rPr>
            <mc:AlternateContent>
              <mc:Choice Requires="wps">
                <w:drawing>
                  <wp:anchor distT="0" distB="0" distL="114300" distR="114300" simplePos="0" relativeHeight="251665408" behindDoc="0" locked="0" layoutInCell="1" allowOverlap="1" wp14:anchorId="05E3E681" wp14:editId="7147B6E2">
                    <wp:simplePos x="0" y="0"/>
                    <wp:positionH relativeFrom="column">
                      <wp:posOffset>2199005</wp:posOffset>
                    </wp:positionH>
                    <wp:positionV relativeFrom="paragraph">
                      <wp:posOffset>32500</wp:posOffset>
                    </wp:positionV>
                    <wp:extent cx="53975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C978F5" id="Conector recto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15pt,2.55pt" to="215.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" strokecolor="red" strokeweight="2.5pt">
                    <v:stroke joinstyle="miter"/>
                  </v:line>
                </w:pict>
              </mc:Fallback>
            </mc:AlternateContent>
          </w:r>
          <w:bookmarkEnd w:id="3"/>
          <w:bookmarkEnd w:id="4"/>
          <w:bookmarkEnd w:id="5"/>
          <w:bookmarkEnd w:id="6"/>
          <w:bookmarkEnd w:id="7"/>
          <w:bookmarkEnd w:id="8"/>
          <w:bookmarkEnd w:id="9"/>
          <w:bookmarkEnd w:id="10"/>
          <w:bookmarkEnd w:id="11"/>
          <w:bookmarkEnd w:id="12"/>
          <w:bookmarkEnd w:id="13"/>
        </w:p>
        <w:p w14:paraId="03E6AC54" w14:textId="713637B6" w:rsidR="00C143E8" w:rsidRDefault="006C0CCA" w:rsidP="00405293">
          <w:pPr>
            <w:jc w:val="center"/>
          </w:pPr>
          <w:r>
            <w:t>Memoria institucional 2024</w:t>
          </w:r>
        </w:p>
        <w:p w14:paraId="579A25D9" w14:textId="77777777" w:rsidR="00545EA4" w:rsidRDefault="00543B73">
          <w:pPr>
            <w:pStyle w:val="TDC1"/>
            <w:rPr>
              <w:rFonts w:asciiTheme="minorHAnsi" w:eastAsiaTheme="minorEastAsia" w:hAnsiTheme="minorHAnsi" w:cstheme="minorBidi"/>
              <w:b w:val="0"/>
              <w:bCs w:val="0"/>
              <w:color w:val="auto"/>
              <w:spacing w:val="0"/>
              <w:position w:val="0"/>
              <w:lang w:eastAsia="es-DO"/>
            </w:rPr>
          </w:pPr>
          <w:r w:rsidRPr="00AA7431">
            <w:rPr>
              <w:rStyle w:val="Hipervnculo"/>
              <w:b w:val="0"/>
              <w:color w:val="767171"/>
            </w:rPr>
            <w:fldChar w:fldCharType="begin"/>
          </w:r>
          <w:r w:rsidRPr="00AA7431">
            <w:rPr>
              <w:rStyle w:val="Hipervnculo"/>
              <w:b w:val="0"/>
              <w:color w:val="767171"/>
              <w:szCs w:val="24"/>
            </w:rPr>
            <w:instrText xml:space="preserve"> TOC \o "1-3" \h \z \u </w:instrText>
          </w:r>
          <w:r w:rsidRPr="00AA7431">
            <w:rPr>
              <w:rStyle w:val="Hipervnculo"/>
              <w:b w:val="0"/>
              <w:color w:val="767171"/>
            </w:rPr>
            <w:fldChar w:fldCharType="separate"/>
          </w:r>
          <w:hyperlink w:anchor="_Toc186924339" w:history="1">
            <w:r w:rsidR="00545EA4" w:rsidRPr="00D4408E">
              <w:rPr>
                <w:rStyle w:val="Hipervnculo"/>
              </w:rPr>
              <w:t>ÍNDICE DE CONTENIDO</w:t>
            </w:r>
            <w:r w:rsidR="00545EA4">
              <w:rPr>
                <w:webHidden/>
              </w:rPr>
              <w:tab/>
            </w:r>
            <w:r w:rsidR="00545EA4">
              <w:rPr>
                <w:webHidden/>
              </w:rPr>
              <w:fldChar w:fldCharType="begin"/>
            </w:r>
            <w:r w:rsidR="00545EA4">
              <w:rPr>
                <w:webHidden/>
              </w:rPr>
              <w:instrText xml:space="preserve"> PAGEREF _Toc186924339 \h </w:instrText>
            </w:r>
            <w:r w:rsidR="00545EA4">
              <w:rPr>
                <w:webHidden/>
              </w:rPr>
            </w:r>
            <w:r w:rsidR="00545EA4">
              <w:rPr>
                <w:webHidden/>
              </w:rPr>
              <w:fldChar w:fldCharType="separate"/>
            </w:r>
            <w:r w:rsidR="00545EA4">
              <w:rPr>
                <w:webHidden/>
              </w:rPr>
              <w:t>2</w:t>
            </w:r>
            <w:r w:rsidR="00545EA4">
              <w:rPr>
                <w:webHidden/>
              </w:rPr>
              <w:fldChar w:fldCharType="end"/>
            </w:r>
          </w:hyperlink>
        </w:p>
        <w:p w14:paraId="66D9AC0F"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41" w:history="1">
            <w:r w:rsidR="00545EA4" w:rsidRPr="00D4408E">
              <w:rPr>
                <w:rStyle w:val="Hipervnculo"/>
              </w:rPr>
              <w:t>I.</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RESUMEN EJECUTIVO</w:t>
            </w:r>
            <w:r w:rsidR="00545EA4">
              <w:rPr>
                <w:webHidden/>
              </w:rPr>
              <w:tab/>
            </w:r>
            <w:r w:rsidR="00545EA4">
              <w:rPr>
                <w:webHidden/>
              </w:rPr>
              <w:fldChar w:fldCharType="begin"/>
            </w:r>
            <w:r w:rsidR="00545EA4">
              <w:rPr>
                <w:webHidden/>
              </w:rPr>
              <w:instrText xml:space="preserve"> PAGEREF _Toc186924341 \h </w:instrText>
            </w:r>
            <w:r w:rsidR="00545EA4">
              <w:rPr>
                <w:webHidden/>
              </w:rPr>
            </w:r>
            <w:r w:rsidR="00545EA4">
              <w:rPr>
                <w:webHidden/>
              </w:rPr>
              <w:fldChar w:fldCharType="separate"/>
            </w:r>
            <w:r w:rsidR="00545EA4">
              <w:rPr>
                <w:webHidden/>
              </w:rPr>
              <w:t>5</w:t>
            </w:r>
            <w:r w:rsidR="00545EA4">
              <w:rPr>
                <w:webHidden/>
              </w:rPr>
              <w:fldChar w:fldCharType="end"/>
            </w:r>
          </w:hyperlink>
        </w:p>
        <w:p w14:paraId="47AAB1B0"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42" w:history="1">
            <w:r w:rsidR="00545EA4" w:rsidRPr="00D4408E">
              <w:rPr>
                <w:rStyle w:val="Hipervnculo"/>
              </w:rPr>
              <w:t>II.</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Información Base Institucional</w:t>
            </w:r>
            <w:r w:rsidR="00545EA4">
              <w:rPr>
                <w:webHidden/>
              </w:rPr>
              <w:tab/>
            </w:r>
            <w:r w:rsidR="00545EA4">
              <w:rPr>
                <w:webHidden/>
              </w:rPr>
              <w:fldChar w:fldCharType="begin"/>
            </w:r>
            <w:r w:rsidR="00545EA4">
              <w:rPr>
                <w:webHidden/>
              </w:rPr>
              <w:instrText xml:space="preserve"> PAGEREF _Toc186924342 \h </w:instrText>
            </w:r>
            <w:r w:rsidR="00545EA4">
              <w:rPr>
                <w:webHidden/>
              </w:rPr>
            </w:r>
            <w:r w:rsidR="00545EA4">
              <w:rPr>
                <w:webHidden/>
              </w:rPr>
              <w:fldChar w:fldCharType="separate"/>
            </w:r>
            <w:r w:rsidR="00545EA4">
              <w:rPr>
                <w:webHidden/>
              </w:rPr>
              <w:t>12</w:t>
            </w:r>
            <w:r w:rsidR="00545EA4">
              <w:rPr>
                <w:webHidden/>
              </w:rPr>
              <w:fldChar w:fldCharType="end"/>
            </w:r>
          </w:hyperlink>
        </w:p>
        <w:p w14:paraId="7A6F7889"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43" w:history="1">
            <w:r w:rsidR="00545EA4" w:rsidRPr="00D4408E">
              <w:rPr>
                <w:rStyle w:val="Hipervnculo"/>
              </w:rPr>
              <w:t>2.1 Marco Filosófico Institucional</w:t>
            </w:r>
            <w:r w:rsidR="00545EA4">
              <w:rPr>
                <w:webHidden/>
              </w:rPr>
              <w:tab/>
            </w:r>
            <w:r w:rsidR="00545EA4">
              <w:rPr>
                <w:webHidden/>
              </w:rPr>
              <w:fldChar w:fldCharType="begin"/>
            </w:r>
            <w:r w:rsidR="00545EA4">
              <w:rPr>
                <w:webHidden/>
              </w:rPr>
              <w:instrText xml:space="preserve"> PAGEREF _Toc186924343 \h </w:instrText>
            </w:r>
            <w:r w:rsidR="00545EA4">
              <w:rPr>
                <w:webHidden/>
              </w:rPr>
            </w:r>
            <w:r w:rsidR="00545EA4">
              <w:rPr>
                <w:webHidden/>
              </w:rPr>
              <w:fldChar w:fldCharType="separate"/>
            </w:r>
            <w:r w:rsidR="00545EA4">
              <w:rPr>
                <w:webHidden/>
              </w:rPr>
              <w:t>12</w:t>
            </w:r>
            <w:r w:rsidR="00545EA4">
              <w:rPr>
                <w:webHidden/>
              </w:rPr>
              <w:fldChar w:fldCharType="end"/>
            </w:r>
          </w:hyperlink>
        </w:p>
        <w:p w14:paraId="21702A8A"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44" w:history="1">
            <w:r w:rsidR="00545EA4" w:rsidRPr="00D4408E">
              <w:rPr>
                <w:rStyle w:val="Hipervnculo"/>
              </w:rPr>
              <w:t>2.1.1 Misión</w:t>
            </w:r>
            <w:r w:rsidR="00545EA4">
              <w:rPr>
                <w:webHidden/>
              </w:rPr>
              <w:tab/>
            </w:r>
            <w:r w:rsidR="00545EA4">
              <w:rPr>
                <w:webHidden/>
              </w:rPr>
              <w:fldChar w:fldCharType="begin"/>
            </w:r>
            <w:r w:rsidR="00545EA4">
              <w:rPr>
                <w:webHidden/>
              </w:rPr>
              <w:instrText xml:space="preserve"> PAGEREF _Toc186924344 \h </w:instrText>
            </w:r>
            <w:r w:rsidR="00545EA4">
              <w:rPr>
                <w:webHidden/>
              </w:rPr>
            </w:r>
            <w:r w:rsidR="00545EA4">
              <w:rPr>
                <w:webHidden/>
              </w:rPr>
              <w:fldChar w:fldCharType="separate"/>
            </w:r>
            <w:r w:rsidR="00545EA4">
              <w:rPr>
                <w:webHidden/>
              </w:rPr>
              <w:t>12</w:t>
            </w:r>
            <w:r w:rsidR="00545EA4">
              <w:rPr>
                <w:webHidden/>
              </w:rPr>
              <w:fldChar w:fldCharType="end"/>
            </w:r>
          </w:hyperlink>
        </w:p>
        <w:p w14:paraId="671CB2E4"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45" w:history="1">
            <w:r w:rsidR="00545EA4" w:rsidRPr="00D4408E">
              <w:rPr>
                <w:rStyle w:val="Hipervnculo"/>
              </w:rPr>
              <w:t>2.1.2 Visión</w:t>
            </w:r>
            <w:r w:rsidR="00545EA4">
              <w:rPr>
                <w:webHidden/>
              </w:rPr>
              <w:tab/>
            </w:r>
            <w:r w:rsidR="00545EA4">
              <w:rPr>
                <w:webHidden/>
              </w:rPr>
              <w:fldChar w:fldCharType="begin"/>
            </w:r>
            <w:r w:rsidR="00545EA4">
              <w:rPr>
                <w:webHidden/>
              </w:rPr>
              <w:instrText xml:space="preserve"> PAGEREF _Toc186924345 \h </w:instrText>
            </w:r>
            <w:r w:rsidR="00545EA4">
              <w:rPr>
                <w:webHidden/>
              </w:rPr>
            </w:r>
            <w:r w:rsidR="00545EA4">
              <w:rPr>
                <w:webHidden/>
              </w:rPr>
              <w:fldChar w:fldCharType="separate"/>
            </w:r>
            <w:r w:rsidR="00545EA4">
              <w:rPr>
                <w:webHidden/>
              </w:rPr>
              <w:t>12</w:t>
            </w:r>
            <w:r w:rsidR="00545EA4">
              <w:rPr>
                <w:webHidden/>
              </w:rPr>
              <w:fldChar w:fldCharType="end"/>
            </w:r>
          </w:hyperlink>
        </w:p>
        <w:p w14:paraId="5307CEF6"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46" w:history="1">
            <w:r w:rsidR="00545EA4" w:rsidRPr="00D4408E">
              <w:rPr>
                <w:rStyle w:val="Hipervnculo"/>
              </w:rPr>
              <w:t>2.1.3 Valores</w:t>
            </w:r>
            <w:r w:rsidR="00545EA4">
              <w:rPr>
                <w:webHidden/>
              </w:rPr>
              <w:tab/>
            </w:r>
            <w:r w:rsidR="00545EA4">
              <w:rPr>
                <w:webHidden/>
              </w:rPr>
              <w:fldChar w:fldCharType="begin"/>
            </w:r>
            <w:r w:rsidR="00545EA4">
              <w:rPr>
                <w:webHidden/>
              </w:rPr>
              <w:instrText xml:space="preserve"> PAGEREF _Toc186924346 \h </w:instrText>
            </w:r>
            <w:r w:rsidR="00545EA4">
              <w:rPr>
                <w:webHidden/>
              </w:rPr>
            </w:r>
            <w:r w:rsidR="00545EA4">
              <w:rPr>
                <w:webHidden/>
              </w:rPr>
              <w:fldChar w:fldCharType="separate"/>
            </w:r>
            <w:r w:rsidR="00545EA4">
              <w:rPr>
                <w:webHidden/>
              </w:rPr>
              <w:t>12</w:t>
            </w:r>
            <w:r w:rsidR="00545EA4">
              <w:rPr>
                <w:webHidden/>
              </w:rPr>
              <w:fldChar w:fldCharType="end"/>
            </w:r>
          </w:hyperlink>
        </w:p>
        <w:p w14:paraId="6D9B900D"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47" w:history="1">
            <w:r w:rsidR="00545EA4" w:rsidRPr="00D4408E">
              <w:rPr>
                <w:rStyle w:val="Hipervnculo"/>
              </w:rPr>
              <w:t>2.2</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Base Legal Institucional</w:t>
            </w:r>
            <w:r w:rsidR="00545EA4">
              <w:rPr>
                <w:webHidden/>
              </w:rPr>
              <w:tab/>
            </w:r>
            <w:r w:rsidR="00545EA4">
              <w:rPr>
                <w:webHidden/>
              </w:rPr>
              <w:fldChar w:fldCharType="begin"/>
            </w:r>
            <w:r w:rsidR="00545EA4">
              <w:rPr>
                <w:webHidden/>
              </w:rPr>
              <w:instrText xml:space="preserve"> PAGEREF _Toc186924347 \h </w:instrText>
            </w:r>
            <w:r w:rsidR="00545EA4">
              <w:rPr>
                <w:webHidden/>
              </w:rPr>
            </w:r>
            <w:r w:rsidR="00545EA4">
              <w:rPr>
                <w:webHidden/>
              </w:rPr>
              <w:fldChar w:fldCharType="separate"/>
            </w:r>
            <w:r w:rsidR="00545EA4">
              <w:rPr>
                <w:webHidden/>
              </w:rPr>
              <w:t>13</w:t>
            </w:r>
            <w:r w:rsidR="00545EA4">
              <w:rPr>
                <w:webHidden/>
              </w:rPr>
              <w:fldChar w:fldCharType="end"/>
            </w:r>
          </w:hyperlink>
        </w:p>
        <w:p w14:paraId="03F23704" w14:textId="77777777" w:rsidR="00545EA4" w:rsidRDefault="00BE10C7">
          <w:pPr>
            <w:pStyle w:val="TDC3"/>
            <w:rPr>
              <w:rFonts w:asciiTheme="minorHAnsi" w:eastAsiaTheme="minorEastAsia" w:hAnsiTheme="minorHAnsi" w:cstheme="minorBidi"/>
              <w:b w:val="0"/>
              <w:color w:val="auto"/>
              <w:spacing w:val="0"/>
              <w:sz w:val="22"/>
              <w:lang w:eastAsia="es-DO"/>
            </w:rPr>
          </w:pPr>
          <w:hyperlink w:anchor="_Toc186924348" w:history="1">
            <w:r w:rsidR="00545EA4" w:rsidRPr="00D4408E">
              <w:rPr>
                <w:rStyle w:val="Hipervnculo"/>
              </w:rPr>
              <w:t>2.2.1 Otras Leyes y Decretos</w:t>
            </w:r>
            <w:r w:rsidR="00545EA4">
              <w:rPr>
                <w:webHidden/>
              </w:rPr>
              <w:tab/>
            </w:r>
            <w:r w:rsidR="00545EA4">
              <w:rPr>
                <w:webHidden/>
              </w:rPr>
              <w:fldChar w:fldCharType="begin"/>
            </w:r>
            <w:r w:rsidR="00545EA4">
              <w:rPr>
                <w:webHidden/>
              </w:rPr>
              <w:instrText xml:space="preserve"> PAGEREF _Toc186924348 \h </w:instrText>
            </w:r>
            <w:r w:rsidR="00545EA4">
              <w:rPr>
                <w:webHidden/>
              </w:rPr>
            </w:r>
            <w:r w:rsidR="00545EA4">
              <w:rPr>
                <w:webHidden/>
              </w:rPr>
              <w:fldChar w:fldCharType="separate"/>
            </w:r>
            <w:r w:rsidR="00545EA4">
              <w:rPr>
                <w:webHidden/>
              </w:rPr>
              <w:t>16</w:t>
            </w:r>
            <w:r w:rsidR="00545EA4">
              <w:rPr>
                <w:webHidden/>
              </w:rPr>
              <w:fldChar w:fldCharType="end"/>
            </w:r>
          </w:hyperlink>
        </w:p>
        <w:p w14:paraId="7E354454"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49" w:history="1">
            <w:r w:rsidR="00545EA4" w:rsidRPr="00D4408E">
              <w:rPr>
                <w:rStyle w:val="Hipervnculo"/>
              </w:rPr>
              <w:t>III.</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RESULTADOS MISIONALES, AÑO 2024</w:t>
            </w:r>
            <w:r w:rsidR="00545EA4">
              <w:rPr>
                <w:webHidden/>
              </w:rPr>
              <w:tab/>
            </w:r>
            <w:r w:rsidR="00545EA4">
              <w:rPr>
                <w:webHidden/>
              </w:rPr>
              <w:fldChar w:fldCharType="begin"/>
            </w:r>
            <w:r w:rsidR="00545EA4">
              <w:rPr>
                <w:webHidden/>
              </w:rPr>
              <w:instrText xml:space="preserve"> PAGEREF _Toc186924349 \h </w:instrText>
            </w:r>
            <w:r w:rsidR="00545EA4">
              <w:rPr>
                <w:webHidden/>
              </w:rPr>
            </w:r>
            <w:r w:rsidR="00545EA4">
              <w:rPr>
                <w:webHidden/>
              </w:rPr>
              <w:fldChar w:fldCharType="separate"/>
            </w:r>
            <w:r w:rsidR="00545EA4">
              <w:rPr>
                <w:webHidden/>
              </w:rPr>
              <w:t>24</w:t>
            </w:r>
            <w:r w:rsidR="00545EA4">
              <w:rPr>
                <w:webHidden/>
              </w:rPr>
              <w:fldChar w:fldCharType="end"/>
            </w:r>
          </w:hyperlink>
        </w:p>
        <w:p w14:paraId="5C8B4D57"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50" w:history="1">
            <w:r w:rsidR="00545EA4" w:rsidRPr="00D4408E">
              <w:rPr>
                <w:rStyle w:val="Hipervnculo"/>
              </w:rPr>
              <w:t>IV.</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RESULTADOS ÁREAS TRANSVERSALES Y DE APOYO, AÑO 2024</w:t>
            </w:r>
            <w:r w:rsidR="00545EA4">
              <w:rPr>
                <w:webHidden/>
              </w:rPr>
              <w:tab/>
            </w:r>
            <w:r w:rsidR="00545EA4">
              <w:rPr>
                <w:webHidden/>
              </w:rPr>
              <w:fldChar w:fldCharType="begin"/>
            </w:r>
            <w:r w:rsidR="00545EA4">
              <w:rPr>
                <w:webHidden/>
              </w:rPr>
              <w:instrText xml:space="preserve"> PAGEREF _Toc186924350 \h </w:instrText>
            </w:r>
            <w:r w:rsidR="00545EA4">
              <w:rPr>
                <w:webHidden/>
              </w:rPr>
            </w:r>
            <w:r w:rsidR="00545EA4">
              <w:rPr>
                <w:webHidden/>
              </w:rPr>
              <w:fldChar w:fldCharType="separate"/>
            </w:r>
            <w:r w:rsidR="00545EA4">
              <w:rPr>
                <w:webHidden/>
              </w:rPr>
              <w:t>58</w:t>
            </w:r>
            <w:r w:rsidR="00545EA4">
              <w:rPr>
                <w:webHidden/>
              </w:rPr>
              <w:fldChar w:fldCharType="end"/>
            </w:r>
          </w:hyperlink>
        </w:p>
        <w:p w14:paraId="6722E223"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51" w:history="1">
            <w:r w:rsidR="00545EA4" w:rsidRPr="00D4408E">
              <w:rPr>
                <w:rStyle w:val="Hipervnculo"/>
              </w:rPr>
              <w:t>4.1</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Desempeño Área Administrativa y Financiera</w:t>
            </w:r>
            <w:r w:rsidR="00545EA4">
              <w:rPr>
                <w:webHidden/>
              </w:rPr>
              <w:tab/>
            </w:r>
            <w:r w:rsidR="00545EA4">
              <w:rPr>
                <w:webHidden/>
              </w:rPr>
              <w:fldChar w:fldCharType="begin"/>
            </w:r>
            <w:r w:rsidR="00545EA4">
              <w:rPr>
                <w:webHidden/>
              </w:rPr>
              <w:instrText xml:space="preserve"> PAGEREF _Toc186924351 \h </w:instrText>
            </w:r>
            <w:r w:rsidR="00545EA4">
              <w:rPr>
                <w:webHidden/>
              </w:rPr>
            </w:r>
            <w:r w:rsidR="00545EA4">
              <w:rPr>
                <w:webHidden/>
              </w:rPr>
              <w:fldChar w:fldCharType="separate"/>
            </w:r>
            <w:r w:rsidR="00545EA4">
              <w:rPr>
                <w:webHidden/>
              </w:rPr>
              <w:t>58</w:t>
            </w:r>
            <w:r w:rsidR="00545EA4">
              <w:rPr>
                <w:webHidden/>
              </w:rPr>
              <w:fldChar w:fldCharType="end"/>
            </w:r>
          </w:hyperlink>
        </w:p>
        <w:p w14:paraId="404A4942"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52" w:history="1">
            <w:r w:rsidR="00545EA4" w:rsidRPr="00D4408E">
              <w:rPr>
                <w:rStyle w:val="Hipervnculo"/>
              </w:rPr>
              <w:t>4.1.1 Ejecución Presupuestaria del MOPC en el período Enero – Diciembre del año 2024</w:t>
            </w:r>
            <w:r w:rsidR="00545EA4">
              <w:rPr>
                <w:webHidden/>
              </w:rPr>
              <w:tab/>
            </w:r>
            <w:r w:rsidR="00545EA4">
              <w:rPr>
                <w:webHidden/>
              </w:rPr>
              <w:fldChar w:fldCharType="begin"/>
            </w:r>
            <w:r w:rsidR="00545EA4">
              <w:rPr>
                <w:webHidden/>
              </w:rPr>
              <w:instrText xml:space="preserve"> PAGEREF _Toc186924352 \h </w:instrText>
            </w:r>
            <w:r w:rsidR="00545EA4">
              <w:rPr>
                <w:webHidden/>
              </w:rPr>
            </w:r>
            <w:r w:rsidR="00545EA4">
              <w:rPr>
                <w:webHidden/>
              </w:rPr>
              <w:fldChar w:fldCharType="separate"/>
            </w:r>
            <w:r w:rsidR="00545EA4">
              <w:rPr>
                <w:webHidden/>
              </w:rPr>
              <w:t>58</w:t>
            </w:r>
            <w:r w:rsidR="00545EA4">
              <w:rPr>
                <w:webHidden/>
              </w:rPr>
              <w:fldChar w:fldCharType="end"/>
            </w:r>
          </w:hyperlink>
        </w:p>
        <w:p w14:paraId="7CE93C12"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53" w:history="1">
            <w:r w:rsidR="00545EA4" w:rsidRPr="00D4408E">
              <w:rPr>
                <w:rStyle w:val="Hipervnculo"/>
              </w:rPr>
              <w:t>4.1.2 Plan de Inversión (Operativo) Anual</w:t>
            </w:r>
            <w:r w:rsidR="00545EA4">
              <w:rPr>
                <w:webHidden/>
              </w:rPr>
              <w:tab/>
            </w:r>
            <w:r w:rsidR="00545EA4">
              <w:rPr>
                <w:webHidden/>
              </w:rPr>
              <w:fldChar w:fldCharType="begin"/>
            </w:r>
            <w:r w:rsidR="00545EA4">
              <w:rPr>
                <w:webHidden/>
              </w:rPr>
              <w:instrText xml:space="preserve"> PAGEREF _Toc186924353 \h </w:instrText>
            </w:r>
            <w:r w:rsidR="00545EA4">
              <w:rPr>
                <w:webHidden/>
              </w:rPr>
            </w:r>
            <w:r w:rsidR="00545EA4">
              <w:rPr>
                <w:webHidden/>
              </w:rPr>
              <w:fldChar w:fldCharType="separate"/>
            </w:r>
            <w:r w:rsidR="00545EA4">
              <w:rPr>
                <w:webHidden/>
              </w:rPr>
              <w:t>61</w:t>
            </w:r>
            <w:r w:rsidR="00545EA4">
              <w:rPr>
                <w:webHidden/>
              </w:rPr>
              <w:fldChar w:fldCharType="end"/>
            </w:r>
          </w:hyperlink>
        </w:p>
        <w:p w14:paraId="1AB2693D"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54" w:history="1">
            <w:r w:rsidR="00545EA4" w:rsidRPr="00D4408E">
              <w:rPr>
                <w:rStyle w:val="Hipervnculo"/>
              </w:rPr>
              <w:t>4.1.3 Ejecución Física - Financiera por Programa en el Periodo Enero - Diciembre del Año 2024</w:t>
            </w:r>
            <w:r w:rsidR="00545EA4">
              <w:rPr>
                <w:webHidden/>
              </w:rPr>
              <w:tab/>
            </w:r>
            <w:r w:rsidR="00545EA4">
              <w:rPr>
                <w:webHidden/>
              </w:rPr>
              <w:fldChar w:fldCharType="begin"/>
            </w:r>
            <w:r w:rsidR="00545EA4">
              <w:rPr>
                <w:webHidden/>
              </w:rPr>
              <w:instrText xml:space="preserve"> PAGEREF _Toc186924354 \h </w:instrText>
            </w:r>
            <w:r w:rsidR="00545EA4">
              <w:rPr>
                <w:webHidden/>
              </w:rPr>
            </w:r>
            <w:r w:rsidR="00545EA4">
              <w:rPr>
                <w:webHidden/>
              </w:rPr>
              <w:fldChar w:fldCharType="separate"/>
            </w:r>
            <w:r w:rsidR="00545EA4">
              <w:rPr>
                <w:webHidden/>
              </w:rPr>
              <w:t>62</w:t>
            </w:r>
            <w:r w:rsidR="00545EA4">
              <w:rPr>
                <w:webHidden/>
              </w:rPr>
              <w:fldChar w:fldCharType="end"/>
            </w:r>
          </w:hyperlink>
        </w:p>
        <w:p w14:paraId="497C15D0" w14:textId="77777777" w:rsidR="00545EA4" w:rsidRDefault="00BE10C7">
          <w:pPr>
            <w:pStyle w:val="TDC2"/>
            <w:rPr>
              <w:rFonts w:asciiTheme="minorHAnsi" w:eastAsiaTheme="minorEastAsia" w:hAnsiTheme="minorHAnsi"/>
              <w:noProof/>
              <w:color w:val="auto"/>
              <w:spacing w:val="0"/>
              <w:sz w:val="22"/>
              <w:lang w:eastAsia="es-DO"/>
            </w:rPr>
          </w:pPr>
          <w:hyperlink w:anchor="_Toc186924355" w:history="1">
            <w:r w:rsidR="00545EA4" w:rsidRPr="00D4408E">
              <w:rPr>
                <w:rStyle w:val="Hipervnculo"/>
                <w:rFonts w:eastAsia="Times New Roman" w:cs="Times New Roman"/>
                <w:b/>
                <w:noProof/>
              </w:rPr>
              <w:t xml:space="preserve">4.1.4 </w:t>
            </w:r>
            <w:r w:rsidR="00545EA4">
              <w:rPr>
                <w:rFonts w:asciiTheme="minorHAnsi" w:eastAsiaTheme="minorEastAsia" w:hAnsiTheme="minorHAnsi"/>
                <w:noProof/>
                <w:color w:val="auto"/>
                <w:spacing w:val="0"/>
                <w:sz w:val="22"/>
                <w:lang w:eastAsia="es-DO"/>
              </w:rPr>
              <w:tab/>
            </w:r>
            <w:r w:rsidR="00545EA4" w:rsidRPr="00D4408E">
              <w:rPr>
                <w:rStyle w:val="Hipervnculo"/>
                <w:rFonts w:eastAsia="Times New Roman" w:cs="Times New Roman"/>
                <w:b/>
                <w:noProof/>
              </w:rPr>
              <w:t>Plan Nacional Plurianual de Inversión Pública</w:t>
            </w:r>
            <w:r w:rsidR="00545EA4">
              <w:rPr>
                <w:noProof/>
                <w:webHidden/>
              </w:rPr>
              <w:tab/>
            </w:r>
            <w:r w:rsidR="00545EA4">
              <w:rPr>
                <w:noProof/>
                <w:webHidden/>
              </w:rPr>
              <w:fldChar w:fldCharType="begin"/>
            </w:r>
            <w:r w:rsidR="00545EA4">
              <w:rPr>
                <w:noProof/>
                <w:webHidden/>
              </w:rPr>
              <w:instrText xml:space="preserve"> PAGEREF _Toc186924355 \h </w:instrText>
            </w:r>
            <w:r w:rsidR="00545EA4">
              <w:rPr>
                <w:noProof/>
                <w:webHidden/>
              </w:rPr>
            </w:r>
            <w:r w:rsidR="00545EA4">
              <w:rPr>
                <w:noProof/>
                <w:webHidden/>
              </w:rPr>
              <w:fldChar w:fldCharType="separate"/>
            </w:r>
            <w:r w:rsidR="00545EA4">
              <w:rPr>
                <w:noProof/>
                <w:webHidden/>
              </w:rPr>
              <w:t>67</w:t>
            </w:r>
            <w:r w:rsidR="00545EA4">
              <w:rPr>
                <w:noProof/>
                <w:webHidden/>
              </w:rPr>
              <w:fldChar w:fldCharType="end"/>
            </w:r>
          </w:hyperlink>
        </w:p>
        <w:p w14:paraId="385D9F6F" w14:textId="4D298174" w:rsidR="00545EA4" w:rsidRDefault="00BE10C7">
          <w:pPr>
            <w:pStyle w:val="TDC2"/>
            <w:rPr>
              <w:rFonts w:asciiTheme="minorHAnsi" w:eastAsiaTheme="minorEastAsia" w:hAnsiTheme="minorHAnsi"/>
              <w:noProof/>
              <w:color w:val="auto"/>
              <w:spacing w:val="0"/>
              <w:sz w:val="22"/>
              <w:lang w:eastAsia="es-DO"/>
            </w:rPr>
          </w:pPr>
          <w:hyperlink w:anchor="_Toc186924356" w:history="1">
            <w:r w:rsidR="00545EA4" w:rsidRPr="00D4408E">
              <w:rPr>
                <w:rStyle w:val="Hipervnculo"/>
                <w:rFonts w:eastAsia="Times New Roman" w:cs="Times New Roman"/>
                <w:b/>
                <w:noProof/>
              </w:rPr>
              <w:t>4.1.5</w:t>
            </w:r>
            <w:r w:rsidR="00545EA4">
              <w:rPr>
                <w:rFonts w:asciiTheme="minorHAnsi" w:eastAsiaTheme="minorEastAsia" w:hAnsiTheme="minorHAnsi"/>
                <w:noProof/>
                <w:color w:val="auto"/>
                <w:spacing w:val="0"/>
                <w:sz w:val="22"/>
                <w:lang w:eastAsia="es-DO"/>
              </w:rPr>
              <w:tab/>
            </w:r>
            <w:r w:rsidR="00545EA4" w:rsidRPr="00D4408E">
              <w:rPr>
                <w:rStyle w:val="Hipervnculo"/>
                <w:rFonts w:eastAsia="Times New Roman" w:cs="Times New Roman"/>
                <w:b/>
                <w:noProof/>
              </w:rPr>
              <w:t>Análisis del Cumplimiento del Plan de Inversión Anual del año 2024</w:t>
            </w:r>
            <w:r w:rsidR="00545EA4">
              <w:rPr>
                <w:noProof/>
                <w:webHidden/>
              </w:rPr>
              <w:tab/>
            </w:r>
            <w:r w:rsidR="000A3CD1">
              <w:rPr>
                <w:noProof/>
                <w:webHidden/>
              </w:rPr>
              <w:tab/>
            </w:r>
            <w:r w:rsidR="00545EA4">
              <w:rPr>
                <w:noProof/>
                <w:webHidden/>
              </w:rPr>
              <w:fldChar w:fldCharType="begin"/>
            </w:r>
            <w:r w:rsidR="00545EA4">
              <w:rPr>
                <w:noProof/>
                <w:webHidden/>
              </w:rPr>
              <w:instrText xml:space="preserve"> PAGEREF _Toc186924356 \h </w:instrText>
            </w:r>
            <w:r w:rsidR="00545EA4">
              <w:rPr>
                <w:noProof/>
                <w:webHidden/>
              </w:rPr>
            </w:r>
            <w:r w:rsidR="00545EA4">
              <w:rPr>
                <w:noProof/>
                <w:webHidden/>
              </w:rPr>
              <w:fldChar w:fldCharType="separate"/>
            </w:r>
            <w:r w:rsidR="00545EA4">
              <w:rPr>
                <w:noProof/>
                <w:webHidden/>
              </w:rPr>
              <w:t>68</w:t>
            </w:r>
            <w:r w:rsidR="00545EA4">
              <w:rPr>
                <w:noProof/>
                <w:webHidden/>
              </w:rPr>
              <w:fldChar w:fldCharType="end"/>
            </w:r>
          </w:hyperlink>
        </w:p>
        <w:p w14:paraId="7ABA3B1D"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57" w:history="1">
            <w:r w:rsidR="00545EA4" w:rsidRPr="00D4408E">
              <w:rPr>
                <w:rStyle w:val="Hipervnculo"/>
              </w:rPr>
              <w:t>4.1.6</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Avances en el PNPSP y en la END</w:t>
            </w:r>
            <w:r w:rsidR="00545EA4">
              <w:rPr>
                <w:webHidden/>
              </w:rPr>
              <w:tab/>
            </w:r>
            <w:r w:rsidR="00545EA4">
              <w:rPr>
                <w:webHidden/>
              </w:rPr>
              <w:fldChar w:fldCharType="begin"/>
            </w:r>
            <w:r w:rsidR="00545EA4">
              <w:rPr>
                <w:webHidden/>
              </w:rPr>
              <w:instrText xml:space="preserve"> PAGEREF _Toc186924357 \h </w:instrText>
            </w:r>
            <w:r w:rsidR="00545EA4">
              <w:rPr>
                <w:webHidden/>
              </w:rPr>
            </w:r>
            <w:r w:rsidR="00545EA4">
              <w:rPr>
                <w:webHidden/>
              </w:rPr>
              <w:fldChar w:fldCharType="separate"/>
            </w:r>
            <w:r w:rsidR="00545EA4">
              <w:rPr>
                <w:webHidden/>
              </w:rPr>
              <w:t>90</w:t>
            </w:r>
            <w:r w:rsidR="00545EA4">
              <w:rPr>
                <w:webHidden/>
              </w:rPr>
              <w:fldChar w:fldCharType="end"/>
            </w:r>
          </w:hyperlink>
        </w:p>
        <w:p w14:paraId="557AC6EA"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58" w:history="1">
            <w:r w:rsidR="00545EA4" w:rsidRPr="00D4408E">
              <w:rPr>
                <w:rStyle w:val="Hipervnculo"/>
              </w:rPr>
              <w:t xml:space="preserve">4.2 </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Desempeño de los Recursos Humanos</w:t>
            </w:r>
            <w:r w:rsidR="00545EA4">
              <w:rPr>
                <w:webHidden/>
              </w:rPr>
              <w:tab/>
            </w:r>
            <w:r w:rsidR="00545EA4">
              <w:rPr>
                <w:webHidden/>
              </w:rPr>
              <w:fldChar w:fldCharType="begin"/>
            </w:r>
            <w:r w:rsidR="00545EA4">
              <w:rPr>
                <w:webHidden/>
              </w:rPr>
              <w:instrText xml:space="preserve"> PAGEREF _Toc186924358 \h </w:instrText>
            </w:r>
            <w:r w:rsidR="00545EA4">
              <w:rPr>
                <w:webHidden/>
              </w:rPr>
            </w:r>
            <w:r w:rsidR="00545EA4">
              <w:rPr>
                <w:webHidden/>
              </w:rPr>
              <w:fldChar w:fldCharType="separate"/>
            </w:r>
            <w:r w:rsidR="00545EA4">
              <w:rPr>
                <w:webHidden/>
              </w:rPr>
              <w:t>101</w:t>
            </w:r>
            <w:r w:rsidR="00545EA4">
              <w:rPr>
                <w:webHidden/>
              </w:rPr>
              <w:fldChar w:fldCharType="end"/>
            </w:r>
          </w:hyperlink>
        </w:p>
        <w:p w14:paraId="622DD0C1"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59" w:history="1">
            <w:r w:rsidR="00545EA4" w:rsidRPr="00D4408E">
              <w:rPr>
                <w:rStyle w:val="Hipervnculo"/>
              </w:rPr>
              <w:t>4.2.1 Organización de la Función de Recursos Humanos</w:t>
            </w:r>
            <w:r w:rsidR="00545EA4">
              <w:rPr>
                <w:webHidden/>
              </w:rPr>
              <w:tab/>
            </w:r>
            <w:r w:rsidR="00545EA4">
              <w:rPr>
                <w:webHidden/>
              </w:rPr>
              <w:fldChar w:fldCharType="begin"/>
            </w:r>
            <w:r w:rsidR="00545EA4">
              <w:rPr>
                <w:webHidden/>
              </w:rPr>
              <w:instrText xml:space="preserve"> PAGEREF _Toc186924359 \h </w:instrText>
            </w:r>
            <w:r w:rsidR="00545EA4">
              <w:rPr>
                <w:webHidden/>
              </w:rPr>
            </w:r>
            <w:r w:rsidR="00545EA4">
              <w:rPr>
                <w:webHidden/>
              </w:rPr>
              <w:fldChar w:fldCharType="separate"/>
            </w:r>
            <w:r w:rsidR="00545EA4">
              <w:rPr>
                <w:webHidden/>
              </w:rPr>
              <w:t>102</w:t>
            </w:r>
            <w:r w:rsidR="00545EA4">
              <w:rPr>
                <w:webHidden/>
              </w:rPr>
              <w:fldChar w:fldCharType="end"/>
            </w:r>
          </w:hyperlink>
        </w:p>
        <w:p w14:paraId="461E5810"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61" w:history="1">
            <w:r w:rsidR="00545EA4" w:rsidRPr="00D4408E">
              <w:rPr>
                <w:rStyle w:val="Hipervnculo"/>
              </w:rPr>
              <w:t>4.2.2</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Planificación de Recursos Humanos</w:t>
            </w:r>
            <w:r w:rsidR="00545EA4">
              <w:rPr>
                <w:webHidden/>
              </w:rPr>
              <w:tab/>
            </w:r>
            <w:r w:rsidR="00545EA4">
              <w:rPr>
                <w:webHidden/>
              </w:rPr>
              <w:fldChar w:fldCharType="begin"/>
            </w:r>
            <w:r w:rsidR="00545EA4">
              <w:rPr>
                <w:webHidden/>
              </w:rPr>
              <w:instrText xml:space="preserve"> PAGEREF _Toc186924361 \h </w:instrText>
            </w:r>
            <w:r w:rsidR="00545EA4">
              <w:rPr>
                <w:webHidden/>
              </w:rPr>
            </w:r>
            <w:r w:rsidR="00545EA4">
              <w:rPr>
                <w:webHidden/>
              </w:rPr>
              <w:fldChar w:fldCharType="separate"/>
            </w:r>
            <w:r w:rsidR="00545EA4">
              <w:rPr>
                <w:webHidden/>
              </w:rPr>
              <w:t>106</w:t>
            </w:r>
            <w:r w:rsidR="00545EA4">
              <w:rPr>
                <w:webHidden/>
              </w:rPr>
              <w:fldChar w:fldCharType="end"/>
            </w:r>
          </w:hyperlink>
        </w:p>
        <w:p w14:paraId="152529F1"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62" w:history="1">
            <w:r w:rsidR="00545EA4" w:rsidRPr="00D4408E">
              <w:rPr>
                <w:rStyle w:val="Hipervnculo"/>
              </w:rPr>
              <w:t>4.2.3</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Organización del Trabajo</w:t>
            </w:r>
            <w:r w:rsidR="00545EA4">
              <w:rPr>
                <w:webHidden/>
              </w:rPr>
              <w:tab/>
            </w:r>
            <w:r w:rsidR="00545EA4">
              <w:rPr>
                <w:webHidden/>
              </w:rPr>
              <w:fldChar w:fldCharType="begin"/>
            </w:r>
            <w:r w:rsidR="00545EA4">
              <w:rPr>
                <w:webHidden/>
              </w:rPr>
              <w:instrText xml:space="preserve"> PAGEREF _Toc186924362 \h </w:instrText>
            </w:r>
            <w:r w:rsidR="00545EA4">
              <w:rPr>
                <w:webHidden/>
              </w:rPr>
            </w:r>
            <w:r w:rsidR="00545EA4">
              <w:rPr>
                <w:webHidden/>
              </w:rPr>
              <w:fldChar w:fldCharType="separate"/>
            </w:r>
            <w:r w:rsidR="00545EA4">
              <w:rPr>
                <w:webHidden/>
              </w:rPr>
              <w:t>107</w:t>
            </w:r>
            <w:r w:rsidR="00545EA4">
              <w:rPr>
                <w:webHidden/>
              </w:rPr>
              <w:fldChar w:fldCharType="end"/>
            </w:r>
          </w:hyperlink>
        </w:p>
        <w:p w14:paraId="4DC6CB02"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63" w:history="1">
            <w:r w:rsidR="00545EA4" w:rsidRPr="00D4408E">
              <w:rPr>
                <w:rStyle w:val="Hipervnculo"/>
              </w:rPr>
              <w:t>4.2.4 Gestión del Empleo</w:t>
            </w:r>
            <w:r w:rsidR="00545EA4">
              <w:rPr>
                <w:webHidden/>
              </w:rPr>
              <w:tab/>
            </w:r>
            <w:r w:rsidR="00545EA4">
              <w:rPr>
                <w:webHidden/>
              </w:rPr>
              <w:fldChar w:fldCharType="begin"/>
            </w:r>
            <w:r w:rsidR="00545EA4">
              <w:rPr>
                <w:webHidden/>
              </w:rPr>
              <w:instrText xml:space="preserve"> PAGEREF _Toc186924363 \h </w:instrText>
            </w:r>
            <w:r w:rsidR="00545EA4">
              <w:rPr>
                <w:webHidden/>
              </w:rPr>
            </w:r>
            <w:r w:rsidR="00545EA4">
              <w:rPr>
                <w:webHidden/>
              </w:rPr>
              <w:fldChar w:fldCharType="separate"/>
            </w:r>
            <w:r w:rsidR="00545EA4">
              <w:rPr>
                <w:webHidden/>
              </w:rPr>
              <w:t>107</w:t>
            </w:r>
            <w:r w:rsidR="00545EA4">
              <w:rPr>
                <w:webHidden/>
              </w:rPr>
              <w:fldChar w:fldCharType="end"/>
            </w:r>
          </w:hyperlink>
        </w:p>
        <w:p w14:paraId="5E66D801"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64" w:history="1">
            <w:r w:rsidR="00545EA4" w:rsidRPr="00D4408E">
              <w:rPr>
                <w:rStyle w:val="Hipervnculo"/>
              </w:rPr>
              <w:t>4.2.5</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Gestión de las Compensaciones y Beneficios</w:t>
            </w:r>
            <w:r w:rsidR="00545EA4">
              <w:rPr>
                <w:webHidden/>
              </w:rPr>
              <w:tab/>
            </w:r>
            <w:r w:rsidR="00545EA4">
              <w:rPr>
                <w:webHidden/>
              </w:rPr>
              <w:fldChar w:fldCharType="begin"/>
            </w:r>
            <w:r w:rsidR="00545EA4">
              <w:rPr>
                <w:webHidden/>
              </w:rPr>
              <w:instrText xml:space="preserve"> PAGEREF _Toc186924364 \h </w:instrText>
            </w:r>
            <w:r w:rsidR="00545EA4">
              <w:rPr>
                <w:webHidden/>
              </w:rPr>
            </w:r>
            <w:r w:rsidR="00545EA4">
              <w:rPr>
                <w:webHidden/>
              </w:rPr>
              <w:fldChar w:fldCharType="separate"/>
            </w:r>
            <w:r w:rsidR="00545EA4">
              <w:rPr>
                <w:webHidden/>
              </w:rPr>
              <w:t>108</w:t>
            </w:r>
            <w:r w:rsidR="00545EA4">
              <w:rPr>
                <w:webHidden/>
              </w:rPr>
              <w:fldChar w:fldCharType="end"/>
            </w:r>
          </w:hyperlink>
        </w:p>
        <w:p w14:paraId="2A7974C2"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65" w:history="1">
            <w:r w:rsidR="00545EA4" w:rsidRPr="00D4408E">
              <w:rPr>
                <w:rStyle w:val="Hipervnculo"/>
              </w:rPr>
              <w:t>4.2.6</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Gestión del Rendimiento</w:t>
            </w:r>
            <w:r w:rsidR="00545EA4">
              <w:rPr>
                <w:webHidden/>
              </w:rPr>
              <w:tab/>
            </w:r>
            <w:r w:rsidR="00545EA4">
              <w:rPr>
                <w:webHidden/>
              </w:rPr>
              <w:fldChar w:fldCharType="begin"/>
            </w:r>
            <w:r w:rsidR="00545EA4">
              <w:rPr>
                <w:webHidden/>
              </w:rPr>
              <w:instrText xml:space="preserve"> PAGEREF _Toc186924365 \h </w:instrText>
            </w:r>
            <w:r w:rsidR="00545EA4">
              <w:rPr>
                <w:webHidden/>
              </w:rPr>
            </w:r>
            <w:r w:rsidR="00545EA4">
              <w:rPr>
                <w:webHidden/>
              </w:rPr>
              <w:fldChar w:fldCharType="separate"/>
            </w:r>
            <w:r w:rsidR="00545EA4">
              <w:rPr>
                <w:webHidden/>
              </w:rPr>
              <w:t>110</w:t>
            </w:r>
            <w:r w:rsidR="00545EA4">
              <w:rPr>
                <w:webHidden/>
              </w:rPr>
              <w:fldChar w:fldCharType="end"/>
            </w:r>
          </w:hyperlink>
        </w:p>
        <w:p w14:paraId="1080FA84"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66" w:history="1">
            <w:r w:rsidR="00545EA4" w:rsidRPr="00D4408E">
              <w:rPr>
                <w:rStyle w:val="Hipervnculo"/>
              </w:rPr>
              <w:t>4.2.7</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Gestión del Desarrollo</w:t>
            </w:r>
            <w:r w:rsidR="00545EA4">
              <w:rPr>
                <w:webHidden/>
              </w:rPr>
              <w:tab/>
            </w:r>
            <w:r w:rsidR="00545EA4">
              <w:rPr>
                <w:webHidden/>
              </w:rPr>
              <w:fldChar w:fldCharType="begin"/>
            </w:r>
            <w:r w:rsidR="00545EA4">
              <w:rPr>
                <w:webHidden/>
              </w:rPr>
              <w:instrText xml:space="preserve"> PAGEREF _Toc186924366 \h </w:instrText>
            </w:r>
            <w:r w:rsidR="00545EA4">
              <w:rPr>
                <w:webHidden/>
              </w:rPr>
            </w:r>
            <w:r w:rsidR="00545EA4">
              <w:rPr>
                <w:webHidden/>
              </w:rPr>
              <w:fldChar w:fldCharType="separate"/>
            </w:r>
            <w:r w:rsidR="00545EA4">
              <w:rPr>
                <w:webHidden/>
              </w:rPr>
              <w:t>110</w:t>
            </w:r>
            <w:r w:rsidR="00545EA4">
              <w:rPr>
                <w:webHidden/>
              </w:rPr>
              <w:fldChar w:fldCharType="end"/>
            </w:r>
          </w:hyperlink>
        </w:p>
        <w:p w14:paraId="3F174ABB"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67" w:history="1">
            <w:r w:rsidR="00545EA4" w:rsidRPr="00D4408E">
              <w:rPr>
                <w:rStyle w:val="Hipervnculo"/>
              </w:rPr>
              <w:t>4.2.8</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Gestión de las Relaciones Laborales y Sociales</w:t>
            </w:r>
            <w:r w:rsidR="00545EA4">
              <w:rPr>
                <w:webHidden/>
              </w:rPr>
              <w:tab/>
            </w:r>
            <w:r w:rsidR="00545EA4">
              <w:rPr>
                <w:webHidden/>
              </w:rPr>
              <w:fldChar w:fldCharType="begin"/>
            </w:r>
            <w:r w:rsidR="00545EA4">
              <w:rPr>
                <w:webHidden/>
              </w:rPr>
              <w:instrText xml:space="preserve"> PAGEREF _Toc186924367 \h </w:instrText>
            </w:r>
            <w:r w:rsidR="00545EA4">
              <w:rPr>
                <w:webHidden/>
              </w:rPr>
            </w:r>
            <w:r w:rsidR="00545EA4">
              <w:rPr>
                <w:webHidden/>
              </w:rPr>
              <w:fldChar w:fldCharType="separate"/>
            </w:r>
            <w:r w:rsidR="00545EA4">
              <w:rPr>
                <w:webHidden/>
              </w:rPr>
              <w:t>111</w:t>
            </w:r>
            <w:r w:rsidR="00545EA4">
              <w:rPr>
                <w:webHidden/>
              </w:rPr>
              <w:fldChar w:fldCharType="end"/>
            </w:r>
          </w:hyperlink>
        </w:p>
        <w:p w14:paraId="7B9ACB49" w14:textId="77777777" w:rsidR="00545EA4" w:rsidRDefault="00BE10C7">
          <w:pPr>
            <w:pStyle w:val="TDC2"/>
            <w:rPr>
              <w:rFonts w:asciiTheme="minorHAnsi" w:eastAsiaTheme="minorEastAsia" w:hAnsiTheme="minorHAnsi"/>
              <w:noProof/>
              <w:color w:val="auto"/>
              <w:spacing w:val="0"/>
              <w:sz w:val="22"/>
              <w:lang w:eastAsia="es-DO"/>
            </w:rPr>
          </w:pPr>
          <w:hyperlink w:anchor="_Toc186924368" w:history="1">
            <w:r w:rsidR="00545EA4" w:rsidRPr="00D4408E">
              <w:rPr>
                <w:rStyle w:val="Hipervnculo"/>
                <w:rFonts w:eastAsia="Times New Roman" w:cs="Times New Roman"/>
                <w:b/>
                <w:noProof/>
              </w:rPr>
              <w:t>4.3</w:t>
            </w:r>
            <w:r w:rsidR="00545EA4">
              <w:rPr>
                <w:rFonts w:asciiTheme="minorHAnsi" w:eastAsiaTheme="minorEastAsia" w:hAnsiTheme="minorHAnsi"/>
                <w:noProof/>
                <w:color w:val="auto"/>
                <w:spacing w:val="0"/>
                <w:sz w:val="22"/>
                <w:lang w:eastAsia="es-DO"/>
              </w:rPr>
              <w:tab/>
            </w:r>
            <w:r w:rsidR="00545EA4" w:rsidRPr="00D4408E">
              <w:rPr>
                <w:rStyle w:val="Hipervnculo"/>
                <w:rFonts w:eastAsia="Times New Roman" w:cs="Times New Roman"/>
                <w:b/>
                <w:noProof/>
              </w:rPr>
              <w:t>Desempeño de los Procesos Jurídicos</w:t>
            </w:r>
            <w:r w:rsidR="00545EA4">
              <w:rPr>
                <w:noProof/>
                <w:webHidden/>
              </w:rPr>
              <w:tab/>
            </w:r>
            <w:r w:rsidR="00545EA4">
              <w:rPr>
                <w:noProof/>
                <w:webHidden/>
              </w:rPr>
              <w:fldChar w:fldCharType="begin"/>
            </w:r>
            <w:r w:rsidR="00545EA4">
              <w:rPr>
                <w:noProof/>
                <w:webHidden/>
              </w:rPr>
              <w:instrText xml:space="preserve"> PAGEREF _Toc186924368 \h </w:instrText>
            </w:r>
            <w:r w:rsidR="00545EA4">
              <w:rPr>
                <w:noProof/>
                <w:webHidden/>
              </w:rPr>
            </w:r>
            <w:r w:rsidR="00545EA4">
              <w:rPr>
                <w:noProof/>
                <w:webHidden/>
              </w:rPr>
              <w:fldChar w:fldCharType="separate"/>
            </w:r>
            <w:r w:rsidR="00545EA4">
              <w:rPr>
                <w:noProof/>
                <w:webHidden/>
              </w:rPr>
              <w:t>115</w:t>
            </w:r>
            <w:r w:rsidR="00545EA4">
              <w:rPr>
                <w:noProof/>
                <w:webHidden/>
              </w:rPr>
              <w:fldChar w:fldCharType="end"/>
            </w:r>
          </w:hyperlink>
        </w:p>
        <w:p w14:paraId="7C75AA2C" w14:textId="77777777" w:rsidR="00545EA4" w:rsidRDefault="00BE10C7">
          <w:pPr>
            <w:pStyle w:val="TDC2"/>
            <w:rPr>
              <w:rFonts w:asciiTheme="minorHAnsi" w:eastAsiaTheme="minorEastAsia" w:hAnsiTheme="minorHAnsi"/>
              <w:noProof/>
              <w:color w:val="auto"/>
              <w:spacing w:val="0"/>
              <w:sz w:val="22"/>
              <w:lang w:eastAsia="es-DO"/>
            </w:rPr>
          </w:pPr>
          <w:hyperlink w:anchor="_Toc186924369" w:history="1">
            <w:r w:rsidR="00545EA4" w:rsidRPr="00D4408E">
              <w:rPr>
                <w:rStyle w:val="Hipervnculo"/>
                <w:rFonts w:eastAsia="Times New Roman" w:cs="Times New Roman"/>
                <w:b/>
                <w:noProof/>
              </w:rPr>
              <w:t>4.3.1</w:t>
            </w:r>
            <w:r w:rsidR="00545EA4">
              <w:rPr>
                <w:rFonts w:asciiTheme="minorHAnsi" w:eastAsiaTheme="minorEastAsia" w:hAnsiTheme="minorHAnsi"/>
                <w:noProof/>
                <w:color w:val="auto"/>
                <w:spacing w:val="0"/>
                <w:sz w:val="22"/>
                <w:lang w:eastAsia="es-DO"/>
              </w:rPr>
              <w:tab/>
            </w:r>
            <w:r w:rsidR="00545EA4" w:rsidRPr="00D4408E">
              <w:rPr>
                <w:rStyle w:val="Hipervnculo"/>
                <w:rFonts w:eastAsia="Times New Roman" w:cs="Times New Roman"/>
                <w:b/>
                <w:noProof/>
              </w:rPr>
              <w:t>Contratos elaborados</w:t>
            </w:r>
            <w:r w:rsidR="00545EA4">
              <w:rPr>
                <w:noProof/>
                <w:webHidden/>
              </w:rPr>
              <w:tab/>
            </w:r>
            <w:r w:rsidR="00545EA4">
              <w:rPr>
                <w:noProof/>
                <w:webHidden/>
              </w:rPr>
              <w:fldChar w:fldCharType="begin"/>
            </w:r>
            <w:r w:rsidR="00545EA4">
              <w:rPr>
                <w:noProof/>
                <w:webHidden/>
              </w:rPr>
              <w:instrText xml:space="preserve"> PAGEREF _Toc186924369 \h </w:instrText>
            </w:r>
            <w:r w:rsidR="00545EA4">
              <w:rPr>
                <w:noProof/>
                <w:webHidden/>
              </w:rPr>
            </w:r>
            <w:r w:rsidR="00545EA4">
              <w:rPr>
                <w:noProof/>
                <w:webHidden/>
              </w:rPr>
              <w:fldChar w:fldCharType="separate"/>
            </w:r>
            <w:r w:rsidR="00545EA4">
              <w:rPr>
                <w:noProof/>
                <w:webHidden/>
              </w:rPr>
              <w:t>115</w:t>
            </w:r>
            <w:r w:rsidR="00545EA4">
              <w:rPr>
                <w:noProof/>
                <w:webHidden/>
              </w:rPr>
              <w:fldChar w:fldCharType="end"/>
            </w:r>
          </w:hyperlink>
        </w:p>
        <w:p w14:paraId="490E6786" w14:textId="77777777" w:rsidR="00545EA4" w:rsidRDefault="00BE10C7">
          <w:pPr>
            <w:pStyle w:val="TDC2"/>
            <w:rPr>
              <w:rFonts w:asciiTheme="minorHAnsi" w:eastAsiaTheme="minorEastAsia" w:hAnsiTheme="minorHAnsi"/>
              <w:noProof/>
              <w:color w:val="auto"/>
              <w:spacing w:val="0"/>
              <w:sz w:val="22"/>
              <w:lang w:eastAsia="es-DO"/>
            </w:rPr>
          </w:pPr>
          <w:hyperlink w:anchor="_Toc186924370" w:history="1">
            <w:r w:rsidR="00545EA4" w:rsidRPr="00D4408E">
              <w:rPr>
                <w:rStyle w:val="Hipervnculo"/>
                <w:rFonts w:eastAsia="Times New Roman" w:cs="Times New Roman"/>
                <w:b/>
                <w:noProof/>
              </w:rPr>
              <w:t>4.3.3.</w:t>
            </w:r>
            <w:r w:rsidR="00545EA4">
              <w:rPr>
                <w:rFonts w:asciiTheme="minorHAnsi" w:eastAsiaTheme="minorEastAsia" w:hAnsiTheme="minorHAnsi"/>
                <w:noProof/>
                <w:color w:val="auto"/>
                <w:spacing w:val="0"/>
                <w:sz w:val="22"/>
                <w:lang w:eastAsia="es-DO"/>
              </w:rPr>
              <w:tab/>
            </w:r>
            <w:r w:rsidR="00545EA4" w:rsidRPr="00D4408E">
              <w:rPr>
                <w:rStyle w:val="Hipervnculo"/>
                <w:rFonts w:eastAsia="Times New Roman" w:cs="Times New Roman"/>
                <w:b/>
                <w:noProof/>
              </w:rPr>
              <w:t>Acuerdos Interinstitucionales</w:t>
            </w:r>
            <w:r w:rsidR="00545EA4">
              <w:rPr>
                <w:noProof/>
                <w:webHidden/>
              </w:rPr>
              <w:tab/>
            </w:r>
            <w:r w:rsidR="00545EA4">
              <w:rPr>
                <w:noProof/>
                <w:webHidden/>
              </w:rPr>
              <w:fldChar w:fldCharType="begin"/>
            </w:r>
            <w:r w:rsidR="00545EA4">
              <w:rPr>
                <w:noProof/>
                <w:webHidden/>
              </w:rPr>
              <w:instrText xml:space="preserve"> PAGEREF _Toc186924370 \h </w:instrText>
            </w:r>
            <w:r w:rsidR="00545EA4">
              <w:rPr>
                <w:noProof/>
                <w:webHidden/>
              </w:rPr>
            </w:r>
            <w:r w:rsidR="00545EA4">
              <w:rPr>
                <w:noProof/>
                <w:webHidden/>
              </w:rPr>
              <w:fldChar w:fldCharType="separate"/>
            </w:r>
            <w:r w:rsidR="00545EA4">
              <w:rPr>
                <w:noProof/>
                <w:webHidden/>
              </w:rPr>
              <w:t>116</w:t>
            </w:r>
            <w:r w:rsidR="00545EA4">
              <w:rPr>
                <w:noProof/>
                <w:webHidden/>
              </w:rPr>
              <w:fldChar w:fldCharType="end"/>
            </w:r>
          </w:hyperlink>
        </w:p>
        <w:p w14:paraId="48A65E2A" w14:textId="77777777" w:rsidR="00545EA4" w:rsidRDefault="00BE10C7">
          <w:pPr>
            <w:pStyle w:val="TDC2"/>
            <w:rPr>
              <w:rFonts w:asciiTheme="minorHAnsi" w:eastAsiaTheme="minorEastAsia" w:hAnsiTheme="minorHAnsi"/>
              <w:noProof/>
              <w:color w:val="auto"/>
              <w:spacing w:val="0"/>
              <w:sz w:val="22"/>
              <w:lang w:eastAsia="es-DO"/>
            </w:rPr>
          </w:pPr>
          <w:hyperlink w:anchor="_Toc186924371" w:history="1">
            <w:r w:rsidR="00545EA4" w:rsidRPr="00D4408E">
              <w:rPr>
                <w:rStyle w:val="Hipervnculo"/>
                <w:rFonts w:eastAsia="Times New Roman" w:cs="Times New Roman"/>
                <w:b/>
                <w:noProof/>
              </w:rPr>
              <w:t>4.3.4.</w:t>
            </w:r>
            <w:r w:rsidR="00545EA4">
              <w:rPr>
                <w:rFonts w:asciiTheme="minorHAnsi" w:eastAsiaTheme="minorEastAsia" w:hAnsiTheme="minorHAnsi"/>
                <w:noProof/>
                <w:color w:val="auto"/>
                <w:spacing w:val="0"/>
                <w:sz w:val="22"/>
                <w:lang w:eastAsia="es-DO"/>
              </w:rPr>
              <w:tab/>
            </w:r>
            <w:r w:rsidR="00545EA4" w:rsidRPr="00D4408E">
              <w:rPr>
                <w:rStyle w:val="Hipervnculo"/>
                <w:rFonts w:eastAsia="Times New Roman" w:cs="Times New Roman"/>
                <w:b/>
                <w:noProof/>
              </w:rPr>
              <w:t>Convenios Nuevos y Renovados</w:t>
            </w:r>
            <w:r w:rsidR="00545EA4">
              <w:rPr>
                <w:noProof/>
                <w:webHidden/>
              </w:rPr>
              <w:tab/>
            </w:r>
            <w:r w:rsidR="00545EA4">
              <w:rPr>
                <w:noProof/>
                <w:webHidden/>
              </w:rPr>
              <w:fldChar w:fldCharType="begin"/>
            </w:r>
            <w:r w:rsidR="00545EA4">
              <w:rPr>
                <w:noProof/>
                <w:webHidden/>
              </w:rPr>
              <w:instrText xml:space="preserve"> PAGEREF _Toc186924371 \h </w:instrText>
            </w:r>
            <w:r w:rsidR="00545EA4">
              <w:rPr>
                <w:noProof/>
                <w:webHidden/>
              </w:rPr>
            </w:r>
            <w:r w:rsidR="00545EA4">
              <w:rPr>
                <w:noProof/>
                <w:webHidden/>
              </w:rPr>
              <w:fldChar w:fldCharType="separate"/>
            </w:r>
            <w:r w:rsidR="00545EA4">
              <w:rPr>
                <w:noProof/>
                <w:webHidden/>
              </w:rPr>
              <w:t>117</w:t>
            </w:r>
            <w:r w:rsidR="00545EA4">
              <w:rPr>
                <w:noProof/>
                <w:webHidden/>
              </w:rPr>
              <w:fldChar w:fldCharType="end"/>
            </w:r>
          </w:hyperlink>
        </w:p>
        <w:p w14:paraId="31774CF9" w14:textId="77777777" w:rsidR="00545EA4" w:rsidRDefault="00BE10C7">
          <w:pPr>
            <w:pStyle w:val="TDC2"/>
            <w:rPr>
              <w:rFonts w:asciiTheme="minorHAnsi" w:eastAsiaTheme="minorEastAsia" w:hAnsiTheme="minorHAnsi"/>
              <w:noProof/>
              <w:color w:val="auto"/>
              <w:spacing w:val="0"/>
              <w:sz w:val="22"/>
              <w:lang w:eastAsia="es-DO"/>
            </w:rPr>
          </w:pPr>
          <w:hyperlink w:anchor="_Toc186924372" w:history="1">
            <w:r w:rsidR="00545EA4" w:rsidRPr="00D4408E">
              <w:rPr>
                <w:rStyle w:val="Hipervnculo"/>
                <w:rFonts w:eastAsia="Times New Roman" w:cs="Times New Roman"/>
                <w:b/>
                <w:noProof/>
              </w:rPr>
              <w:t>4.3.5.</w:t>
            </w:r>
            <w:r w:rsidR="00545EA4">
              <w:rPr>
                <w:rFonts w:asciiTheme="minorHAnsi" w:eastAsiaTheme="minorEastAsia" w:hAnsiTheme="minorHAnsi"/>
                <w:noProof/>
                <w:color w:val="auto"/>
                <w:spacing w:val="0"/>
                <w:sz w:val="22"/>
                <w:lang w:eastAsia="es-DO"/>
              </w:rPr>
              <w:tab/>
            </w:r>
            <w:r w:rsidR="00545EA4" w:rsidRPr="00D4408E">
              <w:rPr>
                <w:rStyle w:val="Hipervnculo"/>
                <w:rFonts w:eastAsia="Times New Roman" w:cs="Times New Roman"/>
                <w:b/>
                <w:noProof/>
              </w:rPr>
              <w:t>Procesos litigiosos (Demandas y Controversias)</w:t>
            </w:r>
            <w:r w:rsidR="00545EA4">
              <w:rPr>
                <w:noProof/>
                <w:webHidden/>
              </w:rPr>
              <w:tab/>
            </w:r>
            <w:r w:rsidR="00545EA4">
              <w:rPr>
                <w:noProof/>
                <w:webHidden/>
              </w:rPr>
              <w:fldChar w:fldCharType="begin"/>
            </w:r>
            <w:r w:rsidR="00545EA4">
              <w:rPr>
                <w:noProof/>
                <w:webHidden/>
              </w:rPr>
              <w:instrText xml:space="preserve"> PAGEREF _Toc186924372 \h </w:instrText>
            </w:r>
            <w:r w:rsidR="00545EA4">
              <w:rPr>
                <w:noProof/>
                <w:webHidden/>
              </w:rPr>
            </w:r>
            <w:r w:rsidR="00545EA4">
              <w:rPr>
                <w:noProof/>
                <w:webHidden/>
              </w:rPr>
              <w:fldChar w:fldCharType="separate"/>
            </w:r>
            <w:r w:rsidR="00545EA4">
              <w:rPr>
                <w:noProof/>
                <w:webHidden/>
              </w:rPr>
              <w:t>119</w:t>
            </w:r>
            <w:r w:rsidR="00545EA4">
              <w:rPr>
                <w:noProof/>
                <w:webHidden/>
              </w:rPr>
              <w:fldChar w:fldCharType="end"/>
            </w:r>
          </w:hyperlink>
        </w:p>
        <w:p w14:paraId="48D0AC85" w14:textId="0881F401"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73" w:history="1">
            <w:r w:rsidR="00545EA4" w:rsidRPr="00D4408E">
              <w:rPr>
                <w:rStyle w:val="Hipervnculo"/>
              </w:rPr>
              <w:t>V.</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SERVICIO AL CIUDADANO Y TRANSPARENCIA INSTITUCIONAL</w:t>
            </w:r>
            <w:r w:rsidR="00545EA4">
              <w:rPr>
                <w:webHidden/>
              </w:rPr>
              <w:tab/>
            </w:r>
            <w:r w:rsidR="00545EA4">
              <w:rPr>
                <w:webHidden/>
              </w:rPr>
              <w:fldChar w:fldCharType="begin"/>
            </w:r>
            <w:r w:rsidR="00545EA4">
              <w:rPr>
                <w:webHidden/>
              </w:rPr>
              <w:instrText xml:space="preserve"> PAGEREF _Toc186924373 \h </w:instrText>
            </w:r>
            <w:r w:rsidR="00545EA4">
              <w:rPr>
                <w:webHidden/>
              </w:rPr>
            </w:r>
            <w:r w:rsidR="00545EA4">
              <w:rPr>
                <w:webHidden/>
              </w:rPr>
              <w:fldChar w:fldCharType="separate"/>
            </w:r>
            <w:r w:rsidR="00545EA4">
              <w:rPr>
                <w:webHidden/>
              </w:rPr>
              <w:t>138</w:t>
            </w:r>
            <w:r w:rsidR="00545EA4">
              <w:rPr>
                <w:webHidden/>
              </w:rPr>
              <w:fldChar w:fldCharType="end"/>
            </w:r>
          </w:hyperlink>
        </w:p>
        <w:p w14:paraId="08774FC6"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74" w:history="1">
            <w:r w:rsidR="00545EA4" w:rsidRPr="00D4408E">
              <w:rPr>
                <w:rStyle w:val="Hipervnculo"/>
              </w:rPr>
              <w:t>VI.</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Contrataciones y Adquisiciones</w:t>
            </w:r>
            <w:r w:rsidR="00545EA4">
              <w:rPr>
                <w:webHidden/>
              </w:rPr>
              <w:tab/>
            </w:r>
            <w:r w:rsidR="00545EA4">
              <w:rPr>
                <w:webHidden/>
              </w:rPr>
              <w:fldChar w:fldCharType="begin"/>
            </w:r>
            <w:r w:rsidR="00545EA4">
              <w:rPr>
                <w:webHidden/>
              </w:rPr>
              <w:instrText xml:space="preserve"> PAGEREF _Toc186924374 \h </w:instrText>
            </w:r>
            <w:r w:rsidR="00545EA4">
              <w:rPr>
                <w:webHidden/>
              </w:rPr>
            </w:r>
            <w:r w:rsidR="00545EA4">
              <w:rPr>
                <w:webHidden/>
              </w:rPr>
              <w:fldChar w:fldCharType="separate"/>
            </w:r>
            <w:r w:rsidR="00545EA4">
              <w:rPr>
                <w:webHidden/>
              </w:rPr>
              <w:t>149</w:t>
            </w:r>
            <w:r w:rsidR="00545EA4">
              <w:rPr>
                <w:webHidden/>
              </w:rPr>
              <w:fldChar w:fldCharType="end"/>
            </w:r>
          </w:hyperlink>
        </w:p>
        <w:p w14:paraId="643C1028"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75" w:history="1">
            <w:r w:rsidR="00545EA4" w:rsidRPr="00D4408E">
              <w:rPr>
                <w:rStyle w:val="Hipervnculo"/>
              </w:rPr>
              <w:t>6.1</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Plan Anual de Compras y Contrataciones (PACC)</w:t>
            </w:r>
            <w:r w:rsidR="00545EA4">
              <w:rPr>
                <w:webHidden/>
              </w:rPr>
              <w:tab/>
            </w:r>
            <w:r w:rsidR="00545EA4">
              <w:rPr>
                <w:webHidden/>
              </w:rPr>
              <w:fldChar w:fldCharType="begin"/>
            </w:r>
            <w:r w:rsidR="00545EA4">
              <w:rPr>
                <w:webHidden/>
              </w:rPr>
              <w:instrText xml:space="preserve"> PAGEREF _Toc186924375 \h </w:instrText>
            </w:r>
            <w:r w:rsidR="00545EA4">
              <w:rPr>
                <w:webHidden/>
              </w:rPr>
            </w:r>
            <w:r w:rsidR="00545EA4">
              <w:rPr>
                <w:webHidden/>
              </w:rPr>
              <w:fldChar w:fldCharType="separate"/>
            </w:r>
            <w:r w:rsidR="00545EA4">
              <w:rPr>
                <w:webHidden/>
              </w:rPr>
              <w:t>149</w:t>
            </w:r>
            <w:r w:rsidR="00545EA4">
              <w:rPr>
                <w:webHidden/>
              </w:rPr>
              <w:fldChar w:fldCharType="end"/>
            </w:r>
          </w:hyperlink>
        </w:p>
        <w:p w14:paraId="6F44B555"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76" w:history="1">
            <w:r w:rsidR="00545EA4" w:rsidRPr="00D4408E">
              <w:rPr>
                <w:rStyle w:val="Hipervnculo"/>
              </w:rPr>
              <w:t>6.2</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Plan de Compras Publicado Año 2024</w:t>
            </w:r>
            <w:r w:rsidR="00545EA4">
              <w:rPr>
                <w:webHidden/>
              </w:rPr>
              <w:tab/>
            </w:r>
            <w:r w:rsidR="00545EA4">
              <w:rPr>
                <w:webHidden/>
              </w:rPr>
              <w:fldChar w:fldCharType="begin"/>
            </w:r>
            <w:r w:rsidR="00545EA4">
              <w:rPr>
                <w:webHidden/>
              </w:rPr>
              <w:instrText xml:space="preserve"> PAGEREF _Toc186924376 \h </w:instrText>
            </w:r>
            <w:r w:rsidR="00545EA4">
              <w:rPr>
                <w:webHidden/>
              </w:rPr>
            </w:r>
            <w:r w:rsidR="00545EA4">
              <w:rPr>
                <w:webHidden/>
              </w:rPr>
              <w:fldChar w:fldCharType="separate"/>
            </w:r>
            <w:r w:rsidR="00545EA4">
              <w:rPr>
                <w:webHidden/>
              </w:rPr>
              <w:t>149</w:t>
            </w:r>
            <w:r w:rsidR="00545EA4">
              <w:rPr>
                <w:webHidden/>
              </w:rPr>
              <w:fldChar w:fldCharType="end"/>
            </w:r>
          </w:hyperlink>
        </w:p>
        <w:p w14:paraId="39ED5FD0"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77" w:history="1">
            <w:r w:rsidR="00545EA4" w:rsidRPr="00D4408E">
              <w:rPr>
                <w:rStyle w:val="Hipervnculo"/>
              </w:rPr>
              <w:t>6.3</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Plan de Compras y Contrataciones Publicado Vs. Plan de Compras Ejecutado</w:t>
            </w:r>
            <w:r w:rsidR="00545EA4">
              <w:rPr>
                <w:webHidden/>
              </w:rPr>
              <w:tab/>
            </w:r>
            <w:r w:rsidR="00545EA4">
              <w:rPr>
                <w:webHidden/>
              </w:rPr>
              <w:fldChar w:fldCharType="begin"/>
            </w:r>
            <w:r w:rsidR="00545EA4">
              <w:rPr>
                <w:webHidden/>
              </w:rPr>
              <w:instrText xml:space="preserve"> PAGEREF _Toc186924377 \h </w:instrText>
            </w:r>
            <w:r w:rsidR="00545EA4">
              <w:rPr>
                <w:webHidden/>
              </w:rPr>
            </w:r>
            <w:r w:rsidR="00545EA4">
              <w:rPr>
                <w:webHidden/>
              </w:rPr>
              <w:fldChar w:fldCharType="separate"/>
            </w:r>
            <w:r w:rsidR="00545EA4">
              <w:rPr>
                <w:webHidden/>
              </w:rPr>
              <w:t>150</w:t>
            </w:r>
            <w:r w:rsidR="00545EA4">
              <w:rPr>
                <w:webHidden/>
              </w:rPr>
              <w:fldChar w:fldCharType="end"/>
            </w:r>
          </w:hyperlink>
        </w:p>
        <w:p w14:paraId="6281719F"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78" w:history="1">
            <w:r w:rsidR="00545EA4" w:rsidRPr="00D4408E">
              <w:rPr>
                <w:rStyle w:val="Hipervnculo"/>
              </w:rPr>
              <w:t>6.4</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Relación de Licitaciones Públicas Nacionales</w:t>
            </w:r>
            <w:r w:rsidR="00545EA4">
              <w:rPr>
                <w:webHidden/>
              </w:rPr>
              <w:tab/>
            </w:r>
            <w:r w:rsidR="00545EA4">
              <w:rPr>
                <w:webHidden/>
              </w:rPr>
              <w:fldChar w:fldCharType="begin"/>
            </w:r>
            <w:r w:rsidR="00545EA4">
              <w:rPr>
                <w:webHidden/>
              </w:rPr>
              <w:instrText xml:space="preserve"> PAGEREF _Toc186924378 \h </w:instrText>
            </w:r>
            <w:r w:rsidR="00545EA4">
              <w:rPr>
                <w:webHidden/>
              </w:rPr>
            </w:r>
            <w:r w:rsidR="00545EA4">
              <w:rPr>
                <w:webHidden/>
              </w:rPr>
              <w:fldChar w:fldCharType="separate"/>
            </w:r>
            <w:r w:rsidR="00545EA4">
              <w:rPr>
                <w:webHidden/>
              </w:rPr>
              <w:t>150</w:t>
            </w:r>
            <w:r w:rsidR="00545EA4">
              <w:rPr>
                <w:webHidden/>
              </w:rPr>
              <w:fldChar w:fldCharType="end"/>
            </w:r>
          </w:hyperlink>
        </w:p>
        <w:p w14:paraId="1AF0D068"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79" w:history="1">
            <w:r w:rsidR="00545EA4" w:rsidRPr="00D4408E">
              <w:rPr>
                <w:rStyle w:val="Hipervnculo"/>
              </w:rPr>
              <w:t>6.5</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Número y Monto de Adquisiciones Realizadas por Modalidad</w:t>
            </w:r>
            <w:r w:rsidR="00545EA4">
              <w:rPr>
                <w:webHidden/>
              </w:rPr>
              <w:tab/>
            </w:r>
            <w:r w:rsidR="00545EA4">
              <w:rPr>
                <w:webHidden/>
              </w:rPr>
              <w:fldChar w:fldCharType="begin"/>
            </w:r>
            <w:r w:rsidR="00545EA4">
              <w:rPr>
                <w:webHidden/>
              </w:rPr>
              <w:instrText xml:space="preserve"> PAGEREF _Toc186924379 \h </w:instrText>
            </w:r>
            <w:r w:rsidR="00545EA4">
              <w:rPr>
                <w:webHidden/>
              </w:rPr>
            </w:r>
            <w:r w:rsidR="00545EA4">
              <w:rPr>
                <w:webHidden/>
              </w:rPr>
              <w:fldChar w:fldCharType="separate"/>
            </w:r>
            <w:r w:rsidR="00545EA4">
              <w:rPr>
                <w:webHidden/>
              </w:rPr>
              <w:t>170</w:t>
            </w:r>
            <w:r w:rsidR="00545EA4">
              <w:rPr>
                <w:webHidden/>
              </w:rPr>
              <w:fldChar w:fldCharType="end"/>
            </w:r>
          </w:hyperlink>
        </w:p>
        <w:p w14:paraId="2377F1FC"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80" w:history="1">
            <w:r w:rsidR="00545EA4" w:rsidRPr="00D4408E">
              <w:rPr>
                <w:rStyle w:val="Hipervnculo"/>
              </w:rPr>
              <w:t>6.5.1</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Resumen de Compras y Contrataciones por Tipo de Modalidad realizadas</w:t>
            </w:r>
            <w:r w:rsidR="00545EA4">
              <w:rPr>
                <w:webHidden/>
              </w:rPr>
              <w:tab/>
            </w:r>
            <w:r w:rsidR="00545EA4">
              <w:rPr>
                <w:webHidden/>
              </w:rPr>
              <w:fldChar w:fldCharType="begin"/>
            </w:r>
            <w:r w:rsidR="00545EA4">
              <w:rPr>
                <w:webHidden/>
              </w:rPr>
              <w:instrText xml:space="preserve"> PAGEREF _Toc186924380 \h </w:instrText>
            </w:r>
            <w:r w:rsidR="00545EA4">
              <w:rPr>
                <w:webHidden/>
              </w:rPr>
            </w:r>
            <w:r w:rsidR="00545EA4">
              <w:rPr>
                <w:webHidden/>
              </w:rPr>
              <w:fldChar w:fldCharType="separate"/>
            </w:r>
            <w:r w:rsidR="00545EA4">
              <w:rPr>
                <w:webHidden/>
              </w:rPr>
              <w:t>172</w:t>
            </w:r>
            <w:r w:rsidR="00545EA4">
              <w:rPr>
                <w:webHidden/>
              </w:rPr>
              <w:fldChar w:fldCharType="end"/>
            </w:r>
          </w:hyperlink>
        </w:p>
        <w:p w14:paraId="4B8B1FF8"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81" w:history="1">
            <w:r w:rsidR="00545EA4" w:rsidRPr="00D4408E">
              <w:rPr>
                <w:rStyle w:val="Hipervnculo"/>
              </w:rPr>
              <w:t>6.6</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Resumen de Compras y Contrataciones realizadas por tipo de empresas en el año 2024</w:t>
            </w:r>
            <w:r w:rsidR="00545EA4">
              <w:rPr>
                <w:webHidden/>
              </w:rPr>
              <w:tab/>
            </w:r>
            <w:r w:rsidR="00545EA4">
              <w:rPr>
                <w:webHidden/>
              </w:rPr>
              <w:fldChar w:fldCharType="begin"/>
            </w:r>
            <w:r w:rsidR="00545EA4">
              <w:rPr>
                <w:webHidden/>
              </w:rPr>
              <w:instrText xml:space="preserve"> PAGEREF _Toc186924381 \h </w:instrText>
            </w:r>
            <w:r w:rsidR="00545EA4">
              <w:rPr>
                <w:webHidden/>
              </w:rPr>
            </w:r>
            <w:r w:rsidR="00545EA4">
              <w:rPr>
                <w:webHidden/>
              </w:rPr>
              <w:fldChar w:fldCharType="separate"/>
            </w:r>
            <w:r w:rsidR="00545EA4">
              <w:rPr>
                <w:webHidden/>
              </w:rPr>
              <w:t>173</w:t>
            </w:r>
            <w:r w:rsidR="00545EA4">
              <w:rPr>
                <w:webHidden/>
              </w:rPr>
              <w:fldChar w:fldCharType="end"/>
            </w:r>
          </w:hyperlink>
        </w:p>
        <w:p w14:paraId="33565B9D"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82" w:history="1">
            <w:r w:rsidR="00545EA4" w:rsidRPr="00D4408E">
              <w:rPr>
                <w:rStyle w:val="Hipervnculo"/>
              </w:rPr>
              <w:t>VII.</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Otras Acciones Desarrolladas</w:t>
            </w:r>
            <w:r w:rsidR="00545EA4">
              <w:rPr>
                <w:webHidden/>
              </w:rPr>
              <w:tab/>
            </w:r>
            <w:r w:rsidR="00545EA4">
              <w:rPr>
                <w:webHidden/>
              </w:rPr>
              <w:fldChar w:fldCharType="begin"/>
            </w:r>
            <w:r w:rsidR="00545EA4">
              <w:rPr>
                <w:webHidden/>
              </w:rPr>
              <w:instrText xml:space="preserve"> PAGEREF _Toc186924382 \h </w:instrText>
            </w:r>
            <w:r w:rsidR="00545EA4">
              <w:rPr>
                <w:webHidden/>
              </w:rPr>
            </w:r>
            <w:r w:rsidR="00545EA4">
              <w:rPr>
                <w:webHidden/>
              </w:rPr>
              <w:fldChar w:fldCharType="separate"/>
            </w:r>
            <w:r w:rsidR="00545EA4">
              <w:rPr>
                <w:webHidden/>
              </w:rPr>
              <w:t>175</w:t>
            </w:r>
            <w:r w:rsidR="00545EA4">
              <w:rPr>
                <w:webHidden/>
              </w:rPr>
              <w:fldChar w:fldCharType="end"/>
            </w:r>
          </w:hyperlink>
        </w:p>
        <w:p w14:paraId="13056CCE"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83" w:history="1">
            <w:r w:rsidR="00545EA4" w:rsidRPr="00D4408E">
              <w:rPr>
                <w:rStyle w:val="Hipervnculo"/>
              </w:rPr>
              <w:t>7.1</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Contribución a los Objetivos de Desarrollo Sostenible (ODS), Agenda 2030</w:t>
            </w:r>
            <w:r w:rsidR="00545EA4">
              <w:rPr>
                <w:webHidden/>
              </w:rPr>
              <w:tab/>
            </w:r>
            <w:r w:rsidR="00545EA4">
              <w:rPr>
                <w:webHidden/>
              </w:rPr>
              <w:fldChar w:fldCharType="begin"/>
            </w:r>
            <w:r w:rsidR="00545EA4">
              <w:rPr>
                <w:webHidden/>
              </w:rPr>
              <w:instrText xml:space="preserve"> PAGEREF _Toc186924383 \h </w:instrText>
            </w:r>
            <w:r w:rsidR="00545EA4">
              <w:rPr>
                <w:webHidden/>
              </w:rPr>
            </w:r>
            <w:r w:rsidR="00545EA4">
              <w:rPr>
                <w:webHidden/>
              </w:rPr>
              <w:fldChar w:fldCharType="separate"/>
            </w:r>
            <w:r w:rsidR="00545EA4">
              <w:rPr>
                <w:webHidden/>
              </w:rPr>
              <w:t>175</w:t>
            </w:r>
            <w:r w:rsidR="00545EA4">
              <w:rPr>
                <w:webHidden/>
              </w:rPr>
              <w:fldChar w:fldCharType="end"/>
            </w:r>
          </w:hyperlink>
        </w:p>
        <w:p w14:paraId="522BDB59"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84" w:history="1">
            <w:r w:rsidR="00545EA4" w:rsidRPr="00D4408E">
              <w:rPr>
                <w:rStyle w:val="Hipervnculo"/>
              </w:rPr>
              <w:t>7.2</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Impacto de las Ejecutorias en Políticas Transversales de la Estrategia Nacional de Desarrollo (END)</w:t>
            </w:r>
            <w:r w:rsidR="00545EA4">
              <w:rPr>
                <w:webHidden/>
              </w:rPr>
              <w:tab/>
            </w:r>
            <w:r w:rsidR="00545EA4">
              <w:rPr>
                <w:webHidden/>
              </w:rPr>
              <w:fldChar w:fldCharType="begin"/>
            </w:r>
            <w:r w:rsidR="00545EA4">
              <w:rPr>
                <w:webHidden/>
              </w:rPr>
              <w:instrText xml:space="preserve"> PAGEREF _Toc186924384 \h </w:instrText>
            </w:r>
            <w:r w:rsidR="00545EA4">
              <w:rPr>
                <w:webHidden/>
              </w:rPr>
            </w:r>
            <w:r w:rsidR="00545EA4">
              <w:rPr>
                <w:webHidden/>
              </w:rPr>
              <w:fldChar w:fldCharType="separate"/>
            </w:r>
            <w:r w:rsidR="00545EA4">
              <w:rPr>
                <w:webHidden/>
              </w:rPr>
              <w:t>176</w:t>
            </w:r>
            <w:r w:rsidR="00545EA4">
              <w:rPr>
                <w:webHidden/>
              </w:rPr>
              <w:fldChar w:fldCharType="end"/>
            </w:r>
          </w:hyperlink>
        </w:p>
        <w:p w14:paraId="778ACE3B" w14:textId="77777777" w:rsidR="00545EA4" w:rsidRDefault="00BE10C7">
          <w:pPr>
            <w:pStyle w:val="TDC2"/>
            <w:rPr>
              <w:rFonts w:asciiTheme="minorHAnsi" w:eastAsiaTheme="minorEastAsia" w:hAnsiTheme="minorHAnsi"/>
              <w:noProof/>
              <w:color w:val="auto"/>
              <w:spacing w:val="0"/>
              <w:sz w:val="22"/>
              <w:lang w:eastAsia="es-DO"/>
            </w:rPr>
          </w:pPr>
          <w:hyperlink w:anchor="_Toc186924385" w:history="1">
            <w:r w:rsidR="00545EA4" w:rsidRPr="00D4408E">
              <w:rPr>
                <w:rStyle w:val="Hipervnculo"/>
                <w:rFonts w:cs="Times New Roman"/>
                <w:b/>
                <w:noProof/>
              </w:rPr>
              <w:t>a.</w:t>
            </w:r>
            <w:r w:rsidR="00545EA4">
              <w:rPr>
                <w:rFonts w:asciiTheme="minorHAnsi" w:eastAsiaTheme="minorEastAsia" w:hAnsiTheme="minorHAnsi"/>
                <w:noProof/>
                <w:color w:val="auto"/>
                <w:spacing w:val="0"/>
                <w:sz w:val="22"/>
                <w:lang w:eastAsia="es-DO"/>
              </w:rPr>
              <w:tab/>
            </w:r>
            <w:r w:rsidR="00545EA4" w:rsidRPr="00D4408E">
              <w:rPr>
                <w:rStyle w:val="Hipervnculo"/>
                <w:rFonts w:cs="Times New Roman"/>
                <w:b/>
                <w:noProof/>
              </w:rPr>
              <w:t>Género</w:t>
            </w:r>
            <w:r w:rsidR="00545EA4">
              <w:rPr>
                <w:noProof/>
                <w:webHidden/>
              </w:rPr>
              <w:tab/>
            </w:r>
            <w:r w:rsidR="00545EA4">
              <w:rPr>
                <w:noProof/>
                <w:webHidden/>
              </w:rPr>
              <w:fldChar w:fldCharType="begin"/>
            </w:r>
            <w:r w:rsidR="00545EA4">
              <w:rPr>
                <w:noProof/>
                <w:webHidden/>
              </w:rPr>
              <w:instrText xml:space="preserve"> PAGEREF _Toc186924385 \h </w:instrText>
            </w:r>
            <w:r w:rsidR="00545EA4">
              <w:rPr>
                <w:noProof/>
                <w:webHidden/>
              </w:rPr>
            </w:r>
            <w:r w:rsidR="00545EA4">
              <w:rPr>
                <w:noProof/>
                <w:webHidden/>
              </w:rPr>
              <w:fldChar w:fldCharType="separate"/>
            </w:r>
            <w:r w:rsidR="00545EA4">
              <w:rPr>
                <w:noProof/>
                <w:webHidden/>
              </w:rPr>
              <w:t>176</w:t>
            </w:r>
            <w:r w:rsidR="00545EA4">
              <w:rPr>
                <w:noProof/>
                <w:webHidden/>
              </w:rPr>
              <w:fldChar w:fldCharType="end"/>
            </w:r>
          </w:hyperlink>
        </w:p>
        <w:p w14:paraId="231692AA" w14:textId="77777777" w:rsidR="00545EA4" w:rsidRDefault="00BE10C7">
          <w:pPr>
            <w:pStyle w:val="TDC2"/>
            <w:rPr>
              <w:rFonts w:asciiTheme="minorHAnsi" w:eastAsiaTheme="minorEastAsia" w:hAnsiTheme="minorHAnsi"/>
              <w:noProof/>
              <w:color w:val="auto"/>
              <w:spacing w:val="0"/>
              <w:sz w:val="22"/>
              <w:lang w:eastAsia="es-DO"/>
            </w:rPr>
          </w:pPr>
          <w:hyperlink w:anchor="_Toc186924386" w:history="1">
            <w:r w:rsidR="00545EA4" w:rsidRPr="00D4408E">
              <w:rPr>
                <w:rStyle w:val="Hipervnculo"/>
                <w:rFonts w:cs="Times New Roman"/>
                <w:b/>
                <w:noProof/>
              </w:rPr>
              <w:t>b.</w:t>
            </w:r>
            <w:r w:rsidR="00545EA4">
              <w:rPr>
                <w:rFonts w:asciiTheme="minorHAnsi" w:eastAsiaTheme="minorEastAsia" w:hAnsiTheme="minorHAnsi"/>
                <w:noProof/>
                <w:color w:val="auto"/>
                <w:spacing w:val="0"/>
                <w:sz w:val="22"/>
                <w:lang w:eastAsia="es-DO"/>
              </w:rPr>
              <w:tab/>
            </w:r>
            <w:r w:rsidR="00545EA4" w:rsidRPr="00D4408E">
              <w:rPr>
                <w:rStyle w:val="Hipervnculo"/>
                <w:rFonts w:cs="Times New Roman"/>
                <w:b/>
                <w:noProof/>
              </w:rPr>
              <w:t>Sostenibilidad Ambiental</w:t>
            </w:r>
            <w:r w:rsidR="00545EA4">
              <w:rPr>
                <w:noProof/>
                <w:webHidden/>
              </w:rPr>
              <w:tab/>
            </w:r>
            <w:r w:rsidR="00545EA4">
              <w:rPr>
                <w:noProof/>
                <w:webHidden/>
              </w:rPr>
              <w:fldChar w:fldCharType="begin"/>
            </w:r>
            <w:r w:rsidR="00545EA4">
              <w:rPr>
                <w:noProof/>
                <w:webHidden/>
              </w:rPr>
              <w:instrText xml:space="preserve"> PAGEREF _Toc186924386 \h </w:instrText>
            </w:r>
            <w:r w:rsidR="00545EA4">
              <w:rPr>
                <w:noProof/>
                <w:webHidden/>
              </w:rPr>
            </w:r>
            <w:r w:rsidR="00545EA4">
              <w:rPr>
                <w:noProof/>
                <w:webHidden/>
              </w:rPr>
              <w:fldChar w:fldCharType="separate"/>
            </w:r>
            <w:r w:rsidR="00545EA4">
              <w:rPr>
                <w:noProof/>
                <w:webHidden/>
              </w:rPr>
              <w:t>176</w:t>
            </w:r>
            <w:r w:rsidR="00545EA4">
              <w:rPr>
                <w:noProof/>
                <w:webHidden/>
              </w:rPr>
              <w:fldChar w:fldCharType="end"/>
            </w:r>
          </w:hyperlink>
        </w:p>
        <w:p w14:paraId="34054685" w14:textId="77777777" w:rsidR="00545EA4" w:rsidRDefault="00BE10C7">
          <w:pPr>
            <w:pStyle w:val="TDC2"/>
            <w:rPr>
              <w:rFonts w:asciiTheme="minorHAnsi" w:eastAsiaTheme="minorEastAsia" w:hAnsiTheme="minorHAnsi"/>
              <w:noProof/>
              <w:color w:val="auto"/>
              <w:spacing w:val="0"/>
              <w:sz w:val="22"/>
              <w:lang w:eastAsia="es-DO"/>
            </w:rPr>
          </w:pPr>
          <w:hyperlink w:anchor="_Toc186924387" w:history="1">
            <w:r w:rsidR="00545EA4" w:rsidRPr="00D4408E">
              <w:rPr>
                <w:rStyle w:val="Hipervnculo"/>
                <w:rFonts w:cs="Times New Roman"/>
                <w:b/>
                <w:noProof/>
              </w:rPr>
              <w:t>c.</w:t>
            </w:r>
            <w:r w:rsidR="00545EA4">
              <w:rPr>
                <w:rFonts w:asciiTheme="minorHAnsi" w:eastAsiaTheme="minorEastAsia" w:hAnsiTheme="minorHAnsi"/>
                <w:noProof/>
                <w:color w:val="auto"/>
                <w:spacing w:val="0"/>
                <w:sz w:val="22"/>
                <w:lang w:eastAsia="es-DO"/>
              </w:rPr>
              <w:tab/>
            </w:r>
            <w:r w:rsidR="00545EA4" w:rsidRPr="00D4408E">
              <w:rPr>
                <w:rStyle w:val="Hipervnculo"/>
                <w:rFonts w:cs="Times New Roman"/>
                <w:b/>
                <w:noProof/>
              </w:rPr>
              <w:t>Cohesión Territorial</w:t>
            </w:r>
            <w:r w:rsidR="00545EA4">
              <w:rPr>
                <w:noProof/>
                <w:webHidden/>
              </w:rPr>
              <w:tab/>
            </w:r>
            <w:r w:rsidR="00545EA4">
              <w:rPr>
                <w:noProof/>
                <w:webHidden/>
              </w:rPr>
              <w:fldChar w:fldCharType="begin"/>
            </w:r>
            <w:r w:rsidR="00545EA4">
              <w:rPr>
                <w:noProof/>
                <w:webHidden/>
              </w:rPr>
              <w:instrText xml:space="preserve"> PAGEREF _Toc186924387 \h </w:instrText>
            </w:r>
            <w:r w:rsidR="00545EA4">
              <w:rPr>
                <w:noProof/>
                <w:webHidden/>
              </w:rPr>
            </w:r>
            <w:r w:rsidR="00545EA4">
              <w:rPr>
                <w:noProof/>
                <w:webHidden/>
              </w:rPr>
              <w:fldChar w:fldCharType="separate"/>
            </w:r>
            <w:r w:rsidR="00545EA4">
              <w:rPr>
                <w:noProof/>
                <w:webHidden/>
              </w:rPr>
              <w:t>177</w:t>
            </w:r>
            <w:r w:rsidR="00545EA4">
              <w:rPr>
                <w:noProof/>
                <w:webHidden/>
              </w:rPr>
              <w:fldChar w:fldCharType="end"/>
            </w:r>
          </w:hyperlink>
        </w:p>
        <w:p w14:paraId="496F3016" w14:textId="77777777" w:rsidR="00545EA4" w:rsidRDefault="00BE10C7">
          <w:pPr>
            <w:pStyle w:val="TDC2"/>
            <w:rPr>
              <w:rFonts w:asciiTheme="minorHAnsi" w:eastAsiaTheme="minorEastAsia" w:hAnsiTheme="minorHAnsi"/>
              <w:noProof/>
              <w:color w:val="auto"/>
              <w:spacing w:val="0"/>
              <w:sz w:val="22"/>
              <w:lang w:eastAsia="es-DO"/>
            </w:rPr>
          </w:pPr>
          <w:hyperlink w:anchor="_Toc186924388" w:history="1">
            <w:r w:rsidR="00545EA4" w:rsidRPr="00D4408E">
              <w:rPr>
                <w:rStyle w:val="Hipervnculo"/>
                <w:rFonts w:cs="Times New Roman"/>
                <w:b/>
                <w:noProof/>
              </w:rPr>
              <w:t>d.</w:t>
            </w:r>
            <w:r w:rsidR="00545EA4">
              <w:rPr>
                <w:rFonts w:asciiTheme="minorHAnsi" w:eastAsiaTheme="minorEastAsia" w:hAnsiTheme="minorHAnsi"/>
                <w:noProof/>
                <w:color w:val="auto"/>
                <w:spacing w:val="0"/>
                <w:sz w:val="22"/>
                <w:lang w:eastAsia="es-DO"/>
              </w:rPr>
              <w:tab/>
            </w:r>
            <w:r w:rsidR="00545EA4" w:rsidRPr="00D4408E">
              <w:rPr>
                <w:rStyle w:val="Hipervnculo"/>
                <w:rFonts w:cs="Times New Roman"/>
                <w:b/>
                <w:noProof/>
              </w:rPr>
              <w:t>Participación en Políticas Públicas</w:t>
            </w:r>
            <w:r w:rsidR="00545EA4">
              <w:rPr>
                <w:noProof/>
                <w:webHidden/>
              </w:rPr>
              <w:tab/>
            </w:r>
            <w:r w:rsidR="00545EA4">
              <w:rPr>
                <w:noProof/>
                <w:webHidden/>
              </w:rPr>
              <w:fldChar w:fldCharType="begin"/>
            </w:r>
            <w:r w:rsidR="00545EA4">
              <w:rPr>
                <w:noProof/>
                <w:webHidden/>
              </w:rPr>
              <w:instrText xml:space="preserve"> PAGEREF _Toc186924388 \h </w:instrText>
            </w:r>
            <w:r w:rsidR="00545EA4">
              <w:rPr>
                <w:noProof/>
                <w:webHidden/>
              </w:rPr>
            </w:r>
            <w:r w:rsidR="00545EA4">
              <w:rPr>
                <w:noProof/>
                <w:webHidden/>
              </w:rPr>
              <w:fldChar w:fldCharType="separate"/>
            </w:r>
            <w:r w:rsidR="00545EA4">
              <w:rPr>
                <w:noProof/>
                <w:webHidden/>
              </w:rPr>
              <w:t>178</w:t>
            </w:r>
            <w:r w:rsidR="00545EA4">
              <w:rPr>
                <w:noProof/>
                <w:webHidden/>
              </w:rPr>
              <w:fldChar w:fldCharType="end"/>
            </w:r>
          </w:hyperlink>
        </w:p>
        <w:p w14:paraId="499498AE" w14:textId="77777777" w:rsidR="00545EA4" w:rsidRDefault="00BE10C7">
          <w:pPr>
            <w:pStyle w:val="TDC2"/>
            <w:rPr>
              <w:rFonts w:asciiTheme="minorHAnsi" w:eastAsiaTheme="minorEastAsia" w:hAnsiTheme="minorHAnsi"/>
              <w:noProof/>
              <w:color w:val="auto"/>
              <w:spacing w:val="0"/>
              <w:sz w:val="22"/>
              <w:lang w:eastAsia="es-DO"/>
            </w:rPr>
          </w:pPr>
          <w:hyperlink w:anchor="_Toc186924389" w:history="1">
            <w:r w:rsidR="00545EA4" w:rsidRPr="00D4408E">
              <w:rPr>
                <w:rStyle w:val="Hipervnculo"/>
                <w:rFonts w:cs="Times New Roman"/>
                <w:b/>
                <w:noProof/>
              </w:rPr>
              <w:t>e.</w:t>
            </w:r>
            <w:r w:rsidR="00545EA4">
              <w:rPr>
                <w:rFonts w:asciiTheme="minorHAnsi" w:eastAsiaTheme="minorEastAsia" w:hAnsiTheme="minorHAnsi"/>
                <w:noProof/>
                <w:color w:val="auto"/>
                <w:spacing w:val="0"/>
                <w:sz w:val="22"/>
                <w:lang w:eastAsia="es-DO"/>
              </w:rPr>
              <w:tab/>
            </w:r>
            <w:r w:rsidR="00545EA4" w:rsidRPr="00D4408E">
              <w:rPr>
                <w:rStyle w:val="Hipervnculo"/>
                <w:rFonts w:cs="Times New Roman"/>
                <w:b/>
                <w:noProof/>
              </w:rPr>
              <w:t>Medidas de Políticas Sectoriales Enero-Diciembre 2024</w:t>
            </w:r>
            <w:r w:rsidR="00545EA4">
              <w:rPr>
                <w:noProof/>
                <w:webHidden/>
              </w:rPr>
              <w:tab/>
            </w:r>
            <w:r w:rsidR="00545EA4">
              <w:rPr>
                <w:noProof/>
                <w:webHidden/>
              </w:rPr>
              <w:fldChar w:fldCharType="begin"/>
            </w:r>
            <w:r w:rsidR="00545EA4">
              <w:rPr>
                <w:noProof/>
                <w:webHidden/>
              </w:rPr>
              <w:instrText xml:space="preserve"> PAGEREF _Toc186924389 \h </w:instrText>
            </w:r>
            <w:r w:rsidR="00545EA4">
              <w:rPr>
                <w:noProof/>
                <w:webHidden/>
              </w:rPr>
            </w:r>
            <w:r w:rsidR="00545EA4">
              <w:rPr>
                <w:noProof/>
                <w:webHidden/>
              </w:rPr>
              <w:fldChar w:fldCharType="separate"/>
            </w:r>
            <w:r w:rsidR="00545EA4">
              <w:rPr>
                <w:noProof/>
                <w:webHidden/>
              </w:rPr>
              <w:t>180</w:t>
            </w:r>
            <w:r w:rsidR="00545EA4">
              <w:rPr>
                <w:noProof/>
                <w:webHidden/>
              </w:rPr>
              <w:fldChar w:fldCharType="end"/>
            </w:r>
          </w:hyperlink>
        </w:p>
        <w:p w14:paraId="64B21922" w14:textId="77777777" w:rsidR="00545EA4" w:rsidRDefault="00BE10C7">
          <w:pPr>
            <w:pStyle w:val="TDC1"/>
            <w:tabs>
              <w:tab w:val="left" w:pos="1000"/>
            </w:tabs>
            <w:rPr>
              <w:rFonts w:asciiTheme="minorHAnsi" w:eastAsiaTheme="minorEastAsia" w:hAnsiTheme="minorHAnsi" w:cstheme="minorBidi"/>
              <w:b w:val="0"/>
              <w:bCs w:val="0"/>
              <w:color w:val="auto"/>
              <w:spacing w:val="0"/>
              <w:position w:val="0"/>
              <w:lang w:eastAsia="es-DO"/>
            </w:rPr>
          </w:pPr>
          <w:hyperlink w:anchor="_Toc186924390" w:history="1">
            <w:r w:rsidR="00545EA4" w:rsidRPr="00D4408E">
              <w:rPr>
                <w:rStyle w:val="Hipervnculo"/>
              </w:rPr>
              <w:t>VIII.</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PROYECCIONES AL PRÓXIMO AÑO</w:t>
            </w:r>
            <w:r w:rsidR="00545EA4">
              <w:rPr>
                <w:webHidden/>
              </w:rPr>
              <w:tab/>
            </w:r>
            <w:r w:rsidR="00545EA4">
              <w:rPr>
                <w:webHidden/>
              </w:rPr>
              <w:fldChar w:fldCharType="begin"/>
            </w:r>
            <w:r w:rsidR="00545EA4">
              <w:rPr>
                <w:webHidden/>
              </w:rPr>
              <w:instrText xml:space="preserve"> PAGEREF _Toc186924390 \h </w:instrText>
            </w:r>
            <w:r w:rsidR="00545EA4">
              <w:rPr>
                <w:webHidden/>
              </w:rPr>
            </w:r>
            <w:r w:rsidR="00545EA4">
              <w:rPr>
                <w:webHidden/>
              </w:rPr>
              <w:fldChar w:fldCharType="separate"/>
            </w:r>
            <w:r w:rsidR="00545EA4">
              <w:rPr>
                <w:webHidden/>
              </w:rPr>
              <w:t>184</w:t>
            </w:r>
            <w:r w:rsidR="00545EA4">
              <w:rPr>
                <w:webHidden/>
              </w:rPr>
              <w:fldChar w:fldCharType="end"/>
            </w:r>
          </w:hyperlink>
        </w:p>
        <w:p w14:paraId="1F7B29F6"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91" w:history="1">
            <w:r w:rsidR="00545EA4" w:rsidRPr="00D4408E">
              <w:rPr>
                <w:rStyle w:val="Hipervnculo"/>
              </w:rPr>
              <w:t>a.</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Construcción Edificios de Parqueos públicos contemplados en el Plan Parqueat-RD a nivel nacional; entre otras.</w:t>
            </w:r>
            <w:r w:rsidR="00545EA4">
              <w:rPr>
                <w:webHidden/>
              </w:rPr>
              <w:tab/>
            </w:r>
            <w:r w:rsidR="00545EA4">
              <w:rPr>
                <w:webHidden/>
              </w:rPr>
              <w:fldChar w:fldCharType="begin"/>
            </w:r>
            <w:r w:rsidR="00545EA4">
              <w:rPr>
                <w:webHidden/>
              </w:rPr>
              <w:instrText xml:space="preserve"> PAGEREF _Toc186924391 \h </w:instrText>
            </w:r>
            <w:r w:rsidR="00545EA4">
              <w:rPr>
                <w:webHidden/>
              </w:rPr>
            </w:r>
            <w:r w:rsidR="00545EA4">
              <w:rPr>
                <w:webHidden/>
              </w:rPr>
              <w:fldChar w:fldCharType="separate"/>
            </w:r>
            <w:r w:rsidR="00545EA4">
              <w:rPr>
                <w:webHidden/>
              </w:rPr>
              <w:t>187</w:t>
            </w:r>
            <w:r w:rsidR="00545EA4">
              <w:rPr>
                <w:webHidden/>
              </w:rPr>
              <w:fldChar w:fldCharType="end"/>
            </w:r>
          </w:hyperlink>
        </w:p>
        <w:p w14:paraId="53057877"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92" w:history="1">
            <w:r w:rsidR="00545EA4" w:rsidRPr="00D4408E">
              <w:rPr>
                <w:rStyle w:val="Hipervnculo"/>
                <w:rFonts w:eastAsia="Times New Roman"/>
                <w:lang w:val="es-ES" w:eastAsia="es-ES" w:bidi="es-ES"/>
              </w:rPr>
              <w:t>b.</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Fonts w:eastAsia="Times New Roman"/>
                <w:lang w:val="es-ES" w:eastAsia="es-ES" w:bidi="es-ES"/>
              </w:rPr>
              <w:t>Terminación Construcción y Reparación de Dos (2) Niveles al Edificio que aloja el Instituto Dominicano de Cardiología (IDC), ubicado en el Sector Los Ríos, Santo Domingo;</w:t>
            </w:r>
            <w:r w:rsidR="00545EA4">
              <w:rPr>
                <w:webHidden/>
              </w:rPr>
              <w:tab/>
            </w:r>
            <w:r w:rsidR="00545EA4">
              <w:rPr>
                <w:webHidden/>
              </w:rPr>
              <w:fldChar w:fldCharType="begin"/>
            </w:r>
            <w:r w:rsidR="00545EA4">
              <w:rPr>
                <w:webHidden/>
              </w:rPr>
              <w:instrText xml:space="preserve"> PAGEREF _Toc186924392 \h </w:instrText>
            </w:r>
            <w:r w:rsidR="00545EA4">
              <w:rPr>
                <w:webHidden/>
              </w:rPr>
            </w:r>
            <w:r w:rsidR="00545EA4">
              <w:rPr>
                <w:webHidden/>
              </w:rPr>
              <w:fldChar w:fldCharType="separate"/>
            </w:r>
            <w:r w:rsidR="00545EA4">
              <w:rPr>
                <w:webHidden/>
              </w:rPr>
              <w:t>187</w:t>
            </w:r>
            <w:r w:rsidR="00545EA4">
              <w:rPr>
                <w:webHidden/>
              </w:rPr>
              <w:fldChar w:fldCharType="end"/>
            </w:r>
          </w:hyperlink>
        </w:p>
        <w:p w14:paraId="13EB4C9E"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93" w:history="1">
            <w:r w:rsidR="00545EA4" w:rsidRPr="00D4408E">
              <w:rPr>
                <w:rStyle w:val="Hipervnculo"/>
                <w:rFonts w:eastAsia="Times New Roman"/>
                <w:lang w:val="es-ES" w:eastAsia="es-ES" w:bidi="es-ES"/>
              </w:rPr>
              <w:t>c.</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Fonts w:eastAsia="Times New Roman"/>
                <w:lang w:val="es-ES" w:eastAsia="es-ES" w:bidi="es-ES"/>
              </w:rPr>
              <w:t>Terminación Construcción Palacio de Justicia ubicado en el Municipio Santo Domingo Este, Provincia Santo Domingo;</w:t>
            </w:r>
            <w:r w:rsidR="00545EA4">
              <w:rPr>
                <w:webHidden/>
              </w:rPr>
              <w:tab/>
            </w:r>
            <w:r w:rsidR="00545EA4">
              <w:rPr>
                <w:webHidden/>
              </w:rPr>
              <w:fldChar w:fldCharType="begin"/>
            </w:r>
            <w:r w:rsidR="00545EA4">
              <w:rPr>
                <w:webHidden/>
              </w:rPr>
              <w:instrText xml:space="preserve"> PAGEREF _Toc186924393 \h </w:instrText>
            </w:r>
            <w:r w:rsidR="00545EA4">
              <w:rPr>
                <w:webHidden/>
              </w:rPr>
            </w:r>
            <w:r w:rsidR="00545EA4">
              <w:rPr>
                <w:webHidden/>
              </w:rPr>
              <w:fldChar w:fldCharType="separate"/>
            </w:r>
            <w:r w:rsidR="00545EA4">
              <w:rPr>
                <w:webHidden/>
              </w:rPr>
              <w:t>187</w:t>
            </w:r>
            <w:r w:rsidR="00545EA4">
              <w:rPr>
                <w:webHidden/>
              </w:rPr>
              <w:fldChar w:fldCharType="end"/>
            </w:r>
          </w:hyperlink>
        </w:p>
        <w:p w14:paraId="44E705A4"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94" w:history="1">
            <w:r w:rsidR="00545EA4" w:rsidRPr="00D4408E">
              <w:rPr>
                <w:rStyle w:val="Hipervnculo"/>
                <w:rFonts w:eastAsia="Times New Roman"/>
                <w:lang w:val="es-ES" w:eastAsia="es-ES" w:bidi="es-ES"/>
              </w:rPr>
              <w:t>d.</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Fonts w:eastAsia="Times New Roman"/>
                <w:lang w:val="es-ES" w:eastAsia="es-ES" w:bidi="es-ES"/>
              </w:rPr>
              <w:t>Construcción Matadero de Barahona, Provincia Barahona;</w:t>
            </w:r>
            <w:r w:rsidR="00545EA4">
              <w:rPr>
                <w:webHidden/>
              </w:rPr>
              <w:tab/>
            </w:r>
            <w:r w:rsidR="00545EA4">
              <w:rPr>
                <w:webHidden/>
              </w:rPr>
              <w:fldChar w:fldCharType="begin"/>
            </w:r>
            <w:r w:rsidR="00545EA4">
              <w:rPr>
                <w:webHidden/>
              </w:rPr>
              <w:instrText xml:space="preserve"> PAGEREF _Toc186924394 \h </w:instrText>
            </w:r>
            <w:r w:rsidR="00545EA4">
              <w:rPr>
                <w:webHidden/>
              </w:rPr>
            </w:r>
            <w:r w:rsidR="00545EA4">
              <w:rPr>
                <w:webHidden/>
              </w:rPr>
              <w:fldChar w:fldCharType="separate"/>
            </w:r>
            <w:r w:rsidR="00545EA4">
              <w:rPr>
                <w:webHidden/>
              </w:rPr>
              <w:t>187</w:t>
            </w:r>
            <w:r w:rsidR="00545EA4">
              <w:rPr>
                <w:webHidden/>
              </w:rPr>
              <w:fldChar w:fldCharType="end"/>
            </w:r>
          </w:hyperlink>
        </w:p>
        <w:p w14:paraId="6DD03FEA"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95" w:history="1">
            <w:r w:rsidR="00545EA4" w:rsidRPr="00D4408E">
              <w:rPr>
                <w:rStyle w:val="Hipervnculo"/>
                <w:rFonts w:eastAsia="Times New Roman"/>
                <w:lang w:val="es-ES" w:eastAsia="es-ES" w:bidi="es-ES"/>
              </w:rPr>
              <w:t>e.</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Fonts w:eastAsia="Times New Roman"/>
                <w:lang w:val="es-ES" w:eastAsia="es-ES" w:bidi="es-ES"/>
              </w:rPr>
              <w:t>Remodelación Oficinas del Tribunal Constitucional en Santo Domingo Norte, entre otras.</w:t>
            </w:r>
            <w:r w:rsidR="00545EA4">
              <w:rPr>
                <w:webHidden/>
              </w:rPr>
              <w:tab/>
            </w:r>
            <w:r w:rsidR="00545EA4">
              <w:rPr>
                <w:webHidden/>
              </w:rPr>
              <w:fldChar w:fldCharType="begin"/>
            </w:r>
            <w:r w:rsidR="00545EA4">
              <w:rPr>
                <w:webHidden/>
              </w:rPr>
              <w:instrText xml:space="preserve"> PAGEREF _Toc186924395 \h </w:instrText>
            </w:r>
            <w:r w:rsidR="00545EA4">
              <w:rPr>
                <w:webHidden/>
              </w:rPr>
            </w:r>
            <w:r w:rsidR="00545EA4">
              <w:rPr>
                <w:webHidden/>
              </w:rPr>
              <w:fldChar w:fldCharType="separate"/>
            </w:r>
            <w:r w:rsidR="00545EA4">
              <w:rPr>
                <w:webHidden/>
              </w:rPr>
              <w:t>187</w:t>
            </w:r>
            <w:r w:rsidR="00545EA4">
              <w:rPr>
                <w:webHidden/>
              </w:rPr>
              <w:fldChar w:fldCharType="end"/>
            </w:r>
          </w:hyperlink>
        </w:p>
        <w:p w14:paraId="6930DDF4"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96" w:history="1">
            <w:r w:rsidR="00545EA4" w:rsidRPr="00D4408E">
              <w:rPr>
                <w:rStyle w:val="Hipervnculo"/>
              </w:rPr>
              <w:t>IX.</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ANEXOS</w:t>
            </w:r>
            <w:r w:rsidR="00545EA4">
              <w:rPr>
                <w:webHidden/>
              </w:rPr>
              <w:tab/>
            </w:r>
            <w:r w:rsidR="00545EA4">
              <w:rPr>
                <w:webHidden/>
              </w:rPr>
              <w:fldChar w:fldCharType="begin"/>
            </w:r>
            <w:r w:rsidR="00545EA4">
              <w:rPr>
                <w:webHidden/>
              </w:rPr>
              <w:instrText xml:space="preserve"> PAGEREF _Toc186924396 \h </w:instrText>
            </w:r>
            <w:r w:rsidR="00545EA4">
              <w:rPr>
                <w:webHidden/>
              </w:rPr>
            </w:r>
            <w:r w:rsidR="00545EA4">
              <w:rPr>
                <w:webHidden/>
              </w:rPr>
              <w:fldChar w:fldCharType="separate"/>
            </w:r>
            <w:r w:rsidR="00545EA4">
              <w:rPr>
                <w:webHidden/>
              </w:rPr>
              <w:t>188</w:t>
            </w:r>
            <w:r w:rsidR="00545EA4">
              <w:rPr>
                <w:webHidden/>
              </w:rPr>
              <w:fldChar w:fldCharType="end"/>
            </w:r>
          </w:hyperlink>
        </w:p>
        <w:p w14:paraId="12BFD3DA"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97" w:history="1">
            <w:r w:rsidR="00545EA4" w:rsidRPr="00D4408E">
              <w:rPr>
                <w:rStyle w:val="Hipervnculo"/>
              </w:rPr>
              <w:t>a)</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Matriz de Logros Relevantes MOPC - Datos Cuantitativos (Enero - Diciembre 2024)</w:t>
            </w:r>
            <w:r w:rsidR="00545EA4">
              <w:rPr>
                <w:webHidden/>
              </w:rPr>
              <w:tab/>
            </w:r>
            <w:r w:rsidR="00545EA4">
              <w:rPr>
                <w:webHidden/>
              </w:rPr>
              <w:fldChar w:fldCharType="begin"/>
            </w:r>
            <w:r w:rsidR="00545EA4">
              <w:rPr>
                <w:webHidden/>
              </w:rPr>
              <w:instrText xml:space="preserve"> PAGEREF _Toc186924397 \h </w:instrText>
            </w:r>
            <w:r w:rsidR="00545EA4">
              <w:rPr>
                <w:webHidden/>
              </w:rPr>
            </w:r>
            <w:r w:rsidR="00545EA4">
              <w:rPr>
                <w:webHidden/>
              </w:rPr>
              <w:fldChar w:fldCharType="separate"/>
            </w:r>
            <w:r w:rsidR="00545EA4">
              <w:rPr>
                <w:webHidden/>
              </w:rPr>
              <w:t>189</w:t>
            </w:r>
            <w:r w:rsidR="00545EA4">
              <w:rPr>
                <w:webHidden/>
              </w:rPr>
              <w:fldChar w:fldCharType="end"/>
            </w:r>
          </w:hyperlink>
        </w:p>
        <w:p w14:paraId="642F0F7C"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98" w:history="1">
            <w:r w:rsidR="00545EA4" w:rsidRPr="00D4408E">
              <w:rPr>
                <w:rStyle w:val="Hipervnculo"/>
              </w:rPr>
              <w:t>b)</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Matriz de principales indicadores de gestión por procesos</w:t>
            </w:r>
            <w:r w:rsidR="00545EA4">
              <w:rPr>
                <w:webHidden/>
              </w:rPr>
              <w:tab/>
            </w:r>
            <w:r w:rsidR="00545EA4">
              <w:rPr>
                <w:webHidden/>
              </w:rPr>
              <w:fldChar w:fldCharType="begin"/>
            </w:r>
            <w:r w:rsidR="00545EA4">
              <w:rPr>
                <w:webHidden/>
              </w:rPr>
              <w:instrText xml:space="preserve"> PAGEREF _Toc186924398 \h </w:instrText>
            </w:r>
            <w:r w:rsidR="00545EA4">
              <w:rPr>
                <w:webHidden/>
              </w:rPr>
            </w:r>
            <w:r w:rsidR="00545EA4">
              <w:rPr>
                <w:webHidden/>
              </w:rPr>
              <w:fldChar w:fldCharType="separate"/>
            </w:r>
            <w:r w:rsidR="00545EA4">
              <w:rPr>
                <w:webHidden/>
              </w:rPr>
              <w:t>190</w:t>
            </w:r>
            <w:r w:rsidR="00545EA4">
              <w:rPr>
                <w:webHidden/>
              </w:rPr>
              <w:fldChar w:fldCharType="end"/>
            </w:r>
          </w:hyperlink>
        </w:p>
        <w:p w14:paraId="7C71F836"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399" w:history="1">
            <w:r w:rsidR="00545EA4" w:rsidRPr="00D4408E">
              <w:rPr>
                <w:rStyle w:val="Hipervnculo"/>
              </w:rPr>
              <w:t>c)</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Matriz índice de gestión presupuestaria anual (IGP)</w:t>
            </w:r>
            <w:r w:rsidR="00545EA4">
              <w:rPr>
                <w:webHidden/>
              </w:rPr>
              <w:tab/>
            </w:r>
            <w:r w:rsidR="00545EA4">
              <w:rPr>
                <w:webHidden/>
              </w:rPr>
              <w:fldChar w:fldCharType="begin"/>
            </w:r>
            <w:r w:rsidR="00545EA4">
              <w:rPr>
                <w:webHidden/>
              </w:rPr>
              <w:instrText xml:space="preserve"> PAGEREF _Toc186924399 \h </w:instrText>
            </w:r>
            <w:r w:rsidR="00545EA4">
              <w:rPr>
                <w:webHidden/>
              </w:rPr>
            </w:r>
            <w:r w:rsidR="00545EA4">
              <w:rPr>
                <w:webHidden/>
              </w:rPr>
              <w:fldChar w:fldCharType="separate"/>
            </w:r>
            <w:r w:rsidR="00545EA4">
              <w:rPr>
                <w:webHidden/>
              </w:rPr>
              <w:t>191</w:t>
            </w:r>
            <w:r w:rsidR="00545EA4">
              <w:rPr>
                <w:webHidden/>
              </w:rPr>
              <w:fldChar w:fldCharType="end"/>
            </w:r>
          </w:hyperlink>
        </w:p>
        <w:p w14:paraId="3B4C2C99" w14:textId="77777777" w:rsidR="00545EA4" w:rsidRDefault="00BE10C7">
          <w:pPr>
            <w:pStyle w:val="TDC1"/>
            <w:rPr>
              <w:rFonts w:asciiTheme="minorHAnsi" w:eastAsiaTheme="minorEastAsia" w:hAnsiTheme="minorHAnsi" w:cstheme="minorBidi"/>
              <w:b w:val="0"/>
              <w:bCs w:val="0"/>
              <w:color w:val="auto"/>
              <w:spacing w:val="0"/>
              <w:position w:val="0"/>
              <w:lang w:eastAsia="es-DO"/>
            </w:rPr>
          </w:pPr>
          <w:hyperlink w:anchor="_Toc186924400" w:history="1">
            <w:r w:rsidR="00545EA4" w:rsidRPr="00D4408E">
              <w:rPr>
                <w:rStyle w:val="Hipervnculo"/>
              </w:rPr>
              <w:t>d)</w:t>
            </w:r>
            <w:r w:rsidR="00545EA4">
              <w:rPr>
                <w:rFonts w:asciiTheme="minorHAnsi" w:eastAsiaTheme="minorEastAsia" w:hAnsiTheme="minorHAnsi" w:cstheme="minorBidi"/>
                <w:b w:val="0"/>
                <w:bCs w:val="0"/>
                <w:color w:val="auto"/>
                <w:spacing w:val="0"/>
                <w:position w:val="0"/>
                <w:lang w:eastAsia="es-DO"/>
              </w:rPr>
              <w:tab/>
            </w:r>
            <w:r w:rsidR="00545EA4" w:rsidRPr="00D4408E">
              <w:rPr>
                <w:rStyle w:val="Hipervnculo"/>
              </w:rPr>
              <w:t>Plan Anual de Compras MOPC Año 2024</w:t>
            </w:r>
            <w:r w:rsidR="00545EA4">
              <w:rPr>
                <w:webHidden/>
              </w:rPr>
              <w:tab/>
            </w:r>
            <w:r w:rsidR="00545EA4">
              <w:rPr>
                <w:webHidden/>
              </w:rPr>
              <w:fldChar w:fldCharType="begin"/>
            </w:r>
            <w:r w:rsidR="00545EA4">
              <w:rPr>
                <w:webHidden/>
              </w:rPr>
              <w:instrText xml:space="preserve"> PAGEREF _Toc186924400 \h </w:instrText>
            </w:r>
            <w:r w:rsidR="00545EA4">
              <w:rPr>
                <w:webHidden/>
              </w:rPr>
            </w:r>
            <w:r w:rsidR="00545EA4">
              <w:rPr>
                <w:webHidden/>
              </w:rPr>
              <w:fldChar w:fldCharType="separate"/>
            </w:r>
            <w:r w:rsidR="00545EA4">
              <w:rPr>
                <w:webHidden/>
              </w:rPr>
              <w:t>192</w:t>
            </w:r>
            <w:r w:rsidR="00545EA4">
              <w:rPr>
                <w:webHidden/>
              </w:rPr>
              <w:fldChar w:fldCharType="end"/>
            </w:r>
          </w:hyperlink>
        </w:p>
        <w:p w14:paraId="72C35B1F" w14:textId="1EDA0647" w:rsidR="00543B73" w:rsidRPr="00AA7431" w:rsidRDefault="00543B73" w:rsidP="00A903E4">
          <w:pPr>
            <w:pStyle w:val="TDC1"/>
          </w:pPr>
          <w:r w:rsidRPr="00AA7431">
            <w:rPr>
              <w:szCs w:val="24"/>
            </w:rPr>
            <w:fldChar w:fldCharType="end"/>
          </w:r>
        </w:p>
      </w:sdtContent>
    </w:sdt>
    <w:p w14:paraId="67DF0643" w14:textId="77777777" w:rsidR="00E64631" w:rsidRDefault="00E64631">
      <w:pPr>
        <w:spacing w:after="160" w:line="259" w:lineRule="auto"/>
        <w:jc w:val="left"/>
        <w:rPr>
          <w:rFonts w:eastAsiaTheme="majorEastAsia" w:cs="Times New Roman"/>
          <w:b/>
          <w:bCs/>
          <w:spacing w:val="30"/>
          <w:kern w:val="38"/>
          <w:sz w:val="28"/>
          <w:szCs w:val="32"/>
        </w:rPr>
      </w:pPr>
      <w:r>
        <w:rPr>
          <w:rFonts w:cs="Times New Roman"/>
          <w:b/>
          <w:bCs/>
        </w:rPr>
        <w:br w:type="page"/>
      </w:r>
    </w:p>
    <w:p w14:paraId="02DE7C78" w14:textId="70578039" w:rsidR="00C143E8" w:rsidRPr="00084D33" w:rsidRDefault="00C143E8" w:rsidP="00D131A1">
      <w:pPr>
        <w:pStyle w:val="Ttulo1"/>
        <w:numPr>
          <w:ilvl w:val="0"/>
          <w:numId w:val="11"/>
        </w:numPr>
        <w:spacing w:before="0"/>
        <w:ind w:left="426"/>
        <w:rPr>
          <w:rFonts w:cs="Times New Roman"/>
          <w:b/>
          <w:bCs/>
        </w:rPr>
      </w:pPr>
      <w:bookmarkStart w:id="14" w:name="_Toc186924341"/>
      <w:r w:rsidRPr="00084D33">
        <w:rPr>
          <w:rFonts w:cs="Times New Roman"/>
          <w:b/>
          <w:bCs/>
        </w:rPr>
        <w:lastRenderedPageBreak/>
        <w:t>RESUMEN EJECUTIVO</w:t>
      </w:r>
      <w:bookmarkEnd w:id="14"/>
    </w:p>
    <w:p w14:paraId="2C59C0B1" w14:textId="77777777" w:rsidR="00C143E8" w:rsidRPr="00084D33" w:rsidRDefault="00C143E8" w:rsidP="00C143E8">
      <w:pPr>
        <w:rPr>
          <w:rFonts w:eastAsia="Calibri" w:cs="Times New Roman"/>
          <w:sz w:val="18"/>
        </w:rPr>
      </w:pPr>
      <w:r w:rsidRPr="00084D33">
        <w:rPr>
          <w:rFonts w:eastAsia="Calibri" w:cs="Times New Roman"/>
          <w:noProof/>
          <w:sz w:val="18"/>
          <w:lang w:eastAsia="es-DO"/>
        </w:rPr>
        <mc:AlternateContent>
          <mc:Choice Requires="wps">
            <w:drawing>
              <wp:anchor distT="0" distB="0" distL="114300" distR="114300" simplePos="0" relativeHeight="251800576" behindDoc="0" locked="0" layoutInCell="1" allowOverlap="1" wp14:anchorId="2273D4D0" wp14:editId="50B7EA75">
                <wp:simplePos x="0" y="0"/>
                <wp:positionH relativeFrom="margin">
                  <wp:posOffset>2254250</wp:posOffset>
                </wp:positionH>
                <wp:positionV relativeFrom="paragraph">
                  <wp:posOffset>100625</wp:posOffset>
                </wp:positionV>
                <wp:extent cx="463550" cy="0"/>
                <wp:effectExtent l="22860" t="15875" r="18415" b="22225"/>
                <wp:wrapNone/>
                <wp:docPr id="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DCFC7" id="Straight Connector 21" o:spid="_x0000_s1026" style="position:absolute;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YdMwIAAE8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nxzGHTMCAABP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0A420984" w14:textId="6564C2E1" w:rsidR="00C143E8" w:rsidRPr="00084D33" w:rsidRDefault="006C0CCA" w:rsidP="00F07255">
      <w:pPr>
        <w:jc w:val="center"/>
      </w:pPr>
      <w:r w:rsidRPr="00084D33">
        <w:t>Memoria institucional 2024</w:t>
      </w:r>
    </w:p>
    <w:p w14:paraId="0C8EDF9E" w14:textId="2744EE8D" w:rsidR="00C143E8" w:rsidRPr="00084D33" w:rsidRDefault="00C143E8" w:rsidP="00C143E8">
      <w:pPr>
        <w:jc w:val="center"/>
        <w:rPr>
          <w:rFonts w:cs="Times New Roman"/>
          <w:b/>
          <w:szCs w:val="24"/>
          <w:highlight w:val="yellow"/>
        </w:rPr>
      </w:pPr>
    </w:p>
    <w:p w14:paraId="1A806B98" w14:textId="600598D6" w:rsidR="00B62952" w:rsidRPr="00084D33" w:rsidRDefault="00B62952" w:rsidP="00C143E8">
      <w:pPr>
        <w:jc w:val="center"/>
        <w:rPr>
          <w:rFonts w:cs="Times New Roman"/>
          <w:b/>
          <w:szCs w:val="24"/>
          <w:highlight w:val="yellow"/>
        </w:rPr>
      </w:pPr>
    </w:p>
    <w:p w14:paraId="59A45A75" w14:textId="77777777" w:rsidR="00BC577E" w:rsidRPr="00084D33" w:rsidRDefault="00BC577E" w:rsidP="00BC577E">
      <w:pPr>
        <w:widowControl w:val="0"/>
        <w:autoSpaceDE w:val="0"/>
        <w:autoSpaceDN w:val="0"/>
        <w:spacing w:after="120"/>
        <w:rPr>
          <w:rFonts w:eastAsia="Calibri" w:cs="Times New Roman"/>
          <w:szCs w:val="24"/>
          <w:lang w:val="es-ES" w:eastAsia="es-ES" w:bidi="es-ES"/>
        </w:rPr>
      </w:pPr>
      <w:r w:rsidRPr="00084D33">
        <w:rPr>
          <w:rFonts w:eastAsia="Calibri" w:cs="Times New Roman"/>
          <w:szCs w:val="24"/>
          <w:lang w:val="es-ES" w:eastAsia="es-ES" w:bidi="es-ES"/>
        </w:rPr>
        <w:t xml:space="preserve">El Ministerio de Obras Públicas y Comunicaciones (MOPC), es el ente rector del sector infraestructura de transporte y comunicaciones del país, en el marco de sus competencias exclusivas y compartidas  que le otorga la ley. En tal sentido, es responsable de emitir normas técnicas para la gestión del sistema de transporte, planificar, diseñar, construir, supervisar y mantener la infraestructura del sector; además de coadyuvar con otras instituciones en la generación de políticas para la seguridad del territorio nacional y en la eficacia del servicio del sistema  transporte multimodal que dispone la nación. </w:t>
      </w:r>
    </w:p>
    <w:p w14:paraId="112F2E6C" w14:textId="77777777" w:rsidR="00BC577E" w:rsidRPr="00084D33" w:rsidRDefault="00BC577E" w:rsidP="00BC577E">
      <w:pPr>
        <w:rPr>
          <w:rFonts w:eastAsia="Calibri" w:cs="Times New Roman"/>
          <w:szCs w:val="24"/>
        </w:rPr>
      </w:pPr>
    </w:p>
    <w:p w14:paraId="5A1498A2" w14:textId="3C9B7F92" w:rsidR="00BC577E" w:rsidRPr="00084D33" w:rsidRDefault="00BC577E" w:rsidP="00BC577E">
      <w:pPr>
        <w:widowControl w:val="0"/>
        <w:autoSpaceDE w:val="0"/>
        <w:autoSpaceDN w:val="0"/>
        <w:spacing w:after="120"/>
        <w:rPr>
          <w:rFonts w:eastAsia="Calibri" w:cs="Times New Roman"/>
          <w:szCs w:val="24"/>
          <w:lang w:val="es-ES" w:eastAsia="es-ES" w:bidi="es-ES"/>
        </w:rPr>
      </w:pPr>
      <w:r w:rsidRPr="00084D33">
        <w:rPr>
          <w:rFonts w:eastAsia="Calibri" w:cs="Times New Roman"/>
          <w:szCs w:val="24"/>
          <w:lang w:val="es-ES" w:eastAsia="es-ES" w:bidi="es-ES"/>
        </w:rPr>
        <w:t xml:space="preserve">A continuación, se presentan los principales logros alcanzados durante el periodo </w:t>
      </w:r>
      <w:r w:rsidR="000A17C8" w:rsidRPr="00084D33">
        <w:rPr>
          <w:rFonts w:eastAsia="Calibri" w:cs="Times New Roman"/>
          <w:szCs w:val="24"/>
          <w:lang w:val="es-ES" w:eastAsia="es-ES" w:bidi="es-ES"/>
        </w:rPr>
        <w:t>enero-diciembre</w:t>
      </w:r>
      <w:r w:rsidRPr="00084D33">
        <w:rPr>
          <w:rFonts w:eastAsia="Calibri" w:cs="Times New Roman"/>
          <w:szCs w:val="24"/>
          <w:lang w:val="es-ES" w:eastAsia="es-ES" w:bidi="es-ES"/>
        </w:rPr>
        <w:t xml:space="preserve"> del año 2024. Estos logros se articulan con la Estrategia Nacional de Desarrollo (END), con las prioridades del Plan Nacional Plurianual del Sector Público 2021-2024 (PNPSP), con el cumplimiento de las Promesas, Iniciativas y Políticas Públicas Gubernamentales, los Objetivos de Desarrollo Sostenible de la Agenda Mundial 2030; y con la visión de mejorar la calidad de vida de la población residente en el país. Dentro de los principales logros alcanzados en el período citado, se destacan:</w:t>
      </w:r>
    </w:p>
    <w:p w14:paraId="63306FEB" w14:textId="0EBC83E6" w:rsidR="00BC577E" w:rsidRPr="00084D33" w:rsidRDefault="00BC577E" w:rsidP="007202A9">
      <w:pPr>
        <w:numPr>
          <w:ilvl w:val="0"/>
          <w:numId w:val="26"/>
        </w:numPr>
        <w:spacing w:before="120" w:after="160"/>
        <w:ind w:left="270"/>
        <w:rPr>
          <w:rFonts w:eastAsia="Calibri" w:cs="Times New Roman"/>
        </w:rPr>
      </w:pPr>
      <w:r w:rsidRPr="00084D33">
        <w:rPr>
          <w:rFonts w:eastAsia="Calibri" w:cs="Times New Roman"/>
        </w:rPr>
        <w:t xml:space="preserve">La programación de los proyectos de inversión a ejecutarse durante el año 2024, los cuales fueron consignados en el anteproyecto de presupuesto del Ministerio de Obras Públicas y Comunicaciones (MOPC), y luego  en el presupuesto de la nación, con valor aprobado por el  congreso nacional RD$38,938,921,692.07 (Treinta y ocho mil novecientos treinta y ocho millones novecientos veintiún mil seiscientos </w:t>
      </w:r>
      <w:r w:rsidRPr="00084D33">
        <w:rPr>
          <w:rFonts w:eastAsia="Calibri" w:cs="Times New Roman"/>
        </w:rPr>
        <w:lastRenderedPageBreak/>
        <w:t xml:space="preserve">noventa y dos con 07/100 pesos dominicanos), para un total de 518  proyectos programados con sus respectivos SNIP, registrando ejecución un total de 340 proyectos, algunos de los cuales contienen distintos tipos de obras de ingeniería civil. Es importante resaltar que este valor incluye los recursos provenientes del acuerdo de la renegociación del contrato con AERODOM con un aporte de RD$16,804,471,477.00 (Dieciséis Mil Ochocientos Cuatro Millones Cuatrocientos Setenta y Un Mil Cuatrocientos Setenta y Siete con 00/100 pesos dominicanos). Durante el año 2024, la institución desembolsó la suma de </w:t>
      </w:r>
      <w:r w:rsidR="00876C41" w:rsidRPr="00084D33">
        <w:rPr>
          <w:rFonts w:eastAsia="Calibri" w:cs="Times New Roman"/>
        </w:rPr>
        <w:t>RD$38,428,476,702.27) (Treinta y Ocho Mil Cuatrocientos Veintiocho Millones Cuatrocientos Setenta y Seis Mil Setecientos Dos con 27/100 pesos dominicanos), lo que representa un 98.7 % (aprox.) del total asignado al ministerio.</w:t>
      </w:r>
    </w:p>
    <w:p w14:paraId="544267E1" w14:textId="77777777" w:rsidR="00BC577E" w:rsidRPr="00084D33" w:rsidRDefault="00BC577E" w:rsidP="00BC577E">
      <w:pPr>
        <w:spacing w:before="120"/>
        <w:ind w:left="270"/>
        <w:rPr>
          <w:rFonts w:eastAsia="Calibri" w:cs="Times New Roman"/>
          <w:highlight w:val="yellow"/>
        </w:rPr>
      </w:pPr>
    </w:p>
    <w:p w14:paraId="129816F5" w14:textId="21472A70" w:rsidR="00BC577E" w:rsidRPr="00084D33" w:rsidRDefault="00BC577E" w:rsidP="007202A9">
      <w:pPr>
        <w:numPr>
          <w:ilvl w:val="0"/>
          <w:numId w:val="26"/>
        </w:numPr>
        <w:spacing w:before="120" w:after="160"/>
        <w:ind w:left="270"/>
        <w:rPr>
          <w:rFonts w:eastAsia="Calibri" w:cs="Times New Roman"/>
        </w:rPr>
      </w:pPr>
      <w:r w:rsidRPr="00084D33">
        <w:rPr>
          <w:rFonts w:eastAsia="Calibri" w:cs="Times New Roman"/>
        </w:rPr>
        <w:t xml:space="preserve">Los proyectos priorizados para ejecución en el año 2024, se cuantifican en 424 (cuatrocientos veinticuatro) obras de infraestructura para el subsector transporte terrestre de pasajeros y cargas, </w:t>
      </w:r>
      <w:r w:rsidR="007B2509" w:rsidRPr="00084D33">
        <w:rPr>
          <w:rFonts w:eastAsia="Calibri" w:cs="Times New Roman"/>
        </w:rPr>
        <w:t>ejecutándose</w:t>
      </w:r>
      <w:r w:rsidRPr="00084D33">
        <w:rPr>
          <w:rFonts w:eastAsia="Calibri" w:cs="Times New Roman"/>
        </w:rPr>
        <w:t xml:space="preserve"> 302 (trescientos dos) dentro de los cuales se encuentran: Construcción Avenida Circunvalación de Baní, provincia Peravia, con avance superior al 70%; Construcción paso a desnivel soterrado en intersección Av. Luperón con Av. 27 de Febrero, y construcción paso a desnivel en intersección prolongación Av. 27 de Febrero con  Av. Isabel Aguiar con avance de 40%, provincia Santo Domingo;  construcción de mejoras integrales intersección del km 9 Autopista Duarte con Av. Luperón, en el cual se trabaja con el cronograma de obras establecido con avance superior al 85%, Provincia Santo Domingo; Programa de Ampliación, Reconstrucción y Modernización de la Autopista Duarte, con 270 km de longitud que incluye marginales, elevados, retorno operacionales, ampliaciones de puentes y del número de carriles de 4 a 6. En este programa  se ha puesto en servicio de la población el tramo desde La </w:t>
      </w:r>
      <w:r w:rsidRPr="00084D33">
        <w:rPr>
          <w:rFonts w:eastAsia="Calibri" w:cs="Times New Roman"/>
        </w:rPr>
        <w:lastRenderedPageBreak/>
        <w:t xml:space="preserve">Vega a Montecristi y la entrada a Santiago, y se entregará en el primer cuatrimestre del año 25 la nueva plaza de peaje en el km 32 de la Autopista Duarte, proyecto de naturaleza multiprovincial; Reconstrucción carretera Hondo Valle-El Cercado con un 81% de avance, provincias Elías Piña y San Juan de la Maguana, Reconstrucción Carretera Villa Elisa-Playa Punta Rusia-La Ensenada  con avance de 90 %, provincia de Puerto Plata;  Reconstrucción Carretera Guerra-Bayaguana, presenta avance de un 75%, Provincias Santo Domingo y Monte Plata; Construcción elevado en la Intersección  Avenida La Hípica con Autopista Las Américas, presenta avance de un 72%, Provincia Santo Domingo; Construcción Avenida Ecológica desde Ciudad Juan </w:t>
      </w:r>
      <w:r w:rsidR="007B2509" w:rsidRPr="00084D33">
        <w:rPr>
          <w:rFonts w:eastAsia="Calibri" w:cs="Times New Roman"/>
        </w:rPr>
        <w:t>Bosch</w:t>
      </w:r>
      <w:r w:rsidRPr="00084D33">
        <w:rPr>
          <w:rFonts w:eastAsia="Calibri" w:cs="Times New Roman"/>
        </w:rPr>
        <w:t xml:space="preserve"> hasta Puerto de Caucedo con longitud de 11.5 km. con avance 60%, Provincia Santo Domingo, Construcción Av. Circunvalación del San Francisco de Macorís con avance de 40%; Provincia Duarte, Construcción Av. Circunvalación de Los Alcarrizos con avance de 60 %, Provincia Santo Domingo, Construcción Circunvalación Norte de Navarrete, con avance de 30%, Provincia Santiago de los Caballeros.</w:t>
      </w:r>
    </w:p>
    <w:p w14:paraId="54B74697" w14:textId="77777777" w:rsidR="00BC577E" w:rsidRPr="00084D33" w:rsidRDefault="00BC577E" w:rsidP="00BC577E">
      <w:pPr>
        <w:spacing w:before="120" w:after="160"/>
        <w:ind w:left="270"/>
        <w:rPr>
          <w:rFonts w:eastAsia="Calibri" w:cs="Times New Roman"/>
        </w:rPr>
      </w:pPr>
    </w:p>
    <w:p w14:paraId="1BE0BA98" w14:textId="711CCEBA" w:rsidR="00BC577E" w:rsidRPr="00084D33" w:rsidRDefault="00BC577E" w:rsidP="007202A9">
      <w:pPr>
        <w:numPr>
          <w:ilvl w:val="0"/>
          <w:numId w:val="26"/>
        </w:numPr>
        <w:spacing w:before="120" w:after="160"/>
        <w:ind w:left="270"/>
        <w:rPr>
          <w:rFonts w:eastAsia="Calibri" w:cs="Times New Roman"/>
        </w:rPr>
      </w:pPr>
      <w:r w:rsidRPr="00084D33">
        <w:rPr>
          <w:rFonts w:eastAsia="Calibri" w:cs="Times New Roman"/>
        </w:rPr>
        <w:t>Construcción de Tres (3) obras del subsector puertos, destacándose: Mejoramiento Puerto de Manzanillo y su conectividad, en la Provincia Montecristi, Construcción del muelle marítimo, próximo Av. Eliseo Demoniza, Municipio Sabana de la Mar, Provincia Hato Mayor, Construcción barrera de protección marina en tramo vial y obras complementarias en carretera No.5, Provincia María Trinidad Sánchez</w:t>
      </w:r>
      <w:r w:rsidR="00876C41" w:rsidRPr="00084D33">
        <w:rPr>
          <w:rFonts w:eastAsia="Calibri" w:cs="Times New Roman"/>
        </w:rPr>
        <w:t>.</w:t>
      </w:r>
    </w:p>
    <w:p w14:paraId="1EF96797" w14:textId="77777777" w:rsidR="00BC577E" w:rsidRPr="00084D33" w:rsidRDefault="00BC577E" w:rsidP="00BC577E">
      <w:pPr>
        <w:widowControl w:val="0"/>
        <w:autoSpaceDE w:val="0"/>
        <w:autoSpaceDN w:val="0"/>
        <w:spacing w:after="120"/>
        <w:rPr>
          <w:rFonts w:eastAsia="Calibri" w:cs="Times New Roman"/>
          <w:szCs w:val="24"/>
          <w:lang w:val="es-ES" w:eastAsia="es-ES" w:bidi="es-ES"/>
        </w:rPr>
      </w:pPr>
    </w:p>
    <w:p w14:paraId="4EB41148" w14:textId="08E6F2B3" w:rsidR="00BC577E" w:rsidRPr="00084D33" w:rsidRDefault="00BC577E" w:rsidP="00BC577E">
      <w:pPr>
        <w:widowControl w:val="0"/>
        <w:autoSpaceDE w:val="0"/>
        <w:autoSpaceDN w:val="0"/>
        <w:spacing w:after="120"/>
        <w:rPr>
          <w:rFonts w:eastAsia="Calibri" w:cs="Times New Roman"/>
          <w:szCs w:val="24"/>
          <w:lang w:val="es-ES" w:eastAsia="es-ES" w:bidi="es-ES"/>
        </w:rPr>
      </w:pPr>
      <w:r w:rsidRPr="00084D33">
        <w:rPr>
          <w:rFonts w:eastAsia="Calibri" w:cs="Times New Roman"/>
          <w:szCs w:val="24"/>
          <w:lang w:val="es-ES" w:eastAsia="es-ES" w:bidi="es-ES"/>
        </w:rPr>
        <w:t xml:space="preserve">En la categoría de caminos vecinales en construcción se destacan: </w:t>
      </w:r>
    </w:p>
    <w:p w14:paraId="6D07E2FA" w14:textId="77777777" w:rsidR="00BC577E" w:rsidRPr="00084D33" w:rsidRDefault="00BC577E" w:rsidP="007202A9">
      <w:pPr>
        <w:numPr>
          <w:ilvl w:val="0"/>
          <w:numId w:val="26"/>
        </w:numPr>
        <w:spacing w:before="120" w:after="160"/>
        <w:ind w:left="270"/>
        <w:rPr>
          <w:rFonts w:eastAsia="Calibri" w:cs="Times New Roman"/>
        </w:rPr>
      </w:pPr>
      <w:r w:rsidRPr="00084D33">
        <w:rPr>
          <w:rFonts w:eastAsia="Calibri" w:cs="Times New Roman"/>
        </w:rPr>
        <w:t xml:space="preserve">Reconstrucción camino vecinal Los Fríos -Guayayo-Las Lajas, con longitud de 20.47 km, provincia Azua, con avance de 47%, Reconstrucción Camino Vecinal Guayabal – Los Bolos, Provincia </w:t>
      </w:r>
      <w:r w:rsidRPr="00084D33">
        <w:rPr>
          <w:rFonts w:eastAsia="Calibri" w:cs="Times New Roman"/>
        </w:rPr>
        <w:lastRenderedPageBreak/>
        <w:t>Independencia, avance 16%, Reconstrucción Camino Vecinal El Puerto – Los Lirios – El Charco – La Lanza, con longitud de 10.80 km, Provincia Barahona, avance de 20 %, Reconstrucción Camino Vecinal Los Ríos-Higo de la Cruz, longitud 20.24 Km, Provincia  Bahoruco y avance 98%, Construcción de Tres (3) Puentes en Camino Vecinal Las Espinas, Municipio Jamao al Norte, Provincia Espaillat, con avance de 35%,  Construcción de Puente sobre Rio Bajabonico, longitud de 130.0 metros, Provincia Puerto Plata, avance 5%.</w:t>
      </w:r>
    </w:p>
    <w:p w14:paraId="629B7945" w14:textId="77777777" w:rsidR="00BC577E" w:rsidRPr="00084D33" w:rsidRDefault="00BC577E" w:rsidP="00BC577E">
      <w:pPr>
        <w:ind w:left="720"/>
        <w:contextualSpacing/>
        <w:rPr>
          <w:rFonts w:eastAsia="Calibri" w:cs="Times New Roman"/>
          <w:szCs w:val="24"/>
        </w:rPr>
      </w:pPr>
    </w:p>
    <w:p w14:paraId="01882E00" w14:textId="77777777" w:rsidR="00BC577E" w:rsidRPr="00084D33" w:rsidRDefault="00BC577E" w:rsidP="00BC577E">
      <w:pPr>
        <w:widowControl w:val="0"/>
        <w:autoSpaceDE w:val="0"/>
        <w:autoSpaceDN w:val="0"/>
        <w:spacing w:after="120"/>
        <w:rPr>
          <w:rFonts w:eastAsia="Calibri" w:cs="Times New Roman"/>
          <w:szCs w:val="24"/>
          <w:lang w:val="es-ES" w:eastAsia="es-ES" w:bidi="es-ES"/>
        </w:rPr>
      </w:pPr>
      <w:r w:rsidRPr="00084D33">
        <w:rPr>
          <w:rFonts w:eastAsia="Calibri" w:cs="Times New Roman"/>
          <w:szCs w:val="24"/>
          <w:lang w:val="es-ES" w:eastAsia="es-ES" w:bidi="es-ES"/>
        </w:rPr>
        <w:t>Dentro del componente de obras inauguradas o entregadas a la población en el sector infraestructura de transporte de pasajeros y cargas se logró la construcción de 92.50 km-carril aproximadamente, además se concluyeron 4,412.00 km-carriles en los programas de asfaltados o rehabilitación de vías a nivel nacional, beneficiando a un total de 3.8 millones de personas de la población económicamente activa del país. Dentro de estas obras se destacan:</w:t>
      </w:r>
    </w:p>
    <w:p w14:paraId="605978FC" w14:textId="77777777" w:rsidR="00BC577E" w:rsidRPr="00084D33" w:rsidRDefault="00BC577E" w:rsidP="00BC577E">
      <w:pPr>
        <w:widowControl w:val="0"/>
        <w:autoSpaceDE w:val="0"/>
        <w:autoSpaceDN w:val="0"/>
        <w:spacing w:after="120"/>
        <w:rPr>
          <w:rFonts w:eastAsia="Calibri" w:cs="Times New Roman"/>
          <w:szCs w:val="24"/>
          <w:lang w:val="es-ES" w:eastAsia="es-ES" w:bidi="es-ES"/>
        </w:rPr>
      </w:pPr>
    </w:p>
    <w:p w14:paraId="63834439" w14:textId="3CC56CF0" w:rsidR="00BC577E" w:rsidRPr="00084D33" w:rsidRDefault="00BC577E" w:rsidP="007202A9">
      <w:pPr>
        <w:numPr>
          <w:ilvl w:val="0"/>
          <w:numId w:val="26"/>
        </w:numPr>
        <w:spacing w:before="120" w:after="160"/>
        <w:ind w:left="270"/>
        <w:rPr>
          <w:rFonts w:eastAsia="Calibri" w:cs="Times New Roman"/>
        </w:rPr>
      </w:pPr>
      <w:r w:rsidRPr="00084D33">
        <w:rPr>
          <w:rFonts w:eastAsia="Calibri" w:cs="Times New Roman"/>
        </w:rPr>
        <w:t>Construcción de los carriles adicionales de la Autopista Duarte en la entrada de Santiago, beneficiando 4.2 millones de habitantes,  Reconstrucción Paso a Desnivel en la Intersección de las Avenidas 27 de Febrero y Máximo Gómez, beneficiando a una población de 1.4 millones de personas, Distrito Nacional; Construcción Autopista San Isidro (Coronel Raf</w:t>
      </w:r>
      <w:r w:rsidR="007B2509" w:rsidRPr="00084D33">
        <w:rPr>
          <w:rFonts w:eastAsia="Calibri" w:cs="Times New Roman"/>
        </w:rPr>
        <w:t>a</w:t>
      </w:r>
      <w:r w:rsidRPr="00084D33">
        <w:rPr>
          <w:rFonts w:eastAsia="Calibri" w:cs="Times New Roman"/>
        </w:rPr>
        <w:t xml:space="preserve">el T. </w:t>
      </w:r>
      <w:r w:rsidR="007B2509" w:rsidRPr="00084D33">
        <w:rPr>
          <w:rFonts w:eastAsia="Calibri" w:cs="Times New Roman"/>
        </w:rPr>
        <w:t>F</w:t>
      </w:r>
      <w:r w:rsidRPr="00084D33">
        <w:rPr>
          <w:rFonts w:eastAsia="Calibri" w:cs="Times New Roman"/>
        </w:rPr>
        <w:t xml:space="preserve">ernández Domínguez), beneficiando 680 mil personas, Provincia Santo Domingo, Construcción Carreteras San Víctor-Jamao -Sabaneta de Yásica, Prov. Espaillat, beneficiando a una población aproximada de 275 mil personas;  Reconstrucción Carretera Barahona-Enriquillo Etapa I, Provincia Barahona, beneficiando a 623 mil personas;  Reconstrucción Carretera Hacienda Estrella-Pajón, beneficiando a 77 mil personas, Provincia Monte Plata; Reconstrucción Carretera El Mango - La Piragua, beneficiando a 1,690 personas, </w:t>
      </w:r>
      <w:r w:rsidRPr="00084D33">
        <w:rPr>
          <w:rFonts w:eastAsia="Calibri" w:cs="Times New Roman"/>
        </w:rPr>
        <w:lastRenderedPageBreak/>
        <w:t>Reconstrucción y Ampliación   Carretera Enriquillo-Pedernales, beneficiando a 650 mil personas, provincias Pedernales y Barahona; Reconstrucción Carretera Cruce Carretera Nordeste - Mata Los Indios - Bella Vista -Guerra, beneficiando a 1,230 personas, Provincia Santo Domingo; Construcción y Reconstrucción  de las calles de la Zona Industrial de Herrera, beneficiando a 43 mil personas, Provincia Santo Domingo, Reconstrucción de calles de San Cristóbal, beneficiando a 203 mil personas, Provincia San Cristóbal; Reconstrucción Carretera Loma de Cabrera-Manuel Bueno -La Lana, beneficiando 32 mil personas, Provincia Dajabón; Reconstrucción y Ampliación Carretera La Vega – Jarabacoa, beneficiando a 67 mil personas; Reconstrucción Carretera Hato Mayor-El Seibo - La Candelaria -Magarín, beneficiando a 2,890 personas; Provincias El Seibo y Hato Mayor; Reconstrucción del Puente Cangrejo en Carretera No.5, Puerto Plata, beneficiando a 330 mil personas, Construcción y Demolición del Puente Nisibón sobre el Río Yuya, beneficiando a una población de 47 mil personas, Provincia San Pedro de Macorís; Construcción Puente Peatonal-Motorizado Cruce de Semilla, beneficiando 15 mil personas, Provincia San Cristóbal, Reconstrucción Camino Vecinal y Muros de Gaviones Los Bleos, beneficiando a 1500 personas,   Provincia Monseñor Noel.</w:t>
      </w:r>
    </w:p>
    <w:p w14:paraId="3DDD1A7F" w14:textId="77777777" w:rsidR="00BC577E" w:rsidRPr="00084D33" w:rsidRDefault="00BC577E" w:rsidP="00BC577E">
      <w:pPr>
        <w:widowControl w:val="0"/>
        <w:autoSpaceDE w:val="0"/>
        <w:autoSpaceDN w:val="0"/>
        <w:rPr>
          <w:rFonts w:eastAsia="Calibri" w:cs="Times New Roman"/>
          <w:szCs w:val="24"/>
        </w:rPr>
      </w:pPr>
    </w:p>
    <w:p w14:paraId="664E412B" w14:textId="161EB53D" w:rsidR="00BC577E" w:rsidRPr="00084D33" w:rsidRDefault="00BC577E" w:rsidP="007202A9">
      <w:pPr>
        <w:numPr>
          <w:ilvl w:val="0"/>
          <w:numId w:val="26"/>
        </w:numPr>
        <w:spacing w:before="120" w:after="160"/>
        <w:ind w:left="270"/>
        <w:rPr>
          <w:rFonts w:eastAsia="Calibri" w:cs="Times New Roman"/>
        </w:rPr>
      </w:pPr>
      <w:r w:rsidRPr="00084D33">
        <w:rPr>
          <w:rFonts w:eastAsia="Calibri" w:cs="Times New Roman"/>
        </w:rPr>
        <w:t xml:space="preserve">La gestión de la Oficina Coordinadora de RD-Vial del MOPC tiene la responsabilidad de la supervisión técnica y operativa de las estaciones de peajes y de las obras que se ejecutan con fondos del Fideicomiso RD-Vial. En su memoria correspondiente al periodo </w:t>
      </w:r>
      <w:r w:rsidR="00B5550F" w:rsidRPr="00084D33">
        <w:rPr>
          <w:rFonts w:eastAsia="Calibri" w:cs="Times New Roman"/>
        </w:rPr>
        <w:t>enero – diciembre</w:t>
      </w:r>
      <w:r w:rsidRPr="00084D33">
        <w:rPr>
          <w:rFonts w:eastAsia="Calibri" w:cs="Times New Roman"/>
        </w:rPr>
        <w:t xml:space="preserve"> del 2024, informa haber captado ingresos por concepto de pago de peajes por la suma de </w:t>
      </w:r>
      <w:r w:rsidR="00FC7292" w:rsidRPr="00084D33">
        <w:rPr>
          <w:rFonts w:eastAsia="Calibri" w:cs="Times New Roman"/>
          <w:szCs w:val="24"/>
        </w:rPr>
        <w:t xml:space="preserve">RD$9,026,603,140.00 (Nueve Mil Veintiséis Millones Setecientos Tres Mil Ciento Cuarenta 00/100), por la operación de 16 (dieciséis) estaciones de peajes en el territorio nacional. La comparación con los ingresos recibidos en el año 2023 con los del año 2024, refleja </w:t>
      </w:r>
      <w:r w:rsidR="00FC7292" w:rsidRPr="00084D33">
        <w:rPr>
          <w:rFonts w:eastAsia="Calibri" w:cs="Times New Roman"/>
          <w:szCs w:val="24"/>
        </w:rPr>
        <w:lastRenderedPageBreak/>
        <w:t>mayores ingresos en el 2024 por la suma de RD$1,025,089,868.00 (Mil Veinticinco Millones Ochenta y Nueve Mil Ochocientos Sesenta y Ocho con 00/100, Pesos dominicanos) equivalente a un 8.2% superior, aproximadamente, de lo recaudado en el año 2022. Las Estaciones de Peajes correspondientes a la Autopista de Nordeste, que operaban bajo el sistema concesión vial-Ingreso Mínimo Garantizado, recaudaron un 22.79% del total ingresado. Así mismo, la estación de peaje que mayor recaudó en el periodo fue la de Circunvalación Santo Domingo I, con un total de RD$926,385,420.00, y corresponde al 10.26% del total de ingresos recibidos. La de menor ingreso fue la Circunvalación de Azua con RD$268,466,000.00, con un porcentaje respecto al total de 2.97 %</w:t>
      </w:r>
      <w:r w:rsidRPr="00084D33">
        <w:rPr>
          <w:rFonts w:eastAsia="Calibri" w:cs="Times New Roman"/>
        </w:rPr>
        <w:t>, aproximadamente.</w:t>
      </w:r>
    </w:p>
    <w:p w14:paraId="6326EFF3" w14:textId="77777777" w:rsidR="00BC577E" w:rsidRPr="00084D33" w:rsidRDefault="00BC577E" w:rsidP="00BC577E">
      <w:pPr>
        <w:widowControl w:val="0"/>
        <w:autoSpaceDE w:val="0"/>
        <w:autoSpaceDN w:val="0"/>
        <w:rPr>
          <w:rFonts w:eastAsia="Calibri" w:cs="Times New Roman"/>
          <w:szCs w:val="24"/>
        </w:rPr>
      </w:pPr>
    </w:p>
    <w:p w14:paraId="67D03B9B" w14:textId="56727130" w:rsidR="00BC577E" w:rsidRPr="00084D33" w:rsidRDefault="00BC577E" w:rsidP="007202A9">
      <w:pPr>
        <w:numPr>
          <w:ilvl w:val="0"/>
          <w:numId w:val="26"/>
        </w:numPr>
        <w:spacing w:before="120" w:after="160"/>
        <w:ind w:left="270"/>
        <w:rPr>
          <w:rFonts w:eastAsia="Calibri" w:cs="Times New Roman"/>
        </w:rPr>
      </w:pPr>
      <w:r w:rsidRPr="00084D33">
        <w:rPr>
          <w:rFonts w:eastAsia="Calibri" w:cs="Times New Roman"/>
        </w:rPr>
        <w:t xml:space="preserve">El Fideicomiso RD Vial bajo la gerencia del Ministerio de Obras Públicas y Comunicaciones (MOPC), tiene entre sus objetivos básicos proveer a los usuarios asistencia y servicio oportuno en los dieciséis (16) principales corredores viales rurales y avenidas urbanas donde se ha implementado este programa. En este contexto se proporcionaron  a los usuarios de estas infraestructuras viales un total de </w:t>
      </w:r>
      <w:r w:rsidR="00FC7292" w:rsidRPr="00084D33">
        <w:rPr>
          <w:rFonts w:eastAsia="Calibri" w:cs="Times New Roman"/>
          <w:szCs w:val="24"/>
        </w:rPr>
        <w:t xml:space="preserve">269,771 (doscientos sesenta y nueve mil setecientos setenta y uno) asistencias viales en el periodo 1ero. de enero al 30 de diciembre del 2024. La causa con mayor porcentaje de asistencia consistió en problemas en los neumáticos de los vehículos con un 33% del total, luego continuó avería mecánica con un 32%; la seguridad (personal y vial) con un 12%; falta de combustible con un 9%; calentamiento de vehículos 5%; problemas eléctricos 3%, accidentes de tránsito 3%, </w:t>
      </w:r>
      <w:r w:rsidRPr="00084D33">
        <w:rPr>
          <w:rFonts w:eastAsia="Calibri" w:cs="Times New Roman"/>
        </w:rPr>
        <w:t xml:space="preserve">talleres móviles 2%; y solicitud de grúa, ambulancia y camión remolques con un 1% cada una de estas causas. </w:t>
      </w:r>
    </w:p>
    <w:p w14:paraId="169D4A2F" w14:textId="77777777" w:rsidR="00BC577E" w:rsidRPr="00084D33" w:rsidRDefault="00BC577E" w:rsidP="007202A9">
      <w:pPr>
        <w:numPr>
          <w:ilvl w:val="0"/>
          <w:numId w:val="26"/>
        </w:numPr>
        <w:spacing w:before="120" w:after="160"/>
        <w:ind w:left="270"/>
        <w:rPr>
          <w:rFonts w:eastAsia="Calibri" w:cs="Times New Roman"/>
        </w:rPr>
      </w:pPr>
      <w:r w:rsidRPr="00084D33">
        <w:rPr>
          <w:rFonts w:eastAsia="Calibri" w:cs="Times New Roman"/>
        </w:rPr>
        <w:t xml:space="preserve">Las acciones para el control del derecho de vía y para fiscalizar  las construcciones ilegales  en el entorno de las  carreteras troncales del país  </w:t>
      </w:r>
      <w:r w:rsidRPr="00084D33">
        <w:rPr>
          <w:rFonts w:eastAsia="Calibri" w:cs="Times New Roman"/>
        </w:rPr>
        <w:lastRenderedPageBreak/>
        <w:t>e implementadas en el periodo, tienen  el propósito de contribuir con la seguridad de los usuarios y preservar la integridad de los terrenos estatales. Los resultados en el periodo son: cierre de 19 (diecinueve) accesos viales que no disponían de la autorización técnica-legal correspondientes, así mismo, se desmantelaron 241 (doscientos cuarenta y una)  construcciones ilegales, se paralizaron 61 (sesenta y una) y se  demolieron 47 edificaciones que carecían de los documentos legales correspondientes.</w:t>
      </w:r>
    </w:p>
    <w:p w14:paraId="6B393F0D" w14:textId="7B5B792B" w:rsidR="00394C07" w:rsidRPr="00084D33" w:rsidRDefault="00394C07" w:rsidP="00394C07">
      <w:pPr>
        <w:spacing w:after="100" w:afterAutospacing="1"/>
        <w:contextualSpacing/>
        <w:rPr>
          <w:rFonts w:eastAsia="Times New Roman" w:cs="Times New Roman"/>
          <w:szCs w:val="24"/>
          <w:lang w:val="es-ES" w:eastAsia="es-ES" w:bidi="es-ES"/>
        </w:rPr>
      </w:pPr>
    </w:p>
    <w:p w14:paraId="713DAD8B" w14:textId="54066812" w:rsidR="00E6032D" w:rsidRPr="00084D33" w:rsidRDefault="00E6032D">
      <w:pPr>
        <w:spacing w:after="160" w:line="259" w:lineRule="auto"/>
        <w:jc w:val="left"/>
        <w:rPr>
          <w:rFonts w:eastAsia="Times New Roman" w:cs="Times New Roman"/>
          <w:szCs w:val="24"/>
          <w:lang w:val="es-ES" w:eastAsia="es-ES" w:bidi="es-ES"/>
        </w:rPr>
      </w:pPr>
      <w:r w:rsidRPr="00084D33">
        <w:rPr>
          <w:rFonts w:eastAsia="Times New Roman" w:cs="Times New Roman"/>
          <w:szCs w:val="24"/>
          <w:lang w:val="es-ES" w:eastAsia="es-ES" w:bidi="es-ES"/>
        </w:rPr>
        <w:br w:type="page"/>
      </w:r>
    </w:p>
    <w:p w14:paraId="6CFAAF1C" w14:textId="13849019" w:rsidR="00056D01" w:rsidRPr="00084D33" w:rsidRDefault="00056D01" w:rsidP="0025152A">
      <w:pPr>
        <w:pStyle w:val="Ttulo1"/>
        <w:spacing w:before="0"/>
        <w:jc w:val="left"/>
        <w:rPr>
          <w:rFonts w:cs="Times New Roman"/>
          <w:b/>
          <w:bCs/>
        </w:rPr>
      </w:pPr>
      <w:bookmarkStart w:id="15" w:name="_Toc505070500"/>
      <w:bookmarkStart w:id="16" w:name="_Toc504947225"/>
      <w:bookmarkStart w:id="17" w:name="_Toc504947325"/>
      <w:bookmarkStart w:id="18" w:name="_Toc504947751"/>
      <w:bookmarkStart w:id="19" w:name="_Toc505070501"/>
      <w:bookmarkStart w:id="20" w:name="_Toc186924342"/>
      <w:bookmarkEnd w:id="15"/>
      <w:bookmarkEnd w:id="16"/>
      <w:bookmarkEnd w:id="17"/>
      <w:bookmarkEnd w:id="18"/>
      <w:bookmarkEnd w:id="19"/>
      <w:r w:rsidRPr="00084D33">
        <w:rPr>
          <w:rFonts w:cs="Times New Roman"/>
          <w:b/>
          <w:bCs/>
        </w:rPr>
        <w:lastRenderedPageBreak/>
        <w:t>Información Base Institucional</w:t>
      </w:r>
      <w:bookmarkEnd w:id="20"/>
    </w:p>
    <w:p w14:paraId="09ED368D" w14:textId="77777777" w:rsidR="00EE7419" w:rsidRPr="00084D33" w:rsidRDefault="00EE7419" w:rsidP="00EE7419">
      <w:pPr>
        <w:rPr>
          <w:rFonts w:eastAsia="Calibri" w:cs="Times New Roman"/>
          <w:sz w:val="18"/>
        </w:rPr>
      </w:pPr>
      <w:r w:rsidRPr="00084D33">
        <w:rPr>
          <w:rFonts w:eastAsia="Calibri" w:cs="Times New Roman"/>
          <w:noProof/>
          <w:sz w:val="18"/>
          <w:lang w:eastAsia="es-DO"/>
        </w:rPr>
        <mc:AlternateContent>
          <mc:Choice Requires="wps">
            <w:drawing>
              <wp:anchor distT="0" distB="0" distL="114300" distR="114300" simplePos="0" relativeHeight="251798528" behindDoc="0" locked="0" layoutInCell="1" allowOverlap="1" wp14:anchorId="34CD0EC2" wp14:editId="39BBED7C">
                <wp:simplePos x="0" y="0"/>
                <wp:positionH relativeFrom="margin">
                  <wp:posOffset>2254250</wp:posOffset>
                </wp:positionH>
                <wp:positionV relativeFrom="paragraph">
                  <wp:posOffset>100625</wp:posOffset>
                </wp:positionV>
                <wp:extent cx="463550" cy="0"/>
                <wp:effectExtent l="22860" t="15875" r="18415" b="22225"/>
                <wp:wrapNone/>
                <wp:docPr id="107374189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6E7C3" id="Straight Connector 21" o:spid="_x0000_s1026" style="position:absolute;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" strokecolor="#ee2a24" strokeweight="2.25pt">
                <v:stroke joinstyle="miter"/>
                <w10:wrap anchorx="margin"/>
              </v:line>
            </w:pict>
          </mc:Fallback>
        </mc:AlternateContent>
      </w:r>
    </w:p>
    <w:p w14:paraId="6C528534" w14:textId="02AA401B" w:rsidR="00EE7419" w:rsidRPr="00084D33" w:rsidRDefault="00EE7419" w:rsidP="00F07255">
      <w:pPr>
        <w:jc w:val="center"/>
      </w:pPr>
      <w:r w:rsidRPr="00084D33">
        <w:t xml:space="preserve">Memoria institucional </w:t>
      </w:r>
      <w:r w:rsidR="003D0902" w:rsidRPr="00084D33">
        <w:t>202</w:t>
      </w:r>
      <w:r w:rsidR="00155946" w:rsidRPr="00084D33">
        <w:t>4</w:t>
      </w:r>
    </w:p>
    <w:p w14:paraId="3660413C" w14:textId="77777777" w:rsidR="003A0420" w:rsidRPr="00084D33" w:rsidRDefault="003A0420" w:rsidP="003A0420"/>
    <w:p w14:paraId="166FA5AF" w14:textId="6FDE0543" w:rsidR="00763C8C" w:rsidRPr="00084D33" w:rsidRDefault="00C21FA8" w:rsidP="00C21FA8">
      <w:pPr>
        <w:pStyle w:val="Ttulo1"/>
        <w:numPr>
          <w:ilvl w:val="0"/>
          <w:numId w:val="0"/>
        </w:numPr>
        <w:ind w:left="1706" w:hanging="360"/>
        <w:jc w:val="both"/>
        <w:rPr>
          <w:rFonts w:cs="Times New Roman"/>
          <w:b/>
          <w:sz w:val="24"/>
          <w:szCs w:val="24"/>
        </w:rPr>
      </w:pPr>
      <w:bookmarkStart w:id="21" w:name="_Toc90884462"/>
      <w:bookmarkStart w:id="22" w:name="_Toc186924343"/>
      <w:bookmarkEnd w:id="21"/>
      <w:r w:rsidRPr="00084D33">
        <w:rPr>
          <w:rFonts w:cs="Times New Roman"/>
          <w:b/>
          <w:sz w:val="24"/>
          <w:szCs w:val="24"/>
        </w:rPr>
        <w:t xml:space="preserve">2.1 </w:t>
      </w:r>
      <w:r w:rsidR="00763C8C" w:rsidRPr="00084D33">
        <w:rPr>
          <w:rFonts w:cs="Times New Roman"/>
          <w:b/>
          <w:sz w:val="24"/>
          <w:szCs w:val="24"/>
        </w:rPr>
        <w:t>Marco Filosófico Institucional</w:t>
      </w:r>
      <w:bookmarkEnd w:id="22"/>
    </w:p>
    <w:p w14:paraId="528BEE25" w14:textId="77777777" w:rsidR="002144CA" w:rsidRPr="00084D33" w:rsidRDefault="002144CA" w:rsidP="00434A4D">
      <w:pPr>
        <w:rPr>
          <w:rFonts w:cs="Times New Roman"/>
        </w:rPr>
      </w:pPr>
    </w:p>
    <w:p w14:paraId="13F19501" w14:textId="1134E070" w:rsidR="005C0EF5" w:rsidRPr="00084D33" w:rsidRDefault="002144CA" w:rsidP="00747535">
      <w:pPr>
        <w:pStyle w:val="Textoindependiente"/>
        <w:spacing w:line="360" w:lineRule="auto"/>
        <w:jc w:val="both"/>
        <w:rPr>
          <w:color w:val="767171"/>
        </w:rPr>
      </w:pPr>
      <w:r w:rsidRPr="00084D33">
        <w:rPr>
          <w:color w:val="767171"/>
        </w:rPr>
        <w:t>El marco filosófico institucional muestra los principios y valores que la institución profesa en la actualidad, por lo que constituye el fundamento ideológico y las bases doctrinales que sustentan su ser o identidad</w:t>
      </w:r>
      <w:r w:rsidR="00860EE6" w:rsidRPr="00084D33">
        <w:rPr>
          <w:color w:val="767171"/>
        </w:rPr>
        <w:t>, como entidad gubernamental</w:t>
      </w:r>
      <w:r w:rsidRPr="00084D33">
        <w:rPr>
          <w:color w:val="767171"/>
        </w:rPr>
        <w:t xml:space="preserve">. </w:t>
      </w:r>
    </w:p>
    <w:p w14:paraId="3492EBD3" w14:textId="77777777" w:rsidR="00816A4E" w:rsidRPr="00084D33" w:rsidRDefault="00816A4E" w:rsidP="009A41B9">
      <w:pPr>
        <w:pStyle w:val="Textoindependiente"/>
        <w:rPr>
          <w:color w:val="767171"/>
        </w:rPr>
      </w:pPr>
    </w:p>
    <w:p w14:paraId="35EE0B2D" w14:textId="610A494E" w:rsidR="002144CA" w:rsidRPr="00084D33" w:rsidRDefault="00F16A7A" w:rsidP="00C8247A">
      <w:pPr>
        <w:pStyle w:val="Ttulo1"/>
        <w:numPr>
          <w:ilvl w:val="0"/>
          <w:numId w:val="0"/>
        </w:numPr>
        <w:ind w:left="2051"/>
        <w:jc w:val="both"/>
        <w:rPr>
          <w:rFonts w:cs="Times New Roman"/>
          <w:b/>
          <w:sz w:val="24"/>
          <w:szCs w:val="24"/>
        </w:rPr>
      </w:pPr>
      <w:bookmarkStart w:id="23" w:name="_Toc186924344"/>
      <w:r w:rsidRPr="00084D33">
        <w:rPr>
          <w:rFonts w:cs="Times New Roman"/>
          <w:b/>
          <w:sz w:val="24"/>
          <w:szCs w:val="24"/>
        </w:rPr>
        <w:t xml:space="preserve">2.1.1 </w:t>
      </w:r>
      <w:r w:rsidR="002144CA" w:rsidRPr="00084D33">
        <w:rPr>
          <w:rFonts w:cs="Times New Roman"/>
          <w:b/>
          <w:sz w:val="24"/>
          <w:szCs w:val="24"/>
        </w:rPr>
        <w:t>Misión</w:t>
      </w:r>
      <w:bookmarkEnd w:id="23"/>
    </w:p>
    <w:p w14:paraId="6BBB9744" w14:textId="77777777" w:rsidR="005C0EF5" w:rsidRPr="00084D33" w:rsidRDefault="005C0EF5" w:rsidP="00747535">
      <w:pPr>
        <w:ind w:left="1080"/>
        <w:rPr>
          <w:rFonts w:cs="Times New Roman"/>
        </w:rPr>
      </w:pPr>
    </w:p>
    <w:p w14:paraId="213E66D9" w14:textId="2103453A" w:rsidR="002144CA" w:rsidRPr="00084D33" w:rsidRDefault="002144CA" w:rsidP="00747535">
      <w:pPr>
        <w:pStyle w:val="Textoindependiente"/>
        <w:spacing w:line="360" w:lineRule="auto"/>
        <w:jc w:val="both"/>
        <w:rPr>
          <w:color w:val="767171"/>
        </w:rPr>
      </w:pPr>
      <w:r w:rsidRPr="00084D33">
        <w:rPr>
          <w:color w:val="767171"/>
        </w:rPr>
        <w:t>Gestionar el sector de Obras Públicas y Comunicaciones, a través de la regulación, planificación, construcción y mantenimiento de la infraestructura física requerida para el desarrollo socioeconómico sostenible de la República Dominicana.</w:t>
      </w:r>
    </w:p>
    <w:p w14:paraId="5AE83B43" w14:textId="77777777" w:rsidR="00BC0F3D" w:rsidRPr="00084D33" w:rsidRDefault="00BC0F3D" w:rsidP="00747535">
      <w:pPr>
        <w:rPr>
          <w:rFonts w:cs="Times New Roman"/>
          <w:sz w:val="18"/>
          <w:szCs w:val="18"/>
        </w:rPr>
      </w:pPr>
    </w:p>
    <w:p w14:paraId="7AE1FFAA" w14:textId="4930BCC4" w:rsidR="002144CA" w:rsidRPr="00084D33" w:rsidRDefault="00A51B9A" w:rsidP="00C8247A">
      <w:pPr>
        <w:pStyle w:val="Ttulo1"/>
        <w:numPr>
          <w:ilvl w:val="0"/>
          <w:numId w:val="0"/>
        </w:numPr>
        <w:ind w:left="2051"/>
        <w:jc w:val="both"/>
        <w:rPr>
          <w:rFonts w:cs="Times New Roman"/>
          <w:b/>
          <w:sz w:val="24"/>
          <w:szCs w:val="24"/>
        </w:rPr>
      </w:pPr>
      <w:bookmarkStart w:id="24" w:name="_Toc186924345"/>
      <w:r w:rsidRPr="00084D33">
        <w:rPr>
          <w:rFonts w:cs="Times New Roman"/>
          <w:b/>
          <w:sz w:val="24"/>
          <w:szCs w:val="24"/>
        </w:rPr>
        <w:t xml:space="preserve">2.1.2 </w:t>
      </w:r>
      <w:r w:rsidR="002144CA" w:rsidRPr="00084D33">
        <w:rPr>
          <w:rFonts w:cs="Times New Roman"/>
          <w:b/>
          <w:sz w:val="24"/>
          <w:szCs w:val="24"/>
        </w:rPr>
        <w:t>Visión</w:t>
      </w:r>
      <w:bookmarkEnd w:id="24"/>
    </w:p>
    <w:p w14:paraId="4140B8DC" w14:textId="15717CE1" w:rsidR="002144CA" w:rsidRPr="00084D33" w:rsidRDefault="002144CA" w:rsidP="00747535">
      <w:pPr>
        <w:pStyle w:val="Textoindependiente"/>
        <w:spacing w:line="360" w:lineRule="auto"/>
        <w:jc w:val="both"/>
        <w:rPr>
          <w:color w:val="767171"/>
        </w:rPr>
      </w:pPr>
      <w:r w:rsidRPr="00084D33">
        <w:rPr>
          <w:color w:val="767171"/>
        </w:rPr>
        <w:t>Construir la más avanzada, moderna y segura infraestructura de vías y edificaciones de la región, con una eficiente red de servicios, que permita al país su desarrollo y competitividad, el acceso e inclusión de todo su territorio en las fuentes y procesos de producción, y facilite la convivencia entre sus comunidades.</w:t>
      </w:r>
    </w:p>
    <w:p w14:paraId="068A5A4E" w14:textId="77777777" w:rsidR="003A0420" w:rsidRPr="00084D33" w:rsidRDefault="003A0420" w:rsidP="009A41B9">
      <w:pPr>
        <w:pStyle w:val="Textoindependiente"/>
        <w:rPr>
          <w:color w:val="767171"/>
        </w:rPr>
      </w:pPr>
    </w:p>
    <w:p w14:paraId="12C857AA" w14:textId="463FD4C9" w:rsidR="002144CA" w:rsidRPr="00084D33" w:rsidRDefault="00A51B9A" w:rsidP="00C8247A">
      <w:pPr>
        <w:pStyle w:val="Ttulo1"/>
        <w:numPr>
          <w:ilvl w:val="0"/>
          <w:numId w:val="0"/>
        </w:numPr>
        <w:ind w:left="2051"/>
        <w:jc w:val="both"/>
        <w:rPr>
          <w:rFonts w:cs="Times New Roman"/>
          <w:b/>
          <w:sz w:val="24"/>
          <w:szCs w:val="24"/>
        </w:rPr>
      </w:pPr>
      <w:bookmarkStart w:id="25" w:name="_Toc186924346"/>
      <w:r w:rsidRPr="00084D33">
        <w:rPr>
          <w:rFonts w:cs="Times New Roman"/>
          <w:b/>
          <w:sz w:val="24"/>
          <w:szCs w:val="24"/>
        </w:rPr>
        <w:t xml:space="preserve">2.1.3 </w:t>
      </w:r>
      <w:r w:rsidR="002144CA" w:rsidRPr="00084D33">
        <w:rPr>
          <w:rFonts w:cs="Times New Roman"/>
          <w:b/>
          <w:sz w:val="24"/>
          <w:szCs w:val="24"/>
        </w:rPr>
        <w:t>Valores</w:t>
      </w:r>
      <w:bookmarkEnd w:id="25"/>
    </w:p>
    <w:p w14:paraId="2AD7BEF2" w14:textId="77777777" w:rsidR="002144CA" w:rsidRPr="00084D33" w:rsidRDefault="002144CA" w:rsidP="00434A4D">
      <w:pPr>
        <w:rPr>
          <w:rFonts w:cs="Times New Roman"/>
        </w:rPr>
      </w:pPr>
    </w:p>
    <w:p w14:paraId="31C50782" w14:textId="3233C057" w:rsidR="002144CA" w:rsidRPr="00084D33" w:rsidRDefault="002144CA" w:rsidP="00DF71EE">
      <w:pPr>
        <w:pStyle w:val="Estilo1-Vietas-Parrafo"/>
        <w:ind w:left="270"/>
      </w:pPr>
      <w:r w:rsidRPr="00084D33">
        <w:t>Cuidado del Medio Ambiente:</w:t>
      </w:r>
      <w:r w:rsidR="004C6A3C" w:rsidRPr="00084D33">
        <w:t xml:space="preserve"> </w:t>
      </w:r>
      <w:r w:rsidRPr="00084D33">
        <w:t xml:space="preserve">procurando que el crecimiento y desarrollo se realice en armonía con el medio ambiente, velando porque </w:t>
      </w:r>
      <w:r w:rsidRPr="00084D33">
        <w:lastRenderedPageBreak/>
        <w:t>siempre se otorgue la prioridad necesaria en cada proyecto u obra a la protección de nuestros recursos naturales.</w:t>
      </w:r>
    </w:p>
    <w:p w14:paraId="01502BA2" w14:textId="2834D9A2" w:rsidR="002144CA" w:rsidRPr="00084D33" w:rsidRDefault="002144CA" w:rsidP="00DF71EE">
      <w:pPr>
        <w:pStyle w:val="Estilo1-Vietas-Parrafo"/>
        <w:ind w:left="270"/>
      </w:pPr>
      <w:r w:rsidRPr="00084D33">
        <w:t>Moderación:</w:t>
      </w:r>
      <w:r w:rsidR="004C6A3C" w:rsidRPr="00084D33">
        <w:t xml:space="preserve"> </w:t>
      </w:r>
      <w:r w:rsidRPr="00084D33">
        <w:t>promoviendo una cultura que evite los excesos, así como la valoración de alternativas viables en cada acción y decisión que sea necesaria.</w:t>
      </w:r>
    </w:p>
    <w:p w14:paraId="48C8934E" w14:textId="7656C1A2" w:rsidR="005C0EF5" w:rsidRPr="00084D33" w:rsidRDefault="002144CA" w:rsidP="00DF71EE">
      <w:pPr>
        <w:pStyle w:val="Estilo1-Vietas-Parrafo"/>
        <w:ind w:left="270"/>
      </w:pPr>
      <w:r w:rsidRPr="00084D33">
        <w:t>Transparencia:</w:t>
      </w:r>
      <w:r w:rsidR="004C6A3C" w:rsidRPr="00084D33">
        <w:t xml:space="preserve"> </w:t>
      </w:r>
      <w:r w:rsidRPr="00084D33">
        <w:t>motivando una conducta ética y honesta de nuestros empleados y una administración que vele por el cumplimiento de las leyes y procedimientos relativos al buen uso de los recursos del Estado.</w:t>
      </w:r>
    </w:p>
    <w:p w14:paraId="549107F2" w14:textId="76CF529E" w:rsidR="002144CA" w:rsidRPr="00084D33" w:rsidRDefault="002144CA" w:rsidP="00DF71EE">
      <w:pPr>
        <w:pStyle w:val="Estilo1-Vietas-Parrafo"/>
        <w:ind w:left="270"/>
      </w:pPr>
      <w:r w:rsidRPr="00084D33">
        <w:t>Calidad:</w:t>
      </w:r>
      <w:r w:rsidR="004C6A3C" w:rsidRPr="00084D33">
        <w:t xml:space="preserve"> </w:t>
      </w:r>
      <w:r w:rsidRPr="00084D33">
        <w:t>desarrollando estándares que garanticen los mejores resultados posibles con los recursos disponibles, a través de fomentar la búsqueda, conocimiento y uso constante de las mejores prácticas y referencias en la planificación y ejecución de proyectos.</w:t>
      </w:r>
    </w:p>
    <w:p w14:paraId="7963EE3F" w14:textId="77777777" w:rsidR="002144CA" w:rsidRPr="00084D33" w:rsidRDefault="002144CA" w:rsidP="00DF71EE">
      <w:pPr>
        <w:pStyle w:val="Estilo1-Vietas-Parrafo"/>
        <w:ind w:left="270"/>
      </w:pPr>
      <w:r w:rsidRPr="00084D33">
        <w:t>Equidad: fomentando un ambiente de respeto e igualdad en el trato con nuestros relacionados.</w:t>
      </w:r>
    </w:p>
    <w:p w14:paraId="1441CD64" w14:textId="77777777" w:rsidR="0035733B" w:rsidRPr="00084D33" w:rsidRDefault="002144CA" w:rsidP="00DF71EE">
      <w:pPr>
        <w:pStyle w:val="Estilo1-Vietas-Parrafo"/>
        <w:ind w:left="270"/>
      </w:pPr>
      <w:r w:rsidRPr="00084D33">
        <w:t>Compromiso Social: velando por las necesidades y demandas de todos los ciudadanos, y trabajando en bien de su progreso y desarrollo.</w:t>
      </w:r>
    </w:p>
    <w:p w14:paraId="4343349B" w14:textId="77777777" w:rsidR="003A0420" w:rsidRPr="00084D33" w:rsidRDefault="003A0420" w:rsidP="00DF71EE">
      <w:pPr>
        <w:ind w:left="270"/>
        <w:rPr>
          <w:rFonts w:cs="Times New Roman"/>
        </w:rPr>
      </w:pPr>
    </w:p>
    <w:p w14:paraId="0AC9B84C" w14:textId="37F913C7" w:rsidR="002144CA" w:rsidRPr="00084D33" w:rsidRDefault="002144CA" w:rsidP="00C517AE">
      <w:pPr>
        <w:pStyle w:val="Ttulo1"/>
        <w:numPr>
          <w:ilvl w:val="1"/>
          <w:numId w:val="14"/>
        </w:numPr>
        <w:ind w:left="270" w:firstLine="0"/>
        <w:rPr>
          <w:rFonts w:cs="Times New Roman"/>
          <w:b/>
          <w:sz w:val="24"/>
          <w:szCs w:val="24"/>
        </w:rPr>
      </w:pPr>
      <w:bookmarkStart w:id="26" w:name="_Toc441696885"/>
      <w:bookmarkStart w:id="27" w:name="_Toc471986252"/>
      <w:bookmarkStart w:id="28" w:name="_Toc472434763"/>
      <w:bookmarkStart w:id="29" w:name="_Toc504947328"/>
      <w:bookmarkStart w:id="30" w:name="_Toc504947754"/>
      <w:bookmarkStart w:id="31" w:name="_Toc505070610"/>
      <w:bookmarkStart w:id="32" w:name="_Toc976994"/>
      <w:bookmarkStart w:id="33" w:name="_Toc1381783"/>
      <w:bookmarkStart w:id="34" w:name="_Toc1418532"/>
      <w:bookmarkStart w:id="35" w:name="_Toc186924347"/>
      <w:r w:rsidRPr="00084D33">
        <w:rPr>
          <w:rFonts w:cs="Times New Roman"/>
          <w:b/>
          <w:sz w:val="24"/>
          <w:szCs w:val="24"/>
        </w:rPr>
        <w:t xml:space="preserve">Base Legal </w:t>
      </w:r>
      <w:bookmarkEnd w:id="26"/>
      <w:bookmarkEnd w:id="27"/>
      <w:bookmarkEnd w:id="28"/>
      <w:bookmarkEnd w:id="29"/>
      <w:bookmarkEnd w:id="30"/>
      <w:bookmarkEnd w:id="31"/>
      <w:bookmarkEnd w:id="32"/>
      <w:bookmarkEnd w:id="33"/>
      <w:bookmarkEnd w:id="34"/>
      <w:r w:rsidR="00831BCB" w:rsidRPr="00084D33">
        <w:rPr>
          <w:rFonts w:cs="Times New Roman"/>
          <w:b/>
          <w:sz w:val="24"/>
          <w:szCs w:val="24"/>
        </w:rPr>
        <w:t>Institucional</w:t>
      </w:r>
      <w:bookmarkEnd w:id="35"/>
    </w:p>
    <w:p w14:paraId="1043FA45" w14:textId="77777777" w:rsidR="00C21FA8" w:rsidRPr="00084D33" w:rsidRDefault="00C21FA8" w:rsidP="00DF71EE">
      <w:pPr>
        <w:pStyle w:val="Textoindependiente"/>
        <w:spacing w:line="360" w:lineRule="auto"/>
        <w:ind w:left="270"/>
        <w:jc w:val="both"/>
        <w:rPr>
          <w:color w:val="767171"/>
        </w:rPr>
      </w:pPr>
    </w:p>
    <w:p w14:paraId="35CD15B4" w14:textId="092AAA50" w:rsidR="00587242" w:rsidRPr="00084D33" w:rsidRDefault="00B15763" w:rsidP="00DF71EE">
      <w:pPr>
        <w:pStyle w:val="Textoindependienteprimerasangra2"/>
        <w:ind w:left="270" w:firstLine="0"/>
        <w:rPr>
          <w:rFonts w:cs="Times New Roman"/>
        </w:rPr>
      </w:pPr>
      <w:r w:rsidRPr="00084D33">
        <w:rPr>
          <w:rFonts w:cs="Times New Roman"/>
        </w:rPr>
        <w:t xml:space="preserve">El Ministerio de Obras Públicas y Comunicaciones (MOPC), fue creado mediante el Decreto Núm. 340 del 4 de mayo del 1854, cuando se crea la Secretaría de Estado de Guerra, Marina y Obras Públicas, pero la reforma constitucional de </w:t>
      </w:r>
      <w:r w:rsidR="001D3E75" w:rsidRPr="00084D33">
        <w:rPr>
          <w:rFonts w:cs="Times New Roman"/>
        </w:rPr>
        <w:t>diciembre</w:t>
      </w:r>
      <w:r w:rsidRPr="00084D33">
        <w:rPr>
          <w:rFonts w:cs="Times New Roman"/>
        </w:rPr>
        <w:t xml:space="preserve"> de 1854 retoma la nomenclatura anterior y suprime la referencia a las obras públicas.</w:t>
      </w:r>
    </w:p>
    <w:p w14:paraId="6FEC75D9" w14:textId="77777777" w:rsidR="00C3344A" w:rsidRPr="00084D33" w:rsidRDefault="00C3344A" w:rsidP="00DF71EE">
      <w:pPr>
        <w:pStyle w:val="Textoindependienteprimerasangra2"/>
        <w:ind w:left="270" w:firstLine="0"/>
        <w:rPr>
          <w:rFonts w:cs="Times New Roman"/>
        </w:rPr>
      </w:pPr>
    </w:p>
    <w:p w14:paraId="64B8F160" w14:textId="09528B3E" w:rsidR="00765BDB" w:rsidRPr="00084D33" w:rsidRDefault="00B15763" w:rsidP="00DF71EE">
      <w:pPr>
        <w:pStyle w:val="Estilo1-Vietas-Parrafo"/>
        <w:ind w:left="270"/>
      </w:pPr>
      <w:r w:rsidRPr="00084D33">
        <w:t xml:space="preserve">Fue </w:t>
      </w:r>
      <w:r w:rsidR="00CB53F0" w:rsidRPr="00084D33">
        <w:t>reinstituido</w:t>
      </w:r>
      <w:r w:rsidRPr="00084D33">
        <w:t xml:space="preserve"> permanentemente en 1887 como Secretaría de Estado de Fomento y Obras Públicas. Para 1916,</w:t>
      </w:r>
      <w:r w:rsidR="0039380F" w:rsidRPr="00084D33">
        <w:t xml:space="preserve"> todavía</w:t>
      </w:r>
      <w:r w:rsidRPr="00084D33">
        <w:t xml:space="preserve"> tenía por nombre Secretaría de Estado de Fomento y Comunicaciones, estando encargada </w:t>
      </w:r>
      <w:r w:rsidR="009A41B9" w:rsidRPr="00084D33">
        <w:lastRenderedPageBreak/>
        <w:t>“</w:t>
      </w:r>
      <w:r w:rsidRPr="00084D33">
        <w:t>del servicio postal de la República, del telégrafo y el teléfono nacional, de los faros y de las obras públicas efectuadas por el gobierno</w:t>
      </w:r>
      <w:r w:rsidR="009A41B9" w:rsidRPr="00084D33">
        <w:t>”</w:t>
      </w:r>
      <w:r w:rsidRPr="00084D33">
        <w:t>.</w:t>
      </w:r>
    </w:p>
    <w:p w14:paraId="32108AAD" w14:textId="77BE50E5" w:rsidR="00765BDB" w:rsidRPr="00084D33" w:rsidRDefault="003A61E8" w:rsidP="00DF71EE">
      <w:pPr>
        <w:pStyle w:val="Estilo1-Vietas-Parrafo"/>
        <w:ind w:left="270"/>
      </w:pPr>
      <w:r w:rsidRPr="00084D33">
        <w:t>Reglamento Núm. 5269, del 30 de julio de 1913, Gaceta Oficial Núm. 2428, que describe la organización del Departamento de Obras Públicas, dependiente de la Secretaría de Estado de Fomento y Comunicaciones</w:t>
      </w:r>
      <w:r w:rsidR="0039380F" w:rsidRPr="00084D33">
        <w:t>.</w:t>
      </w:r>
    </w:p>
    <w:p w14:paraId="5F551959" w14:textId="0F7709AA" w:rsidR="00765BDB" w:rsidRPr="00084D33" w:rsidRDefault="0039380F" w:rsidP="00DF71EE">
      <w:pPr>
        <w:pStyle w:val="Estilo1-Vietas-Parrafo"/>
        <w:ind w:left="270"/>
      </w:pPr>
      <w:r w:rsidRPr="00084D33">
        <w:t>Ley Núm.1146, de 25 de mayo de 1929, Gaceta Oficial Núm.4098, que crea la Secretaría de Estado de Fomento y Obras Públicas y le asigna sus funciones.</w:t>
      </w:r>
    </w:p>
    <w:p w14:paraId="6D48018C" w14:textId="431ED7B2" w:rsidR="00765BDB" w:rsidRPr="00084D33" w:rsidRDefault="00FB3F8A" w:rsidP="00DF71EE">
      <w:pPr>
        <w:pStyle w:val="Estilo1-Vietas-Parrafo"/>
        <w:ind w:left="270"/>
      </w:pPr>
      <w:r w:rsidRPr="00084D33">
        <w:t>Ley Núm. 1474, del 22 de marzo de 1938, Gaceta Oficial Núm.5142, sobre Vías de Comunicaciones, mediante la cual se apodera a Obras Públicas de todo lo concerniente a las Vías Nacionales.</w:t>
      </w:r>
    </w:p>
    <w:p w14:paraId="758141E2" w14:textId="072CE9A4" w:rsidR="00765BDB" w:rsidRPr="00084D33" w:rsidRDefault="00623BB9" w:rsidP="00DF71EE">
      <w:pPr>
        <w:pStyle w:val="Estilo1-Vietas-Parrafo"/>
        <w:ind w:left="270"/>
      </w:pPr>
      <w:r w:rsidRPr="00084D33">
        <w:t>Decreto Núm. 1489, del 11 de febrero de 1956 y sus modificaciones, Gaceta Oficial Núm.7947, sobre funciones a cargo de la Secretaría de Estado.</w:t>
      </w:r>
    </w:p>
    <w:p w14:paraId="55EC6CA6" w14:textId="2829280D" w:rsidR="00765BDB" w:rsidRPr="00084D33" w:rsidRDefault="00FB3F8A" w:rsidP="00DF71EE">
      <w:pPr>
        <w:pStyle w:val="Estilo1-Vietas-Parrafo"/>
        <w:ind w:left="270"/>
      </w:pPr>
      <w:r w:rsidRPr="00084D33">
        <w:t xml:space="preserve">Decreto Núm. 5406, del 28 de </w:t>
      </w:r>
      <w:r w:rsidR="001D3E75" w:rsidRPr="00084D33">
        <w:t>diciembre</w:t>
      </w:r>
      <w:r w:rsidRPr="00084D33">
        <w:t xml:space="preserve"> de 1959, Gaceta Oficial Núm. 8438, se denomina Secretaría de Estado de Obras Públicas y Comunicaciones.</w:t>
      </w:r>
    </w:p>
    <w:p w14:paraId="6E7E707F" w14:textId="645B0D37" w:rsidR="00765BDB" w:rsidRPr="00084D33" w:rsidRDefault="00813B64" w:rsidP="00DF71EE">
      <w:pPr>
        <w:pStyle w:val="Estilo1-Vietas-Parrafo"/>
        <w:ind w:left="270"/>
      </w:pPr>
      <w:r w:rsidRPr="00084D33">
        <w:t xml:space="preserve">Ley Núm. 55, de 22 de </w:t>
      </w:r>
      <w:r w:rsidR="001D3E75" w:rsidRPr="00084D33">
        <w:t>diciembre</w:t>
      </w:r>
      <w:r w:rsidRPr="00084D33">
        <w:t xml:space="preserve"> de 1965, Gaceta Oficial Núm.8958, establece la creación de Oficinas de Programación en los diferentes Ministerios e Instituciones Autónomas, con la finalidad de que brinden asesoría a los ejecutivos de dichas instituciones.</w:t>
      </w:r>
    </w:p>
    <w:p w14:paraId="11112812" w14:textId="77777777" w:rsidR="00813B64" w:rsidRPr="00084D33" w:rsidRDefault="00813B64" w:rsidP="00DF71EE">
      <w:pPr>
        <w:pStyle w:val="Estilo1-Vietas-Parrafo"/>
        <w:ind w:left="270"/>
      </w:pPr>
      <w:r w:rsidRPr="00084D33">
        <w:t>Ley Núm. 165 del 28 de marzo de 1966, Gaceta Oficial Núm. 8987, que crea la Dirección General de Tránsito Terrestre. Constitución Política de la República, reformada el 14 de agosto del 1994, Gaceta Oficial Núm. 9890.</w:t>
      </w:r>
    </w:p>
    <w:p w14:paraId="68161C3F" w14:textId="4E358D58" w:rsidR="00765BDB" w:rsidRPr="00084D33" w:rsidRDefault="00813B64" w:rsidP="00DF71EE">
      <w:pPr>
        <w:pStyle w:val="Estilo1-Vietas-Parrafo"/>
        <w:ind w:left="270"/>
      </w:pPr>
      <w:r w:rsidRPr="00084D33">
        <w:lastRenderedPageBreak/>
        <w:t xml:space="preserve">Ley Núm. 8, del 15 de </w:t>
      </w:r>
      <w:r w:rsidR="001D3E75" w:rsidRPr="00084D33">
        <w:t>diciembre</w:t>
      </w:r>
      <w:r w:rsidRPr="00084D33">
        <w:t xml:space="preserve"> del 1978, Gaceta Oficial Núm. 9489, que adscribe la Comisión Aeroportuaria a la Secretaría de Estado de Obra Públicas y Comunicaciones.</w:t>
      </w:r>
    </w:p>
    <w:p w14:paraId="1A7EA4CE" w14:textId="66012F6C" w:rsidR="00765BDB" w:rsidRPr="00084D33" w:rsidRDefault="00813B64" w:rsidP="00DF71EE">
      <w:pPr>
        <w:pStyle w:val="Estilo1-Vietas-Parrafo"/>
        <w:ind w:left="270"/>
      </w:pPr>
      <w:r w:rsidRPr="00084D33">
        <w:t xml:space="preserve">Ley Núm. 687, del 27 de julio de 1982, Gaceta Oficial Núm. 9593, que crea la Dirección General de Reglamentos y Sistemas. </w:t>
      </w:r>
    </w:p>
    <w:p w14:paraId="0249B649" w14:textId="6B20B59B" w:rsidR="00813B64" w:rsidRPr="00084D33" w:rsidRDefault="00813B64" w:rsidP="00DF71EE">
      <w:pPr>
        <w:pStyle w:val="Estilo1-Vietas-Parrafo"/>
        <w:ind w:left="270"/>
      </w:pPr>
      <w:r w:rsidRPr="00084D33">
        <w:t>Decreto No. 44, del 17 de febrero de 1999, Gaceta Oficial Núm. 10008, que crea la Dirección General de Control, Mantenimiento y Supervisión del Sistema de Peajes Nacionales.</w:t>
      </w:r>
      <w:r w:rsidR="00BC577E" w:rsidRPr="00084D33">
        <w:t xml:space="preserve"> </w:t>
      </w:r>
    </w:p>
    <w:p w14:paraId="23CA771B" w14:textId="74B175A7" w:rsidR="00765BDB" w:rsidRPr="00084D33" w:rsidRDefault="00813B64" w:rsidP="00DF71EE">
      <w:pPr>
        <w:pStyle w:val="Estilo1-Vietas-Parrafo"/>
        <w:ind w:left="270"/>
      </w:pPr>
      <w:r w:rsidRPr="00084D33">
        <w:t xml:space="preserve">Ley Núm. 498-06 del 28 de </w:t>
      </w:r>
      <w:r w:rsidR="001D3E75" w:rsidRPr="00084D33">
        <w:t>diciembre</w:t>
      </w:r>
      <w:r w:rsidRPr="00084D33">
        <w:t xml:space="preserve"> de 2006, que establece el Sistema Nacional de Planificación e Inversión Pública, por la cual se cambia la nomenclatura de la Dirección General de Planificación y Programación de Inversiones por Dirección General de Planificación y Desarrollo.</w:t>
      </w:r>
    </w:p>
    <w:p w14:paraId="7C5288F3" w14:textId="0A648A17" w:rsidR="00765BDB" w:rsidRPr="00084D33" w:rsidRDefault="00813B64" w:rsidP="00DF71EE">
      <w:pPr>
        <w:pStyle w:val="Estilo1-Vietas-Parrafo"/>
        <w:ind w:left="270"/>
      </w:pPr>
      <w:r w:rsidRPr="00084D33">
        <w:t xml:space="preserve">Decreto No 896-09, del 15 de </w:t>
      </w:r>
      <w:r w:rsidR="001D3E75" w:rsidRPr="00084D33">
        <w:t>diciembre</w:t>
      </w:r>
      <w:r w:rsidRPr="00084D33">
        <w:t xml:space="preserve"> del 2009, que crea la Dirección General de Estudios, Diseños de Infraestructura y Presupuestos y la Dirección General de Operaciones y Mantenimiento Vial y deroga el Decreto 326-87 del 18 de junio de 1987, en sus artículos 1, 2, 3,5 y 6, así como el Decreto No. 435-96 del 12 de septiembre de 1996, en todas sus partes.</w:t>
      </w:r>
    </w:p>
    <w:p w14:paraId="41196E40" w14:textId="50475859" w:rsidR="00D741D7" w:rsidRPr="00084D33" w:rsidRDefault="00D741D7" w:rsidP="007202A9">
      <w:pPr>
        <w:pStyle w:val="Listaconvietas2"/>
        <w:numPr>
          <w:ilvl w:val="0"/>
          <w:numId w:val="21"/>
        </w:numPr>
        <w:ind w:left="270" w:firstLine="0"/>
        <w:rPr>
          <w:rFonts w:cs="Times New Roman"/>
        </w:rPr>
      </w:pPr>
      <w:r w:rsidRPr="00084D33">
        <w:rPr>
          <w:rFonts w:cs="Times New Roman"/>
        </w:rPr>
        <w:t>Decreto 56-10 del 8 de Febrero de 2010, dispone que las Secretarías de Estado pasar</w:t>
      </w:r>
      <w:r w:rsidR="003A61E8" w:rsidRPr="00084D33">
        <w:rPr>
          <w:rFonts w:cs="Times New Roman"/>
        </w:rPr>
        <w:t>a</w:t>
      </w:r>
      <w:r w:rsidRPr="00084D33">
        <w:rPr>
          <w:rFonts w:cs="Times New Roman"/>
        </w:rPr>
        <w:t>n a denominarse Ministerios, es denominada Ministerio de Obras Públicas y Comunicaciones (MOPC).</w:t>
      </w:r>
    </w:p>
    <w:p w14:paraId="5C151D3B" w14:textId="77777777" w:rsidR="00765BDB" w:rsidRPr="00084D33" w:rsidRDefault="00765BDB" w:rsidP="00765BDB">
      <w:pPr>
        <w:pStyle w:val="Listaconvietas2"/>
        <w:numPr>
          <w:ilvl w:val="0"/>
          <w:numId w:val="0"/>
        </w:numPr>
        <w:ind w:left="720"/>
        <w:rPr>
          <w:rFonts w:cs="Times New Roman"/>
        </w:rPr>
      </w:pPr>
    </w:p>
    <w:p w14:paraId="1A15854A" w14:textId="77777777" w:rsidR="002144CA" w:rsidRPr="00084D33" w:rsidRDefault="002144CA" w:rsidP="007202A9">
      <w:pPr>
        <w:pStyle w:val="Listaconvietas2"/>
        <w:numPr>
          <w:ilvl w:val="0"/>
          <w:numId w:val="21"/>
        </w:numPr>
        <w:ind w:left="270" w:firstLine="0"/>
        <w:rPr>
          <w:rFonts w:cs="Times New Roman"/>
        </w:rPr>
      </w:pPr>
      <w:r w:rsidRPr="00084D33">
        <w:rPr>
          <w:rFonts w:cs="Times New Roman"/>
        </w:rPr>
        <w:t>Ley 63-17, de fecha 21 de febrero del año 2017, que crea el Instituto Nacional de Tránsito y Transporte Terrestre (INTRANT), como organismo rector del sistema de movilidad, transporte terrestre, tránsito y seguridad vial de la República Dominicana, adscrito al Ministerio de Obras Públicas y Comunicaciones (MOPC).</w:t>
      </w:r>
    </w:p>
    <w:p w14:paraId="0586DBCA" w14:textId="77777777" w:rsidR="00927C5E" w:rsidRPr="00084D33" w:rsidRDefault="00927C5E" w:rsidP="00587242">
      <w:pPr>
        <w:rPr>
          <w:rFonts w:cs="Times New Roman"/>
        </w:rPr>
      </w:pPr>
    </w:p>
    <w:p w14:paraId="692B4B41" w14:textId="7887CB28" w:rsidR="00587242" w:rsidRPr="00084D33" w:rsidRDefault="00F54802" w:rsidP="00C517AE">
      <w:pPr>
        <w:pStyle w:val="Ttulo3"/>
        <w:ind w:left="709" w:firstLine="709"/>
        <w:rPr>
          <w:rFonts w:ascii="Times New Roman" w:hAnsi="Times New Roman" w:cs="Times New Roman"/>
          <w:b/>
          <w:color w:val="767171"/>
          <w:sz w:val="24"/>
        </w:rPr>
      </w:pPr>
      <w:bookmarkStart w:id="36" w:name="_Toc186924348"/>
      <w:r w:rsidRPr="00084D33">
        <w:rPr>
          <w:rFonts w:ascii="Times New Roman" w:hAnsi="Times New Roman" w:cs="Times New Roman"/>
          <w:b/>
          <w:color w:val="767171"/>
          <w:sz w:val="24"/>
        </w:rPr>
        <w:lastRenderedPageBreak/>
        <w:t xml:space="preserve">2.2.1 </w:t>
      </w:r>
      <w:r w:rsidR="00623BB9" w:rsidRPr="00084D33">
        <w:rPr>
          <w:rFonts w:ascii="Times New Roman" w:hAnsi="Times New Roman" w:cs="Times New Roman"/>
          <w:b/>
          <w:color w:val="767171"/>
          <w:sz w:val="24"/>
        </w:rPr>
        <w:t>Otras Leyes y Decretos</w:t>
      </w:r>
      <w:bookmarkEnd w:id="36"/>
    </w:p>
    <w:p w14:paraId="6780D5A2" w14:textId="77777777" w:rsidR="00765BDB" w:rsidRPr="00084D33" w:rsidRDefault="00765BDB" w:rsidP="00765BDB">
      <w:pPr>
        <w:rPr>
          <w:rFonts w:cs="Times New Roman"/>
          <w:b/>
        </w:rPr>
      </w:pPr>
    </w:p>
    <w:p w14:paraId="0069CC36" w14:textId="37A4A14F" w:rsidR="00587242" w:rsidRPr="00084D33" w:rsidRDefault="00587242" w:rsidP="007202A9">
      <w:pPr>
        <w:pStyle w:val="Listaconvietas2"/>
        <w:numPr>
          <w:ilvl w:val="0"/>
          <w:numId w:val="22"/>
        </w:numPr>
        <w:rPr>
          <w:rFonts w:cs="Times New Roman"/>
        </w:rPr>
      </w:pPr>
      <w:r w:rsidRPr="00084D33">
        <w:rPr>
          <w:rFonts w:cs="Times New Roman"/>
        </w:rPr>
        <w:t xml:space="preserve">Ley Núm. 675, del 31 de agosto del 1944, Gaceta Oficial Núm. 6138, sobre Ornato Público y Construcciones. </w:t>
      </w:r>
    </w:p>
    <w:p w14:paraId="41CD31A9" w14:textId="77777777" w:rsidR="00765BDB" w:rsidRPr="00084D33" w:rsidRDefault="00765BDB" w:rsidP="00765BDB">
      <w:pPr>
        <w:pStyle w:val="Listaconvietas2"/>
        <w:numPr>
          <w:ilvl w:val="0"/>
          <w:numId w:val="0"/>
        </w:numPr>
        <w:ind w:left="720"/>
        <w:rPr>
          <w:rFonts w:cs="Times New Roman"/>
        </w:rPr>
      </w:pPr>
    </w:p>
    <w:p w14:paraId="2C2DC138" w14:textId="5A2ADF39" w:rsidR="00587242" w:rsidRPr="00084D33" w:rsidRDefault="00587242" w:rsidP="007202A9">
      <w:pPr>
        <w:pStyle w:val="Listaconvietas2"/>
        <w:numPr>
          <w:ilvl w:val="0"/>
          <w:numId w:val="22"/>
        </w:numPr>
        <w:rPr>
          <w:rFonts w:cs="Times New Roman"/>
        </w:rPr>
      </w:pPr>
      <w:r w:rsidRPr="00084D33">
        <w:rPr>
          <w:rFonts w:cs="Times New Roman"/>
        </w:rPr>
        <w:t>Ley Núm. 118, del 1ero de febrero de 1956, Gaceta Oficial Núm. 8970, sobre Telecomunicaciones, crea la Dirección General de Telecomunicaciones.</w:t>
      </w:r>
    </w:p>
    <w:p w14:paraId="58E3250F" w14:textId="77777777" w:rsidR="00765BDB" w:rsidRPr="00084D33" w:rsidRDefault="00765BDB" w:rsidP="00765BDB">
      <w:pPr>
        <w:ind w:left="750"/>
        <w:rPr>
          <w:rFonts w:cs="Times New Roman"/>
        </w:rPr>
      </w:pPr>
    </w:p>
    <w:p w14:paraId="439949DD" w14:textId="16D0D2F1" w:rsidR="00587242" w:rsidRPr="00084D33" w:rsidRDefault="00587242" w:rsidP="007202A9">
      <w:pPr>
        <w:pStyle w:val="Listaconvietas2"/>
        <w:numPr>
          <w:ilvl w:val="0"/>
          <w:numId w:val="22"/>
        </w:numPr>
        <w:rPr>
          <w:rFonts w:cs="Times New Roman"/>
        </w:rPr>
      </w:pPr>
      <w:r w:rsidRPr="00084D33">
        <w:rPr>
          <w:rFonts w:cs="Times New Roman"/>
        </w:rPr>
        <w:t xml:space="preserve">Ley Núm. 4378 Orgánica de Secretaría de </w:t>
      </w:r>
      <w:r w:rsidR="00623BB9" w:rsidRPr="00084D33">
        <w:rPr>
          <w:rFonts w:cs="Times New Roman"/>
        </w:rPr>
        <w:t>Estado,</w:t>
      </w:r>
      <w:r w:rsidRPr="00084D33">
        <w:rPr>
          <w:rFonts w:cs="Times New Roman"/>
        </w:rPr>
        <w:t xml:space="preserve"> del 10 de febrero de 1956, Gaceta Oficial Núm. 7947</w:t>
      </w:r>
      <w:r w:rsidR="00623BB9" w:rsidRPr="00084D33">
        <w:rPr>
          <w:rFonts w:cs="Times New Roman"/>
        </w:rPr>
        <w:t>.</w:t>
      </w:r>
      <w:r w:rsidR="006E0BEA" w:rsidRPr="00084D33">
        <w:rPr>
          <w:rFonts w:cs="Times New Roman"/>
        </w:rPr>
        <w:t xml:space="preserve"> </w:t>
      </w:r>
    </w:p>
    <w:p w14:paraId="05FC0744" w14:textId="77777777" w:rsidR="00765BDB" w:rsidRPr="00084D33" w:rsidRDefault="00765BDB" w:rsidP="00765BDB">
      <w:pPr>
        <w:rPr>
          <w:rFonts w:cs="Times New Roman"/>
        </w:rPr>
      </w:pPr>
    </w:p>
    <w:p w14:paraId="6AB3728F" w14:textId="2EF2E133" w:rsidR="00587242" w:rsidRPr="00084D33" w:rsidRDefault="00587242" w:rsidP="007202A9">
      <w:pPr>
        <w:pStyle w:val="Listaconvietas2"/>
        <w:numPr>
          <w:ilvl w:val="0"/>
          <w:numId w:val="22"/>
        </w:numPr>
        <w:rPr>
          <w:rFonts w:cs="Times New Roman"/>
        </w:rPr>
      </w:pPr>
      <w:r w:rsidRPr="00084D33">
        <w:rPr>
          <w:rFonts w:cs="Times New Roman"/>
        </w:rPr>
        <w:t xml:space="preserve">Ley Núm. 55, de 22 de </w:t>
      </w:r>
      <w:r w:rsidR="001D3E75" w:rsidRPr="00084D33">
        <w:rPr>
          <w:rFonts w:cs="Times New Roman"/>
        </w:rPr>
        <w:t>diciembre</w:t>
      </w:r>
      <w:r w:rsidRPr="00084D33">
        <w:rPr>
          <w:rFonts w:cs="Times New Roman"/>
        </w:rPr>
        <w:t xml:space="preserve"> de 1965, Gaceta Oficial Núm.8958, establece la creación de Oficinas de Programación en los diferentes Ministerios e Instituciones Autónomas, con la finalidad de que brinden asesoría a los ejecutivos de dichas instituciones.</w:t>
      </w:r>
    </w:p>
    <w:p w14:paraId="76EF0D6E" w14:textId="77777777" w:rsidR="00765BDB" w:rsidRPr="00084D33" w:rsidRDefault="00765BDB" w:rsidP="00765BDB">
      <w:pPr>
        <w:pStyle w:val="Listaconvietas2"/>
        <w:numPr>
          <w:ilvl w:val="0"/>
          <w:numId w:val="0"/>
        </w:numPr>
        <w:ind w:left="360"/>
        <w:rPr>
          <w:rFonts w:cs="Times New Roman"/>
        </w:rPr>
      </w:pPr>
    </w:p>
    <w:p w14:paraId="5E3A186A" w14:textId="067ABCE1" w:rsidR="00587242" w:rsidRPr="00084D33" w:rsidRDefault="00587242" w:rsidP="007202A9">
      <w:pPr>
        <w:pStyle w:val="Listaconvietas2"/>
        <w:numPr>
          <w:ilvl w:val="0"/>
          <w:numId w:val="22"/>
        </w:numPr>
        <w:rPr>
          <w:rFonts w:cs="Times New Roman"/>
        </w:rPr>
      </w:pPr>
      <w:r w:rsidRPr="00084D33">
        <w:rPr>
          <w:rFonts w:cs="Times New Roman"/>
        </w:rPr>
        <w:t xml:space="preserve">Ley Núm. 165 del 28 de marzo de 1966, Gaceta Oficial Núm. 8987, que crea la Dirección General de Tránsito Terrestre. Constitución Política de la República, reformada el 14 de agosto del 1994, Gaceta Oficial Núm. 9890. </w:t>
      </w:r>
    </w:p>
    <w:p w14:paraId="2DACBCE9" w14:textId="77777777" w:rsidR="00765BDB" w:rsidRPr="00084D33" w:rsidRDefault="00765BDB" w:rsidP="00765BDB">
      <w:pPr>
        <w:pStyle w:val="Listaconvietas2"/>
        <w:numPr>
          <w:ilvl w:val="0"/>
          <w:numId w:val="0"/>
        </w:numPr>
        <w:ind w:left="720"/>
        <w:rPr>
          <w:rFonts w:cs="Times New Roman"/>
        </w:rPr>
      </w:pPr>
    </w:p>
    <w:p w14:paraId="019EC243" w14:textId="0402A583" w:rsidR="00587242" w:rsidRPr="00084D33" w:rsidRDefault="00587242" w:rsidP="007202A9">
      <w:pPr>
        <w:pStyle w:val="Listaconvietas2"/>
        <w:numPr>
          <w:ilvl w:val="0"/>
          <w:numId w:val="22"/>
        </w:numPr>
        <w:rPr>
          <w:rFonts w:cs="Times New Roman"/>
        </w:rPr>
      </w:pPr>
      <w:r w:rsidRPr="00084D33">
        <w:rPr>
          <w:rFonts w:cs="Times New Roman"/>
        </w:rPr>
        <w:t xml:space="preserve">Ley Núm. 8, del 15 de </w:t>
      </w:r>
      <w:r w:rsidR="001D3E75" w:rsidRPr="00084D33">
        <w:rPr>
          <w:rFonts w:cs="Times New Roman"/>
        </w:rPr>
        <w:t>diciembre</w:t>
      </w:r>
      <w:r w:rsidRPr="00084D33">
        <w:rPr>
          <w:rFonts w:cs="Times New Roman"/>
        </w:rPr>
        <w:t xml:space="preserve"> del 1978, Gaceta Oficial Núm. 9489, que adscribe la Comisión Aeroportuaria a la Secretaría de Estado de Obra Públicas y Comunicaciones.</w:t>
      </w:r>
    </w:p>
    <w:p w14:paraId="4952231B" w14:textId="77777777" w:rsidR="00765BDB" w:rsidRPr="00084D33" w:rsidRDefault="00765BDB" w:rsidP="00765BDB">
      <w:pPr>
        <w:pStyle w:val="Listaconvietas2"/>
        <w:numPr>
          <w:ilvl w:val="0"/>
          <w:numId w:val="0"/>
        </w:numPr>
        <w:ind w:left="720"/>
        <w:rPr>
          <w:rFonts w:cs="Times New Roman"/>
        </w:rPr>
      </w:pPr>
    </w:p>
    <w:p w14:paraId="0C4E93BD" w14:textId="4CFF175A" w:rsidR="00587242" w:rsidRPr="00084D33" w:rsidRDefault="00587242" w:rsidP="007202A9">
      <w:pPr>
        <w:pStyle w:val="Listaconvietas2"/>
        <w:numPr>
          <w:ilvl w:val="0"/>
          <w:numId w:val="22"/>
        </w:numPr>
        <w:rPr>
          <w:rFonts w:cs="Times New Roman"/>
        </w:rPr>
      </w:pPr>
      <w:r w:rsidRPr="00084D33">
        <w:rPr>
          <w:rFonts w:cs="Times New Roman"/>
        </w:rPr>
        <w:t>Ley Núm. 687, del 27 de julio de 1982, Gaceta Oficial Núm. 9593, que crea la Dirección General de Reglamentos y Sistemas.</w:t>
      </w:r>
    </w:p>
    <w:p w14:paraId="712FAED6" w14:textId="77777777" w:rsidR="00765BDB" w:rsidRPr="00084D33" w:rsidRDefault="00765BDB" w:rsidP="00765BDB">
      <w:pPr>
        <w:pStyle w:val="Listaconvietas2"/>
        <w:numPr>
          <w:ilvl w:val="0"/>
          <w:numId w:val="0"/>
        </w:numPr>
        <w:ind w:left="360"/>
        <w:rPr>
          <w:rFonts w:cs="Times New Roman"/>
        </w:rPr>
      </w:pPr>
    </w:p>
    <w:p w14:paraId="72801C80" w14:textId="57F150FF" w:rsidR="006E0BEA" w:rsidRPr="00084D33" w:rsidRDefault="006E0BEA" w:rsidP="007202A9">
      <w:pPr>
        <w:pStyle w:val="Listaconvietas2"/>
        <w:numPr>
          <w:ilvl w:val="0"/>
          <w:numId w:val="22"/>
        </w:numPr>
        <w:rPr>
          <w:rFonts w:cs="Times New Roman"/>
        </w:rPr>
      </w:pPr>
      <w:r w:rsidRPr="00084D33">
        <w:rPr>
          <w:rFonts w:cs="Times New Roman"/>
        </w:rPr>
        <w:lastRenderedPageBreak/>
        <w:t>Decreto Núm. 326-87, del 18 de junio de 1987, Gaceta Oficial Núm. 9713, que refunde, suprime y crea varias Direcciones y Sub-Direcciones Generales dependientes de la Secretaría de Estado de Obras Públicas y Comunicaciones.</w:t>
      </w:r>
    </w:p>
    <w:p w14:paraId="5FBD3C0C" w14:textId="77777777" w:rsidR="00765BDB" w:rsidRPr="00084D33" w:rsidRDefault="00765BDB" w:rsidP="00765BDB">
      <w:pPr>
        <w:pStyle w:val="Listaconvietas2"/>
        <w:numPr>
          <w:ilvl w:val="0"/>
          <w:numId w:val="0"/>
        </w:numPr>
        <w:ind w:left="720"/>
        <w:rPr>
          <w:rFonts w:cs="Times New Roman"/>
        </w:rPr>
      </w:pPr>
    </w:p>
    <w:p w14:paraId="2BEA7DC7" w14:textId="7F3FEF4C" w:rsidR="006E0BEA" w:rsidRPr="00084D33" w:rsidRDefault="006E0BEA" w:rsidP="007202A9">
      <w:pPr>
        <w:pStyle w:val="Listaconvietas2"/>
        <w:numPr>
          <w:ilvl w:val="0"/>
          <w:numId w:val="22"/>
        </w:numPr>
        <w:rPr>
          <w:rFonts w:cs="Times New Roman"/>
        </w:rPr>
      </w:pPr>
      <w:r w:rsidRPr="00084D33">
        <w:rPr>
          <w:rFonts w:cs="Times New Roman"/>
        </w:rPr>
        <w:t>Decreto Núm. 435-96, del 12 de septiembre de 1996, Gaceta Oficial Núm. 8834, que crea la Dirección General de Equipos y Transporte.</w:t>
      </w:r>
    </w:p>
    <w:p w14:paraId="52CC238E" w14:textId="77777777" w:rsidR="00765BDB" w:rsidRPr="00084D33" w:rsidRDefault="00765BDB" w:rsidP="00765BDB">
      <w:pPr>
        <w:pStyle w:val="Listaconvietas2"/>
        <w:numPr>
          <w:ilvl w:val="0"/>
          <w:numId w:val="0"/>
        </w:numPr>
        <w:ind w:left="720"/>
        <w:rPr>
          <w:rFonts w:cs="Times New Roman"/>
        </w:rPr>
      </w:pPr>
    </w:p>
    <w:p w14:paraId="2B152FCF" w14:textId="6CABD0DE" w:rsidR="006E0BEA" w:rsidRPr="00084D33" w:rsidRDefault="006E0BEA" w:rsidP="007202A9">
      <w:pPr>
        <w:pStyle w:val="Listaconvietas2"/>
        <w:numPr>
          <w:ilvl w:val="0"/>
          <w:numId w:val="22"/>
        </w:numPr>
        <w:rPr>
          <w:rFonts w:cs="Times New Roman"/>
        </w:rPr>
      </w:pPr>
      <w:r w:rsidRPr="00084D33">
        <w:rPr>
          <w:rFonts w:cs="Times New Roman"/>
        </w:rPr>
        <w:t xml:space="preserve">Decreto No. 44, del 17 de febrero de 1999, Gaceta Oficial </w:t>
      </w:r>
      <w:r w:rsidR="000A3CD1" w:rsidRPr="00084D33">
        <w:rPr>
          <w:rFonts w:cs="Times New Roman"/>
        </w:rPr>
        <w:t>Núm.</w:t>
      </w:r>
      <w:r w:rsidRPr="00084D33">
        <w:rPr>
          <w:rFonts w:cs="Times New Roman"/>
        </w:rPr>
        <w:t xml:space="preserve"> 10008, que crea la Dirección General de Control, Mantenimiento y Supervisión del Sistema de Peajes Nacionales. </w:t>
      </w:r>
    </w:p>
    <w:p w14:paraId="4EAC00C8" w14:textId="77777777" w:rsidR="00490494" w:rsidRPr="00084D33" w:rsidRDefault="00490494" w:rsidP="00490494">
      <w:pPr>
        <w:ind w:left="480"/>
        <w:rPr>
          <w:rFonts w:cs="Times New Roman"/>
        </w:rPr>
      </w:pPr>
    </w:p>
    <w:p w14:paraId="6A99B7ED" w14:textId="75FABB3C" w:rsidR="00587242" w:rsidRPr="00084D33" w:rsidRDefault="00587242" w:rsidP="007202A9">
      <w:pPr>
        <w:pStyle w:val="Listaconvietas2"/>
        <w:numPr>
          <w:ilvl w:val="0"/>
          <w:numId w:val="22"/>
        </w:numPr>
        <w:rPr>
          <w:rFonts w:cs="Times New Roman"/>
        </w:rPr>
      </w:pPr>
      <w:r w:rsidRPr="00084D33">
        <w:rPr>
          <w:rFonts w:cs="Times New Roman"/>
        </w:rPr>
        <w:t xml:space="preserve">Ley Núm. 498-06 del 28 de </w:t>
      </w:r>
      <w:r w:rsidR="001D3E75" w:rsidRPr="00084D33">
        <w:rPr>
          <w:rFonts w:cs="Times New Roman"/>
        </w:rPr>
        <w:t>diciembre</w:t>
      </w:r>
      <w:r w:rsidRPr="00084D33">
        <w:rPr>
          <w:rFonts w:cs="Times New Roman"/>
        </w:rPr>
        <w:t xml:space="preserve"> de 2006, que establece el Sistema </w:t>
      </w:r>
      <w:r w:rsidR="00623BB9" w:rsidRPr="00084D33">
        <w:rPr>
          <w:rFonts w:cs="Times New Roman"/>
        </w:rPr>
        <w:t>N</w:t>
      </w:r>
      <w:r w:rsidRPr="00084D33">
        <w:rPr>
          <w:rFonts w:cs="Times New Roman"/>
        </w:rPr>
        <w:t>acional de Planificación e Inversión Pública, por la cual se cambia la nomenclatura de la Dirección General de Planificación y Programación de Inversiones por Dirección General de Planificación y Desarrollo.</w:t>
      </w:r>
    </w:p>
    <w:p w14:paraId="2631EB99" w14:textId="77777777" w:rsidR="00587242" w:rsidRPr="00084D33" w:rsidRDefault="00587242" w:rsidP="00623BB9">
      <w:pPr>
        <w:pStyle w:val="Textoindependiente"/>
        <w:spacing w:line="360" w:lineRule="auto"/>
        <w:ind w:left="720"/>
        <w:jc w:val="both"/>
        <w:rPr>
          <w:color w:val="767171"/>
        </w:rPr>
      </w:pPr>
    </w:p>
    <w:p w14:paraId="1D244080" w14:textId="775C79BF" w:rsidR="00623BB9" w:rsidRPr="00084D33" w:rsidRDefault="00587242" w:rsidP="007202A9">
      <w:pPr>
        <w:pStyle w:val="Listaconvietas2"/>
        <w:numPr>
          <w:ilvl w:val="0"/>
          <w:numId w:val="22"/>
        </w:numPr>
        <w:rPr>
          <w:rFonts w:cs="Times New Roman"/>
        </w:rPr>
      </w:pPr>
      <w:r w:rsidRPr="00084D33">
        <w:rPr>
          <w:rFonts w:cs="Times New Roman"/>
        </w:rPr>
        <w:t xml:space="preserve">Decreto núm. 896-09, del 15 de </w:t>
      </w:r>
      <w:r w:rsidR="001D3E75" w:rsidRPr="00084D33">
        <w:rPr>
          <w:rFonts w:cs="Times New Roman"/>
        </w:rPr>
        <w:t>diciembre</w:t>
      </w:r>
      <w:r w:rsidRPr="00084D33">
        <w:rPr>
          <w:rFonts w:cs="Times New Roman"/>
        </w:rPr>
        <w:t xml:space="preserve"> del 2009, que crea la Dirección General de Estudios, Diseños de Infraestructura y Presupuestos y la Dirección General de Operaciones y Mantenimiento Vial y deroga el Decreto 326-87 del 18 de junio de 1987, en sus artículos 1, 2, 3, 5 y 6, así como el Decreto No. 435-96 del 12 de septiembre de 1996, en todas sus partes. </w:t>
      </w:r>
    </w:p>
    <w:p w14:paraId="7DC02D81" w14:textId="77777777" w:rsidR="00490494" w:rsidRPr="00084D33" w:rsidRDefault="00490494" w:rsidP="00C91766">
      <w:pPr>
        <w:ind w:left="480"/>
        <w:rPr>
          <w:rFonts w:cs="Times New Roman"/>
        </w:rPr>
      </w:pPr>
    </w:p>
    <w:p w14:paraId="4D8282B2" w14:textId="12BB5136" w:rsidR="00976B5D" w:rsidRPr="00084D33" w:rsidRDefault="00587242" w:rsidP="007202A9">
      <w:pPr>
        <w:pStyle w:val="Listaconvietas2"/>
        <w:numPr>
          <w:ilvl w:val="0"/>
          <w:numId w:val="22"/>
        </w:numPr>
        <w:rPr>
          <w:rFonts w:cs="Times New Roman"/>
        </w:rPr>
      </w:pPr>
      <w:r w:rsidRPr="00084D33">
        <w:rPr>
          <w:rFonts w:cs="Times New Roman"/>
        </w:rPr>
        <w:t>Resolución Núm.</w:t>
      </w:r>
      <w:r w:rsidR="00623BB9" w:rsidRPr="00084D33">
        <w:rPr>
          <w:rFonts w:cs="Times New Roman"/>
        </w:rPr>
        <w:t xml:space="preserve"> </w:t>
      </w:r>
      <w:r w:rsidRPr="00084D33">
        <w:rPr>
          <w:rFonts w:cs="Times New Roman"/>
        </w:rPr>
        <w:t xml:space="preserve">14/2018, del 22 de agosto de 2018, que aprueba la </w:t>
      </w:r>
      <w:r w:rsidR="00623BB9" w:rsidRPr="00084D33">
        <w:rPr>
          <w:rFonts w:cs="Times New Roman"/>
        </w:rPr>
        <w:t>Estructura Organizacional del Ministerio de O</w:t>
      </w:r>
      <w:r w:rsidRPr="00084D33">
        <w:rPr>
          <w:rFonts w:cs="Times New Roman"/>
        </w:rPr>
        <w:t>bras Públicas y Comunicaciones</w:t>
      </w:r>
      <w:r w:rsidR="00623BB9" w:rsidRPr="00084D33">
        <w:rPr>
          <w:rFonts w:cs="Times New Roman"/>
        </w:rPr>
        <w:t>.</w:t>
      </w:r>
    </w:p>
    <w:p w14:paraId="64A23FF2" w14:textId="77777777" w:rsidR="006A2124" w:rsidRPr="00084D33" w:rsidRDefault="006A2124" w:rsidP="00434A4D">
      <w:pPr>
        <w:rPr>
          <w:rFonts w:cs="Times New Roman"/>
        </w:rPr>
      </w:pPr>
    </w:p>
    <w:p w14:paraId="53BEE242" w14:textId="77777777" w:rsidR="00C21FA8" w:rsidRPr="00084D33" w:rsidRDefault="00C21FA8" w:rsidP="00C21FA8">
      <w:pPr>
        <w:rPr>
          <w:rFonts w:cs="Times New Roman"/>
          <w:b/>
        </w:rPr>
      </w:pPr>
    </w:p>
    <w:p w14:paraId="5CFAF0B1" w14:textId="629E883D" w:rsidR="00C21FA8" w:rsidRPr="00084D33" w:rsidRDefault="00C21FA8" w:rsidP="00C517AE">
      <w:pPr>
        <w:pStyle w:val="Lista3"/>
        <w:jc w:val="center"/>
        <w:rPr>
          <w:rFonts w:cs="Times New Roman"/>
          <w:b/>
          <w:lang w:val="es-ES"/>
        </w:rPr>
      </w:pPr>
      <w:r w:rsidRPr="00084D33">
        <w:rPr>
          <w:rFonts w:cs="Times New Roman"/>
          <w:b/>
          <w:lang w:val="es-ES"/>
        </w:rPr>
        <w:lastRenderedPageBreak/>
        <w:t>2.3</w:t>
      </w:r>
      <w:r w:rsidR="009A41B9" w:rsidRPr="00084D33">
        <w:rPr>
          <w:rFonts w:cs="Times New Roman"/>
          <w:b/>
          <w:lang w:val="es-ES"/>
        </w:rPr>
        <w:tab/>
      </w:r>
      <w:r w:rsidRPr="00084D33">
        <w:rPr>
          <w:rFonts w:cs="Times New Roman"/>
          <w:b/>
          <w:lang w:val="es-ES"/>
        </w:rPr>
        <w:t>Estructura Organizativa</w:t>
      </w:r>
    </w:p>
    <w:p w14:paraId="21F093AA" w14:textId="77777777" w:rsidR="00C21FA8" w:rsidRPr="00084D33" w:rsidRDefault="00C21FA8" w:rsidP="00C21FA8">
      <w:pPr>
        <w:keepNext/>
        <w:keepLines/>
        <w:outlineLvl w:val="0"/>
        <w:rPr>
          <w:rFonts w:eastAsia="Calibri" w:cs="Times New Roman"/>
          <w:b/>
          <w:spacing w:val="0"/>
          <w:szCs w:val="24"/>
          <w:lang w:val="es-ES"/>
        </w:rPr>
      </w:pPr>
    </w:p>
    <w:p w14:paraId="255DA0AC" w14:textId="4D5EC8A9" w:rsidR="00C21FA8" w:rsidRPr="00084D33" w:rsidRDefault="00C21FA8" w:rsidP="00490494">
      <w:pPr>
        <w:pStyle w:val="Textoindependiente"/>
        <w:spacing w:line="360" w:lineRule="auto"/>
        <w:jc w:val="both"/>
        <w:rPr>
          <w:rFonts w:eastAsia="Calibri"/>
          <w:color w:val="767171"/>
        </w:rPr>
      </w:pPr>
      <w:r w:rsidRPr="00084D33">
        <w:rPr>
          <w:rFonts w:eastAsia="Calibri"/>
          <w:color w:val="767171"/>
        </w:rPr>
        <w:t xml:space="preserve">La Estructura Organizativa vigente del Ministerio de Obras Públicas y Comunicaciones (MOPC), fue aprobada por el Ministerio de Administración Pública (MAP), mediante la Resolución Núm. 0014/2018 en fecha 22 de agosto del 2018. El Manual de Cargos Comunes y Típicos de este Ministerio, fue aprobado mediante la resolución núm. 003/2022 el 15 de septiembre del año en curso, con el objetivo de disponer de servidores públicos idóneos para alcanzar el eficaz cumplimiento de la misión institucional y el desarrollo sostenible de nuestras funciones como ministerio. La resolución </w:t>
      </w:r>
      <w:r w:rsidR="0030770A" w:rsidRPr="00084D33">
        <w:rPr>
          <w:rFonts w:eastAsia="Calibri"/>
          <w:color w:val="767171"/>
        </w:rPr>
        <w:t>N</w:t>
      </w:r>
      <w:r w:rsidRPr="00084D33">
        <w:rPr>
          <w:rFonts w:eastAsia="Calibri"/>
          <w:color w:val="767171"/>
        </w:rPr>
        <w:t>úm. 004/2022 que aprueba el Manual de Organización y Funciones del MOPC en fecha 27 de septiembre del 2022, detalla todas las funciones de las unidades organizativas que conforman este Ministerio.</w:t>
      </w:r>
    </w:p>
    <w:p w14:paraId="4844DE73" w14:textId="77777777" w:rsidR="00490494" w:rsidRPr="00084D33" w:rsidRDefault="00490494" w:rsidP="00490494">
      <w:pPr>
        <w:pStyle w:val="Textoindependiente"/>
        <w:spacing w:line="360" w:lineRule="auto"/>
        <w:jc w:val="both"/>
        <w:rPr>
          <w:rFonts w:eastAsia="Calibri"/>
          <w:color w:val="767171"/>
        </w:rPr>
      </w:pPr>
    </w:p>
    <w:p w14:paraId="092AE5D6" w14:textId="77777777" w:rsidR="00C21FA8" w:rsidRPr="00084D33" w:rsidRDefault="00C21FA8" w:rsidP="00490494">
      <w:pPr>
        <w:pStyle w:val="Saludo"/>
        <w:rPr>
          <w:rFonts w:eastAsia="Calibri" w:cs="Times New Roman"/>
          <w:szCs w:val="24"/>
          <w:lang w:val="es-ES" w:eastAsia="es-ES" w:bidi="es-ES"/>
        </w:rPr>
      </w:pPr>
      <w:r w:rsidRPr="00084D33">
        <w:rPr>
          <w:rFonts w:eastAsia="Calibri" w:cs="Times New Roman"/>
          <w:szCs w:val="24"/>
          <w:lang w:val="es-ES" w:eastAsia="es-ES" w:bidi="es-ES"/>
        </w:rPr>
        <w:t>A continuación, se presenta la Estructura Organizativa vigente del MOPC:</w:t>
      </w:r>
    </w:p>
    <w:p w14:paraId="4DC0026E" w14:textId="77777777" w:rsidR="00C21FA8" w:rsidRPr="00084D33" w:rsidRDefault="00C21FA8" w:rsidP="00490494">
      <w:pPr>
        <w:rPr>
          <w:rFonts w:cs="Times New Roman"/>
        </w:rPr>
      </w:pPr>
    </w:p>
    <w:p w14:paraId="6E024EC6" w14:textId="77777777" w:rsidR="002E73B6" w:rsidRPr="00084D33" w:rsidRDefault="002E73B6" w:rsidP="00490494">
      <w:pPr>
        <w:rPr>
          <w:rFonts w:cs="Times New Roman"/>
        </w:rPr>
      </w:pPr>
    </w:p>
    <w:p w14:paraId="1EA1E529" w14:textId="78B92FB1" w:rsidR="00EC17AA" w:rsidRPr="00084D33" w:rsidRDefault="0004383F" w:rsidP="00434A4D">
      <w:pPr>
        <w:ind w:left="1418" w:hanging="1418"/>
        <w:rPr>
          <w:rFonts w:cs="Times New Roman"/>
          <w:noProof/>
          <w:lang w:val="en-US"/>
        </w:rPr>
      </w:pPr>
      <w:bookmarkStart w:id="37" w:name="_Toc441696886"/>
      <w:bookmarkStart w:id="38" w:name="_Toc471986253"/>
      <w:bookmarkStart w:id="39" w:name="_Toc472434764"/>
      <w:bookmarkStart w:id="40" w:name="_Toc504947329"/>
      <w:bookmarkStart w:id="41" w:name="_Toc504947755"/>
      <w:bookmarkStart w:id="42" w:name="_Toc505070611"/>
      <w:bookmarkStart w:id="43" w:name="_Toc976995"/>
      <w:bookmarkStart w:id="44" w:name="_Toc1381784"/>
      <w:bookmarkStart w:id="45" w:name="_Toc1418533"/>
      <w:r w:rsidRPr="00084D33">
        <w:rPr>
          <w:rFonts w:cs="Times New Roman"/>
          <w:noProof/>
          <w:lang w:eastAsia="es-DO"/>
        </w:rPr>
        <w:lastRenderedPageBreak/>
        <w:drawing>
          <wp:inline distT="0" distB="0" distL="0" distR="0" wp14:anchorId="251AD295" wp14:editId="3B871FA8">
            <wp:extent cx="6900228" cy="5947962"/>
            <wp:effectExtent l="0" t="0" r="0" b="0"/>
            <wp:docPr id="1398926617" name="Imagen 1398926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26617" name="Organigrama-Mopc.png"/>
                    <pic:cNvPicPr/>
                  </pic:nvPicPr>
                  <pic:blipFill rotWithShape="1">
                    <a:blip r:embed="rId13">
                      <a:extLst>
                        <a:ext uri="{28A0092B-C50C-407E-A947-70E740481C1C}">
                          <a14:useLocalDpi xmlns:a14="http://schemas.microsoft.com/office/drawing/2010/main" val="0"/>
                        </a:ext>
                      </a:extLst>
                    </a:blip>
                    <a:srcRect l="5291" r="5001"/>
                    <a:stretch/>
                  </pic:blipFill>
                  <pic:spPr bwMode="auto">
                    <a:xfrm rot="16200000">
                      <a:off x="0" y="0"/>
                      <a:ext cx="6909582" cy="5956025"/>
                    </a:xfrm>
                    <a:prstGeom prst="rect">
                      <a:avLst/>
                    </a:prstGeom>
                    <a:ln>
                      <a:noFill/>
                    </a:ln>
                    <a:extLst>
                      <a:ext uri="{53640926-AAD7-44D8-BBD7-CCE9431645EC}">
                        <a14:shadowObscured xmlns:a14="http://schemas.microsoft.com/office/drawing/2010/main"/>
                      </a:ext>
                    </a:extLst>
                  </pic:spPr>
                </pic:pic>
              </a:graphicData>
            </a:graphic>
          </wp:inline>
        </w:drawing>
      </w:r>
    </w:p>
    <w:p w14:paraId="7E2E058B" w14:textId="71E54788" w:rsidR="003C2F63" w:rsidRPr="00084D33" w:rsidRDefault="003C2F63" w:rsidP="00434A4D">
      <w:pPr>
        <w:ind w:left="1418" w:hanging="1418"/>
        <w:rPr>
          <w:rFonts w:cs="Times New Roman"/>
          <w:noProof/>
          <w:lang w:val="en-US"/>
        </w:rPr>
      </w:pPr>
    </w:p>
    <w:p w14:paraId="2549FF64" w14:textId="77777777" w:rsidR="00E5652A" w:rsidRPr="00084D33" w:rsidRDefault="00E5652A" w:rsidP="00434A4D">
      <w:pPr>
        <w:ind w:left="1418" w:hanging="1418"/>
        <w:rPr>
          <w:rFonts w:cs="Times New Roman"/>
          <w:noProof/>
          <w:lang w:val="en-US"/>
        </w:rPr>
      </w:pPr>
    </w:p>
    <w:p w14:paraId="08EDA2AD" w14:textId="0A564F91" w:rsidR="00F54802" w:rsidRPr="00084D33" w:rsidRDefault="00F54802" w:rsidP="00434A4D">
      <w:pPr>
        <w:ind w:left="1418" w:hanging="1418"/>
        <w:rPr>
          <w:rFonts w:cs="Times New Roman"/>
          <w:noProof/>
          <w:lang w:val="en-US"/>
        </w:rPr>
      </w:pPr>
    </w:p>
    <w:p w14:paraId="6AE0C41E" w14:textId="77777777" w:rsidR="00CB5F62" w:rsidRPr="00084D33" w:rsidRDefault="00CB5F62" w:rsidP="00434A4D">
      <w:pPr>
        <w:ind w:left="1418" w:hanging="1418"/>
        <w:rPr>
          <w:rFonts w:cs="Times New Roman"/>
          <w:noProof/>
          <w:lang w:val="en-US"/>
        </w:rPr>
      </w:pPr>
    </w:p>
    <w:p w14:paraId="536D1E1C" w14:textId="617C69D6" w:rsidR="00CE0103" w:rsidRPr="00084D33" w:rsidRDefault="00CE0103" w:rsidP="00CE0103">
      <w:pPr>
        <w:rPr>
          <w:rFonts w:cs="Times New Roman"/>
          <w:vanish/>
        </w:rPr>
      </w:pPr>
      <w:r w:rsidRPr="00084D33">
        <w:rPr>
          <w:rFonts w:cs="Times New Roman"/>
          <w:vanish/>
        </w:rPr>
        <w:lastRenderedPageBreak/>
        <w:br w:type="page"/>
      </w:r>
    </w:p>
    <w:p w14:paraId="6D264A36" w14:textId="21D6721A" w:rsidR="00C82B93" w:rsidRPr="00084D33" w:rsidRDefault="00C82B93" w:rsidP="00C517AE">
      <w:pPr>
        <w:pStyle w:val="Lista2"/>
        <w:ind w:left="1418" w:hanging="1058"/>
        <w:jc w:val="center"/>
        <w:rPr>
          <w:rFonts w:cs="Times New Roman"/>
          <w:b/>
        </w:rPr>
      </w:pPr>
      <w:r w:rsidRPr="00084D33">
        <w:rPr>
          <w:rFonts w:cs="Times New Roman"/>
          <w:b/>
        </w:rPr>
        <w:t>2.3.1</w:t>
      </w:r>
      <w:r w:rsidRPr="00084D33">
        <w:rPr>
          <w:rFonts w:cs="Times New Roman"/>
          <w:b/>
        </w:rPr>
        <w:tab/>
        <w:t>Principales Funcionarios de la Institución</w:t>
      </w:r>
    </w:p>
    <w:p w14:paraId="2338FAA7" w14:textId="77777777" w:rsidR="00E44B9A" w:rsidRPr="00084D33" w:rsidRDefault="00E44B9A" w:rsidP="00C82B93">
      <w:pPr>
        <w:pStyle w:val="Lista2"/>
        <w:rPr>
          <w:rFonts w:cs="Times New Roman"/>
          <w:b/>
        </w:rPr>
      </w:pPr>
    </w:p>
    <w:p w14:paraId="70F9F146" w14:textId="7FDDC0FB" w:rsidR="00C82B93" w:rsidRPr="00084D33" w:rsidRDefault="0004383F" w:rsidP="00C82B93">
      <w:pPr>
        <w:pStyle w:val="Lista2"/>
        <w:ind w:left="360"/>
        <w:rPr>
          <w:rFonts w:cs="Times New Roman"/>
          <w:b/>
        </w:rPr>
      </w:pPr>
      <w:r w:rsidRPr="00084D33">
        <w:rPr>
          <w:noProof/>
          <w:lang w:eastAsia="es-DO"/>
        </w:rPr>
        <w:drawing>
          <wp:inline distT="0" distB="0" distL="0" distR="0" wp14:anchorId="2D064A7A" wp14:editId="6563ED3B">
            <wp:extent cx="4857750" cy="6836636"/>
            <wp:effectExtent l="0" t="0" r="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2344" cy="6843101"/>
                    </a:xfrm>
                    <a:prstGeom prst="rect">
                      <a:avLst/>
                    </a:prstGeom>
                    <a:noFill/>
                    <a:ln>
                      <a:noFill/>
                    </a:ln>
                  </pic:spPr>
                </pic:pic>
              </a:graphicData>
            </a:graphic>
          </wp:inline>
        </w:drawing>
      </w:r>
    </w:p>
    <w:p w14:paraId="3FAA0DC8" w14:textId="77777777" w:rsidR="00C82B93" w:rsidRPr="00084D33" w:rsidRDefault="00C82B93" w:rsidP="00C82B93">
      <w:pPr>
        <w:spacing w:after="160" w:line="259" w:lineRule="auto"/>
        <w:jc w:val="left"/>
        <w:rPr>
          <w:rFonts w:cs="Times New Roman"/>
          <w:b/>
        </w:rPr>
      </w:pPr>
      <w:r w:rsidRPr="00084D33">
        <w:rPr>
          <w:rFonts w:cs="Times New Roman"/>
          <w:b/>
        </w:rPr>
        <w:br w:type="page"/>
      </w:r>
    </w:p>
    <w:p w14:paraId="393C8276" w14:textId="13979F1E" w:rsidR="00C82B93" w:rsidRPr="00084D33" w:rsidRDefault="00C82B93" w:rsidP="00C517AE">
      <w:pPr>
        <w:pStyle w:val="Lista2"/>
        <w:jc w:val="center"/>
        <w:rPr>
          <w:rFonts w:cs="Times New Roman"/>
          <w:b/>
        </w:rPr>
      </w:pPr>
      <w:r w:rsidRPr="00084D33">
        <w:rPr>
          <w:rFonts w:cs="Times New Roman"/>
          <w:b/>
        </w:rPr>
        <w:lastRenderedPageBreak/>
        <w:t>2.</w:t>
      </w:r>
      <w:r w:rsidR="00E44B9A" w:rsidRPr="00084D33">
        <w:rPr>
          <w:rFonts w:cs="Times New Roman"/>
          <w:b/>
        </w:rPr>
        <w:t>3.2</w:t>
      </w:r>
      <w:r w:rsidR="00BC577E" w:rsidRPr="00084D33">
        <w:rPr>
          <w:rFonts w:cs="Times New Roman"/>
          <w:b/>
        </w:rPr>
        <w:t xml:space="preserve"> </w:t>
      </w:r>
      <w:r w:rsidRPr="00084D33">
        <w:rPr>
          <w:rFonts w:cs="Times New Roman"/>
          <w:b/>
        </w:rPr>
        <w:t>Declaraciones Juradas</w:t>
      </w:r>
    </w:p>
    <w:p w14:paraId="6165BCC9" w14:textId="77777777" w:rsidR="00C82B93" w:rsidRPr="00084D33" w:rsidRDefault="00C82B93" w:rsidP="00C82B93">
      <w:pPr>
        <w:pStyle w:val="Textoindependienteprimerasangra2"/>
        <w:rPr>
          <w:rFonts w:cs="Times New Roman"/>
          <w:b/>
        </w:rPr>
      </w:pPr>
    </w:p>
    <w:p w14:paraId="2AF48F29" w14:textId="5CA44400" w:rsidR="00F11408" w:rsidRPr="00084D33" w:rsidRDefault="00F11408" w:rsidP="00F11408">
      <w:pPr>
        <w:pStyle w:val="Textoindependiente"/>
        <w:spacing w:line="360" w:lineRule="auto"/>
        <w:jc w:val="both"/>
        <w:rPr>
          <w:rFonts w:eastAsia="Calibri"/>
          <w:color w:val="767171"/>
        </w:rPr>
      </w:pPr>
      <w:r w:rsidRPr="00084D33">
        <w:rPr>
          <w:rFonts w:eastAsia="Calibri"/>
          <w:color w:val="767171"/>
        </w:rPr>
        <w:t>Las Declaraciones Juradas de los funcionarios vigentes del Ministerio de Obras Públicas y Comunicaciones (MOPC), recibidas hasta el 3</w:t>
      </w:r>
      <w:r w:rsidR="00B5550F" w:rsidRPr="00084D33">
        <w:rPr>
          <w:rFonts w:eastAsia="Calibri"/>
          <w:color w:val="767171"/>
        </w:rPr>
        <w:t>1 de dic</w:t>
      </w:r>
      <w:r w:rsidRPr="00084D33">
        <w:rPr>
          <w:rFonts w:eastAsia="Calibri"/>
          <w:color w:val="767171"/>
        </w:rPr>
        <w:t>iembre del 2024, han sido publicadas en el Portal de Trasparencia de la institución (www.mopc.gob.do). Todos los funcionarios han sido llamados a realizar las declaraciones juradas ante la Cámara de Cuentas de la República Dominicana, para el cumplimiento de las Leyes No. 311-14 de fecha 15 de julio del 2014 sobre Declaración Juradas de Bienes y de Patrimonio y No. 82-79 de fecha 16 de noviembre del 1979 que instituye el Sistema Nacional Autorizado y Uniforme de Declaraciones Juradas de Patrimonio de los Funcionarios y Servidores Públicos, Gaceta Oficial No. No. 10768 de fecha 11 de agosto del 2014 y que obliga a los Funcionarios Públicos a levantar un inventario detallado, Jurado y Legalizado ante Notario Público de los bienes que constituyen su patrimonio, respectivamente.</w:t>
      </w:r>
    </w:p>
    <w:p w14:paraId="0324E872" w14:textId="77777777" w:rsidR="00F11408" w:rsidRPr="00084D33" w:rsidRDefault="00F11408" w:rsidP="002513FA">
      <w:pPr>
        <w:pStyle w:val="Textoindependiente"/>
        <w:spacing w:line="360" w:lineRule="auto"/>
        <w:jc w:val="both"/>
        <w:rPr>
          <w:rFonts w:eastAsia="Calibri"/>
          <w:color w:val="767171"/>
        </w:rPr>
      </w:pPr>
    </w:p>
    <w:p w14:paraId="39F61B01" w14:textId="77777777" w:rsidR="00F11408" w:rsidRPr="00084D33" w:rsidRDefault="00F11408" w:rsidP="002513FA">
      <w:pPr>
        <w:pStyle w:val="Textoindependiente"/>
        <w:spacing w:line="360" w:lineRule="auto"/>
        <w:jc w:val="both"/>
        <w:rPr>
          <w:rFonts w:eastAsia="Calibri"/>
          <w:color w:val="767171"/>
        </w:rPr>
      </w:pPr>
    </w:p>
    <w:p w14:paraId="3176DB0B" w14:textId="77777777" w:rsidR="00F11408" w:rsidRPr="00084D33" w:rsidRDefault="00F11408" w:rsidP="00F11408">
      <w:pPr>
        <w:pStyle w:val="Textoindependiente"/>
        <w:spacing w:line="360" w:lineRule="auto"/>
        <w:jc w:val="both"/>
        <w:rPr>
          <w:color w:val="767171"/>
        </w:rPr>
      </w:pPr>
      <w:r w:rsidRPr="00084D33">
        <w:rPr>
          <w:rFonts w:eastAsia="Calibri"/>
          <w:color w:val="767171"/>
        </w:rPr>
        <w:t>A continuación, se presenta la relación de funcionarios de la institución que han presentado sus Declaraciones Juradas de Bienes y de Patrimonio, las cuales se encuentran publicadas en el Portal de Transparencia del MOPC</w:t>
      </w:r>
      <w:r w:rsidRPr="00084D33">
        <w:rPr>
          <w:color w:val="767171"/>
        </w:rPr>
        <w:t xml:space="preserve">: </w:t>
      </w:r>
    </w:p>
    <w:p w14:paraId="333CA151" w14:textId="47B30891" w:rsidR="00C82B93" w:rsidRPr="00084D33" w:rsidRDefault="006C0CCA" w:rsidP="006C0CCA">
      <w:pPr>
        <w:pStyle w:val="Textoindependiente"/>
        <w:spacing w:line="360" w:lineRule="auto"/>
        <w:ind w:left="-270"/>
        <w:jc w:val="center"/>
        <w:rPr>
          <w:color w:val="767171"/>
        </w:rPr>
      </w:pPr>
      <w:r w:rsidRPr="00084D33">
        <w:rPr>
          <w:noProof/>
          <w:color w:val="767171"/>
          <w:lang w:val="es-DO" w:eastAsia="es-DO" w:bidi="ar-SA"/>
        </w:rPr>
        <w:lastRenderedPageBreak/>
        <w:drawing>
          <wp:inline distT="0" distB="0" distL="0" distR="0" wp14:anchorId="085781EE" wp14:editId="5CD15934">
            <wp:extent cx="5406091" cy="3020992"/>
            <wp:effectExtent l="0" t="0" r="4445"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7855" cy="3027566"/>
                    </a:xfrm>
                    <a:prstGeom prst="rect">
                      <a:avLst/>
                    </a:prstGeom>
                    <a:noFill/>
                    <a:ln>
                      <a:noFill/>
                    </a:ln>
                  </pic:spPr>
                </pic:pic>
              </a:graphicData>
            </a:graphic>
          </wp:inline>
        </w:drawing>
      </w:r>
    </w:p>
    <w:p w14:paraId="38057CF7" w14:textId="77777777" w:rsidR="00C82B93" w:rsidRPr="00084D33" w:rsidRDefault="00C82B93" w:rsidP="00C82B93">
      <w:pPr>
        <w:spacing w:after="160" w:line="259" w:lineRule="auto"/>
        <w:jc w:val="left"/>
        <w:rPr>
          <w:rFonts w:eastAsia="Times New Roman" w:cs="Times New Roman"/>
          <w:szCs w:val="24"/>
          <w:lang w:val="es-ES" w:eastAsia="es-ES" w:bidi="es-ES"/>
        </w:rPr>
      </w:pPr>
      <w:r w:rsidRPr="00084D33">
        <w:br w:type="page"/>
      </w:r>
    </w:p>
    <w:p w14:paraId="69931E25" w14:textId="26DE1CD4" w:rsidR="008803D0" w:rsidRPr="00084D33" w:rsidRDefault="00A51B9A" w:rsidP="00C517AE">
      <w:pPr>
        <w:pStyle w:val="Lista2"/>
        <w:jc w:val="center"/>
        <w:rPr>
          <w:rFonts w:cs="Times New Roman"/>
          <w:b/>
        </w:rPr>
      </w:pPr>
      <w:r w:rsidRPr="00084D33">
        <w:rPr>
          <w:rFonts w:cs="Times New Roman"/>
          <w:b/>
        </w:rPr>
        <w:lastRenderedPageBreak/>
        <w:t>2.4</w:t>
      </w:r>
      <w:r w:rsidR="009A41B9" w:rsidRPr="00084D33">
        <w:rPr>
          <w:rFonts w:cs="Times New Roman"/>
          <w:b/>
        </w:rPr>
        <w:tab/>
      </w:r>
      <w:r w:rsidR="008803D0" w:rsidRPr="00084D33">
        <w:rPr>
          <w:rFonts w:cs="Times New Roman"/>
          <w:b/>
        </w:rPr>
        <w:t>Planificación Estratégica Institucional (PEI)</w:t>
      </w:r>
    </w:p>
    <w:p w14:paraId="7CE04F06" w14:textId="77777777" w:rsidR="00F74410" w:rsidRPr="00084D33" w:rsidRDefault="00F74410" w:rsidP="00C3344A">
      <w:pPr>
        <w:rPr>
          <w:rFonts w:cs="Times New Roman"/>
        </w:rPr>
      </w:pPr>
    </w:p>
    <w:p w14:paraId="7053FB77" w14:textId="626FD79A" w:rsidR="00F11408" w:rsidRPr="00084D33" w:rsidRDefault="00F11408" w:rsidP="00F11408">
      <w:pPr>
        <w:pStyle w:val="Textoindependiente"/>
        <w:spacing w:line="360" w:lineRule="auto"/>
        <w:jc w:val="both"/>
        <w:rPr>
          <w:color w:val="767171"/>
        </w:rPr>
      </w:pPr>
      <w:r w:rsidRPr="00084D33">
        <w:rPr>
          <w:rFonts w:eastAsia="Calibri"/>
          <w:color w:val="767171"/>
        </w:rPr>
        <w:t>El</w:t>
      </w:r>
      <w:r w:rsidR="00BC577E" w:rsidRPr="00084D33">
        <w:rPr>
          <w:rFonts w:eastAsia="Calibri"/>
          <w:color w:val="767171"/>
        </w:rPr>
        <w:t xml:space="preserve"> </w:t>
      </w:r>
      <w:r w:rsidRPr="00084D33">
        <w:rPr>
          <w:rFonts w:eastAsia="Calibri"/>
          <w:color w:val="767171"/>
        </w:rPr>
        <w:t xml:space="preserve">Plan Estratégico Institucional (PEI) del Ministerio de Obras Públicas y Comunicaciones (MOPC), constituye la herramienta de gestión que establece los lineamientos estratégicos y programáticos que garanticen la efectividad del marco legal vigente y las ejecutorias a asumir como organismo rector de la infraestructura de transporte durante el periodo de vigencia del mismo, acorde a las políticas priorizadas en el Plan de Desarrollo de Gobierno del </w:t>
      </w:r>
      <w:r w:rsidR="007B2509" w:rsidRPr="00084D33">
        <w:rPr>
          <w:rFonts w:eastAsia="Calibri"/>
          <w:color w:val="767171"/>
        </w:rPr>
        <w:t>cuatrienio</w:t>
      </w:r>
      <w:r w:rsidRPr="00084D33">
        <w:rPr>
          <w:rFonts w:eastAsia="Calibri"/>
          <w:color w:val="767171"/>
        </w:rPr>
        <w:t xml:space="preserve"> 2020-2024 del Sr. Presidente de la República Dominicana, Lic. Luis Rodolfo Abinader Corona, considerando los objetivos y prioridades definidos en los ejes de trabajo de las funciones que le competen y la inversión anual presupuestaria requerida por la institución para una gestión eficiente y sostenida, lo que se refleja en los indicadores de medición y en las metas institucionales logradas durante los últimos años en los cuales se</w:t>
      </w:r>
      <w:r w:rsidR="00BC577E" w:rsidRPr="00084D33">
        <w:rPr>
          <w:rFonts w:eastAsia="Calibri"/>
          <w:color w:val="767171"/>
        </w:rPr>
        <w:t xml:space="preserve"> </w:t>
      </w:r>
      <w:r w:rsidRPr="00084D33">
        <w:rPr>
          <w:rFonts w:eastAsia="Calibri"/>
          <w:color w:val="767171"/>
        </w:rPr>
        <w:t xml:space="preserve">consideran los instrumentos de planificación globales: Estrategia Nacional de Desarrollo (END) 2030, Objetivos de Desarrollo Sostenible (ODS), Marco de Sendai para la Reducción de Riesgos de Desastres 2015-2030, Plan Nacional Plurianual de Inversión Pública (PNPIP) del MOPC 2021-2024. </w:t>
      </w:r>
    </w:p>
    <w:p w14:paraId="60E2FE10" w14:textId="77777777" w:rsidR="00F11408" w:rsidRPr="00084D33" w:rsidRDefault="00F11408" w:rsidP="00F11408">
      <w:pPr>
        <w:pStyle w:val="Textoindependiente"/>
        <w:spacing w:line="360" w:lineRule="auto"/>
        <w:jc w:val="both"/>
        <w:rPr>
          <w:color w:val="767171"/>
          <w:highlight w:val="green"/>
        </w:rPr>
      </w:pPr>
    </w:p>
    <w:p w14:paraId="3648F107" w14:textId="1499EE89" w:rsidR="00D349BE" w:rsidRPr="00084D33" w:rsidRDefault="00D349BE" w:rsidP="00D349BE">
      <w:pPr>
        <w:pStyle w:val="Textoindependiente"/>
        <w:spacing w:line="360" w:lineRule="auto"/>
        <w:jc w:val="both"/>
        <w:rPr>
          <w:color w:val="767171"/>
        </w:rPr>
      </w:pPr>
      <w:r w:rsidRPr="00084D33">
        <w:rPr>
          <w:color w:val="767171"/>
        </w:rPr>
        <w:t>El Plan Estratégico Institucional MOPC vi</w:t>
      </w:r>
      <w:r w:rsidR="00D87A4B" w:rsidRPr="00084D33">
        <w:rPr>
          <w:color w:val="767171"/>
        </w:rPr>
        <w:t xml:space="preserve">gente para el periodo 2021-2024, fue </w:t>
      </w:r>
      <w:r w:rsidRPr="00084D33">
        <w:rPr>
          <w:color w:val="767171"/>
        </w:rPr>
        <w:t>aprobado en mayo del año 2021</w:t>
      </w:r>
      <w:r w:rsidR="00602879" w:rsidRPr="00084D33">
        <w:rPr>
          <w:color w:val="767171"/>
        </w:rPr>
        <w:t xml:space="preserve"> por el Ministerio de Administración Pública (MAP)</w:t>
      </w:r>
      <w:r w:rsidRPr="00084D33">
        <w:rPr>
          <w:color w:val="767171"/>
        </w:rPr>
        <w:t xml:space="preserve">, </w:t>
      </w:r>
      <w:r w:rsidR="00D87A4B" w:rsidRPr="00084D33">
        <w:rPr>
          <w:color w:val="767171"/>
        </w:rPr>
        <w:t xml:space="preserve">y se encuentra </w:t>
      </w:r>
      <w:r w:rsidRPr="00084D33">
        <w:rPr>
          <w:color w:val="767171"/>
        </w:rPr>
        <w:t xml:space="preserve">disponible en la </w:t>
      </w:r>
      <w:r w:rsidR="007B2509" w:rsidRPr="00084D33">
        <w:rPr>
          <w:color w:val="767171"/>
        </w:rPr>
        <w:t>página</w:t>
      </w:r>
      <w:r w:rsidRPr="00084D33">
        <w:rPr>
          <w:color w:val="767171"/>
        </w:rPr>
        <w:t xml:space="preserve"> web </w:t>
      </w:r>
      <w:r w:rsidR="00602879" w:rsidRPr="00084D33">
        <w:rPr>
          <w:color w:val="767171"/>
        </w:rPr>
        <w:t>de la institución</w:t>
      </w:r>
      <w:r w:rsidRPr="00084D33">
        <w:rPr>
          <w:color w:val="767171"/>
        </w:rPr>
        <w:t>.</w:t>
      </w:r>
    </w:p>
    <w:p w14:paraId="6F812CB8" w14:textId="5E595E0A" w:rsidR="00033860" w:rsidRPr="00084D33" w:rsidRDefault="00033860" w:rsidP="00D349BE">
      <w:pPr>
        <w:pStyle w:val="Textoindependiente"/>
        <w:spacing w:line="360" w:lineRule="auto"/>
        <w:jc w:val="both"/>
        <w:rPr>
          <w:color w:val="767171"/>
        </w:rPr>
      </w:pPr>
    </w:p>
    <w:p w14:paraId="0386B1F0" w14:textId="5C07E590" w:rsidR="00490494" w:rsidRPr="00084D33" w:rsidRDefault="00490494" w:rsidP="00490494">
      <w:pPr>
        <w:pStyle w:val="Textoindependiente"/>
        <w:spacing w:line="360" w:lineRule="auto"/>
        <w:jc w:val="both"/>
        <w:rPr>
          <w:color w:val="767171"/>
          <w:highlight w:val="cyan"/>
        </w:rPr>
      </w:pPr>
    </w:p>
    <w:bookmarkEnd w:id="37"/>
    <w:bookmarkEnd w:id="38"/>
    <w:bookmarkEnd w:id="39"/>
    <w:bookmarkEnd w:id="40"/>
    <w:bookmarkEnd w:id="41"/>
    <w:bookmarkEnd w:id="42"/>
    <w:bookmarkEnd w:id="43"/>
    <w:bookmarkEnd w:id="44"/>
    <w:bookmarkEnd w:id="45"/>
    <w:p w14:paraId="434C45C9" w14:textId="77777777" w:rsidR="0004383F" w:rsidRPr="00084D33" w:rsidRDefault="0004383F">
      <w:pPr>
        <w:spacing w:after="160" w:line="259" w:lineRule="auto"/>
        <w:jc w:val="left"/>
        <w:rPr>
          <w:rFonts w:eastAsiaTheme="majorEastAsia" w:cs="Times New Roman"/>
          <w:b/>
          <w:bCs/>
          <w:spacing w:val="30"/>
          <w:kern w:val="38"/>
          <w:sz w:val="28"/>
          <w:szCs w:val="32"/>
        </w:rPr>
      </w:pPr>
      <w:r w:rsidRPr="00084D33">
        <w:rPr>
          <w:rFonts w:cs="Times New Roman"/>
          <w:b/>
          <w:bCs/>
        </w:rPr>
        <w:br w:type="page"/>
      </w:r>
    </w:p>
    <w:p w14:paraId="7462A42F" w14:textId="6CE8EFF2" w:rsidR="00D27C74" w:rsidRPr="00084D33" w:rsidRDefault="00471AD0" w:rsidP="00471AD0">
      <w:pPr>
        <w:pStyle w:val="Ttulo1"/>
        <w:numPr>
          <w:ilvl w:val="0"/>
          <w:numId w:val="2"/>
        </w:numPr>
        <w:tabs>
          <w:tab w:val="num" w:pos="360"/>
        </w:tabs>
        <w:spacing w:before="0"/>
        <w:ind w:left="284"/>
        <w:rPr>
          <w:rFonts w:cs="Times New Roman"/>
          <w:b/>
          <w:bCs/>
        </w:rPr>
      </w:pPr>
      <w:bookmarkStart w:id="46" w:name="_Toc186924349"/>
      <w:r w:rsidRPr="00084D33">
        <w:rPr>
          <w:rFonts w:cs="Times New Roman"/>
          <w:b/>
          <w:bCs/>
        </w:rPr>
        <w:lastRenderedPageBreak/>
        <w:t>RESULTADOS MISIONALES, A</w:t>
      </w:r>
      <w:r w:rsidR="008803D0" w:rsidRPr="00084D33">
        <w:rPr>
          <w:rFonts w:cs="Times New Roman"/>
          <w:b/>
          <w:bCs/>
        </w:rPr>
        <w:t>Ñ</w:t>
      </w:r>
      <w:r w:rsidRPr="00084D33">
        <w:rPr>
          <w:rFonts w:cs="Times New Roman"/>
          <w:b/>
          <w:bCs/>
        </w:rPr>
        <w:t xml:space="preserve">O </w:t>
      </w:r>
      <w:r w:rsidR="003D0902" w:rsidRPr="00084D33">
        <w:rPr>
          <w:rFonts w:cs="Times New Roman"/>
          <w:b/>
          <w:bCs/>
        </w:rPr>
        <w:t>202</w:t>
      </w:r>
      <w:r w:rsidR="006C0CCA" w:rsidRPr="00084D33">
        <w:rPr>
          <w:rFonts w:cs="Times New Roman"/>
          <w:b/>
          <w:bCs/>
        </w:rPr>
        <w:t>4</w:t>
      </w:r>
      <w:bookmarkEnd w:id="46"/>
    </w:p>
    <w:p w14:paraId="0ED0415B" w14:textId="38AFAD9E" w:rsidR="00471AD0" w:rsidRPr="00084D33" w:rsidRDefault="00471AD0" w:rsidP="00471AD0">
      <w:pPr>
        <w:rPr>
          <w:rFonts w:cs="Times New Roman"/>
        </w:rPr>
      </w:pPr>
      <w:r w:rsidRPr="00084D33">
        <w:rPr>
          <w:rFonts w:cs="Times New Roman"/>
          <w:b/>
          <w:bCs/>
          <w:noProof/>
          <w:spacing w:val="8"/>
          <w:szCs w:val="24"/>
          <w:lang w:eastAsia="es-DO"/>
        </w:rPr>
        <mc:AlternateContent>
          <mc:Choice Requires="wps">
            <w:drawing>
              <wp:anchor distT="0" distB="0" distL="114300" distR="114300" simplePos="0" relativeHeight="251788288" behindDoc="1" locked="0" layoutInCell="1" allowOverlap="1" wp14:anchorId="3815EA2B" wp14:editId="3BCE03AD">
                <wp:simplePos x="0" y="0"/>
                <wp:positionH relativeFrom="column">
                  <wp:posOffset>2330450</wp:posOffset>
                </wp:positionH>
                <wp:positionV relativeFrom="paragraph">
                  <wp:posOffset>97155</wp:posOffset>
                </wp:positionV>
                <wp:extent cx="539750" cy="0"/>
                <wp:effectExtent l="0" t="19050" r="31750" b="19050"/>
                <wp:wrapNone/>
                <wp:docPr id="8" name="Conector recto 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F37EDD" id="Conector recto 8"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5pt,7.65pt" to="22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" strokecolor="red" strokeweight="2.5pt">
                <v:stroke joinstyle="miter"/>
              </v:line>
            </w:pict>
          </mc:Fallback>
        </mc:AlternateContent>
      </w:r>
    </w:p>
    <w:p w14:paraId="5EDA4A69" w14:textId="7224B8BE" w:rsidR="00471AD0" w:rsidRPr="00084D33" w:rsidRDefault="00471AD0" w:rsidP="00490494">
      <w:pPr>
        <w:pStyle w:val="Continuarlista"/>
        <w:jc w:val="center"/>
        <w:rPr>
          <w:rFonts w:cs="Times New Roman"/>
        </w:rPr>
      </w:pPr>
      <w:r w:rsidRPr="00084D33">
        <w:rPr>
          <w:rFonts w:cs="Times New Roman"/>
        </w:rPr>
        <w:t xml:space="preserve">Memoria institucional </w:t>
      </w:r>
      <w:r w:rsidR="003D0902" w:rsidRPr="00084D33">
        <w:rPr>
          <w:rFonts w:cs="Times New Roman"/>
        </w:rPr>
        <w:t>202</w:t>
      </w:r>
      <w:r w:rsidR="006C0CCA" w:rsidRPr="00084D33">
        <w:rPr>
          <w:rFonts w:cs="Times New Roman"/>
        </w:rPr>
        <w:t>4</w:t>
      </w:r>
    </w:p>
    <w:p w14:paraId="1EDA4F90" w14:textId="77777777" w:rsidR="00490494" w:rsidRPr="00084D33" w:rsidRDefault="00490494" w:rsidP="00490494">
      <w:pPr>
        <w:pStyle w:val="Continuarlista"/>
        <w:jc w:val="center"/>
        <w:rPr>
          <w:rFonts w:cs="Times New Roman"/>
        </w:rPr>
      </w:pPr>
    </w:p>
    <w:p w14:paraId="3DD31A70" w14:textId="073DAE18" w:rsidR="00F11408" w:rsidRPr="00084D33" w:rsidRDefault="00F11408" w:rsidP="00F11408">
      <w:pPr>
        <w:pStyle w:val="Textoindependiente"/>
        <w:spacing w:line="360" w:lineRule="auto"/>
        <w:jc w:val="both"/>
        <w:rPr>
          <w:rFonts w:eastAsia="Calibri"/>
          <w:color w:val="767171"/>
        </w:rPr>
      </w:pPr>
      <w:r w:rsidRPr="00084D33">
        <w:rPr>
          <w:rFonts w:eastAsia="Calibri"/>
          <w:color w:val="767171"/>
        </w:rPr>
        <w:t xml:space="preserve">El Ministerio de Obras Públicas y Comunicaciones (MOPC), de conformidad con las funciones otorgadas en la normativa vigente y en cumplimiento al compromiso establecido en la Constitución de la República Dominicana, presenta el Informe de Rendición de Cuentas correspondiente al periodo </w:t>
      </w:r>
      <w:r w:rsidR="00B5550F" w:rsidRPr="00084D33">
        <w:rPr>
          <w:rFonts w:eastAsia="Calibri"/>
          <w:color w:val="767171"/>
        </w:rPr>
        <w:t xml:space="preserve">Enero – </w:t>
      </w:r>
      <w:r w:rsidR="0041279C" w:rsidRPr="00084D33">
        <w:rPr>
          <w:rFonts w:eastAsia="Calibri"/>
          <w:color w:val="767171"/>
        </w:rPr>
        <w:t>D</w:t>
      </w:r>
      <w:r w:rsidR="00B5550F" w:rsidRPr="00084D33">
        <w:rPr>
          <w:rFonts w:eastAsia="Calibri"/>
          <w:color w:val="767171"/>
        </w:rPr>
        <w:t>iciembre</w:t>
      </w:r>
      <w:r w:rsidRPr="00084D33">
        <w:rPr>
          <w:rFonts w:eastAsia="Calibri"/>
          <w:color w:val="767171"/>
        </w:rPr>
        <w:t xml:space="preserve"> del</w:t>
      </w:r>
      <w:r w:rsidR="00BC577E" w:rsidRPr="00084D33">
        <w:rPr>
          <w:rFonts w:eastAsia="Calibri"/>
          <w:color w:val="767171"/>
        </w:rPr>
        <w:t xml:space="preserve"> </w:t>
      </w:r>
      <w:r w:rsidRPr="00084D33">
        <w:rPr>
          <w:rFonts w:eastAsia="Calibri"/>
          <w:color w:val="767171"/>
        </w:rPr>
        <w:t>año 2024, con el objetivo de recopilar las princip</w:t>
      </w:r>
      <w:r w:rsidR="0041279C" w:rsidRPr="00084D33">
        <w:rPr>
          <w:rFonts w:eastAsia="Calibri"/>
          <w:color w:val="767171"/>
        </w:rPr>
        <w:t>a</w:t>
      </w:r>
      <w:r w:rsidRPr="00084D33">
        <w:rPr>
          <w:rFonts w:eastAsia="Calibri"/>
          <w:color w:val="767171"/>
        </w:rPr>
        <w:t>les ejecutorias desarrolladas por la institución durante el año fiscal vigente, las cuales se alinearon acorde a los Programas de Gobierno 2020-2024 (período final) y 2024-2028 (período inicial) del Presidente Constitucional de la República, Lic. Luis Abinader Corona, destacándose en los logros obtenidos la intervención de obras de infraestructuras viales urbanas y rurales, edificaciones públicas y los servicios requeridos por la población, entre otras obras de su competencia, las cuales benefician a la ciudadanía en sentido general, contribuyendo a la sostenibilidad del sistema de transporte terrestre, al</w:t>
      </w:r>
      <w:r w:rsidR="00BC577E" w:rsidRPr="00084D33">
        <w:rPr>
          <w:rFonts w:eastAsia="Calibri"/>
          <w:color w:val="767171"/>
        </w:rPr>
        <w:t xml:space="preserve"> </w:t>
      </w:r>
      <w:r w:rsidRPr="00084D33">
        <w:rPr>
          <w:rFonts w:eastAsia="Calibri"/>
          <w:color w:val="767171"/>
        </w:rPr>
        <w:t>incremento de los niveles de seguridad de los usuarios y por ende al impulso del desarrollo ec</w:t>
      </w:r>
      <w:r w:rsidR="0041279C" w:rsidRPr="00084D33">
        <w:rPr>
          <w:rFonts w:eastAsia="Calibri"/>
          <w:color w:val="767171"/>
        </w:rPr>
        <w:t>onómico y social del paí</w:t>
      </w:r>
      <w:r w:rsidRPr="00084D33">
        <w:rPr>
          <w:rFonts w:eastAsia="Calibri"/>
          <w:color w:val="767171"/>
        </w:rPr>
        <w:t xml:space="preserve">s. </w:t>
      </w:r>
    </w:p>
    <w:p w14:paraId="66AA0311" w14:textId="77777777" w:rsidR="00F11408" w:rsidRPr="00084D33" w:rsidRDefault="00F11408" w:rsidP="002513FA">
      <w:pPr>
        <w:pStyle w:val="Textoindependiente"/>
        <w:spacing w:line="360" w:lineRule="auto"/>
        <w:jc w:val="both"/>
        <w:rPr>
          <w:rFonts w:eastAsia="Calibri"/>
          <w:color w:val="767171"/>
        </w:rPr>
      </w:pPr>
    </w:p>
    <w:p w14:paraId="23448EDA" w14:textId="77777777" w:rsidR="00F11408" w:rsidRPr="00084D33" w:rsidRDefault="00F11408" w:rsidP="00F11408">
      <w:pPr>
        <w:pStyle w:val="Textoindependiente"/>
        <w:spacing w:line="360" w:lineRule="auto"/>
        <w:jc w:val="both"/>
        <w:rPr>
          <w:rFonts w:eastAsia="Calibri"/>
          <w:color w:val="767171"/>
        </w:rPr>
      </w:pPr>
    </w:p>
    <w:p w14:paraId="0A47A912" w14:textId="0C298114" w:rsidR="001F3D65" w:rsidRPr="00084D33" w:rsidRDefault="00F11408" w:rsidP="00F11408">
      <w:pPr>
        <w:pStyle w:val="Textoindependiente"/>
        <w:spacing w:line="360" w:lineRule="auto"/>
        <w:jc w:val="both"/>
        <w:rPr>
          <w:color w:val="767171"/>
        </w:rPr>
      </w:pPr>
      <w:r w:rsidRPr="00084D33">
        <w:rPr>
          <w:rFonts w:eastAsia="Calibri"/>
          <w:color w:val="767171"/>
        </w:rPr>
        <w:t>Entre las principales acciones previstas por el Ministerio de Obras Públicas y Comunicaciones (MOPC) para el logro de los resultados misionales</w:t>
      </w:r>
      <w:r w:rsidR="00BC577E" w:rsidRPr="00084D33">
        <w:rPr>
          <w:rFonts w:eastAsia="Calibri"/>
          <w:color w:val="767171"/>
        </w:rPr>
        <w:t xml:space="preserve"> </w:t>
      </w:r>
      <w:r w:rsidRPr="00084D33">
        <w:rPr>
          <w:rFonts w:eastAsia="Calibri"/>
          <w:color w:val="767171"/>
        </w:rPr>
        <w:t xml:space="preserve">concernientes al período </w:t>
      </w:r>
      <w:r w:rsidR="00B5550F" w:rsidRPr="00084D33">
        <w:rPr>
          <w:rFonts w:eastAsia="Calibri"/>
          <w:color w:val="767171"/>
        </w:rPr>
        <w:t>Enero – diciembre</w:t>
      </w:r>
      <w:r w:rsidRPr="00084D33">
        <w:rPr>
          <w:rFonts w:eastAsia="Calibri"/>
          <w:color w:val="767171"/>
        </w:rPr>
        <w:t xml:space="preserve"> del año 2024, se destacan la las políticas, planes y programas efectuados como organismo rector de la infraestructura de transporte a nivel nacional, mediante acciones de regulación, planificación, construcción, rehabilitación y mantenimiento de la infraestructura vial a nivel nacional, con el objetivo de continuar fortaleciendo la gestión administrativa y técnica de la institución, generando impactos positivos en los usuarios con la mejora de la movilidad, </w:t>
      </w:r>
      <w:r w:rsidRPr="00084D33">
        <w:rPr>
          <w:rFonts w:eastAsia="Calibri"/>
          <w:color w:val="767171"/>
        </w:rPr>
        <w:lastRenderedPageBreak/>
        <w:t>accesibilidad, conectividad y seguridad de los usuarios, creando empleos, dinamizando la economía de las regiones y la sostenibilidad del potencial turístico de las zonas intervenidas, entre otros; identificándose estas acciones con los principales instrumentos de planificación implementados en el país: Estrategia Nacional de Desarrollo (END) 2030, Objetivos de Desarrollo Sostenible (ODS), Marco de Sendai para la Reducción de Riesgos de Desastres 2015-2030 y Plan Nacional Plurianual del Sector Publico (PNPSP) para el período 2025-2028</w:t>
      </w:r>
      <w:r w:rsidR="00D444A8" w:rsidRPr="00084D33">
        <w:rPr>
          <w:rFonts w:eastAsia="Calibri"/>
          <w:color w:val="767171"/>
        </w:rPr>
        <w:t>.</w:t>
      </w:r>
    </w:p>
    <w:p w14:paraId="65E52489" w14:textId="77777777" w:rsidR="00FA47EE" w:rsidRPr="00084D33" w:rsidRDefault="00FA47EE" w:rsidP="00551998">
      <w:pPr>
        <w:rPr>
          <w:rFonts w:cs="Times New Roman"/>
        </w:rPr>
      </w:pPr>
      <w:bookmarkStart w:id="47" w:name="_Toc90797933"/>
      <w:bookmarkStart w:id="48" w:name="_Toc90884472"/>
      <w:bookmarkStart w:id="49" w:name="_Toc90929068"/>
      <w:bookmarkStart w:id="50" w:name="_Toc90929429"/>
      <w:bookmarkStart w:id="51" w:name="_Toc91264797"/>
      <w:bookmarkEnd w:id="47"/>
      <w:bookmarkEnd w:id="48"/>
      <w:bookmarkEnd w:id="49"/>
      <w:bookmarkEnd w:id="50"/>
      <w:bookmarkEnd w:id="51"/>
    </w:p>
    <w:p w14:paraId="32E3EF07" w14:textId="77777777" w:rsidR="00D27C74" w:rsidRPr="00084D33" w:rsidRDefault="00D27C74" w:rsidP="00883E1C">
      <w:pPr>
        <w:spacing w:after="160"/>
        <w:rPr>
          <w:rFonts w:cs="Times New Roman"/>
          <w:b/>
          <w:bCs/>
        </w:rPr>
      </w:pPr>
    </w:p>
    <w:p w14:paraId="5F33FF74" w14:textId="1678CA5D" w:rsidR="00F43D7E" w:rsidRPr="00084D33" w:rsidRDefault="00D3523B" w:rsidP="00F43D7E">
      <w:pPr>
        <w:ind w:left="709"/>
        <w:jc w:val="center"/>
        <w:rPr>
          <w:b/>
        </w:rPr>
      </w:pPr>
      <w:r w:rsidRPr="00084D33">
        <w:rPr>
          <w:b/>
        </w:rPr>
        <w:t>3</w:t>
      </w:r>
      <w:r w:rsidR="00F43D7E" w:rsidRPr="00084D33">
        <w:rPr>
          <w:b/>
        </w:rPr>
        <w:t xml:space="preserve">.1 Información Cuantitativa, Cualitativa e Indicadores de los Procesos Misionales, correspondientes al período </w:t>
      </w:r>
      <w:r w:rsidR="000A17C8" w:rsidRPr="00084D33">
        <w:rPr>
          <w:b/>
        </w:rPr>
        <w:t>enero-diciembre</w:t>
      </w:r>
      <w:r w:rsidR="00F43D7E" w:rsidRPr="00084D33">
        <w:rPr>
          <w:b/>
        </w:rPr>
        <w:t xml:space="preserve"> del año 2024</w:t>
      </w:r>
    </w:p>
    <w:p w14:paraId="68DBF096" w14:textId="77777777" w:rsidR="00F43D7E" w:rsidRPr="00084D33" w:rsidRDefault="00F43D7E" w:rsidP="00F43D7E">
      <w:pPr>
        <w:ind w:left="720"/>
      </w:pPr>
    </w:p>
    <w:p w14:paraId="58A99676" w14:textId="77777777" w:rsidR="00F43D7E" w:rsidRPr="00084D33" w:rsidRDefault="00F43D7E" w:rsidP="00F43D7E">
      <w:pPr>
        <w:ind w:left="720"/>
      </w:pPr>
    </w:p>
    <w:p w14:paraId="7CFE2340" w14:textId="0067C644" w:rsidR="00F43D7E" w:rsidRPr="00084D33" w:rsidRDefault="00F43D7E" w:rsidP="00F43D7E">
      <w:pPr>
        <w:spacing w:after="160"/>
      </w:pPr>
      <w:r w:rsidRPr="00084D33">
        <w:rPr>
          <w:rFonts w:eastAsia="Times New Roman" w:cs="Times New Roman"/>
          <w:szCs w:val="24"/>
          <w:lang w:val="es-ES" w:eastAsia="es-ES" w:bidi="es-ES"/>
        </w:rPr>
        <w:t>Las  metas vinculadas con las funciones de la instituci</w:t>
      </w:r>
      <w:r w:rsidR="0041279C" w:rsidRPr="00084D33">
        <w:rPr>
          <w:rFonts w:eastAsia="Times New Roman" w:cs="Times New Roman"/>
          <w:szCs w:val="24"/>
          <w:lang w:val="es-ES" w:eastAsia="es-ES" w:bidi="es-ES"/>
        </w:rPr>
        <w:t>ó</w:t>
      </w:r>
      <w:r w:rsidRPr="00084D33">
        <w:rPr>
          <w:rFonts w:eastAsia="Times New Roman" w:cs="Times New Roman"/>
          <w:szCs w:val="24"/>
          <w:lang w:val="es-ES" w:eastAsia="es-ES" w:bidi="es-ES"/>
        </w:rPr>
        <w:t xml:space="preserve">n durante el período </w:t>
      </w:r>
      <w:r w:rsidR="00B5550F" w:rsidRPr="00084D33">
        <w:rPr>
          <w:rFonts w:eastAsia="Times New Roman" w:cs="Times New Roman"/>
          <w:szCs w:val="24"/>
          <w:lang w:val="es-ES" w:eastAsia="es-ES" w:bidi="es-ES"/>
        </w:rPr>
        <w:t>enero – diciembre</w:t>
      </w:r>
      <w:r w:rsidRPr="00084D33">
        <w:rPr>
          <w:rFonts w:eastAsia="Times New Roman" w:cs="Times New Roman"/>
          <w:szCs w:val="24"/>
          <w:lang w:val="es-ES" w:eastAsia="es-ES" w:bidi="es-ES"/>
        </w:rPr>
        <w:t xml:space="preserve"> del año 2024, se enfocaron en la ejecución sostenible de obras de infraestructura vial en todo el territorio nacional, alcanzando </w:t>
      </w:r>
      <w:r w:rsidRPr="00084D33">
        <w:t>resultados misionales que definen el desarrollo y modernización de la red vial urbana e interurbana, viabilizando la prestación de bienes y servicios para la población, acorde a los lineamientos de la planificación institucional para el citado período; además, se incluyen los compromisos del ministerio en el incremento de la cobertura de los servicios y el desempeño de las áreas técnicas, administrativas y financieras, recursos humanos, transparencia, entre otras; cuyos resultados se resumen a continuación:</w:t>
      </w:r>
    </w:p>
    <w:p w14:paraId="3C9B4E27" w14:textId="77777777" w:rsidR="00F43D7E" w:rsidRPr="00084D33" w:rsidRDefault="00F43D7E" w:rsidP="00F43D7E">
      <w:pPr>
        <w:pStyle w:val="Estilo1-Vietas-Parrafo"/>
        <w:ind w:left="270"/>
      </w:pPr>
    </w:p>
    <w:p w14:paraId="2D120A68" w14:textId="484E91A1" w:rsidR="00F43D7E" w:rsidRPr="00084D33" w:rsidRDefault="00F43D7E" w:rsidP="00D131A1">
      <w:pPr>
        <w:pStyle w:val="Estilo1-Vietas-Parrafo"/>
        <w:numPr>
          <w:ilvl w:val="0"/>
          <w:numId w:val="8"/>
        </w:numPr>
        <w:ind w:left="360"/>
        <w:rPr>
          <w:rFonts w:eastAsia="Calibri"/>
        </w:rPr>
      </w:pPr>
      <w:r w:rsidRPr="00084D33">
        <w:rPr>
          <w:lang w:val="es-US"/>
        </w:rPr>
        <w:t xml:space="preserve">Conclusión de varios proyectos de </w:t>
      </w:r>
      <w:r w:rsidRPr="00084D33">
        <w:t>Construcción y Reconstrucción de Carreteras</w:t>
      </w:r>
      <w:r w:rsidRPr="00084D33">
        <w:rPr>
          <w:lang w:val="es-US"/>
        </w:rPr>
        <w:t xml:space="preserve"> durante el periodo </w:t>
      </w:r>
      <w:r w:rsidR="000A17C8" w:rsidRPr="00084D33">
        <w:rPr>
          <w:lang w:val="es-US"/>
        </w:rPr>
        <w:t>enero-diciembre</w:t>
      </w:r>
      <w:r w:rsidRPr="00084D33">
        <w:rPr>
          <w:lang w:val="es-US"/>
        </w:rPr>
        <w:t xml:space="preserve"> del año 2024, </w:t>
      </w:r>
      <w:r w:rsidRPr="00084D33">
        <w:t xml:space="preserve">totalizando las obras de carreteras terminadas una longitud aproximada de 592.30 </w:t>
      </w:r>
      <w:r w:rsidRPr="00084D33">
        <w:lastRenderedPageBreak/>
        <w:t xml:space="preserve">kilómetros - carriles, con una asignación para el periodo </w:t>
      </w:r>
      <w:r w:rsidR="000A17C8" w:rsidRPr="00084D33">
        <w:t>enero-diciembre</w:t>
      </w:r>
      <w:r w:rsidRPr="00084D33">
        <w:t xml:space="preserve"> de RD$7,287,480,260.92 y una ejecución de </w:t>
      </w:r>
      <w:r w:rsidRPr="00084D33">
        <w:rPr>
          <w:rFonts w:cstheme="minorBidi"/>
        </w:rPr>
        <w:t>RD$6,481,829,109.87</w:t>
      </w:r>
      <w:r w:rsidRPr="00084D33">
        <w:t xml:space="preserve">, entre los que se destacan: </w:t>
      </w:r>
      <w:r w:rsidRPr="00084D33">
        <w:rPr>
          <w:lang w:val="es-US"/>
        </w:rPr>
        <w:t xml:space="preserve">a) </w:t>
      </w:r>
      <w:r w:rsidRPr="00084D33">
        <w:rPr>
          <w:rFonts w:eastAsia="Calibri"/>
        </w:rPr>
        <w:t xml:space="preserve">Reconstrucción Carretera El Mango – La Piragua, Provincia Puerto Plata, con una longitud de 8.83 km; b) Reconstrucción Conexión de la Carretera Juan Veras - Las Yayitas, Provincia Santiago, con una longitud de 6.30 km; c) Reconstrucción Carretera San Víctor – Jamao </w:t>
      </w:r>
      <w:r w:rsidRPr="00084D33">
        <w:rPr>
          <w:rFonts w:eastAsia="Calibri"/>
          <w:spacing w:val="20"/>
          <w:szCs w:val="24"/>
        </w:rPr>
        <w:t>- Sabaneta de Yásica, Provincias Espaillat y Puerto Plata</w:t>
      </w:r>
      <w:r w:rsidRPr="00084D33">
        <w:rPr>
          <w:rFonts w:eastAsia="Calibri"/>
        </w:rPr>
        <w:t>; d) Construcción Carretera Los Jovillos - Cañada de Piedra, Provincia Azua, con una longitud de 2.50 km; e) Construcción y Reconstrucción de la Carretera Gurabito De Yaroa;</w:t>
      </w:r>
      <w:r w:rsidRPr="00084D33">
        <w:rPr>
          <w:rFonts w:eastAsia="Calibri"/>
          <w:spacing w:val="20"/>
          <w:szCs w:val="24"/>
        </w:rPr>
        <w:t xml:space="preserve"> f) Rehabilitación tramo de la Autopista Duarte, Carretera Navarrete – Montecristi, Provincias Puerto Plata y Santiago; g) Reconstrucción Carretera Vicentillo-Magarín-La Candelaria-Bejucal, Provincias El Se</w:t>
      </w:r>
      <w:r w:rsidR="007B2509" w:rsidRPr="00084D33">
        <w:rPr>
          <w:rFonts w:eastAsia="Calibri"/>
          <w:spacing w:val="20"/>
          <w:szCs w:val="24"/>
        </w:rPr>
        <w:t>i</w:t>
      </w:r>
      <w:r w:rsidRPr="00084D33">
        <w:rPr>
          <w:rFonts w:eastAsia="Calibri"/>
          <w:spacing w:val="20"/>
          <w:szCs w:val="24"/>
        </w:rPr>
        <w:t xml:space="preserve">bo y Hato Mayor; h) Reconstrucción Carretera Los Jovillos Cañada de Piedra, Provincia Azua; entre otras. </w:t>
      </w:r>
    </w:p>
    <w:p w14:paraId="28260243" w14:textId="77777777" w:rsidR="00F43D7E" w:rsidRPr="00084D33" w:rsidRDefault="00F43D7E" w:rsidP="00F43D7E">
      <w:pPr>
        <w:pStyle w:val="Estilo1-Vietas-Parrafo"/>
        <w:ind w:left="360"/>
        <w:rPr>
          <w:rFonts w:eastAsia="Calibri"/>
        </w:rPr>
      </w:pPr>
    </w:p>
    <w:p w14:paraId="55318CF2" w14:textId="03C0D798" w:rsidR="00F43D7E" w:rsidRPr="00084D33" w:rsidRDefault="00F43D7E" w:rsidP="00D131A1">
      <w:pPr>
        <w:pStyle w:val="Estilo1-Vietas-Parrafo"/>
        <w:numPr>
          <w:ilvl w:val="0"/>
          <w:numId w:val="8"/>
        </w:numPr>
        <w:ind w:left="360"/>
        <w:rPr>
          <w:rFonts w:eastAsia="Calibri"/>
          <w:spacing w:val="20"/>
          <w:szCs w:val="24"/>
          <w:lang w:val="es-US"/>
        </w:rPr>
      </w:pPr>
      <w:r w:rsidRPr="00084D33">
        <w:rPr>
          <w:rFonts w:eastAsia="Calibri"/>
        </w:rPr>
        <w:t xml:space="preserve">Continuación de las ejecutorias de proyectos de carreteras que han  </w:t>
      </w:r>
      <w:r w:rsidRPr="00084D33">
        <w:rPr>
          <w:rFonts w:eastAsia="Calibri"/>
          <w:noProof/>
          <w:spacing w:val="20"/>
          <w:szCs w:val="24"/>
        </w:rPr>
        <w:t xml:space="preserve">registrado un notable avance de acuerdo al cronograma de ejecución durante el periodo </w:t>
      </w:r>
      <w:r w:rsidR="00B5550F" w:rsidRPr="00084D33">
        <w:rPr>
          <w:rFonts w:eastAsia="Calibri"/>
          <w:noProof/>
          <w:spacing w:val="20"/>
          <w:szCs w:val="24"/>
        </w:rPr>
        <w:t>enero - diciembre del año 2024</w:t>
      </w:r>
      <w:r w:rsidRPr="00084D33">
        <w:rPr>
          <w:rFonts w:eastAsia="Calibri"/>
          <w:noProof/>
          <w:spacing w:val="20"/>
          <w:szCs w:val="24"/>
        </w:rPr>
        <w:t xml:space="preserve">, entre los cuales citamos: a) Programa de Ampliación, Reconstrucción y Modernización de la Autopista Duarte (marginales, elevados y control de accesos, retornos operacionales, etc., Multiprovincial; b) Construcción Avenida de Circunvalación de Baní, Provincia Peravia; c) Construcción Avenida de Circunvalación Sur de San Francisco de Macorís, Provincia Duarte; d) Construcción Avenida Nuevo Camino ó Circunvalación Los Alcarrizos, Municipio Los Alcarrizos, Provincia Santo Domingo; e) Construcción de la Avenida de Circunvalación de Navarrete, Provincia Santiago; f) Terminación Carretera Barahona-Enriquillo, Provincia Barahona; </w:t>
      </w:r>
      <w:r w:rsidRPr="00084D33">
        <w:rPr>
          <w:rFonts w:eastAsia="Calibri"/>
          <w:noProof/>
          <w:spacing w:val="20"/>
          <w:szCs w:val="24"/>
        </w:rPr>
        <w:lastRenderedPageBreak/>
        <w:t xml:space="preserve">g) Reconstrucción y Ampliación Carretera Enriquillo-Pedernales, Provincias Barahona y Pedernales; h) Construcción Carretera Cabo Rojo – La Cueva, Provincia Pedernales; h) Construcción Barrera de Protección Marina, tramo vial, obras conexas y complementarias del Malecón de Nagua, Provincia María Trinidad Sánchez, entre otros; </w:t>
      </w:r>
      <w:r w:rsidRPr="00084D33">
        <w:t>lo que representa una mejora de la calidad de vida de los usuarios de las obras, las cuales contribuyen al Eje Estratégico 3 de la END 2030.</w:t>
      </w:r>
      <w:r w:rsidRPr="00084D33">
        <w:rPr>
          <w:lang w:val="es-US"/>
        </w:rPr>
        <w:t xml:space="preserve"> </w:t>
      </w:r>
    </w:p>
    <w:p w14:paraId="68F8FA20" w14:textId="77777777" w:rsidR="00F43D7E" w:rsidRPr="00084D33" w:rsidRDefault="00F43D7E" w:rsidP="00F43D7E">
      <w:pPr>
        <w:pStyle w:val="Estilo1-Vietas-Parrafo"/>
        <w:ind w:left="360"/>
        <w:rPr>
          <w:rFonts w:eastAsia="Calibri"/>
          <w:spacing w:val="20"/>
          <w:szCs w:val="24"/>
          <w:lang w:val="es-US"/>
        </w:rPr>
      </w:pPr>
    </w:p>
    <w:p w14:paraId="32A09224" w14:textId="76B7AEE9" w:rsidR="00F43D7E" w:rsidRPr="00084D33" w:rsidRDefault="00F43D7E" w:rsidP="00D131A1">
      <w:pPr>
        <w:pStyle w:val="Estilo1-Vietas-Parrafo"/>
        <w:numPr>
          <w:ilvl w:val="0"/>
          <w:numId w:val="8"/>
        </w:numPr>
        <w:ind w:left="270"/>
        <w:rPr>
          <w:rFonts w:cstheme="minorBidi"/>
        </w:rPr>
      </w:pPr>
      <w:r w:rsidRPr="00084D33">
        <w:rPr>
          <w:rFonts w:cstheme="minorBidi"/>
        </w:rPr>
        <w:t xml:space="preserve">Terminación de varios proyectos de Reconstrucción y Mantenimiento de Caminos Vecinales a nivel nacional, durante el periodo </w:t>
      </w:r>
      <w:r w:rsidR="00B5550F" w:rsidRPr="00084D33">
        <w:rPr>
          <w:rFonts w:cstheme="minorBidi"/>
        </w:rPr>
        <w:t>enero - diciembre del año 2024</w:t>
      </w:r>
      <w:r w:rsidRPr="00084D33">
        <w:rPr>
          <w:rFonts w:cstheme="minorBidi"/>
        </w:rPr>
        <w:t xml:space="preserve">; los cuales conducen a importantes proyectos agroforestales, con la intervención de 1,328.06 km y una inversión programada de RD$4,136,106,230.14, de los cuales se ejecutaron en el año 2024, la suma de RD$2,423,894,120.41, entre los cuales citamos: a) Reconstrucción Camino Vecinal Benedicto - Santa Cruz del Gato, Provincia La Altagracia; b) Reconstrucción  Camino Vecinal El Naranjal-La Barra – La Parra, Provincia San José de Ocoa; c) Reconstrucción Camino Vecinal El Cigual- Presa Sabana Yegua-El Corozo- Carretera de San Juan, Provincia Azua; d) Reconstrucción Camino Vecinal Estero Hondo – Cruce de Tiburcio, Municipio Villa La Isabela, Provincia Puerto Plata; entre otros, </w:t>
      </w:r>
      <w:r w:rsidRPr="00084D33">
        <w:rPr>
          <w:rFonts w:eastAsia="Calibri"/>
          <w:spacing w:val="20"/>
          <w:szCs w:val="24"/>
          <w:lang w:val="es-US"/>
        </w:rPr>
        <w:t>contribuyendo a los objetivos del Eje 3 de la END 2030.</w:t>
      </w:r>
    </w:p>
    <w:p w14:paraId="551333DD" w14:textId="77777777" w:rsidR="00F43D7E" w:rsidRPr="00084D33" w:rsidRDefault="00F43D7E" w:rsidP="00F43D7E">
      <w:pPr>
        <w:pStyle w:val="Estilo1-Vietas-Parrafo"/>
        <w:ind w:left="270"/>
        <w:rPr>
          <w:rFonts w:cstheme="minorBidi"/>
        </w:rPr>
      </w:pPr>
    </w:p>
    <w:p w14:paraId="5CB97562" w14:textId="1F7B1C39" w:rsidR="00F43D7E" w:rsidRPr="00084D33" w:rsidRDefault="00F43D7E" w:rsidP="00D131A1">
      <w:pPr>
        <w:pStyle w:val="Estilo1-Vietas-Parrafo"/>
        <w:numPr>
          <w:ilvl w:val="0"/>
          <w:numId w:val="8"/>
        </w:numPr>
        <w:ind w:left="360"/>
        <w:rPr>
          <w:rFonts w:eastAsia="Calibri"/>
          <w:spacing w:val="20"/>
          <w:szCs w:val="24"/>
          <w:lang w:val="es-US"/>
        </w:rPr>
      </w:pPr>
      <w:r w:rsidRPr="00084D33">
        <w:t xml:space="preserve">Conclusión importantes proyectos de puentes a nivel </w:t>
      </w:r>
      <w:r w:rsidR="007B2509" w:rsidRPr="00084D33">
        <w:t>nacional</w:t>
      </w:r>
      <w:r w:rsidRPr="00084D33">
        <w:t xml:space="preserve"> durante el periodo </w:t>
      </w:r>
      <w:r w:rsidR="000A17C8" w:rsidRPr="00084D33">
        <w:t>enero-diciembre</w:t>
      </w:r>
      <w:r w:rsidRPr="00084D33">
        <w:t xml:space="preserve"> del 2024, destacándose los siguientes: a</w:t>
      </w:r>
      <w:r w:rsidRPr="00084D33">
        <w:rPr>
          <w:rFonts w:eastAsia="Calibri"/>
          <w:spacing w:val="20"/>
          <w:szCs w:val="24"/>
          <w:lang w:val="es-US"/>
        </w:rPr>
        <w:t>) Construcción Puente sobre el Arroyo Yauya, en Otra Banda, Municipio Hig</w:t>
      </w:r>
      <w:r w:rsidR="00A862E9" w:rsidRPr="00084D33">
        <w:rPr>
          <w:rFonts w:eastAsia="Calibri"/>
          <w:spacing w:val="20"/>
          <w:szCs w:val="24"/>
          <w:lang w:val="es-US"/>
        </w:rPr>
        <w:t>ü</w:t>
      </w:r>
      <w:r w:rsidRPr="00084D33">
        <w:rPr>
          <w:rFonts w:eastAsia="Calibri"/>
          <w:spacing w:val="20"/>
          <w:szCs w:val="24"/>
          <w:lang w:val="es-US"/>
        </w:rPr>
        <w:t xml:space="preserve">ey, Provincia La Altagracia, con una longitud de 20.0 ml; b) Construcción de Tres (3) Puentes en Camino Vecinal </w:t>
      </w:r>
      <w:r w:rsidRPr="00084D33">
        <w:rPr>
          <w:rFonts w:eastAsia="Calibri"/>
          <w:spacing w:val="20"/>
          <w:szCs w:val="24"/>
          <w:lang w:val="es-US"/>
        </w:rPr>
        <w:lastRenderedPageBreak/>
        <w:t>Las Espinas, Municipio Jamao al Norte, Provincia Espaillat, con avance de 35%; c) Construcción de Puente sobre Rio Bajabonico, longitud de 130.0 metros, Provincia Puerto Plata, con avance de 5 %, entre otros; impactando significativamente a los residentes del área de influencia de las obras concluidas, l</w:t>
      </w:r>
      <w:r w:rsidRPr="00084D33">
        <w:t>os cuales contribuyen al Eje Estratégico 3 de la END 2030.</w:t>
      </w:r>
      <w:r w:rsidRPr="00084D33">
        <w:rPr>
          <w:rFonts w:eastAsia="Calibri"/>
          <w:spacing w:val="20"/>
          <w:szCs w:val="24"/>
          <w:lang w:val="es-US"/>
        </w:rPr>
        <w:t xml:space="preserve"> </w:t>
      </w:r>
    </w:p>
    <w:p w14:paraId="51D9111C" w14:textId="77777777" w:rsidR="00F43D7E" w:rsidRPr="00084D33" w:rsidRDefault="00F43D7E" w:rsidP="00F43D7E">
      <w:pPr>
        <w:pStyle w:val="Estilo1-Vietas-Parrafo"/>
        <w:ind w:left="270"/>
      </w:pPr>
    </w:p>
    <w:p w14:paraId="0F723737" w14:textId="45D70FF4" w:rsidR="00F43D7E" w:rsidRPr="00084D33" w:rsidRDefault="00F43D7E" w:rsidP="00D131A1">
      <w:pPr>
        <w:pStyle w:val="Estilo1-Vietas-Parrafo"/>
        <w:numPr>
          <w:ilvl w:val="0"/>
          <w:numId w:val="8"/>
        </w:numPr>
        <w:tabs>
          <w:tab w:val="left" w:pos="5245"/>
        </w:tabs>
        <w:ind w:left="360"/>
      </w:pPr>
      <w:r w:rsidRPr="00084D33">
        <w:t xml:space="preserve">Conclusión durante el periodo </w:t>
      </w:r>
      <w:r w:rsidR="000A17C8" w:rsidRPr="00084D33">
        <w:t>enero-diciembre</w:t>
      </w:r>
      <w:r w:rsidRPr="00084D33">
        <w:t xml:space="preserve"> del año 2024, de un gran porcentaje de obras de infraestructura vial contempladas en los Planes de Mejoramientos de la Red Vial Urbana por Municipios en toda la geografía nacional, que integran </w:t>
      </w:r>
      <w:r w:rsidR="008653BD" w:rsidRPr="00084D33">
        <w:t>los Programas Nacionales de Asfaltado y Construcción de Aceras y Contenes, denominados (PROPACC) Nos. 1, 2, 3 y 4</w:t>
      </w:r>
      <w:r w:rsidRPr="00084D33">
        <w:t xml:space="preserve">, con una gran transcendencia para la población beneficiaria, por  la mejora de la accesibilidad, conectividad y seguridad de los usuarios residentes en los municipios intervenidos; en ese sentido, se registra  un total de 2,114.30 kilómetros de calles y avenidas rehabilitadas en los 154 municipios del país, con una inversión ascendente a la suma de RD$15,909,044,094.51, siendo las principales obras en ejecución en los citados planes, las siguientes: a)  Reconstrucción de la </w:t>
      </w:r>
      <w:r w:rsidR="00A862E9" w:rsidRPr="00084D33">
        <w:t>infraestructura</w:t>
      </w:r>
      <w:r w:rsidRPr="00084D33">
        <w:rPr>
          <w:rFonts w:cstheme="minorBidi"/>
        </w:rPr>
        <w:t xml:space="preserve"> Vial Urbana del Municipio Santo Domingo Este, incluye los Sectores Cancino, La Américas, Villa Duarte, </w:t>
      </w:r>
      <w:r w:rsidR="00A862E9" w:rsidRPr="00084D33">
        <w:rPr>
          <w:rFonts w:cstheme="minorBidi"/>
        </w:rPr>
        <w:t>Los</w:t>
      </w:r>
      <w:r w:rsidRPr="00084D33">
        <w:rPr>
          <w:rFonts w:cstheme="minorBidi"/>
        </w:rPr>
        <w:t xml:space="preserve"> Mameyes, etc.;  </w:t>
      </w:r>
      <w:r w:rsidR="0041279C" w:rsidRPr="00084D33">
        <w:rPr>
          <w:rFonts w:cstheme="minorBidi"/>
        </w:rPr>
        <w:t>b)</w:t>
      </w:r>
      <w:r w:rsidRPr="00084D33">
        <w:t>Reconstrucción de la infraestru</w:t>
      </w:r>
      <w:r w:rsidR="0041279C" w:rsidRPr="00084D33">
        <w:t>c</w:t>
      </w:r>
      <w:r w:rsidRPr="00084D33">
        <w:t>t</w:t>
      </w:r>
      <w:r w:rsidR="0041279C" w:rsidRPr="00084D33">
        <w:t>u</w:t>
      </w:r>
      <w:r w:rsidRPr="00084D33">
        <w:t>ra</w:t>
      </w:r>
      <w:r w:rsidRPr="00084D33">
        <w:rPr>
          <w:rFonts w:cstheme="minorBidi"/>
        </w:rPr>
        <w:t xml:space="preserve"> Vial Urbana de la Circunscripción #1 del Distrito Nacional, incluye los Sectores Atala, Bella Vista, Ciudad Nueva, El Millón, Honduras</w:t>
      </w:r>
      <w:r w:rsidR="0041279C" w:rsidRPr="00084D33">
        <w:rPr>
          <w:rFonts w:cstheme="minorBidi"/>
        </w:rPr>
        <w:t>; c)</w:t>
      </w:r>
      <w:r w:rsidR="0041279C" w:rsidRPr="00084D33">
        <w:rPr>
          <w:rFonts w:eastAsia="Calibri"/>
          <w:highlight w:val="yellow"/>
        </w:rPr>
        <w:t xml:space="preserve"> </w:t>
      </w:r>
      <w:r w:rsidR="0041279C" w:rsidRPr="00084D33">
        <w:rPr>
          <w:rFonts w:eastAsia="Calibri"/>
        </w:rPr>
        <w:t xml:space="preserve">Reconstrucción de la </w:t>
      </w:r>
      <w:r w:rsidR="00A862E9" w:rsidRPr="00084D33">
        <w:rPr>
          <w:rFonts w:eastAsia="Calibri"/>
        </w:rPr>
        <w:t>infraestructura</w:t>
      </w:r>
      <w:r w:rsidR="0041279C" w:rsidRPr="00084D33">
        <w:rPr>
          <w:rFonts w:eastAsia="Calibri"/>
        </w:rPr>
        <w:t xml:space="preserve"> Vial Urbana de la Circunscripción #3 del Distrito Nacional, incluye los Sectores Capotillo, Espaillat, Mejoramiento Social, Guachupita, Gualey, San Carlos, entre otros,</w:t>
      </w:r>
      <w:r w:rsidRPr="00084D33">
        <w:rPr>
          <w:rFonts w:cstheme="minorBidi"/>
        </w:rPr>
        <w:t xml:space="preserve"> </w:t>
      </w:r>
      <w:r w:rsidRPr="00084D33">
        <w:t xml:space="preserve">incrementando la accesibilidad vehicular y la transitabilidad de los usuarios, contribuyendo al Eje 3 de la Estrategia Nacional de Desarrollo (END) 2030. </w:t>
      </w:r>
    </w:p>
    <w:p w14:paraId="2BBCFCDE" w14:textId="77777777" w:rsidR="00F43D7E" w:rsidRPr="00084D33" w:rsidRDefault="00F43D7E" w:rsidP="00F43D7E">
      <w:pPr>
        <w:pStyle w:val="Estilo1-Vietas-Parrafo"/>
        <w:spacing w:after="0"/>
        <w:ind w:left="270"/>
        <w:rPr>
          <w:rFonts w:cstheme="minorBidi"/>
        </w:rPr>
      </w:pPr>
    </w:p>
    <w:p w14:paraId="0C3D99DB" w14:textId="71FF9537" w:rsidR="00F43D7E" w:rsidRPr="00084D33" w:rsidRDefault="00F43D7E" w:rsidP="00D131A1">
      <w:pPr>
        <w:pStyle w:val="Estilo1-Vietas-Parrafo"/>
        <w:numPr>
          <w:ilvl w:val="0"/>
          <w:numId w:val="8"/>
        </w:numPr>
        <w:ind w:left="360"/>
      </w:pPr>
      <w:r w:rsidRPr="00084D33">
        <w:t xml:space="preserve">Continuación  del Programa de Construcción y Reconstrucción de Aceras, Contenes, Badenes e Imbornales a nivel nacional con una intervención aproximada durante el periodo </w:t>
      </w:r>
      <w:r w:rsidR="00B5550F" w:rsidRPr="00084D33">
        <w:t>enero - diciembre del año 2024</w:t>
      </w:r>
      <w:r w:rsidRPr="00084D33">
        <w:t xml:space="preserve">, ascendente a 426,660 ml de contenes y 409,220 m² de aceras, con una ejecución total ascendente a RD$1,460,766,630.29 en los sectores siguientes: a) Panchita, </w:t>
      </w:r>
      <w:r w:rsidR="00A862E9" w:rsidRPr="00084D33">
        <w:t>María</w:t>
      </w:r>
      <w:r w:rsidRPr="00084D33">
        <w:t xml:space="preserve"> Luisa, Municipio Samaná, Provincia </w:t>
      </w:r>
      <w:r w:rsidRPr="00084D33">
        <w:rPr>
          <w:rFonts w:cstheme="minorBidi"/>
        </w:rPr>
        <w:t xml:space="preserve">Samaná; b) </w:t>
      </w:r>
      <w:r w:rsidRPr="00084D33">
        <w:t xml:space="preserve">Las Caobas, Arroyo El Gato, Palo Roto, Centro del Pueblo, Jamao, Municipio </w:t>
      </w:r>
      <w:r w:rsidRPr="00084D33">
        <w:rPr>
          <w:rFonts w:cstheme="minorBidi"/>
        </w:rPr>
        <w:t xml:space="preserve">Jamao al Norte, Provincia Espaillat; c) Los Almendro, Altos de Piedra, Sector Hermanas Mirabal y Urbanización Bueno, Municipio Salcedo, Provincia Hermanas Mirabal; d) Boca de Barranca, Los Cajuiles, San Miguel, Los Viveros, El Lilin,  Hato Viejo y Presconzon, Municipio Cevicos, Provincia  Sánchez Ramírez; e) Arriba, El Llano, NY Chiquito, La Pañuela, Las Salinas, Municipios Cabral y Las Salinas, Provincia Barahona; f) </w:t>
      </w:r>
      <w:r w:rsidRPr="00084D33">
        <w:rPr>
          <w:rFonts w:cstheme="minorBidi"/>
        </w:rPr>
        <w:tab/>
        <w:t xml:space="preserve">Sabana Cruz, Municipio Bánica, Provincia </w:t>
      </w:r>
      <w:r w:rsidR="000A3CD1" w:rsidRPr="00084D33">
        <w:rPr>
          <w:rFonts w:cstheme="minorBidi"/>
        </w:rPr>
        <w:t>Elías</w:t>
      </w:r>
      <w:r w:rsidRPr="00084D33">
        <w:rPr>
          <w:rFonts w:cstheme="minorBidi"/>
        </w:rPr>
        <w:t xml:space="preserve"> Piña, entre otras, </w:t>
      </w:r>
      <w:r w:rsidRPr="00084D33">
        <w:t>beneficiando la movilidad de los peatones en las zonas urbanas y contribuyendo al Eje 3 de la END 2030.</w:t>
      </w:r>
    </w:p>
    <w:p w14:paraId="32442BCB" w14:textId="77777777" w:rsidR="00F43D7E" w:rsidRPr="00084D33" w:rsidRDefault="00F43D7E" w:rsidP="00F43D7E">
      <w:pPr>
        <w:pStyle w:val="EstilodePrrafoNormal1RdeC"/>
        <w:ind w:left="270"/>
        <w:rPr>
          <w:rFonts w:eastAsiaTheme="minorHAnsi" w:cstheme="minorBidi"/>
          <w:color w:val="767171"/>
          <w:szCs w:val="22"/>
          <w:lang w:val="es-DO" w:eastAsia="en-US" w:bidi="ar-SA"/>
        </w:rPr>
      </w:pPr>
    </w:p>
    <w:p w14:paraId="7C50DE4A" w14:textId="59E02437" w:rsidR="00F43D7E" w:rsidRPr="00084D33" w:rsidRDefault="00F43D7E" w:rsidP="00D131A1">
      <w:pPr>
        <w:pStyle w:val="Estilo1-Vietas-Parrafo"/>
        <w:numPr>
          <w:ilvl w:val="0"/>
          <w:numId w:val="8"/>
        </w:numPr>
        <w:ind w:left="360"/>
      </w:pPr>
      <w:r w:rsidRPr="00084D33">
        <w:t xml:space="preserve">Continuó la ejecución del Programa Construcción y Reparación de Puentes del MOPC a nivel nacional, interviniendo durante el periodo </w:t>
      </w:r>
      <w:r w:rsidR="000A17C8" w:rsidRPr="00084D33">
        <w:t>enero-diciembre</w:t>
      </w:r>
      <w:r w:rsidRPr="00084D33">
        <w:t xml:space="preserve"> del año 2024, una longitud total de aproximadamente 3,081.94 metros lineales de puentes, con una inversió</w:t>
      </w:r>
      <w:r w:rsidR="0041279C" w:rsidRPr="00084D33">
        <w:t>n</w:t>
      </w:r>
      <w:r w:rsidRPr="00084D33">
        <w:t xml:space="preserve"> programada por un monto de RD$959,514,027.94, de los cuales se ejecutaron RD$733,242,375.61, entre los cuales se destacan: a) Construcción Puente de Hormigón Postensado sobre el Río </w:t>
      </w:r>
      <w:r w:rsidR="000A3CD1" w:rsidRPr="00084D33">
        <w:t>Maimón</w:t>
      </w:r>
      <w:r w:rsidRPr="00084D33">
        <w:t xml:space="preserve"> (Batey), Provincia Monseñor Nouel, con una longitud total aproximada de 50.70 m; b) Construcción Puente Mixto en E-2+580 de la Carretera El Cercado – Hondo Valle, Provincia </w:t>
      </w:r>
      <w:r w:rsidR="000A3CD1" w:rsidRPr="00084D33">
        <w:t>Elías</w:t>
      </w:r>
      <w:r w:rsidRPr="00084D33">
        <w:t xml:space="preserve"> Piña, con una longitud total aproximada de 28.00 m; c) Construcción Puente De Hormigón Postensado Sobre El Río La China, Carretera La China – Altamira, Provincia Puerto Plata, </w:t>
      </w:r>
      <w:r w:rsidRPr="00084D33">
        <w:lastRenderedPageBreak/>
        <w:t>con una longitud total aproximada de 35.00 m; d)  Construcción Puente Peatonal Dona Pula, Autop</w:t>
      </w:r>
      <w:r w:rsidR="0041279C" w:rsidRPr="00084D33">
        <w:t>i</w:t>
      </w:r>
      <w:r w:rsidRPr="00084D33">
        <w:t xml:space="preserve">sta Duarte, Provincia Santiago, con una longitud total aproximada de 74.90 m; e) Construcción del Puente Villa </w:t>
      </w:r>
      <w:r w:rsidR="000A3CD1" w:rsidRPr="00084D33">
        <w:t>Güera</w:t>
      </w:r>
      <w:r w:rsidRPr="00084D33">
        <w:t>, Enlaces y Obras Conexas, Provincia Peravia, con una longitud de 65.0 m; f) Construcción de Badén Tubular de 0.72” en Río Canca La Piedra,  Provincia Santiago, con una longitud total aproximada de 60.00 m, entre otros.</w:t>
      </w:r>
    </w:p>
    <w:p w14:paraId="456CAB07" w14:textId="77777777" w:rsidR="00F43D7E" w:rsidRPr="00084D33" w:rsidRDefault="00F43D7E" w:rsidP="00F43D7E">
      <w:pPr>
        <w:pStyle w:val="Estilo1-Vietas-Parrafo"/>
        <w:ind w:left="2880" w:hanging="360"/>
        <w:rPr>
          <w:rFonts w:cstheme="minorBidi"/>
        </w:rPr>
      </w:pPr>
    </w:p>
    <w:p w14:paraId="74EA05FA" w14:textId="7B90804B" w:rsidR="00F43D7E" w:rsidRPr="00084D33" w:rsidRDefault="00F43D7E" w:rsidP="00D131A1">
      <w:pPr>
        <w:pStyle w:val="Estilo1-Vietas-Parrafo"/>
        <w:numPr>
          <w:ilvl w:val="0"/>
          <w:numId w:val="8"/>
        </w:numPr>
        <w:ind w:left="360"/>
      </w:pPr>
      <w:r w:rsidRPr="00084D33">
        <w:t xml:space="preserve">Continuidad de los Programas del MOPC financiados con recursos externos del Banco Interamericano de Desarrollo (BID), destacándose las mayores ejecutorias durante el periodo </w:t>
      </w:r>
      <w:r w:rsidR="000A17C8" w:rsidRPr="00084D33">
        <w:t>enero-diciembre</w:t>
      </w:r>
      <w:r w:rsidRPr="00084D33">
        <w:t xml:space="preserve"> del 2024, en los  siguientes: a) Programa de Mejoramiento del Puerto de Manzanillo, integra el Muelle  Offshore, la </w:t>
      </w:r>
      <w:r w:rsidR="000A3CD1" w:rsidRPr="00084D33">
        <w:t>Rehabilitación</w:t>
      </w:r>
      <w:r w:rsidRPr="00084D33">
        <w:t xml:space="preserve"> de los tramos de la Autopista Duarte: Lote 1 (Tramo Navarrete - Jaibón), Lote  2 ( Jaibón - Botoncillo) y Lote 3 (Botoncillo – Montecristi), con una longitud aproximada de 90.48 km y un costo total de RD$6,230,000,000.00; b) Programa de Rehabilitación y Mantenimiento de Carreteras (117 km) y Caminos Vecinales (884 km) a nivel nacional, con una inversión total  de RD$8,400,000,000.00 (Ocho Mil Cuatrocientos Millones de Pesos con 00/100); c) Programa de Mejoramiento de Obras Públicas para reducir riesgos de desastres en el contexto del cambio climático a nivel nacional, con un costo total de RD$2,169,275,739.68; y, d) Programa de Desarrollo Agroforestal Sostenible con un costo total de RD$2,217,609,150.00 y una ejecución en el 2024 de RD$193,616,443.00, con una ejecución total durante el periodo </w:t>
      </w:r>
      <w:r w:rsidR="000A17C8" w:rsidRPr="00084D33">
        <w:t>enero-diciembre</w:t>
      </w:r>
      <w:r w:rsidRPr="00084D33">
        <w:t xml:space="preserve"> del 2024 de RD$1,772,891,546.58.</w:t>
      </w:r>
    </w:p>
    <w:p w14:paraId="50F4513D" w14:textId="77777777" w:rsidR="00F43D7E" w:rsidRPr="00084D33" w:rsidRDefault="00F43D7E" w:rsidP="00F43D7E">
      <w:pPr>
        <w:pStyle w:val="Estilo1-Vietas-Parrafo"/>
      </w:pPr>
    </w:p>
    <w:p w14:paraId="47DD7018" w14:textId="4F33581D" w:rsidR="00F43D7E" w:rsidRPr="00084D33" w:rsidRDefault="00F43D7E" w:rsidP="00D131A1">
      <w:pPr>
        <w:pStyle w:val="Estilo1-Vietas-Parrafo"/>
        <w:numPr>
          <w:ilvl w:val="0"/>
          <w:numId w:val="8"/>
        </w:numPr>
        <w:ind w:left="360"/>
      </w:pPr>
      <w:r w:rsidRPr="00084D33">
        <w:t xml:space="preserve">Se proporcionaron un total de </w:t>
      </w:r>
      <w:r w:rsidR="0041279C" w:rsidRPr="00084D33">
        <w:rPr>
          <w:rFonts w:eastAsia="Calibri"/>
        </w:rPr>
        <w:t xml:space="preserve">269,771 </w:t>
      </w:r>
      <w:r w:rsidRPr="00084D33">
        <w:t xml:space="preserve">servicios de Asistencias Viales durante el periodo </w:t>
      </w:r>
      <w:r w:rsidR="00B5550F" w:rsidRPr="00084D33">
        <w:t>enero – diciembre</w:t>
      </w:r>
      <w:r w:rsidRPr="00084D33">
        <w:t xml:space="preserve"> del año 2024, mediante  la </w:t>
      </w:r>
      <w:r w:rsidRPr="00084D33">
        <w:lastRenderedPageBreak/>
        <w:t xml:space="preserve">ejecución del Programa de Protección y Asistencia Vial, llevado a efecto por la Comisión Militar y Policial del MOPC (COMIPOL), desarrollando actividades de patrullaje, vigilancia, protección y asistencia vial a los usuarios que transitan por los principales corredores urbanos e interurbanos del país, siendo las más demandadas por tipo las siguientes: 82,212 asistencias por neumáticos; </w:t>
      </w:r>
      <w:r w:rsidR="0041279C" w:rsidRPr="00084D33">
        <w:rPr>
          <w:rFonts w:eastAsia="Calibri"/>
          <w:sz w:val="26"/>
          <w:szCs w:val="26"/>
          <w:shd w:val="clear" w:color="auto" w:fill="FFFFFF"/>
        </w:rPr>
        <w:t xml:space="preserve">89,206 </w:t>
      </w:r>
      <w:r w:rsidR="0041279C" w:rsidRPr="00084D33">
        <w:rPr>
          <w:rFonts w:eastAsia="Calibri"/>
        </w:rPr>
        <w:t xml:space="preserve">asistencias por neumáticos; 86,533 por mecánica; 31,360 por seguridad; 25,354 por combustible; 12,800 por calentamiento; 8,369 por problemas eléctricos; 5,629 por accidentes; 4,374 por talleres móviles; 3,611 por grúas; 2,496 por ambulancia, entre otras; con el objetivo de ofrecer seguridad personal y vial a los usuarios que transitan </w:t>
      </w:r>
      <w:r w:rsidRPr="00084D33">
        <w:t xml:space="preserve">en las principales carreteras del país,  contribuyendo estas acciones al Eje 1 de la END 2030.  </w:t>
      </w:r>
    </w:p>
    <w:p w14:paraId="152227E1" w14:textId="77777777" w:rsidR="00F43D7E" w:rsidRPr="00084D33" w:rsidRDefault="00F43D7E" w:rsidP="00F43D7E">
      <w:pPr>
        <w:pStyle w:val="Estilo1-Vietas-Parrafo"/>
      </w:pPr>
    </w:p>
    <w:p w14:paraId="5A60B070" w14:textId="6B2C5DC3" w:rsidR="00F43D7E" w:rsidRPr="00084D33" w:rsidRDefault="00F43D7E" w:rsidP="00D131A1">
      <w:pPr>
        <w:pStyle w:val="Estilo1-Vietas-Parrafo"/>
        <w:numPr>
          <w:ilvl w:val="0"/>
          <w:numId w:val="8"/>
        </w:numPr>
        <w:ind w:left="360"/>
      </w:pPr>
      <w:r w:rsidRPr="00084D33">
        <w:t xml:space="preserve">Colocación de la Señalización Vial (Horizontal y Vertical) en la red vial intervenida a nivel nacional durante el período </w:t>
      </w:r>
      <w:r w:rsidR="000A17C8" w:rsidRPr="00084D33">
        <w:t>enero-diciembre</w:t>
      </w:r>
      <w:r w:rsidRPr="00084D33">
        <w:t xml:space="preserve"> del año 2024, estimándose una longitud de 6,174 kilómetros-carriles de señalización horizontal colocada en Carreteras, Calles, Avenidas, Caminos Vecinales y Puentes; además, aproximadamente un total de 1,112 unidades de señales verticales de NO ESTACIONE, NO PASAJEROS, NO DOBLE EN “U”, NO CAMIONES, etc., las cuales se complementan con la colocación de unidades de las denominadas vialetas reflectivas (ojos de gato) que bordean las isletas canalizadoras del tráfico colocadas para guiar la circulación en horas nocturnas o en días de lluvia y colocación de señales informativas en los orígenes de los tramos, indicando a los usuarios la dirección a seguir para los destinos que pueden conducir las vías; mejorando la visibilidad de los usuarios en la red vial rehabilitada, contribuyendo al Eje 3 de la END 2030. </w:t>
      </w:r>
    </w:p>
    <w:p w14:paraId="4A5DA063" w14:textId="77777777" w:rsidR="00F43D7E" w:rsidRPr="00084D33" w:rsidRDefault="00F43D7E" w:rsidP="00F43D7E">
      <w:pPr>
        <w:pStyle w:val="Estilo1-Vietas-Parrafo"/>
      </w:pPr>
    </w:p>
    <w:p w14:paraId="04DEDECB" w14:textId="77777777" w:rsidR="00F43D7E" w:rsidRPr="00084D33" w:rsidRDefault="00F43D7E" w:rsidP="00F43D7E">
      <w:pPr>
        <w:pStyle w:val="Estilo1-Vietas-Parrafo"/>
      </w:pPr>
    </w:p>
    <w:p w14:paraId="7515C9A4" w14:textId="7E276A7E" w:rsidR="00F43D7E" w:rsidRPr="00084D33" w:rsidRDefault="00F43D7E" w:rsidP="00D131A1">
      <w:pPr>
        <w:pStyle w:val="Estilo1-Vietas-Parrafo"/>
        <w:numPr>
          <w:ilvl w:val="0"/>
          <w:numId w:val="8"/>
        </w:numPr>
        <w:ind w:left="360"/>
      </w:pPr>
      <w:r w:rsidRPr="00084D33">
        <w:t xml:space="preserve">Recaudación por concepto de la operación de dieciséis (16) estaciones del Sistema de Peajes Nacionales durante  el período </w:t>
      </w:r>
      <w:r w:rsidR="00B5550F" w:rsidRPr="00084D33">
        <w:t>enero – diciembre</w:t>
      </w:r>
      <w:r w:rsidRPr="00084D33">
        <w:t xml:space="preserve"> del año 2024, a través de la Oficina Coordinadora General Fiducia RD-Vial del MOPC, creada con el objetivo de asegurar el adecuado funcionamiento de la red vial principal del país, así como para la ejecución de las obras necesarias para la ampliación y conservación de la misma, por constituir ésta uno de los patrimonios de mayor valor del Estado Dominicano; además, supervisar el funcionamiento óptimo de las estaciones de peajes, a fin de proporcionar a los usuarios una alta calidad del servicio, se implementó el uso de los dispositivos “Paso Rápido RD” para el recaudo electrónico ágil y eficiente. Durante el periodo citado, el monto total recaudado por concepto de pago de tarifas de peajes para un volumen vehicular de </w:t>
      </w:r>
      <w:r w:rsidR="0041279C" w:rsidRPr="00084D33">
        <w:rPr>
          <w:rFonts w:eastAsia="Calibri"/>
        </w:rPr>
        <w:t>82,764,448 vehículos registrados de las diferentes categorías, alcanzó la suma de RD$9,026,603,140.00 (Nueve Mil Veintiséis Millones Seiscientos Tres Mil Ciento Cuarenta Pesos con 00/100),</w:t>
      </w:r>
      <w:r w:rsidRPr="00084D33">
        <w:t xml:space="preserve"> contribuyendo al Eje 1 de la END 2030. </w:t>
      </w:r>
    </w:p>
    <w:p w14:paraId="0348E341" w14:textId="77777777" w:rsidR="00F43D7E" w:rsidRPr="00084D33" w:rsidRDefault="00F43D7E" w:rsidP="00F43D7E">
      <w:pPr>
        <w:pStyle w:val="Estilo1-Vietas-Parrafo"/>
      </w:pPr>
    </w:p>
    <w:p w14:paraId="1E42F98D" w14:textId="546134FE" w:rsidR="00F43D7E" w:rsidRPr="00084D33" w:rsidRDefault="00F43D7E" w:rsidP="00D131A1">
      <w:pPr>
        <w:pStyle w:val="Estilo1-Vietas-Parrafo"/>
        <w:numPr>
          <w:ilvl w:val="0"/>
          <w:numId w:val="8"/>
        </w:numPr>
        <w:ind w:left="360"/>
      </w:pPr>
      <w:r w:rsidRPr="00084D33">
        <w:t>Actualización del Plan Nacional Plurianual de Inversión Pública del MOPC para el período 2025-2028, herramienta de planificaci</w:t>
      </w:r>
      <w:r w:rsidR="0041279C" w:rsidRPr="00084D33">
        <w:t>ó</w:t>
      </w:r>
      <w:r w:rsidRPr="00084D33">
        <w:t xml:space="preserve">n con un horizonte a mediano plazo integrando para el año 2025, el cual integró un total de quinientos catorce (514) Códigos SNIP de proyectos de inversión pública prioritarios de la institución conteniendo la programación anual de los recursos programados para los proyectos nuevos y de arrastre para el periodo, los cuales están alineados a las metas definidas por el Plan Nacional Plurianual del Sector Público (PNPSP), de acuerdo a las políticas públicas planteadas en el Plan de Gobierno del cuatrienio vigente, contribuyendo con la Estrategia </w:t>
      </w:r>
      <w:r w:rsidRPr="00084D33">
        <w:lastRenderedPageBreak/>
        <w:t xml:space="preserve">Nacional de Desarrollo (END) 2030 y con los Objetivos de Desarrollo Sostenible (ODS). </w:t>
      </w:r>
    </w:p>
    <w:p w14:paraId="2A127015" w14:textId="3E91C7E1" w:rsidR="0041279C" w:rsidRPr="00084D33" w:rsidRDefault="0041279C" w:rsidP="0041279C">
      <w:pPr>
        <w:ind w:left="1080" w:hanging="360"/>
      </w:pPr>
    </w:p>
    <w:p w14:paraId="77F53975" w14:textId="77777777" w:rsidR="00F43D7E" w:rsidRPr="00084D33" w:rsidRDefault="00F43D7E" w:rsidP="00D131A1">
      <w:pPr>
        <w:pStyle w:val="Estilo1-Vietas-Parrafo"/>
        <w:numPr>
          <w:ilvl w:val="0"/>
          <w:numId w:val="8"/>
        </w:numPr>
        <w:ind w:left="360"/>
      </w:pPr>
      <w:r w:rsidRPr="00084D33">
        <w:t xml:space="preserve">Revisión y validación del Anteproyecto de Presupuesto de Inversión del MOPC para el ejercicio fiscal 2025, contemplando los proyectos nuevos y de arrastre que se llevarán a efecto para el cumplimiento de los objetivos y metas sectoriales definidos en función de su competencia y responsabilidad en el Plan Nacional Plurianual de Inversión Pública para el Capítulo 0211 correspondiente al cuatrienio 2025- 2028, acorde a los recursos financieros asignados a la institución por programa, los cuales son destinados al logro de los objetivos planteados por la institución para el periodo de referencia. </w:t>
      </w:r>
    </w:p>
    <w:p w14:paraId="3D8A0BE3" w14:textId="77777777" w:rsidR="00F43D7E" w:rsidRPr="00084D33" w:rsidRDefault="00F43D7E" w:rsidP="00F43D7E">
      <w:pPr>
        <w:pStyle w:val="Estilo1-Vietas-Parrafo"/>
      </w:pPr>
    </w:p>
    <w:p w14:paraId="73F6C9BF" w14:textId="77777777" w:rsidR="00F43D7E" w:rsidRPr="00084D33" w:rsidRDefault="00F43D7E" w:rsidP="00D131A1">
      <w:pPr>
        <w:pStyle w:val="Estilo1-Vietas-Parrafo"/>
        <w:numPr>
          <w:ilvl w:val="0"/>
          <w:numId w:val="8"/>
        </w:numPr>
        <w:ind w:left="360"/>
      </w:pPr>
      <w:r w:rsidRPr="00084D33">
        <w:t xml:space="preserve">Elaboración del Plan de Inversión Operativo Anual del Ministerio de Obras Publicas y Comunicaciones para el año 2025, incluyendo los programas y proyectos de inversión pública a ejecutarse durante el próximo año fiscal, en función de los techos presupuestarios asignados en el Presupuesto General del Estado y de otras fuentes de financiamiento, el cual define las prioridades basadas en la programación operativa de los proyectos financieramente sustentables con los recursos asignados y en consonancia con el Plan Nacional Plurianual de Inversión Pública (PNPIP) para el periodo 2025-2028, integrando el Plan de Inversión Operativo Anual un total de 505 proyectos programados a corto y mediano plazo con una inversión ascendente a RD$33,080,189,394.00, con la finalidad de cumplir con los objetivos de la planificación que permitirán el logro de las metas planteadas por la institución que contribuirán a atender las necesidades de la población a nivel nacional, acorde al Plan de Gobierno del cuatrienio vigente, aportando con los Ejes de la Estrategia Nacional de </w:t>
      </w:r>
      <w:r w:rsidRPr="00084D33">
        <w:lastRenderedPageBreak/>
        <w:t>Desarrollo (END) 2030 y con los Objetivos de Desarrollo Sostenible (ODS).</w:t>
      </w:r>
    </w:p>
    <w:p w14:paraId="5DA68CC3" w14:textId="77777777" w:rsidR="00F43D7E" w:rsidRPr="00084D33" w:rsidRDefault="00F43D7E" w:rsidP="00F43D7E">
      <w:pPr>
        <w:pStyle w:val="Estilo1-Vietas-Parrafo"/>
      </w:pPr>
    </w:p>
    <w:p w14:paraId="5972EFBA" w14:textId="349615FC" w:rsidR="00F43D7E" w:rsidRPr="00084D33" w:rsidRDefault="00F43D7E" w:rsidP="00D131A1">
      <w:pPr>
        <w:pStyle w:val="Estilo1-Vietas-Parrafo"/>
        <w:numPr>
          <w:ilvl w:val="0"/>
          <w:numId w:val="8"/>
        </w:numPr>
        <w:ind w:left="360"/>
      </w:pPr>
      <w:r w:rsidRPr="00084D33">
        <w:t xml:space="preserve">Se ejecutaron labores de mantenimiento rutinario mediante el Programa Comunitario Vial denominado “Peón Caminero”, abarcando operativos en la infraestructura vial de setenta y ocho (78) Caminos Vecinales en diez (10) provincias durante el periodo </w:t>
      </w:r>
      <w:r w:rsidR="00B5550F" w:rsidRPr="00084D33">
        <w:t>enero - diciembre del año 2024</w:t>
      </w:r>
      <w:r w:rsidRPr="00084D33">
        <w:t>, en los cuales se inte</w:t>
      </w:r>
      <w:r w:rsidR="0041279C" w:rsidRPr="00084D33">
        <w:t>r</w:t>
      </w:r>
      <w:r w:rsidRPr="00084D33">
        <w:t>vinieron unos 488.69 km, con una inversión aproximada de RD$61,644,000.00, beneficiando con empleos informales unos 467 jornaleros residentes e</w:t>
      </w:r>
      <w:r w:rsidR="0041279C" w:rsidRPr="00084D33">
        <w:t>n las provincias donde se efectú</w:t>
      </w:r>
      <w:r w:rsidRPr="00084D33">
        <w:t>an los trabajos, entre los que se destacan: a) 2,102,435 m² de corte de maleza; b) 496,119 ml de limpieza de cunetas; c) 262 uds. de limpieza de alcantarillas, entre otras, contribuyendo al Eje 3 de la END 2030.</w:t>
      </w:r>
    </w:p>
    <w:p w14:paraId="29639913" w14:textId="77777777" w:rsidR="00F43D7E" w:rsidRPr="00084D33" w:rsidRDefault="00F43D7E" w:rsidP="00F43D7E">
      <w:pPr>
        <w:pStyle w:val="Estilo1-Vietas-Parrafo"/>
      </w:pPr>
    </w:p>
    <w:p w14:paraId="6CF433F5" w14:textId="3DBB244A" w:rsidR="00F43D7E" w:rsidRPr="00084D33" w:rsidRDefault="00F43D7E" w:rsidP="00D131A1">
      <w:pPr>
        <w:pStyle w:val="Estilo1-Vietas-Parrafo"/>
        <w:numPr>
          <w:ilvl w:val="0"/>
          <w:numId w:val="8"/>
        </w:numPr>
        <w:ind w:left="360"/>
      </w:pPr>
      <w:r w:rsidRPr="00084D33">
        <w:t xml:space="preserve">Intervención de aproximadamente unos 114,710 metros cuadrados de infraestructura de edificaciones públicas a nivel nacional durante el periodo </w:t>
      </w:r>
      <w:r w:rsidR="000A17C8" w:rsidRPr="00084D33">
        <w:t>enero-diciembre</w:t>
      </w:r>
      <w:r w:rsidRPr="00084D33">
        <w:t xml:space="preserve"> del año 2024, ejecutando construcciones y reparaciones de oficinas gubernamentales, deportivas, religiosas, habitacionales, militares, etc., con una ejecución de RD$1,848,674,803.10 destacándose entre las obras que presentaron mayor ejecución en el año 2024, las siguientes: a) Construcción Edificios de dos (2) edificios de parqueos en el Centro de los Héroes, Distrito Nacional, mediante el Programa PARQUEAT RD; b) Construcción anexo al Tribunal Constitucional, municipio Santo Domingo Norte; c) Construcción Edificios del Centro de Atención Integral para la Discapacidad (CAID), Municipio Santo Domingo Este; d) Construcción Palacio de Justicia, en el Municipio Santo Domingo Este; e) Construcción Universidad de la </w:t>
      </w:r>
      <w:r w:rsidR="000A3CD1" w:rsidRPr="00084D33">
        <w:t>Policía</w:t>
      </w:r>
      <w:r w:rsidRPr="00084D33">
        <w:t xml:space="preserve"> Nacional, en el Distrito </w:t>
      </w:r>
      <w:r w:rsidRPr="00084D33">
        <w:lastRenderedPageBreak/>
        <w:t>Nacional, entre otros; beneficiando a la población que utiliza las obras ejecutadas y contribuyendo al Eje 2 de la END 2030.</w:t>
      </w:r>
    </w:p>
    <w:p w14:paraId="6F7A37D6" w14:textId="77777777" w:rsidR="00F43D7E" w:rsidRPr="00084D33" w:rsidRDefault="00F43D7E" w:rsidP="00F43D7E">
      <w:pPr>
        <w:pStyle w:val="Estilo1-Vietas-Parrafo"/>
      </w:pPr>
    </w:p>
    <w:p w14:paraId="3EBCF412" w14:textId="2827DCD7" w:rsidR="00F43D7E" w:rsidRPr="00084D33" w:rsidRDefault="00F43D7E" w:rsidP="00D131A1">
      <w:pPr>
        <w:pStyle w:val="Estilo1-Vietas-Parrafo"/>
        <w:numPr>
          <w:ilvl w:val="0"/>
          <w:numId w:val="8"/>
        </w:numPr>
        <w:ind w:left="360"/>
      </w:pPr>
      <w:r w:rsidRPr="00084D33">
        <w:t xml:space="preserve">Se coordinaron y tramitaron los estudios ambientales de los proyectos del MOPC durante  el periodo </w:t>
      </w:r>
      <w:r w:rsidR="00B5550F" w:rsidRPr="00084D33">
        <w:t>enero – diciembre</w:t>
      </w:r>
      <w:r w:rsidRPr="00084D33">
        <w:t xml:space="preserve"> del año 2024,  a través del Departamento de Gestión Ambiental al Ministerio de Medio Ambiente y Recursos Naturales (MIMARENA), formalizando un total de  cincuenta y nueve (59) autorizaciones ambientales gestionadas y aprobadas, destacándose: veintiún (21) Permisos Ambientales; catorce (14) Licencias Ambientales tramitadas y aprobadas; veintitrés (23) Constancias Ambientales; un (1) Certificación de Impacto Mínimo (CRIM), entre otros, siendo los proyectos m</w:t>
      </w:r>
      <w:r w:rsidR="0041279C" w:rsidRPr="00084D33">
        <w:t>á</w:t>
      </w:r>
      <w:r w:rsidRPr="00084D33">
        <w:t>s relevantes los citados a continuación:  a) Certificado de Impacto Mínimo del Proyecto PARQUEAT RD en San Cristóbal; b)  Reconstrucción Camino Vecinal Don Juan-Jánico-San José de Las Matas, Provincia Santiago: Constancia Ambiental No.5532-23, aprobada 26/4/2024; b) Reconstrucci</w:t>
      </w:r>
      <w:r w:rsidR="0041279C" w:rsidRPr="00084D33">
        <w:t>ó</w:t>
      </w:r>
      <w:r w:rsidRPr="00084D33">
        <w:t>n de la Carretera Cibao – Sur, tramo Piedra Blanca – Cruce de Ocoa; Constancia Ambiental No.0251-1 Renovada el 8/9/2024;  c) Proyecto Retorno Operacional Básima #1 y #2”, Municipio Villa Altagracia: Constancia Ambiental No.5391-22, aprobada el 6/2/2024; d) Continuación trabajos en el Puente Arroyo Bahía-Calderas, Provincia Peravia, Constancia Ambiental No.5702-23, aprobada el 25/10/2024, entre otras.</w:t>
      </w:r>
    </w:p>
    <w:p w14:paraId="71EC1C98" w14:textId="77777777" w:rsidR="00F43D7E" w:rsidRPr="00084D33" w:rsidRDefault="00F43D7E" w:rsidP="00F43D7E">
      <w:pPr>
        <w:pStyle w:val="Estilo1-Vietas-Parrafo"/>
      </w:pPr>
    </w:p>
    <w:p w14:paraId="0A11ED0E" w14:textId="77777777" w:rsidR="00F43D7E" w:rsidRPr="00084D33" w:rsidRDefault="00F43D7E" w:rsidP="00D131A1">
      <w:pPr>
        <w:pStyle w:val="Estilo1-Vietas-Parrafo"/>
        <w:numPr>
          <w:ilvl w:val="0"/>
          <w:numId w:val="8"/>
        </w:numPr>
        <w:ind w:left="360"/>
      </w:pPr>
      <w:r w:rsidRPr="00084D33">
        <w:t xml:space="preserve">Construcción de varias obras del subsector puertos, entre las cuales se destacan: a) Mejoramiento Puerto de Manzanillo y su conectividad, en la Provincia Montecristi, b) Construcción del muelle marítimo, próximo Av. Eliseo Demoniza, Municipio Sabana de la Mar, Provincia Hato Mayor; y c)  Construcción barrera de protección marina en tramo vial y </w:t>
      </w:r>
      <w:r w:rsidRPr="00084D33">
        <w:lastRenderedPageBreak/>
        <w:t>obras complementarias en carretera No.5, Provincia María Trinidad Sánchez</w:t>
      </w:r>
    </w:p>
    <w:p w14:paraId="6CBFF30C" w14:textId="77777777" w:rsidR="00F43D7E" w:rsidRPr="00084D33" w:rsidRDefault="00F43D7E" w:rsidP="00F43D7E">
      <w:pPr>
        <w:pStyle w:val="Estilo1-Vietas-Parrafo"/>
      </w:pPr>
    </w:p>
    <w:p w14:paraId="1ADBFFB5" w14:textId="5C34ED00" w:rsidR="00F43D7E" w:rsidRPr="00084D33" w:rsidRDefault="00F43D7E" w:rsidP="00D131A1">
      <w:pPr>
        <w:pStyle w:val="Estilo1-Vietas-Parrafo"/>
        <w:numPr>
          <w:ilvl w:val="0"/>
          <w:numId w:val="8"/>
        </w:numPr>
        <w:ind w:left="360"/>
      </w:pPr>
      <w:r w:rsidRPr="00084D33">
        <w:t xml:space="preserve">Evaluación y Gestión de los procesos para los trabajos de excavaciones en las vías públicas, con el objetivo de establecer el cumplimiento de los requisitos técnicos y administrativos necesarios para que las labores realizadas en las vías públicas, se lleven a efecto con los controles necesarios para que no interfieran en el libre tránsito de vehículos y peatones, acorde a los dispuesto en el R-026 “Reglamento para la realización de trabajos de excavaciones en las vías públicas”, registrándose durante el periodo </w:t>
      </w:r>
      <w:r w:rsidR="000A17C8" w:rsidRPr="00084D33">
        <w:t>enero-diciembre</w:t>
      </w:r>
      <w:r w:rsidRPr="00084D33">
        <w:t xml:space="preserve"> del año 2024, un total de veintisiete (27) solicitudes de permisos de No Objeción, las cuales tienen que ser aprobadas también por el Instituto de para la ejecución de excavaciones en aceras y en las vías públicas urbanas e interurbanas en todo el territorio nacional, entre las cuales citamos: a) solicitud de No Objeción a la Construcción de un Gasoducto, que forma parte del Proyecto de una Terminal de Importación de Gas Natural, que incluye descarga, almacenamiento, regasificación y Central Termoeléctrica de 420 MW, aproximadamente, a ubicarse en la Bahía de Manzanillo, Municipio Pepillo Salcedo, Provincia Monte Cristi. Trabajos a ser ejecutados por la Compañía </w:t>
      </w:r>
      <w:r w:rsidR="0041279C" w:rsidRPr="00084D33">
        <w:t>Manzanillo Gas y Power</w:t>
      </w:r>
      <w:r w:rsidRPr="00084D33">
        <w:t xml:space="preserve">; b) Solicitud de Autorización para la intervención en excavación en la Carretera Miches – El Seibo, por parte del Instituto Nacional de Aguas Potables y Alcantarillados (INAPA), para la instalación de tubería de 20”; c) Remisión de Informe a Solicitud de No Objeción para excavación en la vía pública en el proyecto “Colocación de Cuarenta (40) postes, e instalación de 5.6 km de líneas de fibra óptica”, en el Municipio de Verón, Provincia de La Altagracia; Trabajos a ser ejecutados por CAMUSAT REP. DOM., para la empresa Claro Dominicana, entre otras, acciones que proveen seguridad vial en la continuidad del flujo </w:t>
      </w:r>
      <w:r w:rsidRPr="00084D33">
        <w:lastRenderedPageBreak/>
        <w:t>vehicular y peatonal, contribuyendo estas acciones al Eje 4 de la Estrategia Nacional de Desarrollo (END) 2030.</w:t>
      </w:r>
    </w:p>
    <w:p w14:paraId="04ED8F69" w14:textId="77777777" w:rsidR="00F43D7E" w:rsidRPr="00084D33" w:rsidRDefault="00F43D7E" w:rsidP="00F43D7E">
      <w:pPr>
        <w:pStyle w:val="Estilo1-Vietas-Parrafo"/>
      </w:pPr>
    </w:p>
    <w:p w14:paraId="28A35BA7" w14:textId="74874B4D" w:rsidR="00F43D7E" w:rsidRPr="00084D33" w:rsidRDefault="00F43D7E" w:rsidP="00D131A1">
      <w:pPr>
        <w:pStyle w:val="Estilo1-Vietas-Parrafo"/>
        <w:numPr>
          <w:ilvl w:val="0"/>
          <w:numId w:val="8"/>
        </w:numPr>
        <w:ind w:left="360"/>
      </w:pPr>
      <w:r w:rsidRPr="00084D33">
        <w:t xml:space="preserve">Se realizaron acciones de Mantenimiento Preventivo a los Pasos a desnivel de las estructuras ubicadas en el Gran Santo Domingo y en el interior del país, en túneles, elevados, pasos a desnivel y puentes peatonales, interviniéndose durante el período </w:t>
      </w:r>
      <w:r w:rsidR="000A17C8" w:rsidRPr="00084D33">
        <w:t>enero-diciembre</w:t>
      </w:r>
      <w:r w:rsidRPr="00084D33">
        <w:t xml:space="preserve"> del 2024, un total de sesenta y nueve (69) Pasos a Desnivel, dos (2 )Túneles, tres (3) Elevados, Cuatro (4 )Puentes Vehiculares, Cinco (5) Puentes Peatonales y seis (6 ) tramos viales de acceso,  las actividades fueron llevadas a efecto en el Gran Santo Domingo y el Distrito Nacional, así como en las provincias de Puerto Plata y Sánchez Ramírez. Las principales intervenciones consistieron en:   Limpieza de estructuras, Sellos en Grietas de Concreto Reforzado y Fisuras, Limpieza de Calzadas, Limpieza del Sistema de Drenaje, Limpieza de Juntas, Limpieza de Muros de Contención, Limpieza Integral de Muros Tipo New Jersey, Limpieza de Placas Reflectivas, Control de Maleza en el Entorno, Mantenimiento preventivo del sistema eléctrico, Pintura de Componentes, entre otras. La ejecución de las actividades se realizó con na inversión total de recursos ascendente a RD$59,757,281.60 (Cincuenta y Nueve Millones Setecientos Cincuenta y Siete Mil Doscientos Ochenta y Un Pesos con 60/100), contribuyendo estas acciones con el Eje 3 de la END 2030.</w:t>
      </w:r>
    </w:p>
    <w:p w14:paraId="1DFFEB77" w14:textId="77777777" w:rsidR="00F43D7E" w:rsidRPr="00084D33" w:rsidRDefault="00F43D7E" w:rsidP="00F43D7E">
      <w:pPr>
        <w:pStyle w:val="Estilo1-Vietas-Parrafo"/>
      </w:pPr>
    </w:p>
    <w:p w14:paraId="7DF8E6E1" w14:textId="6A88F252" w:rsidR="00F43D7E" w:rsidRPr="00084D33" w:rsidRDefault="00F43D7E" w:rsidP="00D131A1">
      <w:pPr>
        <w:pStyle w:val="Estilo1-Vietas-Parrafo"/>
        <w:numPr>
          <w:ilvl w:val="0"/>
          <w:numId w:val="8"/>
        </w:numPr>
        <w:ind w:left="360"/>
      </w:pPr>
      <w:r w:rsidRPr="00084D33">
        <w:t xml:space="preserve">Se registraron durante el periodo </w:t>
      </w:r>
      <w:r w:rsidR="000A17C8" w:rsidRPr="00084D33">
        <w:t>enero-diciembre</w:t>
      </w:r>
      <w:r w:rsidRPr="00084D33">
        <w:t xml:space="preserve"> del 2024, a través de las acciones implementadas por la Unidad de Control del Derecho Vial (CODEVIAL) del MOPC, un total de trescientas noventa y nueve (399) intervenciones en obras de edificaciones privadas que de una u otra forma violentaban el derecho de vía, con la finalidad de hacer cumplir </w:t>
      </w:r>
      <w:r w:rsidRPr="00084D33">
        <w:lastRenderedPageBreak/>
        <w:t xml:space="preserve">la Ley No. 1474, sobre regulación de las construcciones en las autopistas y carreteras para evitar la ocupación ilegal de los bordes con la construcción de viviendas y negocios ubicados en los márgenes de las carreteras troncales.  En adición a los recorridos que de forma periódica realizan los integrantes de CODEVIAL, en las vías troncales del país realizaron las siguientes intervenciones en defensa del derecho vial, siendo el mayor número de  reportes de obras ilegales y violaciones al derecho vial localizados en la región del Cibao con Ciento noventa y seis (196), Sesenta y cuatro (64) en la región del Este, Cuarenta y tres (43) en la Avenida Ecológica de Santo Domingo Este, Treinta y cinco (35) en la región Sur, Treinta y dos (32) en la Circunvalación Santo Domingo y Veintinueve (29) en la Autovía de Samaná, contribuyendo éstas acciones a aumentar el nivel de seguridad para los usuarios que transitan por las principales carreteras del país.  </w:t>
      </w:r>
    </w:p>
    <w:p w14:paraId="50BE3DD9" w14:textId="77777777" w:rsidR="00F43D7E" w:rsidRPr="00084D33" w:rsidRDefault="00F43D7E" w:rsidP="00F43D7E">
      <w:pPr>
        <w:pStyle w:val="Estilo1-Vietas-Parrafo"/>
      </w:pPr>
    </w:p>
    <w:p w14:paraId="2D578E44" w14:textId="7B072105" w:rsidR="00F43D7E" w:rsidRPr="00084D33" w:rsidRDefault="00F43D7E" w:rsidP="00D131A1">
      <w:pPr>
        <w:pStyle w:val="Estilo1-Vietas-Parrafo"/>
        <w:numPr>
          <w:ilvl w:val="0"/>
          <w:numId w:val="8"/>
        </w:numPr>
        <w:ind w:left="360"/>
      </w:pPr>
      <w:r w:rsidRPr="00084D33">
        <w:t xml:space="preserve">Preparación y gestión durante el periodo </w:t>
      </w:r>
      <w:r w:rsidR="000A17C8" w:rsidRPr="00084D33">
        <w:t>enero-diciembre</w:t>
      </w:r>
      <w:r w:rsidRPr="00084D33">
        <w:t xml:space="preserve"> del año 2024 de Ciento Ochenta y Dos (182) perfiles de proyectos nuevos y reevaluados sometidos para su registro y actualización en el Sistema Nacional de Inversión Pública (SNIP-RD), con un monto de inversión de RD$71,326,049,758.34, de los cuales fueron aprobados Ochenta y Cuatro (84); adicionalmente, durante el </w:t>
      </w:r>
      <w:r w:rsidR="000A3CD1" w:rsidRPr="00084D33">
        <w:t>periodo</w:t>
      </w:r>
      <w:r w:rsidRPr="00084D33">
        <w:t xml:space="preserve"> fueron aprobados un total de Doscientos Cuarenta y Siete (247) perfiles básicos de proyectos a cargo del MOPC sometidos con anterioridad, los cuales requieren su reevaluación y/o actualización por adendas registradas por extensión de vigencia o por equilibrio económico, siendo aprobados durante el periodo citado, un total de Trescientos Treinta y Un (331) perfiles, los cuales fueron formulados cumpliendo con las Normas Técnicas del SNIP en la RD, requisito indispensable para integrar los proyectos que requieran recursos para su ejecución. en el Presupuesto Nacional del Estado. </w:t>
      </w:r>
    </w:p>
    <w:p w14:paraId="0C40754D" w14:textId="77777777" w:rsidR="00F43D7E" w:rsidRPr="00084D33" w:rsidRDefault="00F43D7E" w:rsidP="00D131A1">
      <w:pPr>
        <w:pStyle w:val="Estilo1-Vietas-Parrafo"/>
        <w:numPr>
          <w:ilvl w:val="0"/>
          <w:numId w:val="8"/>
        </w:numPr>
        <w:ind w:left="360"/>
      </w:pPr>
      <w:r w:rsidRPr="00084D33">
        <w:lastRenderedPageBreak/>
        <w:t xml:space="preserve">Preparación de Dos (2) Informes Semestrales requeridos por la Dirección General de Contabilidad Gubernamental (DIGECOG), concernientes al cierre de operaciones contables del MOPC conteniendo un total de Trescientos Cuarenta (340) obras en proceso (proyectos de inversión) que registraron ejecución presupuestaria, de acuerdo al Formulario Proyectos de Inversión / DG-INS-02-37, conteniendo: Descripción del Proyecto, el Estructura Programática, Código SNIP, Descripción del Proyecto, Código SNIP, Fechas de Inicio y Terminación, Costo total, Fuente de Financiamiento, Monto Ejecutado en el período, entre otros. </w:t>
      </w:r>
    </w:p>
    <w:p w14:paraId="1FE0D3CE" w14:textId="77777777" w:rsidR="00F43D7E" w:rsidRPr="00084D33" w:rsidRDefault="00F43D7E" w:rsidP="00F43D7E">
      <w:pPr>
        <w:pStyle w:val="Estilo1-Vietas-Parrafo"/>
      </w:pPr>
    </w:p>
    <w:p w14:paraId="0F2A4E98" w14:textId="38F43924" w:rsidR="00F43D7E" w:rsidRPr="00084D33" w:rsidRDefault="00F43D7E" w:rsidP="00D131A1">
      <w:pPr>
        <w:pStyle w:val="Estilo1-Vietas-Parrafo"/>
        <w:numPr>
          <w:ilvl w:val="0"/>
          <w:numId w:val="8"/>
        </w:numPr>
        <w:ind w:left="360"/>
      </w:pPr>
      <w:r w:rsidRPr="00084D33">
        <w:t>Se propo</w:t>
      </w:r>
      <w:r w:rsidR="0041279C" w:rsidRPr="00084D33">
        <w:t>r</w:t>
      </w:r>
      <w:r w:rsidRPr="00084D33">
        <w:t xml:space="preserve">cionaron respuestas durante el periodo </w:t>
      </w:r>
      <w:r w:rsidR="000A17C8" w:rsidRPr="00084D33">
        <w:t>enero-diciembre</w:t>
      </w:r>
      <w:r w:rsidRPr="00084D33">
        <w:t xml:space="preserve"> del 2024, al 97.0 % del total de Quinientos Noventa y Tres (593) solicitudes realizadas por la ciudadanía, a través de la plataforma Portal Único (SAIP) y al 99.0 % del total de Ciento Cuarenta (140) Quejas,  Reclamaciones y Sugerencias, enviadas mediante la plataforma de Comunicación o Unidad de Atención Ciudadana del Programa de Línea 311 y el portal </w:t>
      </w:r>
      <w:hyperlink r:id="rId16" w:history="1">
        <w:r w:rsidRPr="00084D33">
          <w:t>www.311.gob.do</w:t>
        </w:r>
      </w:hyperlink>
      <w:r w:rsidRPr="00084D33">
        <w:t>, referentes a varios aspectos relacionados con las funciones de la institución, los planes, programas y proyectos y su condición actual, la ejecución presupuestaria del periodo vigente, servicios que ofrece a la población, etc., contribuyendo al Eje 1 de la END 2030.</w:t>
      </w:r>
    </w:p>
    <w:p w14:paraId="6515DF01" w14:textId="77777777" w:rsidR="00F43D7E" w:rsidRPr="00084D33" w:rsidRDefault="00F43D7E" w:rsidP="00F43D7E">
      <w:pPr>
        <w:pStyle w:val="Estilo1-Vietas-Parrafo"/>
        <w:ind w:left="270"/>
        <w:rPr>
          <w:rFonts w:cstheme="minorBidi"/>
        </w:rPr>
      </w:pPr>
    </w:p>
    <w:p w14:paraId="131915A3" w14:textId="5BD5635F" w:rsidR="00F43D7E" w:rsidRPr="00084D33" w:rsidRDefault="0041279C" w:rsidP="00D131A1">
      <w:pPr>
        <w:pStyle w:val="Estilo1-Vietas-Parrafo"/>
        <w:numPr>
          <w:ilvl w:val="0"/>
          <w:numId w:val="8"/>
        </w:numPr>
        <w:ind w:left="360"/>
      </w:pPr>
      <w:r w:rsidRPr="00084D33">
        <w:t>Se evaluaron</w:t>
      </w:r>
      <w:r w:rsidR="00F43D7E" w:rsidRPr="00084D33">
        <w:t xml:space="preserve"> los procesos institucionales del Ministerio de Obras Públicas y Comunicaciones (MOPC), mediante el Sistema de Medición y Monitoreo de la Gestión Pública (SMMGP), efectuada durante el período </w:t>
      </w:r>
      <w:r w:rsidR="000A17C8" w:rsidRPr="00084D33">
        <w:t>enero-diciembre</w:t>
      </w:r>
      <w:r w:rsidR="00F43D7E" w:rsidRPr="00084D33">
        <w:t xml:space="preserve"> del 2024, utilizando ocho (8) indicadores relacionados con los procesos de gestión, siendo las puntuaciones obtenidas en el periodo citado, las siguientes: Obras 100%; SISMAP </w:t>
      </w:r>
      <w:r w:rsidR="00F43D7E" w:rsidRPr="00084D33">
        <w:lastRenderedPageBreak/>
        <w:t>82%; ITICGE 82%; NOBACI No Evaluado; Cumplimiento Ley No. 200-04 100%; Contrataciones Públicas 70%; Transparencia Gubernamental No Evaluado; y, Ges</w:t>
      </w:r>
      <w:r w:rsidRPr="00084D33">
        <w:t>tión Presupuestaria No Evaluado</w:t>
      </w:r>
      <w:r w:rsidR="00F43D7E" w:rsidRPr="00084D33">
        <w:t xml:space="preserve">; obteniendo la institución una puntuación promedio de 83.52 puntos para el año fiscal vigente de acuerdo a los rangos establecidos. </w:t>
      </w:r>
    </w:p>
    <w:p w14:paraId="445FD3C0" w14:textId="77777777" w:rsidR="00F43D7E" w:rsidRPr="00084D33" w:rsidRDefault="00F43D7E" w:rsidP="00F43D7E">
      <w:pPr>
        <w:pStyle w:val="Estilo1-Vietas-Parrafo"/>
        <w:ind w:left="270"/>
        <w:rPr>
          <w:rFonts w:cstheme="minorBidi"/>
        </w:rPr>
      </w:pPr>
    </w:p>
    <w:p w14:paraId="051ECB83" w14:textId="632F5F30" w:rsidR="002D0996" w:rsidRPr="00084D33" w:rsidRDefault="002D0996" w:rsidP="00D131A1">
      <w:pPr>
        <w:pStyle w:val="Estilo1-Vietas-Parrafo"/>
        <w:numPr>
          <w:ilvl w:val="0"/>
          <w:numId w:val="8"/>
        </w:numPr>
        <w:ind w:left="360"/>
      </w:pPr>
      <w:r w:rsidRPr="00084D33">
        <w:t xml:space="preserve">Durante el periodo  </w:t>
      </w:r>
      <w:r w:rsidR="000A17C8" w:rsidRPr="00084D33">
        <w:t>enero-diciembre</w:t>
      </w:r>
      <w:r w:rsidRPr="00084D33">
        <w:t xml:space="preserve"> del año 2024, el Ministerio de Obras Públicas y Comunicaciones (MOPC), de acuerdo a lo establecido en la Ley No. 340-06 sobre Compras y Contrataciones de Bienes, Servicios, Obras y Concesiones, llevó a efecto un total de Ochenta y Siete (87) procesos, aplicando las modalidades de Licitación Pública Nacional (LPN), Compras Menores (CM), Compras Debajo del Umbral (CD), Comparación de Precios (CP), y Procesos Excepción (PE) para la adquisición de bienes, servicios, y obras, con una inversión ascendente a la suma de </w:t>
      </w:r>
      <w:r w:rsidR="0022611A" w:rsidRPr="00084D33">
        <w:t>RD$10,149,964,962.23 (</w:t>
      </w:r>
      <w:r w:rsidRPr="00084D33">
        <w:t xml:space="preserve">Diez Mil Ciento Cuarenta y Nueve Millones Novecientos Sesenta y Cuatro Mil </w:t>
      </w:r>
      <w:r w:rsidR="000A3CD1" w:rsidRPr="00084D33">
        <w:t>Novecientos</w:t>
      </w:r>
      <w:r w:rsidRPr="00084D33">
        <w:t xml:space="preserve"> Sesenta y Dos Pesos con 23/100). </w:t>
      </w:r>
    </w:p>
    <w:p w14:paraId="75FB82A3" w14:textId="77777777" w:rsidR="0022611A" w:rsidRPr="00084D33" w:rsidRDefault="0022611A" w:rsidP="0022611A">
      <w:pPr>
        <w:pStyle w:val="Estilo1-Vietas-Parrafo"/>
      </w:pPr>
    </w:p>
    <w:p w14:paraId="3F13F8DF" w14:textId="1D27438E" w:rsidR="0022611A" w:rsidRPr="00084D33" w:rsidRDefault="0022611A" w:rsidP="0022611A">
      <w:pPr>
        <w:pStyle w:val="Estilo1-Vietas-Parrafo"/>
        <w:numPr>
          <w:ilvl w:val="0"/>
          <w:numId w:val="8"/>
        </w:numPr>
        <w:ind w:left="360"/>
      </w:pPr>
      <w:r w:rsidRPr="00084D33">
        <w:t xml:space="preserve">Se proporcionaron durante el año 2024, importantes servicios sociales a la población dominicana, a través de los Programas Sociales y Comunitarios del MOPC,  efectuando operativos a nivel nacional que beneficiaron aproximadamente 621,245 personas residentes en las comunidades que presentan mayores niveles de pobreza del país, entre los que se destacan: a) Remozamiento de Techo con Zinc Nuevo de varias viviendas; b) Construcción Completa de las Viviendas; c) Remozamiento con pintura de las viviendas; d) Remozamiento de Parques Completos con Canchas, Asientos, Aceras, etc., e) operativos de distribución de agua potable; f) Operativos de fumigación y desinfección en barrios de diferentes provincias; y, g) limpieza general </w:t>
      </w:r>
      <w:r w:rsidRPr="00084D33">
        <w:lastRenderedPageBreak/>
        <w:t>(caminos vecinales, carreteras, imbornales, cañadas, puentes peatonales, centro de asistencias, clubes deportivos, etc.), proporcionando soluciones inmediatas a varias necesidades de la población que vive en condiciones de pobreza extrema, contribuyendo al Eje 2 de la END 2030.</w:t>
      </w:r>
    </w:p>
    <w:p w14:paraId="1584AA39" w14:textId="77777777" w:rsidR="002513FA" w:rsidRPr="00084D33" w:rsidRDefault="002513FA" w:rsidP="002513FA">
      <w:pPr>
        <w:pStyle w:val="Estilo1-Vietas-Parrafo"/>
        <w:ind w:left="270"/>
        <w:rPr>
          <w:rFonts w:cstheme="minorBidi"/>
          <w:sz w:val="20"/>
          <w:lang w:val="es-ES"/>
        </w:rPr>
      </w:pPr>
    </w:p>
    <w:p w14:paraId="20C37DE7" w14:textId="3D40DFCD" w:rsidR="006C3D0D" w:rsidRPr="00084D33" w:rsidRDefault="006C3D0D" w:rsidP="006C3D0D">
      <w:pPr>
        <w:pStyle w:val="Vietas"/>
        <w:ind w:left="720"/>
        <w:rPr>
          <w:highlight w:val="green"/>
        </w:rPr>
      </w:pPr>
    </w:p>
    <w:p w14:paraId="3128AD4C" w14:textId="77777777" w:rsidR="006C3D0D" w:rsidRPr="00084D33" w:rsidRDefault="006C3D0D" w:rsidP="00931390">
      <w:pPr>
        <w:pStyle w:val="Vietas"/>
        <w:rPr>
          <w:rFonts w:cs="Times New Roman"/>
          <w:highlight w:val="yellow"/>
          <w:lang w:val="es-ES"/>
        </w:rPr>
      </w:pPr>
    </w:p>
    <w:p w14:paraId="585519C1" w14:textId="017AEEC0" w:rsidR="00292B8C" w:rsidRPr="00084D33" w:rsidRDefault="00292B8C" w:rsidP="007202A9">
      <w:pPr>
        <w:pStyle w:val="Ttulo3RdeC"/>
        <w:numPr>
          <w:ilvl w:val="1"/>
          <w:numId w:val="23"/>
        </w:numPr>
        <w:jc w:val="center"/>
        <w:rPr>
          <w:color w:val="767171"/>
        </w:rPr>
      </w:pPr>
      <w:bookmarkStart w:id="52" w:name="_Hlk90797696"/>
      <w:r w:rsidRPr="00084D33">
        <w:rPr>
          <w:color w:val="767171"/>
        </w:rPr>
        <w:t>Indicadores de Gestión</w:t>
      </w:r>
    </w:p>
    <w:p w14:paraId="5CDC23E8" w14:textId="5C74B8A4" w:rsidR="00F447DF" w:rsidRPr="00084D33" w:rsidRDefault="00F447DF" w:rsidP="00F447DF">
      <w:pPr>
        <w:pStyle w:val="Ttulo3RdeC"/>
        <w:numPr>
          <w:ilvl w:val="0"/>
          <w:numId w:val="0"/>
        </w:numPr>
        <w:ind w:left="1032"/>
        <w:rPr>
          <w:color w:val="767171"/>
        </w:rPr>
      </w:pPr>
    </w:p>
    <w:p w14:paraId="00DEDFF5" w14:textId="7F9D3ABD" w:rsidR="00292B8C" w:rsidRPr="00084D33" w:rsidRDefault="00292B8C" w:rsidP="007202A9">
      <w:pPr>
        <w:pStyle w:val="Ttulo3RdeC"/>
        <w:numPr>
          <w:ilvl w:val="2"/>
          <w:numId w:val="23"/>
        </w:numPr>
        <w:jc w:val="center"/>
        <w:rPr>
          <w:color w:val="767171"/>
        </w:rPr>
      </w:pPr>
      <w:r w:rsidRPr="00084D33">
        <w:rPr>
          <w:color w:val="767171"/>
        </w:rPr>
        <w:t>Perspectiva Estratégica</w:t>
      </w:r>
    </w:p>
    <w:p w14:paraId="1E85865D" w14:textId="77777777" w:rsidR="00120859" w:rsidRPr="00084D33" w:rsidRDefault="00120859" w:rsidP="00C71C44">
      <w:pPr>
        <w:rPr>
          <w:rFonts w:cs="Times New Roman"/>
        </w:rPr>
      </w:pPr>
    </w:p>
    <w:p w14:paraId="3F06A4AB" w14:textId="60E765DB" w:rsidR="006B2EA6" w:rsidRPr="00084D33" w:rsidRDefault="006B2EA6" w:rsidP="006B2EA6">
      <w:pPr>
        <w:pStyle w:val="Textoindependiente"/>
        <w:spacing w:line="360" w:lineRule="auto"/>
        <w:jc w:val="both"/>
        <w:rPr>
          <w:color w:val="767171"/>
        </w:rPr>
      </w:pPr>
      <w:r w:rsidRPr="00084D33">
        <w:rPr>
          <w:color w:val="767171"/>
        </w:rPr>
        <w:t>Las funciones establecidas para el Ministerio de Obras Públicas y Comunicaciones (MOPC), se desarrolla</w:t>
      </w:r>
      <w:r w:rsidR="00B5550F" w:rsidRPr="00084D33">
        <w:rPr>
          <w:color w:val="767171"/>
        </w:rPr>
        <w:t>ron durante el periodo Enero -Dic</w:t>
      </w:r>
      <w:r w:rsidRPr="00084D33">
        <w:rPr>
          <w:color w:val="767171"/>
        </w:rPr>
        <w:t>iembre del año 2024, con la visión estratégica de alcanzar las metas trazadas con mayor efectividad para generar valor público, a través de la calidad de los bienes y servicios que suministra a la ciudadanía, las gestiones de las políticas, normas y regulaciones aplicadas en sus ejecutorias, en cumplimiento de los objetivos del Programa de Gobierno del Presidente Lic. Luis Rodolfo Abinader Corona para el cuatrienio</w:t>
      </w:r>
      <w:r w:rsidR="00BC577E" w:rsidRPr="00084D33">
        <w:rPr>
          <w:color w:val="767171"/>
        </w:rPr>
        <w:t xml:space="preserve"> </w:t>
      </w:r>
      <w:r w:rsidRPr="00084D33">
        <w:rPr>
          <w:color w:val="767171"/>
        </w:rPr>
        <w:t xml:space="preserve">2020 – 2024. </w:t>
      </w:r>
    </w:p>
    <w:p w14:paraId="7112AC43" w14:textId="54C7EBCD" w:rsidR="003A5FE9" w:rsidRPr="00084D33" w:rsidRDefault="006B2EA6" w:rsidP="006B2EA6">
      <w:pPr>
        <w:pStyle w:val="Textoindependiente"/>
        <w:spacing w:line="360" w:lineRule="auto"/>
        <w:jc w:val="both"/>
        <w:rPr>
          <w:color w:val="767171"/>
        </w:rPr>
      </w:pPr>
      <w:r w:rsidRPr="00084D33">
        <w:rPr>
          <w:color w:val="767171"/>
        </w:rPr>
        <w:t>La institución ha continuado utilizando los mecanismos de evaluación relacionados a la Ley de Función Pública, los cuales permiten monitorear de manera recurrente y eficiente las metas institucionales, con el objetivo de</w:t>
      </w:r>
      <w:r w:rsidR="00BC577E" w:rsidRPr="00084D33">
        <w:rPr>
          <w:color w:val="767171"/>
        </w:rPr>
        <w:t xml:space="preserve"> </w:t>
      </w:r>
      <w:r w:rsidRPr="00084D33">
        <w:rPr>
          <w:color w:val="767171"/>
        </w:rPr>
        <w:t>cumplir con la misión de mejorar y conservar la infraestructura de transporte terrestre y de edificaciones a cargo del MOPC; además, optimizar los servicios que ofrece a la ciudadanía en toda la geografía nacional, registrando indicadores aceptables de medición en consonancia con las metas logradas, de acuerdo al cumplimiento de la programación, ejecución y seguimiento periódico de los resultados alcanzados</w:t>
      </w:r>
      <w:r w:rsidR="00F447EB" w:rsidRPr="00084D33">
        <w:rPr>
          <w:color w:val="767171"/>
        </w:rPr>
        <w:t>.</w:t>
      </w:r>
    </w:p>
    <w:bookmarkEnd w:id="52"/>
    <w:p w14:paraId="12D4595A" w14:textId="4E6A8298" w:rsidR="00C73931" w:rsidRPr="00084D33" w:rsidRDefault="00C73931" w:rsidP="007202A9">
      <w:pPr>
        <w:pStyle w:val="Ttulo3RdeC"/>
        <w:numPr>
          <w:ilvl w:val="2"/>
          <w:numId w:val="23"/>
        </w:numPr>
        <w:jc w:val="center"/>
        <w:rPr>
          <w:color w:val="767171"/>
        </w:rPr>
      </w:pPr>
      <w:r w:rsidRPr="00084D33">
        <w:rPr>
          <w:color w:val="767171"/>
        </w:rPr>
        <w:lastRenderedPageBreak/>
        <w:t>Sistema de Monitoreo y Medición de la Gestión Pública (SMMGP)</w:t>
      </w:r>
    </w:p>
    <w:p w14:paraId="73C52758" w14:textId="77777777" w:rsidR="00C73931" w:rsidRPr="00084D33" w:rsidRDefault="00C73931" w:rsidP="0038205C">
      <w:pPr>
        <w:rPr>
          <w:rFonts w:cs="Times New Roman"/>
        </w:rPr>
      </w:pPr>
    </w:p>
    <w:p w14:paraId="7E16875A" w14:textId="77777777" w:rsidR="00992527" w:rsidRPr="00084D33" w:rsidRDefault="00992527" w:rsidP="006B2EA6">
      <w:pPr>
        <w:pStyle w:val="Textoindependiente"/>
        <w:spacing w:line="360" w:lineRule="auto"/>
        <w:jc w:val="both"/>
        <w:rPr>
          <w:color w:val="767171"/>
        </w:rPr>
      </w:pPr>
    </w:p>
    <w:p w14:paraId="31D5A6B4" w14:textId="77777777" w:rsidR="006B2EA6" w:rsidRPr="00084D33" w:rsidRDefault="006B2EA6" w:rsidP="006B2EA6">
      <w:pPr>
        <w:pStyle w:val="Textoindependiente"/>
        <w:spacing w:line="360" w:lineRule="auto"/>
        <w:jc w:val="both"/>
        <w:rPr>
          <w:color w:val="767171"/>
        </w:rPr>
      </w:pPr>
      <w:r w:rsidRPr="00084D33">
        <w:rPr>
          <w:color w:val="767171"/>
        </w:rPr>
        <w:t>El Ministerio de Obras Públicas y Comunicaciones, cuenta con ocho (8) indicadores que son monitoreados periódicamente por el Sistema de Monitoreo y Medición de Gestión Pública (SMMGP). Desde la Dirección Adscrita al Despacho damos constante seguimiento y acompañamiento a cada una de las áreas responsables de liderar, los siguientes:</w:t>
      </w:r>
    </w:p>
    <w:p w14:paraId="6C691790" w14:textId="77777777" w:rsidR="006B2EA6" w:rsidRPr="00084D33" w:rsidRDefault="006B2EA6" w:rsidP="006B2EA6">
      <w:pPr>
        <w:spacing w:line="240" w:lineRule="auto"/>
        <w:jc w:val="left"/>
        <w:rPr>
          <w:rFonts w:ascii="Calibri" w:eastAsia="Calibri" w:hAnsi="Calibri" w:cs="Calibri"/>
          <w:b/>
          <w:spacing w:val="0"/>
          <w:sz w:val="28"/>
          <w:szCs w:val="28"/>
          <w:lang w:eastAsia="es-ES_tradnl"/>
        </w:rPr>
      </w:pPr>
    </w:p>
    <w:p w14:paraId="16B9D6CB" w14:textId="77777777" w:rsidR="006B2EA6" w:rsidRPr="00084D33" w:rsidRDefault="006B2EA6" w:rsidP="007202A9">
      <w:pPr>
        <w:numPr>
          <w:ilvl w:val="0"/>
          <w:numId w:val="28"/>
        </w:numPr>
        <w:ind w:left="1440"/>
        <w:jc w:val="left"/>
      </w:pPr>
      <w:r w:rsidRPr="00084D33">
        <w:t>OBRAS PÚBLICAS</w:t>
      </w:r>
    </w:p>
    <w:p w14:paraId="7271D760" w14:textId="77777777" w:rsidR="006B2EA6" w:rsidRPr="00084D33" w:rsidRDefault="006B2EA6" w:rsidP="007202A9">
      <w:pPr>
        <w:numPr>
          <w:ilvl w:val="0"/>
          <w:numId w:val="28"/>
        </w:numPr>
        <w:ind w:left="1440"/>
        <w:jc w:val="left"/>
      </w:pPr>
      <w:r w:rsidRPr="00084D33">
        <w:t>SISMAP</w:t>
      </w:r>
    </w:p>
    <w:p w14:paraId="14606F78" w14:textId="77777777" w:rsidR="006B2EA6" w:rsidRPr="00084D33" w:rsidRDefault="006B2EA6" w:rsidP="007202A9">
      <w:pPr>
        <w:numPr>
          <w:ilvl w:val="0"/>
          <w:numId w:val="28"/>
        </w:numPr>
        <w:ind w:left="1440"/>
        <w:jc w:val="left"/>
      </w:pPr>
      <w:r w:rsidRPr="00084D33">
        <w:t>ITICGE</w:t>
      </w:r>
    </w:p>
    <w:p w14:paraId="52A11028" w14:textId="77777777" w:rsidR="006B2EA6" w:rsidRPr="00084D33" w:rsidRDefault="006B2EA6" w:rsidP="007202A9">
      <w:pPr>
        <w:numPr>
          <w:ilvl w:val="0"/>
          <w:numId w:val="28"/>
        </w:numPr>
        <w:ind w:left="1440"/>
        <w:jc w:val="left"/>
      </w:pPr>
      <w:r w:rsidRPr="00084D33">
        <w:t>NOBACI</w:t>
      </w:r>
    </w:p>
    <w:p w14:paraId="07F5A5E7" w14:textId="77777777" w:rsidR="006B2EA6" w:rsidRPr="00084D33" w:rsidRDefault="006B2EA6" w:rsidP="007202A9">
      <w:pPr>
        <w:numPr>
          <w:ilvl w:val="0"/>
          <w:numId w:val="28"/>
        </w:numPr>
        <w:ind w:left="1440"/>
        <w:jc w:val="left"/>
      </w:pPr>
      <w:r w:rsidRPr="00084D33">
        <w:t xml:space="preserve">CUMPLIMIENTO DE LEY 200-04 </w:t>
      </w:r>
    </w:p>
    <w:p w14:paraId="75EA3A73" w14:textId="77777777" w:rsidR="006B2EA6" w:rsidRPr="00084D33" w:rsidRDefault="006B2EA6" w:rsidP="007202A9">
      <w:pPr>
        <w:numPr>
          <w:ilvl w:val="0"/>
          <w:numId w:val="28"/>
        </w:numPr>
        <w:ind w:left="1440"/>
        <w:jc w:val="left"/>
      </w:pPr>
      <w:r w:rsidRPr="00084D33">
        <w:t xml:space="preserve">GESTIÓN PRESUPUESTARIA </w:t>
      </w:r>
    </w:p>
    <w:p w14:paraId="07D2B340" w14:textId="77777777" w:rsidR="006B2EA6" w:rsidRPr="00084D33" w:rsidRDefault="006B2EA6" w:rsidP="007202A9">
      <w:pPr>
        <w:numPr>
          <w:ilvl w:val="0"/>
          <w:numId w:val="28"/>
        </w:numPr>
        <w:ind w:left="1440"/>
      </w:pPr>
      <w:r w:rsidRPr="00084D33">
        <w:t>CONTRATACIONES PÚBLICAS</w:t>
      </w:r>
    </w:p>
    <w:p w14:paraId="2D240DBD" w14:textId="7F735D64" w:rsidR="00C73931" w:rsidRPr="00084D33" w:rsidRDefault="006B2EA6" w:rsidP="007202A9">
      <w:pPr>
        <w:numPr>
          <w:ilvl w:val="0"/>
          <w:numId w:val="28"/>
        </w:numPr>
        <w:ind w:left="1440"/>
      </w:pPr>
      <w:r w:rsidRPr="00084D33">
        <w:t>SISACNOC</w:t>
      </w:r>
      <w:r w:rsidR="003D76CF" w:rsidRPr="00084D33">
        <w:t>:</w:t>
      </w:r>
      <w:r w:rsidR="00C73931" w:rsidRPr="00084D33">
        <w:t xml:space="preserve"> </w:t>
      </w:r>
    </w:p>
    <w:p w14:paraId="1792DF3C" w14:textId="39B143D0" w:rsidR="00C73931" w:rsidRPr="00084D33" w:rsidRDefault="00C73931" w:rsidP="0038205C">
      <w:pPr>
        <w:rPr>
          <w:rFonts w:cs="Times New Roman"/>
        </w:rPr>
      </w:pPr>
    </w:p>
    <w:p w14:paraId="37CC59AB" w14:textId="71EA7CF3" w:rsidR="006B2EA6" w:rsidRPr="00084D33" w:rsidRDefault="006B2EA6" w:rsidP="006B2EA6">
      <w:pPr>
        <w:pStyle w:val="Textoindependiente"/>
        <w:spacing w:line="360" w:lineRule="auto"/>
        <w:jc w:val="both"/>
        <w:rPr>
          <w:color w:val="767171"/>
        </w:rPr>
      </w:pPr>
      <w:r w:rsidRPr="00084D33">
        <w:rPr>
          <w:color w:val="767171"/>
        </w:rPr>
        <w:t xml:space="preserve">A continuación, se </w:t>
      </w:r>
      <w:r w:rsidR="00C3480E" w:rsidRPr="00084D33">
        <w:rPr>
          <w:color w:val="767171"/>
        </w:rPr>
        <w:t>presenta</w:t>
      </w:r>
      <w:r w:rsidRPr="00084D33">
        <w:rPr>
          <w:color w:val="767171"/>
        </w:rPr>
        <w:t xml:space="preserve"> el registro de la Pantalla de Calificaciones, del Sistema de Monitoreo y Medición de Gestión Pública (SMMGP). (Fecha de consulta en SMMGP: 11 de diciembre de 2024).</w:t>
      </w:r>
    </w:p>
    <w:p w14:paraId="5E78E20E" w14:textId="2ED2A8AF" w:rsidR="006B2EA6" w:rsidRPr="00084D33" w:rsidRDefault="006B2EA6" w:rsidP="006B2EA6">
      <w:pPr>
        <w:pStyle w:val="Textoindependiente"/>
        <w:spacing w:line="360" w:lineRule="auto"/>
        <w:jc w:val="both"/>
        <w:rPr>
          <w:color w:val="767171"/>
          <w:highlight w:val="lightGray"/>
        </w:rPr>
      </w:pPr>
    </w:p>
    <w:p w14:paraId="60835714" w14:textId="4EDED004" w:rsidR="00C73931" w:rsidRPr="00084D33" w:rsidRDefault="00BE10C7" w:rsidP="006B2EA6">
      <w:pPr>
        <w:ind w:left="-360"/>
        <w:jc w:val="center"/>
        <w:rPr>
          <w:rFonts w:cs="Times New Roman"/>
        </w:rPr>
      </w:pPr>
      <w:r>
        <w:rPr>
          <w:rFonts w:cs="Times New Roman"/>
          <w:noProof/>
          <w:lang w:eastAsia="es-DO"/>
        </w:rPr>
        <w:pict w14:anchorId="362610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8pt;height:99.6pt">
            <v:imagedata r:id="rId17" o:title="Sistema de Monitoreo y Medición de Gestión Pública_SMMGP_"/>
          </v:shape>
        </w:pict>
      </w:r>
    </w:p>
    <w:p w14:paraId="686B8300" w14:textId="77777777" w:rsidR="007D5C42" w:rsidRPr="00084D33" w:rsidRDefault="007D5C42" w:rsidP="0038205C">
      <w:pPr>
        <w:rPr>
          <w:rFonts w:cs="Times New Roman"/>
          <w:highlight w:val="cyan"/>
        </w:rPr>
      </w:pPr>
    </w:p>
    <w:p w14:paraId="2F9EFE8C" w14:textId="72A99430" w:rsidR="00F71A11" w:rsidRPr="00084D33" w:rsidRDefault="00F71A11" w:rsidP="0038205C">
      <w:pPr>
        <w:rPr>
          <w:rFonts w:cs="Times New Roman"/>
        </w:rPr>
      </w:pPr>
    </w:p>
    <w:p w14:paraId="6EA6E407" w14:textId="77777777" w:rsidR="0022611A" w:rsidRPr="00084D33" w:rsidRDefault="0022611A" w:rsidP="0038205C">
      <w:pPr>
        <w:rPr>
          <w:rFonts w:cs="Times New Roman"/>
        </w:rPr>
      </w:pPr>
    </w:p>
    <w:p w14:paraId="524949C9" w14:textId="6DC9FAB2" w:rsidR="00F71A11" w:rsidRPr="00084D33" w:rsidRDefault="00F71A11" w:rsidP="00C517AE">
      <w:pPr>
        <w:pStyle w:val="Prrafodelista"/>
      </w:pPr>
      <w:r w:rsidRPr="00084D33">
        <w:lastRenderedPageBreak/>
        <w:t>Indicador Obras Públicas</w:t>
      </w:r>
    </w:p>
    <w:p w14:paraId="1214034C" w14:textId="77777777" w:rsidR="007D5C42" w:rsidRPr="00084D33" w:rsidRDefault="007D5C42" w:rsidP="0038205C">
      <w:pPr>
        <w:ind w:left="720"/>
        <w:rPr>
          <w:rFonts w:cs="Times New Roman"/>
        </w:rPr>
      </w:pPr>
    </w:p>
    <w:p w14:paraId="08A6977D" w14:textId="72FABA1B" w:rsidR="006B2EA6" w:rsidRPr="00084D33" w:rsidRDefault="006B2EA6" w:rsidP="006B2EA6">
      <w:pPr>
        <w:pStyle w:val="Textoindependiente"/>
        <w:spacing w:line="360" w:lineRule="auto"/>
        <w:jc w:val="both"/>
        <w:rPr>
          <w:color w:val="767171"/>
        </w:rPr>
      </w:pPr>
      <w:r w:rsidRPr="00084D33">
        <w:rPr>
          <w:color w:val="767171"/>
        </w:rPr>
        <w:t>Este componente se utiliza para el</w:t>
      </w:r>
      <w:r w:rsidR="00BC577E" w:rsidRPr="00084D33">
        <w:rPr>
          <w:color w:val="767171"/>
        </w:rPr>
        <w:t xml:space="preserve"> </w:t>
      </w:r>
      <w:r w:rsidRPr="00084D33">
        <w:rPr>
          <w:color w:val="767171"/>
        </w:rPr>
        <w:t>seguimiento a la ejecución y terminación de las Metas y Obras públicas prometidas por el Gobierno, en el plazo establecido, informando oportunamente al Presidente de la República ante cualquier alerta o restricción al cumplimiento de las mismas.</w:t>
      </w:r>
    </w:p>
    <w:p w14:paraId="11607933" w14:textId="77777777" w:rsidR="006B2EA6" w:rsidRPr="00084D33" w:rsidRDefault="006B2EA6" w:rsidP="006B2EA6">
      <w:pPr>
        <w:pStyle w:val="Textoindependiente"/>
        <w:spacing w:line="360" w:lineRule="auto"/>
        <w:jc w:val="both"/>
        <w:rPr>
          <w:color w:val="767171"/>
        </w:rPr>
      </w:pPr>
    </w:p>
    <w:p w14:paraId="3D165B8A" w14:textId="77777777" w:rsidR="006B2EA6" w:rsidRPr="00084D33" w:rsidRDefault="006B2EA6" w:rsidP="006B2EA6">
      <w:pPr>
        <w:pStyle w:val="Textoindependiente"/>
        <w:spacing w:line="360" w:lineRule="auto"/>
        <w:jc w:val="both"/>
        <w:rPr>
          <w:color w:val="767171"/>
        </w:rPr>
      </w:pPr>
      <w:r w:rsidRPr="00084D33">
        <w:rPr>
          <w:color w:val="767171"/>
        </w:rPr>
        <w:t>Este indicador se alimenta de la información cargada en el Sistema de Gestión de Metas Presidenciales (SIGOB).</w:t>
      </w:r>
    </w:p>
    <w:p w14:paraId="1DC297F3" w14:textId="77777777" w:rsidR="006B2EA6" w:rsidRPr="00084D33" w:rsidRDefault="006B2EA6" w:rsidP="006B2EA6">
      <w:pPr>
        <w:spacing w:after="160"/>
        <w:rPr>
          <w:rFonts w:eastAsia="Calibri" w:cs="Times New Roman"/>
          <w:spacing w:val="0"/>
          <w:szCs w:val="24"/>
          <w:lang w:eastAsia="es-ES_tradnl"/>
        </w:rPr>
      </w:pPr>
    </w:p>
    <w:p w14:paraId="4D4BFE72" w14:textId="77777777" w:rsidR="006B2EA6" w:rsidRPr="00084D33" w:rsidRDefault="006B2EA6" w:rsidP="007202A9">
      <w:pPr>
        <w:numPr>
          <w:ilvl w:val="0"/>
          <w:numId w:val="29"/>
        </w:numPr>
        <w:pBdr>
          <w:top w:val="nil"/>
          <w:left w:val="nil"/>
          <w:bottom w:val="nil"/>
          <w:right w:val="nil"/>
          <w:between w:val="nil"/>
        </w:pBdr>
        <w:spacing w:after="160"/>
        <w:jc w:val="left"/>
        <w:rPr>
          <w:rFonts w:eastAsia="Calibri" w:cs="Times New Roman"/>
          <w:b/>
          <w:spacing w:val="0"/>
          <w:szCs w:val="24"/>
          <w:lang w:eastAsia="es-ES_tradnl"/>
        </w:rPr>
      </w:pPr>
      <w:r w:rsidRPr="00084D33">
        <w:rPr>
          <w:rFonts w:eastAsia="Calibri" w:cs="Times New Roman"/>
          <w:spacing w:val="0"/>
          <w:szCs w:val="24"/>
          <w:lang w:eastAsia="es-ES_tradnl"/>
        </w:rPr>
        <w:t>Órgano rector responsable de medir el indicador OBRAS:</w:t>
      </w:r>
      <w:r w:rsidRPr="00084D33">
        <w:rPr>
          <w:rFonts w:eastAsia="Calibri" w:cs="Times New Roman"/>
          <w:b/>
          <w:spacing w:val="0"/>
          <w:szCs w:val="24"/>
          <w:lang w:eastAsia="es-ES_tradnl"/>
        </w:rPr>
        <w:t xml:space="preserve"> Ministerio de la Presidencia.</w:t>
      </w:r>
    </w:p>
    <w:p w14:paraId="776D4BF4" w14:textId="77777777" w:rsidR="006B2EA6" w:rsidRPr="00084D33" w:rsidRDefault="006B2EA6" w:rsidP="007202A9">
      <w:pPr>
        <w:numPr>
          <w:ilvl w:val="0"/>
          <w:numId w:val="29"/>
        </w:numPr>
        <w:pBdr>
          <w:top w:val="nil"/>
          <w:left w:val="nil"/>
          <w:bottom w:val="nil"/>
          <w:right w:val="nil"/>
          <w:between w:val="nil"/>
        </w:pBdr>
        <w:spacing w:after="160"/>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Área del MOPC que lidera el indicador Obras Públicas: </w:t>
      </w:r>
      <w:r w:rsidRPr="00084D33">
        <w:rPr>
          <w:rFonts w:eastAsia="Calibri" w:cs="Times New Roman"/>
          <w:spacing w:val="0"/>
          <w:szCs w:val="24"/>
          <w:lang w:eastAsia="es-ES_tradnl"/>
        </w:rPr>
        <w:t>Dirección Técnica/ Dirección de Gerencia de Proyectos.</w:t>
      </w:r>
    </w:p>
    <w:p w14:paraId="3707C91A" w14:textId="77777777" w:rsidR="006B2EA6" w:rsidRPr="00084D33" w:rsidRDefault="006B2EA6" w:rsidP="007202A9">
      <w:pPr>
        <w:numPr>
          <w:ilvl w:val="0"/>
          <w:numId w:val="29"/>
        </w:numPr>
        <w:pBdr>
          <w:top w:val="nil"/>
          <w:left w:val="nil"/>
          <w:bottom w:val="nil"/>
          <w:right w:val="nil"/>
          <w:between w:val="nil"/>
        </w:pBdr>
        <w:spacing w:after="160"/>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Frecuencia de medición: </w:t>
      </w:r>
      <w:r w:rsidRPr="00084D33">
        <w:rPr>
          <w:rFonts w:eastAsia="Calibri" w:cs="Times New Roman"/>
          <w:spacing w:val="0"/>
          <w:szCs w:val="24"/>
          <w:lang w:eastAsia="es-ES_tradnl"/>
        </w:rPr>
        <w:t>Mensual</w:t>
      </w:r>
    </w:p>
    <w:p w14:paraId="7894DEC6" w14:textId="4E24252D" w:rsidR="00F71A11" w:rsidRPr="00084D33" w:rsidRDefault="00F71A11" w:rsidP="0038205C">
      <w:pPr>
        <w:rPr>
          <w:rFonts w:cs="Times New Roman"/>
          <w:b/>
        </w:rPr>
      </w:pPr>
    </w:p>
    <w:p w14:paraId="36810DB3" w14:textId="599B7D61" w:rsidR="00430B58" w:rsidRPr="00084D33" w:rsidRDefault="00430B58">
      <w:pPr>
        <w:spacing w:after="160" w:line="259" w:lineRule="auto"/>
        <w:jc w:val="left"/>
        <w:rPr>
          <w:rFonts w:eastAsia="Arial" w:cs="Times New Roman"/>
          <w:spacing w:val="0"/>
          <w:szCs w:val="24"/>
          <w:lang w:val="es-ES" w:eastAsia="es-ES_tradnl" w:bidi="es-ES"/>
        </w:rPr>
      </w:pPr>
    </w:p>
    <w:p w14:paraId="6813CD60" w14:textId="73F26E5E" w:rsidR="001B6327" w:rsidRPr="00084D33" w:rsidRDefault="001B6327" w:rsidP="001B6327">
      <w:pPr>
        <w:pStyle w:val="Textoindependiente"/>
        <w:spacing w:line="360" w:lineRule="auto"/>
        <w:jc w:val="both"/>
        <w:rPr>
          <w:rFonts w:eastAsia="Arial"/>
          <w:color w:val="767171"/>
          <w:spacing w:val="0"/>
          <w:lang w:eastAsia="es-ES_tradnl"/>
        </w:rPr>
      </w:pPr>
      <w:r w:rsidRPr="00084D33">
        <w:rPr>
          <w:rFonts w:eastAsia="Arial"/>
          <w:color w:val="767171"/>
          <w:spacing w:val="0"/>
          <w:lang w:eastAsia="es-ES_tradnl"/>
        </w:rPr>
        <w:t>Gráfico porcentual del indicador OBRAS, según los meses: Enero- Diciembre de 2024.</w:t>
      </w:r>
    </w:p>
    <w:p w14:paraId="64E620AC" w14:textId="607390AF" w:rsidR="00F71A11" w:rsidRPr="00084D33" w:rsidRDefault="001B6327" w:rsidP="00430B58">
      <w:pPr>
        <w:ind w:left="-450"/>
        <w:jc w:val="center"/>
        <w:rPr>
          <w:rFonts w:eastAsia="Times New Roman" w:cs="Times New Roman"/>
          <w:spacing w:val="0"/>
          <w:szCs w:val="24"/>
          <w:lang w:eastAsia="es-ES_tradnl"/>
        </w:rPr>
      </w:pPr>
      <w:r w:rsidRPr="00084D33">
        <w:rPr>
          <w:rFonts w:eastAsia="Times New Roman" w:cs="Times New Roman"/>
          <w:noProof/>
          <w:spacing w:val="0"/>
          <w:szCs w:val="24"/>
          <w:lang w:eastAsia="es-DO"/>
        </w:rPr>
        <w:drawing>
          <wp:inline distT="0" distB="0" distL="0" distR="0" wp14:anchorId="3AA5FA2A" wp14:editId="366C4B09">
            <wp:extent cx="5472752" cy="2319452"/>
            <wp:effectExtent l="0" t="0" r="0" b="508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1687" r="1666"/>
                    <a:stretch/>
                  </pic:blipFill>
                  <pic:spPr bwMode="auto">
                    <a:xfrm>
                      <a:off x="0" y="0"/>
                      <a:ext cx="5503482" cy="2332476"/>
                    </a:xfrm>
                    <a:prstGeom prst="rect">
                      <a:avLst/>
                    </a:prstGeom>
                    <a:noFill/>
                    <a:ln>
                      <a:noFill/>
                    </a:ln>
                    <a:extLst>
                      <a:ext uri="{53640926-AAD7-44D8-BBD7-CCE9431645EC}">
                        <a14:shadowObscured xmlns:a14="http://schemas.microsoft.com/office/drawing/2010/main"/>
                      </a:ext>
                    </a:extLst>
                  </pic:spPr>
                </pic:pic>
              </a:graphicData>
            </a:graphic>
          </wp:inline>
        </w:drawing>
      </w:r>
    </w:p>
    <w:p w14:paraId="12EA5D30" w14:textId="75140163" w:rsidR="007D5C42" w:rsidRPr="00084D33" w:rsidRDefault="007D5C42" w:rsidP="00C517AE">
      <w:pPr>
        <w:pStyle w:val="Prrafodelista"/>
        <w:rPr>
          <w:szCs w:val="28"/>
        </w:rPr>
      </w:pPr>
      <w:r w:rsidRPr="00084D33">
        <w:lastRenderedPageBreak/>
        <w:t>Indicador SISMAP</w:t>
      </w:r>
    </w:p>
    <w:p w14:paraId="2BE1F6F0" w14:textId="77777777" w:rsidR="007D5C42" w:rsidRPr="00084D33" w:rsidRDefault="007D5C42" w:rsidP="0038205C">
      <w:pPr>
        <w:rPr>
          <w:rFonts w:cs="Times New Roman"/>
          <w:sz w:val="28"/>
          <w:szCs w:val="28"/>
        </w:rPr>
      </w:pPr>
    </w:p>
    <w:p w14:paraId="0AB6EE25" w14:textId="77777777" w:rsidR="001B6327" w:rsidRPr="00084D33" w:rsidRDefault="001B6327" w:rsidP="001B6327">
      <w:pPr>
        <w:spacing w:after="160"/>
        <w:rPr>
          <w:rFonts w:eastAsia="Calibri" w:cs="Times New Roman"/>
          <w:spacing w:val="0"/>
          <w:szCs w:val="24"/>
          <w:lang w:eastAsia="es-ES_tradnl"/>
        </w:rPr>
      </w:pPr>
      <w:r w:rsidRPr="00084D33">
        <w:rPr>
          <w:rFonts w:eastAsia="Calibri" w:cs="Times New Roman"/>
          <w:spacing w:val="0"/>
          <w:szCs w:val="24"/>
          <w:lang w:eastAsia="es-ES_tradnl"/>
        </w:rPr>
        <w:t>El SISMAP es un sistema de monitoreo para medir los niveles de desarrollo de la gestión pública, que desde el año 2010 ha venido implementando el Ministerio de Administración Pública; tomando como referencia los indicadores del Barómetro de las Américas, sondeo auspiciado por el Banco Interamericano de Desarrollo (BID) así como, los postulados de la Carta Iberoamericana de la Función Pública.</w:t>
      </w:r>
    </w:p>
    <w:p w14:paraId="26DAAE2D" w14:textId="77777777" w:rsidR="001B6327" w:rsidRPr="00084D33" w:rsidRDefault="001B6327" w:rsidP="001B6327">
      <w:pPr>
        <w:spacing w:line="240" w:lineRule="auto"/>
        <w:rPr>
          <w:rFonts w:eastAsia="Calibri" w:cs="Times New Roman"/>
          <w:b/>
          <w:spacing w:val="0"/>
          <w:szCs w:val="24"/>
          <w:lang w:eastAsia="es-ES_tradnl"/>
        </w:rPr>
      </w:pPr>
    </w:p>
    <w:p w14:paraId="2E58B8AF" w14:textId="77777777" w:rsidR="001B6327" w:rsidRPr="00084D33" w:rsidRDefault="001B6327" w:rsidP="007202A9">
      <w:pPr>
        <w:numPr>
          <w:ilvl w:val="0"/>
          <w:numId w:val="30"/>
        </w:numPr>
        <w:spacing w:after="160"/>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Órgano rector responsable de medir Indicador SISMAP: </w:t>
      </w:r>
      <w:r w:rsidRPr="00084D33">
        <w:rPr>
          <w:rFonts w:eastAsia="Calibri" w:cs="Times New Roman"/>
          <w:spacing w:val="0"/>
          <w:szCs w:val="24"/>
          <w:lang w:eastAsia="es-ES_tradnl"/>
        </w:rPr>
        <w:t>Ministerio de Administración Pública (MAP).</w:t>
      </w:r>
    </w:p>
    <w:p w14:paraId="6EA729F0" w14:textId="77777777" w:rsidR="001B6327" w:rsidRPr="00084D33" w:rsidRDefault="001B6327" w:rsidP="007202A9">
      <w:pPr>
        <w:numPr>
          <w:ilvl w:val="0"/>
          <w:numId w:val="30"/>
        </w:numPr>
        <w:spacing w:after="160"/>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Área del MOPC que lidera el indicador SISMAP: </w:t>
      </w:r>
      <w:r w:rsidRPr="00084D33">
        <w:rPr>
          <w:rFonts w:eastAsia="Calibri" w:cs="Times New Roman"/>
          <w:spacing w:val="0"/>
          <w:szCs w:val="24"/>
          <w:lang w:eastAsia="es-ES_tradnl"/>
        </w:rPr>
        <w:t>Dirección de Recursos Humanos.</w:t>
      </w:r>
    </w:p>
    <w:p w14:paraId="3CFFF34E" w14:textId="7E764423" w:rsidR="001B6327" w:rsidRPr="00084D33" w:rsidRDefault="001B6327" w:rsidP="007202A9">
      <w:pPr>
        <w:numPr>
          <w:ilvl w:val="0"/>
          <w:numId w:val="30"/>
        </w:numPr>
        <w:spacing w:after="160" w:line="259" w:lineRule="auto"/>
        <w:jc w:val="left"/>
        <w:rPr>
          <w:rFonts w:eastAsia="Arial" w:cs="Times New Roman"/>
          <w:spacing w:val="0"/>
          <w:szCs w:val="24"/>
          <w:lang w:val="es-ES" w:eastAsia="es-ES_tradnl" w:bidi="es-ES"/>
        </w:rPr>
      </w:pPr>
      <w:r w:rsidRPr="00084D33">
        <w:rPr>
          <w:rFonts w:eastAsia="Calibri" w:cs="Times New Roman"/>
          <w:b/>
          <w:spacing w:val="0"/>
          <w:szCs w:val="24"/>
          <w:lang w:eastAsia="es-ES_tradnl"/>
        </w:rPr>
        <w:t xml:space="preserve">Frecuencia de medición: </w:t>
      </w:r>
      <w:r w:rsidRPr="00084D33">
        <w:rPr>
          <w:rFonts w:eastAsia="Calibri" w:cs="Times New Roman"/>
          <w:spacing w:val="0"/>
          <w:szCs w:val="24"/>
          <w:lang w:eastAsia="es-ES_tradnl"/>
        </w:rPr>
        <w:t>Mensual</w:t>
      </w:r>
    </w:p>
    <w:p w14:paraId="1A20E0A3" w14:textId="77777777" w:rsidR="0022611A" w:rsidRPr="00084D33" w:rsidRDefault="0022611A" w:rsidP="0022611A">
      <w:pPr>
        <w:spacing w:after="160" w:line="259" w:lineRule="auto"/>
        <w:ind w:left="720"/>
        <w:jc w:val="left"/>
        <w:rPr>
          <w:rFonts w:eastAsia="Arial" w:cs="Times New Roman"/>
          <w:spacing w:val="0"/>
          <w:szCs w:val="24"/>
          <w:lang w:val="es-ES" w:eastAsia="es-ES_tradnl" w:bidi="es-ES"/>
        </w:rPr>
      </w:pPr>
    </w:p>
    <w:p w14:paraId="6B16577F" w14:textId="4FB0642D" w:rsidR="00F71A11" w:rsidRPr="00084D33" w:rsidRDefault="001B6327" w:rsidP="001B6327">
      <w:pPr>
        <w:pStyle w:val="Textoindependiente"/>
        <w:spacing w:line="360" w:lineRule="auto"/>
        <w:jc w:val="both"/>
        <w:rPr>
          <w:rFonts w:eastAsia="Arial"/>
          <w:color w:val="767171"/>
          <w:spacing w:val="0"/>
          <w:lang w:eastAsia="es-ES_tradnl"/>
        </w:rPr>
      </w:pPr>
      <w:r w:rsidRPr="00084D33">
        <w:rPr>
          <w:rFonts w:eastAsia="Arial"/>
          <w:color w:val="767171"/>
          <w:spacing w:val="0"/>
          <w:lang w:eastAsia="es-ES_tradnl"/>
        </w:rPr>
        <w:t>Gráfico porcentual de indicador SISMAP, según los meses Enero-diciembre del 2024.</w:t>
      </w:r>
    </w:p>
    <w:p w14:paraId="6DFB582A" w14:textId="77777777" w:rsidR="001B6327" w:rsidRPr="00084D33" w:rsidRDefault="001B6327" w:rsidP="001B6327">
      <w:pPr>
        <w:jc w:val="left"/>
        <w:rPr>
          <w:rFonts w:eastAsia="Calibri" w:cs="Times New Roman"/>
          <w:b/>
          <w:spacing w:val="0"/>
          <w:szCs w:val="24"/>
          <w:lang w:eastAsia="es-ES_tradnl"/>
        </w:rPr>
      </w:pPr>
    </w:p>
    <w:p w14:paraId="53278990" w14:textId="670A17B8" w:rsidR="00F71A11" w:rsidRPr="00084D33" w:rsidRDefault="001B6327" w:rsidP="001B6327">
      <w:pPr>
        <w:ind w:left="-900"/>
        <w:rPr>
          <w:rFonts w:eastAsia="Times New Roman" w:cs="Times New Roman"/>
          <w:b/>
          <w:bCs/>
          <w:spacing w:val="0"/>
          <w:sz w:val="32"/>
          <w:szCs w:val="32"/>
          <w:lang w:eastAsia="es-ES_tradnl"/>
        </w:rPr>
      </w:pPr>
      <w:r w:rsidRPr="00084D33">
        <w:rPr>
          <w:noProof/>
          <w:lang w:eastAsia="es-DO"/>
        </w:rPr>
        <w:drawing>
          <wp:inline distT="0" distB="0" distL="0" distR="0" wp14:anchorId="593AA8CF" wp14:editId="7FB18E4F">
            <wp:extent cx="6202907" cy="2565779"/>
            <wp:effectExtent l="0" t="0" r="7620" b="635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D89CAA" w14:textId="7F32F008" w:rsidR="00F71A11" w:rsidRPr="00084D33" w:rsidRDefault="00F71A11" w:rsidP="0038205C">
      <w:pPr>
        <w:pStyle w:val="Textoindependiente"/>
        <w:spacing w:line="360" w:lineRule="auto"/>
        <w:jc w:val="both"/>
        <w:rPr>
          <w:color w:val="767171"/>
        </w:rPr>
      </w:pPr>
      <w:r w:rsidRPr="00084D33">
        <w:rPr>
          <w:b/>
          <w:bCs/>
          <w:color w:val="767171"/>
        </w:rPr>
        <w:t>Nota:</w:t>
      </w:r>
      <w:r w:rsidRPr="00084D33">
        <w:rPr>
          <w:color w:val="767171"/>
        </w:rPr>
        <w:t xml:space="preserve"> Los datos presentados en el gráfico fueron tomados del </w:t>
      </w:r>
      <w:r w:rsidRPr="00084D33">
        <w:rPr>
          <w:bCs/>
          <w:color w:val="767171"/>
        </w:rPr>
        <w:t>Sistema de Monitoreo y Medición de Gestión Pública (SMMGP</w:t>
      </w:r>
      <w:r w:rsidRPr="00084D33">
        <w:rPr>
          <w:color w:val="767171"/>
        </w:rPr>
        <w:t>.</w:t>
      </w:r>
    </w:p>
    <w:p w14:paraId="21FF0871" w14:textId="4278E212" w:rsidR="00F71A11" w:rsidRPr="00084D33" w:rsidRDefault="00F71A11" w:rsidP="00C517AE">
      <w:pPr>
        <w:pStyle w:val="Prrafodelista"/>
      </w:pPr>
      <w:r w:rsidRPr="00084D33">
        <w:lastRenderedPageBreak/>
        <w:t>Indicador ITICGE</w:t>
      </w:r>
    </w:p>
    <w:p w14:paraId="4C35A9F2" w14:textId="77777777" w:rsidR="00404F01" w:rsidRPr="00084D33" w:rsidRDefault="00404F01" w:rsidP="0038205C">
      <w:pPr>
        <w:ind w:left="644"/>
        <w:rPr>
          <w:rFonts w:cs="Times New Roman"/>
        </w:rPr>
      </w:pPr>
    </w:p>
    <w:p w14:paraId="3C241D32" w14:textId="208AE6F6" w:rsidR="001B6327" w:rsidRPr="00084D33" w:rsidRDefault="001B6327" w:rsidP="001B6327">
      <w:pPr>
        <w:pStyle w:val="Textoindependiente"/>
        <w:spacing w:line="360" w:lineRule="auto"/>
        <w:jc w:val="both"/>
        <w:rPr>
          <w:color w:val="767171"/>
        </w:rPr>
      </w:pPr>
      <w:r w:rsidRPr="00084D33">
        <w:rPr>
          <w:color w:val="767171"/>
        </w:rPr>
        <w:t>El ITICGE fue desarrollado e implementado desde el año 2013, para promover y medir el uso de las TIC y el Gobierno Electrónico en el Estado Dominicano, diseñar estrategias que impacten la eficiencia y la participación ciudadana.</w:t>
      </w:r>
      <w:r w:rsidR="00BC577E" w:rsidRPr="00084D33">
        <w:rPr>
          <w:color w:val="767171"/>
        </w:rPr>
        <w:t xml:space="preserve"> </w:t>
      </w:r>
      <w:r w:rsidRPr="00084D33">
        <w:rPr>
          <w:color w:val="767171"/>
        </w:rPr>
        <w:t xml:space="preserve">Está compuesto por cuatro (5) pilares principales: Uso de las TIC, Implementación de Gobierno Electrónico, Innovación, e-Participación y Servicios en Línea. </w:t>
      </w:r>
    </w:p>
    <w:p w14:paraId="5080D4CA" w14:textId="77777777" w:rsidR="001B6327" w:rsidRPr="00084D33" w:rsidRDefault="001B6327" w:rsidP="001B6327">
      <w:pPr>
        <w:spacing w:line="240" w:lineRule="auto"/>
        <w:ind w:right="170"/>
        <w:rPr>
          <w:rFonts w:eastAsia="Calibri" w:cs="Times New Roman"/>
          <w:spacing w:val="0"/>
          <w:szCs w:val="24"/>
          <w:lang w:eastAsia="es-ES_tradnl"/>
        </w:rPr>
      </w:pPr>
    </w:p>
    <w:p w14:paraId="79702A1D" w14:textId="77777777" w:rsidR="001B6327" w:rsidRPr="00084D33" w:rsidRDefault="001B6327" w:rsidP="001B6327">
      <w:pPr>
        <w:spacing w:line="240" w:lineRule="auto"/>
        <w:ind w:right="170"/>
        <w:rPr>
          <w:rFonts w:eastAsia="Calibri" w:cs="Times New Roman"/>
          <w:spacing w:val="0"/>
          <w:szCs w:val="24"/>
          <w:lang w:eastAsia="es-ES_tradnl"/>
        </w:rPr>
      </w:pPr>
    </w:p>
    <w:p w14:paraId="5F0C877B" w14:textId="77777777" w:rsidR="001B6327" w:rsidRPr="00084D33" w:rsidRDefault="001B6327" w:rsidP="007202A9">
      <w:pPr>
        <w:numPr>
          <w:ilvl w:val="0"/>
          <w:numId w:val="31"/>
        </w:numPr>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Órgano rector responsable de medir Indicador: </w:t>
      </w:r>
      <w:r w:rsidRPr="00084D33">
        <w:rPr>
          <w:rFonts w:eastAsia="Calibri" w:cs="Times New Roman"/>
          <w:spacing w:val="0"/>
          <w:szCs w:val="24"/>
          <w:lang w:eastAsia="es-ES_tradnl"/>
        </w:rPr>
        <w:t>Oficina Gubernamental de Tecnologías de la Información y Comunicación (OGTIC)</w:t>
      </w:r>
    </w:p>
    <w:p w14:paraId="3450061C" w14:textId="77777777" w:rsidR="001B6327" w:rsidRPr="00084D33" w:rsidRDefault="001B6327" w:rsidP="007202A9">
      <w:pPr>
        <w:numPr>
          <w:ilvl w:val="0"/>
          <w:numId w:val="31"/>
        </w:numPr>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Área del MOPC que lidera el indicador ITICGE: </w:t>
      </w:r>
      <w:r w:rsidRPr="00084D33">
        <w:rPr>
          <w:rFonts w:eastAsia="Calibri" w:cs="Times New Roman"/>
          <w:spacing w:val="0"/>
          <w:szCs w:val="24"/>
          <w:lang w:eastAsia="es-ES_tradnl"/>
        </w:rPr>
        <w:t>Dirección de Tecnologías de la Información y Comunicación.</w:t>
      </w:r>
    </w:p>
    <w:p w14:paraId="1926D851" w14:textId="77777777" w:rsidR="001B6327" w:rsidRPr="00084D33" w:rsidRDefault="001B6327" w:rsidP="007202A9">
      <w:pPr>
        <w:numPr>
          <w:ilvl w:val="0"/>
          <w:numId w:val="31"/>
        </w:numPr>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Frecuencia de medición: </w:t>
      </w:r>
      <w:r w:rsidRPr="00084D33">
        <w:rPr>
          <w:rFonts w:eastAsia="Calibri" w:cs="Times New Roman"/>
          <w:spacing w:val="0"/>
          <w:szCs w:val="24"/>
          <w:lang w:eastAsia="es-ES_tradnl"/>
        </w:rPr>
        <w:t>Trimestral</w:t>
      </w:r>
    </w:p>
    <w:p w14:paraId="024559B2" w14:textId="77777777" w:rsidR="001B6327" w:rsidRPr="00084D33" w:rsidRDefault="001B6327" w:rsidP="001B6327">
      <w:pPr>
        <w:spacing w:line="240" w:lineRule="auto"/>
        <w:ind w:right="170"/>
        <w:rPr>
          <w:rFonts w:eastAsia="Calibri" w:cs="Times New Roman"/>
          <w:spacing w:val="0"/>
          <w:szCs w:val="24"/>
          <w:lang w:eastAsia="es-ES_tradnl"/>
        </w:rPr>
      </w:pPr>
    </w:p>
    <w:p w14:paraId="398EB2F8" w14:textId="77777777" w:rsidR="001B6327" w:rsidRPr="00084D33" w:rsidRDefault="001B6327" w:rsidP="001B6327">
      <w:pPr>
        <w:spacing w:line="240" w:lineRule="auto"/>
        <w:rPr>
          <w:rFonts w:eastAsia="Arial" w:cs="Times New Roman"/>
          <w:b/>
          <w:spacing w:val="0"/>
          <w:szCs w:val="24"/>
          <w:lang w:eastAsia="es-ES_tradnl"/>
        </w:rPr>
      </w:pPr>
    </w:p>
    <w:p w14:paraId="32749B81" w14:textId="77777777" w:rsidR="001B6327" w:rsidRPr="00084D33" w:rsidRDefault="001B6327" w:rsidP="001B6327">
      <w:pPr>
        <w:spacing w:line="240" w:lineRule="auto"/>
        <w:rPr>
          <w:rFonts w:eastAsia="Arial" w:cs="Times New Roman"/>
          <w:b/>
          <w:spacing w:val="0"/>
          <w:szCs w:val="24"/>
          <w:lang w:eastAsia="es-ES_tradnl"/>
        </w:rPr>
      </w:pPr>
    </w:p>
    <w:p w14:paraId="4FF392FE" w14:textId="76FFB577" w:rsidR="00F71A11" w:rsidRPr="00084D33" w:rsidRDefault="001B6327" w:rsidP="001B6327">
      <w:pPr>
        <w:pStyle w:val="Textoindependiente"/>
        <w:spacing w:line="360" w:lineRule="auto"/>
        <w:jc w:val="both"/>
        <w:rPr>
          <w:color w:val="767171"/>
        </w:rPr>
      </w:pPr>
      <w:r w:rsidRPr="00084D33">
        <w:rPr>
          <w:rFonts w:eastAsia="Arial"/>
          <w:color w:val="767171"/>
          <w:spacing w:val="0"/>
          <w:lang w:eastAsia="es-ES_tradnl"/>
        </w:rPr>
        <w:t>Gráfico porcentual del indicador ITICGE, según periodo: Enero-</w:t>
      </w:r>
      <w:r w:rsidR="00430B58" w:rsidRPr="00084D33">
        <w:rPr>
          <w:rFonts w:eastAsia="Arial"/>
          <w:color w:val="767171"/>
          <w:spacing w:val="0"/>
          <w:lang w:eastAsia="es-ES_tradnl"/>
        </w:rPr>
        <w:t>S</w:t>
      </w:r>
      <w:r w:rsidRPr="00084D33">
        <w:rPr>
          <w:rFonts w:eastAsia="Arial"/>
          <w:color w:val="767171"/>
          <w:spacing w:val="0"/>
          <w:lang w:eastAsia="es-ES_tradnl"/>
        </w:rPr>
        <w:t>eptiembre de 2024.</w:t>
      </w:r>
    </w:p>
    <w:p w14:paraId="4E5B001A" w14:textId="6B4CE2B5" w:rsidR="00F71A11" w:rsidRPr="00084D33" w:rsidRDefault="00430B58" w:rsidP="00430B58">
      <w:pPr>
        <w:ind w:left="-180" w:right="170"/>
        <w:rPr>
          <w:rFonts w:eastAsia="Times New Roman" w:cs="Times New Roman"/>
          <w:spacing w:val="0"/>
          <w:sz w:val="32"/>
          <w:szCs w:val="32"/>
          <w:lang w:eastAsia="es-ES_tradnl"/>
        </w:rPr>
      </w:pPr>
      <w:r w:rsidRPr="00084D33">
        <w:rPr>
          <w:noProof/>
          <w:lang w:eastAsia="es-DO"/>
        </w:rPr>
        <w:drawing>
          <wp:inline distT="0" distB="0" distL="0" distR="0" wp14:anchorId="304D4469" wp14:editId="7714C468">
            <wp:extent cx="5295331" cy="2593075"/>
            <wp:effectExtent l="0" t="0" r="635"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37C0D55" w14:textId="77777777" w:rsidR="00F71A11" w:rsidRPr="00084D33" w:rsidRDefault="00F71A11" w:rsidP="0038205C">
      <w:pPr>
        <w:rPr>
          <w:rFonts w:eastAsia="Times New Roman" w:cs="Times New Roman"/>
          <w:b/>
          <w:bCs/>
          <w:spacing w:val="0"/>
          <w:sz w:val="20"/>
          <w:szCs w:val="20"/>
          <w:lang w:eastAsia="es-ES_tradnl"/>
        </w:rPr>
      </w:pPr>
    </w:p>
    <w:p w14:paraId="0C43C89D" w14:textId="4247C6D0" w:rsidR="00F71A11" w:rsidRPr="00084D33" w:rsidRDefault="00F71A11" w:rsidP="0038205C">
      <w:pPr>
        <w:pStyle w:val="Textoindependiente"/>
        <w:spacing w:line="360" w:lineRule="auto"/>
        <w:jc w:val="both"/>
        <w:rPr>
          <w:b/>
          <w:bCs/>
          <w:color w:val="767171"/>
        </w:rPr>
      </w:pPr>
      <w:r w:rsidRPr="00084D33">
        <w:rPr>
          <w:b/>
          <w:bCs/>
          <w:color w:val="767171"/>
        </w:rPr>
        <w:lastRenderedPageBreak/>
        <w:t xml:space="preserve">Nota: </w:t>
      </w:r>
      <w:r w:rsidR="00430B58" w:rsidRPr="00084D33">
        <w:rPr>
          <w:bCs/>
          <w:color w:val="767171"/>
        </w:rPr>
        <w:t>La OGTIC está en proceso de actualización, según se muestra en el gráfico este indicador está actualizado hasta el mes de septiembre 2024. Se realizó una Auditoría en el mes de octubre y estamos a la espera de la actualización de la calificación</w:t>
      </w:r>
      <w:r w:rsidRPr="00084D33">
        <w:rPr>
          <w:b/>
          <w:bCs/>
          <w:color w:val="767171"/>
        </w:rPr>
        <w:t xml:space="preserve">. </w:t>
      </w:r>
    </w:p>
    <w:p w14:paraId="15C9F6B5" w14:textId="2FA2448B" w:rsidR="00071BB4" w:rsidRPr="00084D33" w:rsidRDefault="00071BB4" w:rsidP="0038205C">
      <w:pPr>
        <w:rPr>
          <w:rFonts w:eastAsia="Times New Roman" w:cs="Times New Roman"/>
          <w:spacing w:val="0"/>
          <w:sz w:val="28"/>
          <w:szCs w:val="28"/>
          <w:lang w:eastAsia="es-ES_tradnl"/>
        </w:rPr>
      </w:pPr>
    </w:p>
    <w:p w14:paraId="7F2C60FC" w14:textId="77777777" w:rsidR="00430B58" w:rsidRPr="00084D33" w:rsidRDefault="00430B58" w:rsidP="0038205C">
      <w:pPr>
        <w:rPr>
          <w:rFonts w:eastAsia="Times New Roman" w:cs="Times New Roman"/>
          <w:spacing w:val="0"/>
          <w:sz w:val="28"/>
          <w:szCs w:val="28"/>
          <w:lang w:eastAsia="es-ES_tradnl"/>
        </w:rPr>
      </w:pPr>
    </w:p>
    <w:p w14:paraId="60AE51EC" w14:textId="3593A5F4" w:rsidR="00071BB4" w:rsidRPr="00084D33" w:rsidRDefault="00F71A11" w:rsidP="00C517AE">
      <w:pPr>
        <w:pStyle w:val="Prrafodelista"/>
        <w:rPr>
          <w:rFonts w:eastAsiaTheme="minorHAnsi"/>
          <w:szCs w:val="22"/>
          <w:lang w:eastAsia="en-US"/>
        </w:rPr>
      </w:pPr>
      <w:r w:rsidRPr="00084D33">
        <w:t>Indicad</w:t>
      </w:r>
      <w:r w:rsidR="00071BB4" w:rsidRPr="00084D33">
        <w:t>or NOBACI</w:t>
      </w:r>
    </w:p>
    <w:p w14:paraId="7C525C13" w14:textId="77777777" w:rsidR="00966B98" w:rsidRPr="00084D33" w:rsidRDefault="00966B98" w:rsidP="0038205C">
      <w:pPr>
        <w:ind w:left="1440"/>
        <w:rPr>
          <w:rFonts w:cs="Times New Roman"/>
        </w:rPr>
      </w:pPr>
    </w:p>
    <w:p w14:paraId="0C7836F1" w14:textId="77777777" w:rsidR="00430B58" w:rsidRPr="00084D33" w:rsidRDefault="00430B58" w:rsidP="00430B58">
      <w:pPr>
        <w:rPr>
          <w:rFonts w:cs="Times New Roman"/>
        </w:rPr>
      </w:pPr>
      <w:r w:rsidRPr="00084D33">
        <w:rPr>
          <w:rFonts w:cs="Times New Roman"/>
        </w:rPr>
        <w:t>Las Normas Básicas de Control Interno (NOBACI), constituyen el marco de referencia mínimo obligatorio en materia de control interno, para que las entidades del Sector Público preparen los procedimientos y reglamentos específicos del funcionamiento de sus sistemas de administración y control.</w:t>
      </w:r>
    </w:p>
    <w:p w14:paraId="7AE0722C" w14:textId="77777777" w:rsidR="00430B58" w:rsidRPr="00084D33" w:rsidRDefault="00430B58" w:rsidP="00430B58">
      <w:pPr>
        <w:spacing w:line="240" w:lineRule="auto"/>
        <w:rPr>
          <w:rFonts w:eastAsia="Calibri" w:cs="Times New Roman"/>
          <w:spacing w:val="0"/>
          <w:szCs w:val="24"/>
          <w:lang w:eastAsia="es-ES_tradnl"/>
        </w:rPr>
      </w:pPr>
    </w:p>
    <w:p w14:paraId="0F88EBC9" w14:textId="77777777" w:rsidR="00430B58" w:rsidRPr="00084D33" w:rsidRDefault="00430B58" w:rsidP="00430B58">
      <w:pPr>
        <w:spacing w:line="240" w:lineRule="auto"/>
        <w:rPr>
          <w:rFonts w:eastAsia="Calibri" w:cs="Times New Roman"/>
          <w:spacing w:val="0"/>
          <w:szCs w:val="24"/>
          <w:lang w:eastAsia="es-ES_tradnl"/>
        </w:rPr>
      </w:pPr>
    </w:p>
    <w:p w14:paraId="12CA43C8" w14:textId="77777777" w:rsidR="00430B58" w:rsidRPr="00084D33" w:rsidRDefault="00430B58" w:rsidP="007202A9">
      <w:pPr>
        <w:numPr>
          <w:ilvl w:val="0"/>
          <w:numId w:val="31"/>
        </w:numPr>
        <w:spacing w:line="240" w:lineRule="auto"/>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Órgano rector responsable de medir Indicador: </w:t>
      </w:r>
      <w:r w:rsidRPr="00084D33">
        <w:rPr>
          <w:rFonts w:eastAsia="Calibri" w:cs="Times New Roman"/>
          <w:spacing w:val="0"/>
          <w:szCs w:val="24"/>
          <w:lang w:eastAsia="es-ES_tradnl"/>
        </w:rPr>
        <w:t>Contraloría General de la República</w:t>
      </w:r>
    </w:p>
    <w:p w14:paraId="74970740" w14:textId="77777777" w:rsidR="00430B58" w:rsidRPr="00084D33" w:rsidRDefault="00430B58" w:rsidP="00430B58">
      <w:pPr>
        <w:spacing w:line="240" w:lineRule="auto"/>
        <w:rPr>
          <w:rFonts w:eastAsia="Calibri" w:cs="Times New Roman"/>
          <w:spacing w:val="0"/>
          <w:szCs w:val="24"/>
          <w:lang w:eastAsia="es-ES_tradnl"/>
        </w:rPr>
      </w:pPr>
    </w:p>
    <w:p w14:paraId="60FE19E9" w14:textId="77777777" w:rsidR="00430B58" w:rsidRPr="00084D33" w:rsidRDefault="00430B58" w:rsidP="007202A9">
      <w:pPr>
        <w:numPr>
          <w:ilvl w:val="0"/>
          <w:numId w:val="31"/>
        </w:numPr>
        <w:spacing w:line="240" w:lineRule="auto"/>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Área del MOPC que lidera el indicador NOBACI: </w:t>
      </w:r>
      <w:r w:rsidRPr="00084D33">
        <w:rPr>
          <w:rFonts w:eastAsia="Calibri" w:cs="Times New Roman"/>
          <w:spacing w:val="0"/>
          <w:szCs w:val="24"/>
          <w:lang w:eastAsia="es-ES_tradnl"/>
        </w:rPr>
        <w:t>Dirección de Planificación y Desarrollo</w:t>
      </w:r>
    </w:p>
    <w:p w14:paraId="0F34DCA2" w14:textId="77777777" w:rsidR="00430B58" w:rsidRPr="00084D33" w:rsidRDefault="00430B58" w:rsidP="00430B58">
      <w:pPr>
        <w:spacing w:line="240" w:lineRule="auto"/>
        <w:rPr>
          <w:rFonts w:eastAsia="Calibri" w:cs="Times New Roman"/>
          <w:spacing w:val="0"/>
          <w:szCs w:val="24"/>
          <w:lang w:eastAsia="es-ES_tradnl"/>
        </w:rPr>
      </w:pPr>
    </w:p>
    <w:p w14:paraId="7A00F649" w14:textId="77777777" w:rsidR="00430B58" w:rsidRPr="00084D33" w:rsidRDefault="00430B58" w:rsidP="007202A9">
      <w:pPr>
        <w:numPr>
          <w:ilvl w:val="0"/>
          <w:numId w:val="31"/>
        </w:numPr>
        <w:spacing w:line="240" w:lineRule="auto"/>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Frecuencia de evaluación: </w:t>
      </w:r>
      <w:r w:rsidRPr="00084D33">
        <w:rPr>
          <w:rFonts w:eastAsia="Calibri" w:cs="Times New Roman"/>
          <w:spacing w:val="0"/>
          <w:szCs w:val="24"/>
          <w:lang w:eastAsia="es-ES_tradnl"/>
        </w:rPr>
        <w:t>Cuatrimestral</w:t>
      </w:r>
    </w:p>
    <w:p w14:paraId="11F53AA5" w14:textId="77777777" w:rsidR="00430B58" w:rsidRPr="00084D33" w:rsidRDefault="00430B58" w:rsidP="00430B58">
      <w:pPr>
        <w:spacing w:line="240" w:lineRule="auto"/>
        <w:rPr>
          <w:rFonts w:eastAsia="Calibri" w:cs="Times New Roman"/>
          <w:spacing w:val="0"/>
          <w:szCs w:val="24"/>
          <w:lang w:eastAsia="es-ES_tradnl"/>
        </w:rPr>
      </w:pPr>
    </w:p>
    <w:p w14:paraId="2030A5DC" w14:textId="2EC9666F" w:rsidR="00071BB4" w:rsidRPr="00084D33" w:rsidRDefault="00430B58" w:rsidP="00430B58">
      <w:pPr>
        <w:spacing w:before="280" w:after="280" w:line="240" w:lineRule="auto"/>
        <w:rPr>
          <w:rFonts w:eastAsia="Times New Roman" w:cs="Times New Roman"/>
          <w:b/>
          <w:bCs/>
          <w:spacing w:val="0"/>
          <w:sz w:val="32"/>
          <w:szCs w:val="32"/>
          <w:lang w:eastAsia="es-ES_tradnl"/>
        </w:rPr>
      </w:pPr>
      <w:r w:rsidRPr="00084D33">
        <w:rPr>
          <w:rFonts w:eastAsia="Calibri" w:cs="Times New Roman"/>
          <w:spacing w:val="0"/>
          <w:szCs w:val="24"/>
          <w:lang w:eastAsia="es-ES_tradnl"/>
        </w:rPr>
        <w:t>Gráfico porcentual de indicador NOBACI, según Periodo: Enero-diciembre de 2024.</w:t>
      </w:r>
    </w:p>
    <w:p w14:paraId="0E5B6252" w14:textId="6B421239" w:rsidR="00F71A11" w:rsidRPr="00084D33" w:rsidRDefault="00430B58" w:rsidP="0038205C">
      <w:pPr>
        <w:rPr>
          <w:rFonts w:eastAsia="Times New Roman" w:cs="Times New Roman"/>
          <w:b/>
          <w:bCs/>
          <w:spacing w:val="0"/>
          <w:sz w:val="32"/>
          <w:szCs w:val="32"/>
          <w:lang w:eastAsia="es-ES_tradnl"/>
        </w:rPr>
      </w:pPr>
      <w:r w:rsidRPr="00084D33">
        <w:rPr>
          <w:noProof/>
          <w:lang w:eastAsia="es-DO"/>
        </w:rPr>
        <w:lastRenderedPageBreak/>
        <w:drawing>
          <wp:inline distT="0" distB="0" distL="0" distR="0" wp14:anchorId="655D2970" wp14:editId="671D87BF">
            <wp:extent cx="5029200" cy="3162300"/>
            <wp:effectExtent l="0" t="0" r="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D78AFA" w14:textId="612EC431" w:rsidR="00F71A11" w:rsidRPr="00084D33" w:rsidRDefault="00E81490" w:rsidP="0038205C">
      <w:pPr>
        <w:pStyle w:val="Textoindependiente"/>
        <w:spacing w:line="360" w:lineRule="auto"/>
        <w:jc w:val="both"/>
        <w:rPr>
          <w:color w:val="767171"/>
        </w:rPr>
      </w:pPr>
      <w:r w:rsidRPr="00084D33">
        <w:rPr>
          <w:color w:val="767171"/>
        </w:rPr>
        <w:t>Nota: El indicador NOBACI, actualmente se encuentra en proceso de actualización por parte de</w:t>
      </w:r>
      <w:r w:rsidR="00430B58" w:rsidRPr="00084D33">
        <w:rPr>
          <w:color w:val="767171"/>
        </w:rPr>
        <w:t xml:space="preserve"> </w:t>
      </w:r>
      <w:r w:rsidRPr="00084D33">
        <w:rPr>
          <w:color w:val="767171"/>
        </w:rPr>
        <w:t>l</w:t>
      </w:r>
      <w:r w:rsidR="00430B58" w:rsidRPr="00084D33">
        <w:rPr>
          <w:color w:val="767171"/>
        </w:rPr>
        <w:t>a</w:t>
      </w:r>
      <w:r w:rsidRPr="00084D33">
        <w:rPr>
          <w:color w:val="767171"/>
        </w:rPr>
        <w:t xml:space="preserve"> </w:t>
      </w:r>
      <w:r w:rsidR="00430B58" w:rsidRPr="00084D33">
        <w:rPr>
          <w:color w:val="767171"/>
        </w:rPr>
        <w:t>Contraloría y la A</w:t>
      </w:r>
      <w:r w:rsidR="00966B98" w:rsidRPr="00084D33">
        <w:rPr>
          <w:color w:val="767171"/>
        </w:rPr>
        <w:t xml:space="preserve">nalista </w:t>
      </w:r>
      <w:r w:rsidR="00430B58" w:rsidRPr="00084D33">
        <w:rPr>
          <w:color w:val="767171"/>
        </w:rPr>
        <w:t xml:space="preserve">de PyD </w:t>
      </w:r>
      <w:r w:rsidR="00966B98" w:rsidRPr="00084D33">
        <w:rPr>
          <w:color w:val="767171"/>
        </w:rPr>
        <w:t>del MOPC</w:t>
      </w:r>
      <w:r w:rsidR="00430B58" w:rsidRPr="00084D33">
        <w:rPr>
          <w:color w:val="767171"/>
        </w:rPr>
        <w:t>.</w:t>
      </w:r>
      <w:r w:rsidR="008F3ECF" w:rsidRPr="00084D33">
        <w:rPr>
          <w:color w:val="767171"/>
        </w:rPr>
        <w:t xml:space="preserve"> A partir del mes de Mayo de 2024 este indicador se ll</w:t>
      </w:r>
      <w:r w:rsidR="00C3480E">
        <w:rPr>
          <w:color w:val="767171"/>
        </w:rPr>
        <w:t>ama Índice de Control Interno (</w:t>
      </w:r>
      <w:r w:rsidR="008F3ECF" w:rsidRPr="00084D33">
        <w:rPr>
          <w:color w:val="767171"/>
        </w:rPr>
        <w:t>ICI)</w:t>
      </w:r>
      <w:r w:rsidR="00966B98" w:rsidRPr="00084D33">
        <w:rPr>
          <w:color w:val="767171"/>
        </w:rPr>
        <w:t>.</w:t>
      </w:r>
    </w:p>
    <w:p w14:paraId="4E66F026" w14:textId="488F0E25" w:rsidR="00966B98" w:rsidRPr="00084D33" w:rsidRDefault="00966B98" w:rsidP="0038205C">
      <w:pPr>
        <w:rPr>
          <w:rFonts w:eastAsia="Times New Roman" w:cs="Times New Roman"/>
          <w:bCs/>
          <w:spacing w:val="0"/>
          <w:sz w:val="20"/>
          <w:szCs w:val="20"/>
          <w:lang w:val="es-ES" w:eastAsia="es-ES_tradnl"/>
        </w:rPr>
      </w:pPr>
    </w:p>
    <w:p w14:paraId="331E7CEE" w14:textId="3133CD49" w:rsidR="008F3ECF" w:rsidRPr="00084D33" w:rsidRDefault="008F3ECF">
      <w:pPr>
        <w:spacing w:after="160" w:line="259" w:lineRule="auto"/>
        <w:jc w:val="left"/>
        <w:rPr>
          <w:rFonts w:eastAsia="Times New Roman" w:cs="Times New Roman"/>
          <w:bCs/>
          <w:spacing w:val="0"/>
          <w:sz w:val="20"/>
          <w:szCs w:val="20"/>
          <w:lang w:val="es-ES" w:eastAsia="es-ES_tradnl"/>
        </w:rPr>
      </w:pPr>
      <w:r w:rsidRPr="00084D33">
        <w:rPr>
          <w:rFonts w:eastAsia="Times New Roman" w:cs="Times New Roman"/>
          <w:bCs/>
          <w:spacing w:val="0"/>
          <w:sz w:val="20"/>
          <w:szCs w:val="20"/>
          <w:lang w:val="es-ES" w:eastAsia="es-ES_tradnl"/>
        </w:rPr>
        <w:br w:type="page"/>
      </w:r>
    </w:p>
    <w:p w14:paraId="01FB7297" w14:textId="096BC22F" w:rsidR="00F71A11" w:rsidRPr="00084D33" w:rsidRDefault="00F71A11" w:rsidP="00C517AE">
      <w:pPr>
        <w:pStyle w:val="Prrafodelista"/>
      </w:pPr>
      <w:r w:rsidRPr="00084D33">
        <w:lastRenderedPageBreak/>
        <w:t>Indicador Cumplimiento de Ley 200-04</w:t>
      </w:r>
    </w:p>
    <w:p w14:paraId="6DCCDD39" w14:textId="77777777" w:rsidR="008F3ECF" w:rsidRPr="00084D33" w:rsidRDefault="008F3ECF" w:rsidP="008F3ECF">
      <w:pPr>
        <w:spacing w:after="160"/>
        <w:rPr>
          <w:rFonts w:eastAsia="Times New Roman" w:cs="Times New Roman"/>
          <w:b/>
          <w:bCs/>
          <w:spacing w:val="0"/>
          <w:szCs w:val="32"/>
          <w:lang w:val="es-ES" w:eastAsia="es-ES_tradnl"/>
        </w:rPr>
      </w:pPr>
    </w:p>
    <w:p w14:paraId="348B84FA" w14:textId="4B0A863E" w:rsidR="008F3ECF" w:rsidRPr="00084D33" w:rsidRDefault="008F3ECF" w:rsidP="008F3ECF">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Son los indicadores para la medición de las instituciones del Gobierno sobre el cumplimiento referente en términos de Transparencia y Libre Acceso a la Información Pública del Estado Dominicano que ordena la Ley 200-04.</w:t>
      </w:r>
    </w:p>
    <w:p w14:paraId="677934FF" w14:textId="77777777" w:rsidR="008F3ECF" w:rsidRPr="00084D33" w:rsidRDefault="008F3ECF" w:rsidP="008F3ECF">
      <w:pPr>
        <w:spacing w:after="160"/>
        <w:rPr>
          <w:rFonts w:eastAsia="Calibri" w:cs="Times New Roman"/>
          <w:spacing w:val="0"/>
          <w:sz w:val="22"/>
          <w:szCs w:val="24"/>
          <w:lang w:eastAsia="es-ES_tradnl"/>
        </w:rPr>
      </w:pPr>
    </w:p>
    <w:p w14:paraId="2FF31419" w14:textId="77777777" w:rsidR="008F3ECF" w:rsidRPr="00084D33" w:rsidRDefault="008F3ECF" w:rsidP="007202A9">
      <w:pPr>
        <w:numPr>
          <w:ilvl w:val="0"/>
          <w:numId w:val="29"/>
        </w:numPr>
        <w:pBdr>
          <w:top w:val="nil"/>
          <w:left w:val="nil"/>
          <w:bottom w:val="nil"/>
          <w:right w:val="nil"/>
          <w:between w:val="nil"/>
        </w:pBdr>
        <w:spacing w:after="160"/>
        <w:jc w:val="left"/>
        <w:rPr>
          <w:rFonts w:eastAsia="Calibri" w:cs="Times New Roman"/>
          <w:spacing w:val="0"/>
          <w:szCs w:val="24"/>
          <w:lang w:eastAsia="es-ES_tradnl"/>
        </w:rPr>
      </w:pPr>
      <w:r w:rsidRPr="00084D33">
        <w:rPr>
          <w:rFonts w:eastAsia="Calibri" w:cs="Times New Roman"/>
          <w:b/>
          <w:spacing w:val="0"/>
          <w:szCs w:val="24"/>
          <w:lang w:eastAsia="es-ES_tradnl"/>
        </w:rPr>
        <w:t>Órgano rector responsable de medir Indicador</w:t>
      </w:r>
      <w:r w:rsidRPr="00084D33">
        <w:rPr>
          <w:rFonts w:eastAsia="Calibri" w:cs="Times New Roman"/>
          <w:spacing w:val="0"/>
          <w:szCs w:val="24"/>
          <w:lang w:eastAsia="es-ES_tradnl"/>
        </w:rPr>
        <w:t>: Dirección General de Ética e Integridad Gubernamental (DIGEIG).</w:t>
      </w:r>
    </w:p>
    <w:p w14:paraId="6B2D2085" w14:textId="77777777" w:rsidR="008F3ECF" w:rsidRPr="00084D33" w:rsidRDefault="008F3ECF" w:rsidP="007202A9">
      <w:pPr>
        <w:numPr>
          <w:ilvl w:val="0"/>
          <w:numId w:val="29"/>
        </w:numPr>
        <w:pBdr>
          <w:top w:val="nil"/>
          <w:left w:val="nil"/>
          <w:bottom w:val="nil"/>
          <w:right w:val="nil"/>
          <w:between w:val="nil"/>
        </w:pBdr>
        <w:spacing w:after="160"/>
        <w:jc w:val="left"/>
        <w:rPr>
          <w:rFonts w:eastAsia="Calibri" w:cs="Times New Roman"/>
          <w:spacing w:val="0"/>
          <w:szCs w:val="24"/>
          <w:lang w:eastAsia="es-ES_tradnl"/>
        </w:rPr>
      </w:pPr>
      <w:r w:rsidRPr="00084D33">
        <w:rPr>
          <w:rFonts w:eastAsia="Calibri" w:cs="Times New Roman"/>
          <w:b/>
          <w:spacing w:val="0"/>
          <w:szCs w:val="24"/>
          <w:lang w:eastAsia="es-ES_tradnl"/>
        </w:rPr>
        <w:t>Área del MOPC que lidera el indicador Ley 200-04</w:t>
      </w:r>
      <w:r w:rsidRPr="00084D33">
        <w:rPr>
          <w:rFonts w:eastAsia="Calibri" w:cs="Times New Roman"/>
          <w:spacing w:val="0"/>
          <w:szCs w:val="24"/>
          <w:lang w:eastAsia="es-ES_tradnl"/>
        </w:rPr>
        <w:t>: Dirección de la Oficina de Libre Acceso a la Información.</w:t>
      </w:r>
    </w:p>
    <w:p w14:paraId="2F6E022B" w14:textId="77777777" w:rsidR="008F3ECF" w:rsidRPr="00084D33" w:rsidRDefault="008F3ECF" w:rsidP="007202A9">
      <w:pPr>
        <w:numPr>
          <w:ilvl w:val="0"/>
          <w:numId w:val="29"/>
        </w:numPr>
        <w:pBdr>
          <w:top w:val="nil"/>
          <w:left w:val="nil"/>
          <w:bottom w:val="nil"/>
          <w:right w:val="nil"/>
          <w:between w:val="nil"/>
        </w:pBdr>
        <w:spacing w:after="160"/>
        <w:jc w:val="left"/>
        <w:rPr>
          <w:rFonts w:eastAsia="Calibri" w:cs="Times New Roman"/>
          <w:spacing w:val="0"/>
          <w:szCs w:val="24"/>
          <w:lang w:eastAsia="es-ES_tradnl"/>
        </w:rPr>
      </w:pPr>
      <w:r w:rsidRPr="00084D33">
        <w:rPr>
          <w:rFonts w:eastAsia="Calibri" w:cs="Times New Roman"/>
          <w:b/>
          <w:spacing w:val="0"/>
          <w:szCs w:val="24"/>
          <w:lang w:eastAsia="es-ES_tradnl"/>
        </w:rPr>
        <w:t>Frecuencia de evaluación</w:t>
      </w:r>
      <w:r w:rsidRPr="00084D33">
        <w:rPr>
          <w:rFonts w:eastAsia="Calibri" w:cs="Times New Roman"/>
          <w:spacing w:val="0"/>
          <w:szCs w:val="24"/>
          <w:lang w:eastAsia="es-ES_tradnl"/>
        </w:rPr>
        <w:t>: Mensual</w:t>
      </w:r>
    </w:p>
    <w:p w14:paraId="2A55EC36" w14:textId="77777777" w:rsidR="008F3ECF" w:rsidRPr="00084D33" w:rsidRDefault="008F3ECF" w:rsidP="008F3ECF">
      <w:pPr>
        <w:pBdr>
          <w:top w:val="nil"/>
          <w:left w:val="nil"/>
          <w:bottom w:val="nil"/>
          <w:right w:val="nil"/>
          <w:between w:val="nil"/>
        </w:pBdr>
        <w:spacing w:line="240" w:lineRule="auto"/>
        <w:ind w:left="720"/>
        <w:jc w:val="left"/>
        <w:rPr>
          <w:rFonts w:ascii="Calibri" w:eastAsia="Calibri" w:hAnsi="Calibri" w:cs="Calibri"/>
          <w:b/>
          <w:spacing w:val="0"/>
          <w:sz w:val="22"/>
          <w:szCs w:val="28"/>
          <w:lang w:eastAsia="es-ES_tradnl"/>
        </w:rPr>
      </w:pPr>
    </w:p>
    <w:p w14:paraId="3D539D1F" w14:textId="77777777" w:rsidR="008F3ECF" w:rsidRPr="00084D33" w:rsidRDefault="008F3ECF" w:rsidP="008F3ECF">
      <w:pPr>
        <w:spacing w:line="240" w:lineRule="auto"/>
        <w:rPr>
          <w:rFonts w:ascii="Arial" w:eastAsia="Arial" w:hAnsi="Arial" w:cs="Arial"/>
          <w:b/>
          <w:spacing w:val="0"/>
          <w:sz w:val="22"/>
          <w:lang w:eastAsia="es-ES_tradnl"/>
        </w:rPr>
      </w:pPr>
    </w:p>
    <w:p w14:paraId="10CC6404" w14:textId="4BBF8F5E" w:rsidR="00445335" w:rsidRPr="00084D33" w:rsidRDefault="008F3ECF" w:rsidP="008F3ECF">
      <w:pPr>
        <w:rPr>
          <w:rFonts w:cs="Times New Roman"/>
        </w:rPr>
      </w:pPr>
      <w:r w:rsidRPr="00084D33">
        <w:rPr>
          <w:rFonts w:eastAsia="Calibri" w:cs="Times New Roman"/>
          <w:spacing w:val="0"/>
          <w:szCs w:val="24"/>
          <w:lang w:eastAsia="es-ES_tradnl"/>
        </w:rPr>
        <w:t>Gráfico porcentual de Indicador Ley 200-04, según los meses correspondiente enero-octubre de 2024.</w:t>
      </w:r>
    </w:p>
    <w:p w14:paraId="0C259997" w14:textId="77777777" w:rsidR="00445335" w:rsidRPr="00084D33" w:rsidRDefault="00445335" w:rsidP="0038205C">
      <w:pPr>
        <w:rPr>
          <w:rFonts w:cs="Times New Roman"/>
          <w:b/>
        </w:rPr>
      </w:pPr>
    </w:p>
    <w:p w14:paraId="1981E8CF" w14:textId="42565988" w:rsidR="00445335" w:rsidRPr="00084D33" w:rsidRDefault="008F3ECF" w:rsidP="008F3ECF">
      <w:pPr>
        <w:ind w:left="-90"/>
        <w:rPr>
          <w:rFonts w:eastAsia="Times New Roman" w:cs="Times New Roman"/>
          <w:b/>
          <w:bCs/>
          <w:spacing w:val="0"/>
          <w:sz w:val="28"/>
          <w:szCs w:val="28"/>
          <w:lang w:eastAsia="es-ES_tradnl"/>
        </w:rPr>
      </w:pPr>
      <w:r w:rsidRPr="00084D33">
        <w:rPr>
          <w:noProof/>
          <w:lang w:eastAsia="es-DO"/>
        </w:rPr>
        <w:drawing>
          <wp:inline distT="0" distB="0" distL="0" distR="0" wp14:anchorId="1E57EB14" wp14:editId="137D4D3C">
            <wp:extent cx="5295900" cy="2838450"/>
            <wp:effectExtent l="0" t="0" r="0"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67E825B" w14:textId="72BA8362" w:rsidR="008F3ECF" w:rsidRPr="00084D33" w:rsidRDefault="00445335" w:rsidP="0038205C">
      <w:pPr>
        <w:pStyle w:val="Textoindependiente"/>
        <w:spacing w:line="360" w:lineRule="auto"/>
        <w:jc w:val="both"/>
        <w:rPr>
          <w:color w:val="767171"/>
        </w:rPr>
      </w:pPr>
      <w:r w:rsidRPr="00084D33">
        <w:rPr>
          <w:b/>
          <w:color w:val="767171"/>
        </w:rPr>
        <w:t xml:space="preserve">Nota: </w:t>
      </w:r>
      <w:r w:rsidR="008F3ECF" w:rsidRPr="00084D33">
        <w:rPr>
          <w:color w:val="767171"/>
        </w:rPr>
        <w:t>Este indicador está actualizado hasta diciem</w:t>
      </w:r>
      <w:r w:rsidR="001D3E75" w:rsidRPr="00084D33">
        <w:rPr>
          <w:color w:val="767171"/>
        </w:rPr>
        <w:t>bre</w:t>
      </w:r>
      <w:r w:rsidRPr="00084D33">
        <w:rPr>
          <w:color w:val="767171"/>
        </w:rPr>
        <w:t xml:space="preserve"> del 202</w:t>
      </w:r>
      <w:r w:rsidR="008F3ECF" w:rsidRPr="00084D33">
        <w:rPr>
          <w:color w:val="767171"/>
        </w:rPr>
        <w:t>4</w:t>
      </w:r>
      <w:r w:rsidRPr="00084D33">
        <w:rPr>
          <w:color w:val="767171"/>
        </w:rPr>
        <w:t>.</w:t>
      </w:r>
    </w:p>
    <w:p w14:paraId="784F4334" w14:textId="77777777" w:rsidR="008F3ECF" w:rsidRPr="00084D33" w:rsidRDefault="008F3ECF">
      <w:pPr>
        <w:spacing w:after="160" w:line="259" w:lineRule="auto"/>
        <w:jc w:val="left"/>
        <w:rPr>
          <w:rFonts w:eastAsia="Times New Roman" w:cs="Times New Roman"/>
          <w:szCs w:val="24"/>
          <w:lang w:val="es-ES" w:eastAsia="es-ES" w:bidi="es-ES"/>
        </w:rPr>
      </w:pPr>
      <w:r w:rsidRPr="00084D33">
        <w:br w:type="page"/>
      </w:r>
    </w:p>
    <w:p w14:paraId="75052D86" w14:textId="77777777" w:rsidR="00445335" w:rsidRPr="00084D33" w:rsidRDefault="00F71A11" w:rsidP="00C517AE">
      <w:pPr>
        <w:pStyle w:val="Prrafodelista"/>
      </w:pPr>
      <w:r w:rsidRPr="00084D33">
        <w:lastRenderedPageBreak/>
        <w:t>Indicador Gestión Presupuestaria</w:t>
      </w:r>
    </w:p>
    <w:p w14:paraId="2947B0BB" w14:textId="62B06D35" w:rsidR="00F71A11" w:rsidRPr="00084D33" w:rsidRDefault="00F71A11" w:rsidP="0038205C">
      <w:pPr>
        <w:ind w:left="1080"/>
        <w:rPr>
          <w:rFonts w:cs="Times New Roman"/>
        </w:rPr>
      </w:pPr>
      <w:r w:rsidRPr="00084D33">
        <w:rPr>
          <w:rFonts w:cs="Times New Roman"/>
        </w:rPr>
        <w:t xml:space="preserve"> </w:t>
      </w:r>
    </w:p>
    <w:p w14:paraId="69880DE8" w14:textId="77777777" w:rsidR="008F3ECF" w:rsidRPr="00084D33" w:rsidRDefault="008F3ECF" w:rsidP="007D633B">
      <w:pPr>
        <w:rPr>
          <w:rFonts w:eastAsia="Times New Roman" w:cs="Times New Roman"/>
          <w:szCs w:val="24"/>
          <w:lang w:val="es-ES" w:eastAsia="es-ES" w:bidi="es-ES"/>
        </w:rPr>
      </w:pPr>
      <w:r w:rsidRPr="00084D33">
        <w:rPr>
          <w:rFonts w:eastAsia="Times New Roman" w:cs="Times New Roman"/>
          <w:szCs w:val="24"/>
          <w:lang w:val="es-ES" w:eastAsia="es-ES" w:bidi="es-ES"/>
        </w:rPr>
        <w:t>Este indicador tiene como finalidad medir el grado en la que las instituciones llevan una gestión presupuestaria eficaz, eficiente y transparente, de acuerdo con la correcta aplicación de las normativas vigentes y mejores prácticas presupuestarias cumpliendo con la legislación existente en materia de administración financiera del Estado Dominicano.</w:t>
      </w:r>
    </w:p>
    <w:p w14:paraId="126196B5" w14:textId="77777777" w:rsidR="008F3ECF" w:rsidRPr="00084D33" w:rsidRDefault="008F3ECF" w:rsidP="008F3ECF">
      <w:pPr>
        <w:rPr>
          <w:rFonts w:eastAsia="Calibri" w:cs="Times New Roman"/>
          <w:spacing w:val="0"/>
          <w:szCs w:val="24"/>
          <w:lang w:eastAsia="es-ES_tradnl"/>
        </w:rPr>
      </w:pPr>
    </w:p>
    <w:p w14:paraId="44DF4923" w14:textId="77777777" w:rsidR="008F3ECF" w:rsidRPr="00084D33" w:rsidRDefault="008F3ECF" w:rsidP="007202A9">
      <w:pPr>
        <w:numPr>
          <w:ilvl w:val="0"/>
          <w:numId w:val="31"/>
        </w:numPr>
        <w:jc w:val="left"/>
        <w:rPr>
          <w:rFonts w:eastAsia="Calibri" w:cs="Times New Roman"/>
          <w:spacing w:val="0"/>
          <w:szCs w:val="24"/>
          <w:lang w:eastAsia="es-ES_tradnl"/>
        </w:rPr>
      </w:pPr>
      <w:bookmarkStart w:id="53" w:name="_heading=h.30j0zll" w:colFirst="0" w:colLast="0"/>
      <w:bookmarkEnd w:id="53"/>
      <w:r w:rsidRPr="00084D33">
        <w:rPr>
          <w:rFonts w:eastAsia="Calibri" w:cs="Times New Roman"/>
          <w:b/>
          <w:spacing w:val="0"/>
          <w:szCs w:val="24"/>
          <w:lang w:eastAsia="es-ES_tradnl"/>
        </w:rPr>
        <w:t xml:space="preserve">Órgano rector responsable de medir Indicador Gestión Presupuestaria: </w:t>
      </w:r>
      <w:r w:rsidRPr="00084D33">
        <w:rPr>
          <w:rFonts w:eastAsia="Calibri" w:cs="Times New Roman"/>
          <w:spacing w:val="0"/>
          <w:szCs w:val="24"/>
          <w:lang w:eastAsia="es-ES_tradnl"/>
        </w:rPr>
        <w:t>Dirección General de Presupuesto (DIGEPRES)</w:t>
      </w:r>
    </w:p>
    <w:p w14:paraId="796F13DA" w14:textId="77777777" w:rsidR="008F3ECF" w:rsidRPr="00084D33" w:rsidRDefault="008F3ECF" w:rsidP="007202A9">
      <w:pPr>
        <w:numPr>
          <w:ilvl w:val="0"/>
          <w:numId w:val="31"/>
        </w:numPr>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Área del MOPC que lidera el indicador Gestión Presupuestaria: </w:t>
      </w:r>
      <w:r w:rsidRPr="00084D33">
        <w:rPr>
          <w:rFonts w:eastAsia="Calibri" w:cs="Times New Roman"/>
          <w:spacing w:val="0"/>
          <w:szCs w:val="24"/>
          <w:lang w:eastAsia="es-ES_tradnl"/>
        </w:rPr>
        <w:t>Dirección Financiera</w:t>
      </w:r>
    </w:p>
    <w:p w14:paraId="228AB633" w14:textId="77777777" w:rsidR="008F3ECF" w:rsidRPr="00084D33" w:rsidRDefault="008F3ECF" w:rsidP="007202A9">
      <w:pPr>
        <w:numPr>
          <w:ilvl w:val="0"/>
          <w:numId w:val="31"/>
        </w:numPr>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Frecuencia de evaluación: </w:t>
      </w:r>
      <w:r w:rsidRPr="00084D33">
        <w:rPr>
          <w:rFonts w:eastAsia="Calibri" w:cs="Times New Roman"/>
          <w:spacing w:val="0"/>
          <w:szCs w:val="24"/>
          <w:lang w:eastAsia="es-ES_tradnl"/>
        </w:rPr>
        <w:t>Trimestral</w:t>
      </w:r>
    </w:p>
    <w:p w14:paraId="49A50091" w14:textId="77777777" w:rsidR="008F3ECF" w:rsidRPr="00084D33" w:rsidRDefault="008F3ECF" w:rsidP="008F3ECF">
      <w:pPr>
        <w:spacing w:line="240" w:lineRule="auto"/>
        <w:rPr>
          <w:rFonts w:ascii="Calibri" w:eastAsia="Calibri" w:hAnsi="Calibri" w:cs="Calibri"/>
          <w:b/>
          <w:spacing w:val="0"/>
          <w:szCs w:val="24"/>
          <w:lang w:eastAsia="es-ES_tradnl"/>
        </w:rPr>
      </w:pPr>
    </w:p>
    <w:p w14:paraId="3E53CCA0" w14:textId="2DDCBA4F" w:rsidR="00F71A11" w:rsidRPr="00084D33" w:rsidRDefault="008F3ECF" w:rsidP="008F3ECF">
      <w:pPr>
        <w:rPr>
          <w:rFonts w:eastAsia="Calibri" w:cs="Times New Roman"/>
          <w:spacing w:val="0"/>
          <w:szCs w:val="24"/>
          <w:lang w:eastAsia="es-ES_tradnl"/>
        </w:rPr>
      </w:pPr>
      <w:r w:rsidRPr="00084D33">
        <w:rPr>
          <w:rFonts w:eastAsia="Calibri" w:cs="Times New Roman"/>
          <w:spacing w:val="0"/>
          <w:szCs w:val="24"/>
          <w:lang w:eastAsia="es-ES_tradnl"/>
        </w:rPr>
        <w:t>Gráfico porcentual de Indicador PRESUPUESTO, según periodo: Enero-septiembre de 2024.</w:t>
      </w:r>
    </w:p>
    <w:p w14:paraId="2FDDF609" w14:textId="269B208C" w:rsidR="00F71A11" w:rsidRPr="00084D33" w:rsidRDefault="007D633B" w:rsidP="007D633B">
      <w:pPr>
        <w:spacing w:before="100" w:beforeAutospacing="1" w:after="100" w:afterAutospacing="1"/>
        <w:ind w:left="-360"/>
        <w:rPr>
          <w:rFonts w:eastAsia="Times New Roman" w:cs="Times New Roman"/>
          <w:b/>
          <w:bCs/>
          <w:spacing w:val="0"/>
          <w:sz w:val="32"/>
          <w:szCs w:val="32"/>
          <w:lang w:eastAsia="es-ES_tradnl"/>
        </w:rPr>
      </w:pPr>
      <w:r w:rsidRPr="00084D33">
        <w:rPr>
          <w:noProof/>
          <w:lang w:eastAsia="es-DO"/>
        </w:rPr>
        <w:drawing>
          <wp:inline distT="0" distB="0" distL="0" distR="0" wp14:anchorId="55467079" wp14:editId="6B8039BB">
            <wp:extent cx="5543550" cy="2686050"/>
            <wp:effectExtent l="0" t="0" r="0" b="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1347DED" w14:textId="0C3DAA39" w:rsidR="007D633B" w:rsidRPr="00084D33" w:rsidRDefault="00F71A11" w:rsidP="0038205C">
      <w:pPr>
        <w:pStyle w:val="Textoindependiente"/>
        <w:spacing w:line="360" w:lineRule="auto"/>
        <w:jc w:val="both"/>
        <w:rPr>
          <w:color w:val="767171"/>
        </w:rPr>
      </w:pPr>
      <w:r w:rsidRPr="00084D33">
        <w:rPr>
          <w:b/>
          <w:color w:val="767171"/>
        </w:rPr>
        <w:t>Nota</w:t>
      </w:r>
      <w:r w:rsidRPr="00084D33">
        <w:rPr>
          <w:color w:val="767171"/>
        </w:rPr>
        <w:t>: La DIGEPRES</w:t>
      </w:r>
      <w:r w:rsidRPr="00084D33">
        <w:rPr>
          <w:b/>
          <w:color w:val="767171"/>
        </w:rPr>
        <w:t xml:space="preserve"> </w:t>
      </w:r>
      <w:r w:rsidRPr="00084D33">
        <w:rPr>
          <w:color w:val="767171"/>
        </w:rPr>
        <w:t>no ha actualizado el trimestre Octubre-</w:t>
      </w:r>
      <w:r w:rsidR="001D3E75" w:rsidRPr="00084D33">
        <w:rPr>
          <w:color w:val="767171"/>
        </w:rPr>
        <w:t>Diciembre</w:t>
      </w:r>
      <w:r w:rsidRPr="00084D33">
        <w:rPr>
          <w:color w:val="767171"/>
        </w:rPr>
        <w:t xml:space="preserve"> </w:t>
      </w:r>
      <w:r w:rsidR="008E5EC6" w:rsidRPr="00084D33">
        <w:rPr>
          <w:color w:val="767171"/>
        </w:rPr>
        <w:t xml:space="preserve">del </w:t>
      </w:r>
      <w:r w:rsidRPr="00084D33">
        <w:rPr>
          <w:color w:val="767171"/>
        </w:rPr>
        <w:t>202</w:t>
      </w:r>
      <w:r w:rsidR="007D633B" w:rsidRPr="00084D33">
        <w:rPr>
          <w:color w:val="767171"/>
        </w:rPr>
        <w:t>4</w:t>
      </w:r>
      <w:r w:rsidRPr="00084D33">
        <w:rPr>
          <w:color w:val="767171"/>
        </w:rPr>
        <w:t>.</w:t>
      </w:r>
    </w:p>
    <w:p w14:paraId="6929044D" w14:textId="77777777" w:rsidR="007D633B" w:rsidRPr="00084D33" w:rsidRDefault="007D633B">
      <w:pPr>
        <w:spacing w:after="160" w:line="259" w:lineRule="auto"/>
        <w:jc w:val="left"/>
        <w:rPr>
          <w:rFonts w:eastAsia="Times New Roman" w:cs="Times New Roman"/>
          <w:szCs w:val="24"/>
          <w:lang w:val="es-ES" w:eastAsia="es-ES" w:bidi="es-ES"/>
        </w:rPr>
      </w:pPr>
      <w:r w:rsidRPr="00084D33">
        <w:br w:type="page"/>
      </w:r>
    </w:p>
    <w:p w14:paraId="7EE1802B" w14:textId="16F25163" w:rsidR="008E5EC6" w:rsidRPr="00084D33" w:rsidRDefault="00F71A11" w:rsidP="00C517AE">
      <w:pPr>
        <w:pStyle w:val="Prrafodelista"/>
        <w:rPr>
          <w:sz w:val="32"/>
          <w:szCs w:val="32"/>
        </w:rPr>
      </w:pPr>
      <w:r w:rsidRPr="00084D33">
        <w:lastRenderedPageBreak/>
        <w:t>Indicador Compras y Contrataciones Públicas</w:t>
      </w:r>
    </w:p>
    <w:p w14:paraId="54E1E1DB" w14:textId="77777777" w:rsidR="007D633B" w:rsidRPr="00084D33" w:rsidRDefault="007D633B" w:rsidP="0038205C">
      <w:pPr>
        <w:pStyle w:val="Textoindependiente"/>
        <w:spacing w:line="360" w:lineRule="auto"/>
        <w:jc w:val="both"/>
        <w:rPr>
          <w:color w:val="767171"/>
          <w:sz w:val="20"/>
        </w:rPr>
      </w:pPr>
    </w:p>
    <w:p w14:paraId="082EF76E" w14:textId="77777777" w:rsidR="007D633B" w:rsidRPr="00084D33" w:rsidRDefault="007D633B" w:rsidP="007D633B">
      <w:pPr>
        <w:pStyle w:val="Textoindependiente"/>
        <w:spacing w:line="360" w:lineRule="auto"/>
        <w:jc w:val="both"/>
        <w:rPr>
          <w:color w:val="767171"/>
        </w:rPr>
      </w:pPr>
      <w:r w:rsidRPr="00084D33">
        <w:rPr>
          <w:color w:val="767171"/>
        </w:rPr>
        <w:t>Este indicador tiene como finalidad el monitoreo en el cumplimiento de la Ley 340-06, su modificación y normativas vinculadas. Está orientado a medir el grado de desarrollo de la gestión de las contrataciones en términos de transparencia, eficacia y calidad en correspondencia con el marco normativo y procedimental vigente.</w:t>
      </w:r>
    </w:p>
    <w:p w14:paraId="0CD6EAAA" w14:textId="77777777" w:rsidR="007D633B" w:rsidRPr="00084D33" w:rsidRDefault="007D633B" w:rsidP="007D633B">
      <w:pPr>
        <w:rPr>
          <w:rFonts w:eastAsia="Calibri" w:cs="Times New Roman"/>
          <w:spacing w:val="0"/>
          <w:sz w:val="20"/>
          <w:szCs w:val="20"/>
          <w:lang w:eastAsia="es-ES_tradnl"/>
        </w:rPr>
      </w:pPr>
    </w:p>
    <w:p w14:paraId="2BF53BF9" w14:textId="77777777" w:rsidR="007D633B" w:rsidRPr="00084D33" w:rsidRDefault="007D633B" w:rsidP="007202A9">
      <w:pPr>
        <w:numPr>
          <w:ilvl w:val="0"/>
          <w:numId w:val="31"/>
        </w:numPr>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Órgano rector responsable de medir Indicador Gestión Presupuestaria: </w:t>
      </w:r>
      <w:r w:rsidRPr="00084D33">
        <w:rPr>
          <w:rFonts w:eastAsia="Calibri" w:cs="Times New Roman"/>
          <w:spacing w:val="0"/>
          <w:szCs w:val="24"/>
          <w:lang w:eastAsia="es-ES_tradnl"/>
        </w:rPr>
        <w:t>Dirección General de Compras y Contrataciones Públicas (DGCP)</w:t>
      </w:r>
    </w:p>
    <w:p w14:paraId="7A0A8C7B" w14:textId="2F5F2E93" w:rsidR="007D633B" w:rsidRPr="00084D33" w:rsidRDefault="007D633B" w:rsidP="007202A9">
      <w:pPr>
        <w:numPr>
          <w:ilvl w:val="0"/>
          <w:numId w:val="31"/>
        </w:numPr>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Área del MOPC que lidera el indicador Compras y </w:t>
      </w:r>
      <w:r w:rsidR="00C3480E" w:rsidRPr="00084D33">
        <w:rPr>
          <w:rFonts w:eastAsia="Calibri" w:cs="Times New Roman"/>
          <w:b/>
          <w:spacing w:val="0"/>
          <w:szCs w:val="24"/>
          <w:lang w:eastAsia="es-ES_tradnl"/>
        </w:rPr>
        <w:t>contrataciones</w:t>
      </w:r>
      <w:r w:rsidRPr="00084D33">
        <w:rPr>
          <w:rFonts w:eastAsia="Calibri" w:cs="Times New Roman"/>
          <w:b/>
          <w:spacing w:val="0"/>
          <w:szCs w:val="24"/>
          <w:lang w:eastAsia="es-ES_tradnl"/>
        </w:rPr>
        <w:t xml:space="preserve"> Públicas</w:t>
      </w:r>
      <w:r w:rsidRPr="00084D33">
        <w:rPr>
          <w:rFonts w:eastAsia="Calibri" w:cs="Times New Roman"/>
          <w:spacing w:val="0"/>
          <w:szCs w:val="24"/>
          <w:lang w:eastAsia="es-ES_tradnl"/>
        </w:rPr>
        <w:t>: Dirección de Compras y Contrataciones</w:t>
      </w:r>
    </w:p>
    <w:p w14:paraId="01BC4066" w14:textId="77777777" w:rsidR="007D633B" w:rsidRPr="00084D33" w:rsidRDefault="007D633B" w:rsidP="007202A9">
      <w:pPr>
        <w:numPr>
          <w:ilvl w:val="0"/>
          <w:numId w:val="31"/>
        </w:numPr>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Frecuencia de evaluación: </w:t>
      </w:r>
      <w:r w:rsidRPr="00084D33">
        <w:rPr>
          <w:rFonts w:eastAsia="Calibri" w:cs="Times New Roman"/>
          <w:spacing w:val="0"/>
          <w:szCs w:val="24"/>
          <w:lang w:eastAsia="es-ES_tradnl"/>
        </w:rPr>
        <w:t>Trimestral</w:t>
      </w:r>
    </w:p>
    <w:p w14:paraId="2DFF4A52" w14:textId="77777777" w:rsidR="007D633B" w:rsidRPr="00084D33" w:rsidRDefault="007D633B" w:rsidP="007D633B">
      <w:pPr>
        <w:spacing w:after="160"/>
        <w:ind w:left="1080"/>
        <w:jc w:val="left"/>
        <w:rPr>
          <w:rFonts w:eastAsia="Calibri" w:cs="Times New Roman"/>
          <w:b/>
          <w:spacing w:val="0"/>
          <w:szCs w:val="24"/>
          <w:lang w:eastAsia="es-ES_tradnl"/>
        </w:rPr>
      </w:pPr>
    </w:p>
    <w:p w14:paraId="56174476" w14:textId="35D2E749" w:rsidR="00F30309" w:rsidRPr="00084D33" w:rsidRDefault="007D633B" w:rsidP="007D633B">
      <w:pPr>
        <w:rPr>
          <w:rFonts w:eastAsia="Calibri" w:cs="Times New Roman"/>
          <w:spacing w:val="0"/>
          <w:szCs w:val="24"/>
          <w:lang w:eastAsia="es-ES_tradnl"/>
        </w:rPr>
      </w:pPr>
      <w:r w:rsidRPr="00084D33">
        <w:rPr>
          <w:rFonts w:eastAsia="Calibri" w:cs="Times New Roman"/>
          <w:spacing w:val="0"/>
          <w:szCs w:val="24"/>
          <w:lang w:eastAsia="es-ES_tradnl"/>
        </w:rPr>
        <w:t>Gráfico porcentual del indicador Contrataciones Públicas, según periodo Enero – Diciembre del 2024</w:t>
      </w:r>
      <w:r w:rsidR="00F30309" w:rsidRPr="00084D33">
        <w:rPr>
          <w:rFonts w:eastAsia="Calibri" w:cs="Times New Roman"/>
          <w:spacing w:val="0"/>
          <w:szCs w:val="24"/>
          <w:lang w:eastAsia="es-ES_tradnl"/>
        </w:rPr>
        <w:t>.</w:t>
      </w:r>
    </w:p>
    <w:p w14:paraId="3B5B7CFB" w14:textId="06B84706" w:rsidR="00F71A11" w:rsidRPr="00084D33" w:rsidRDefault="007D633B" w:rsidP="007D633B">
      <w:pPr>
        <w:spacing w:before="100" w:beforeAutospacing="1" w:after="100" w:afterAutospacing="1" w:line="240" w:lineRule="auto"/>
        <w:rPr>
          <w:rFonts w:eastAsia="Times New Roman" w:cs="Times New Roman"/>
          <w:b/>
          <w:bCs/>
          <w:spacing w:val="0"/>
          <w:sz w:val="28"/>
          <w:szCs w:val="28"/>
          <w:lang w:eastAsia="es-ES_tradnl"/>
        </w:rPr>
      </w:pPr>
      <w:r w:rsidRPr="00084D33">
        <w:rPr>
          <w:rFonts w:eastAsia="Times New Roman" w:cs="Times New Roman"/>
          <w:b/>
          <w:bCs/>
          <w:noProof/>
          <w:spacing w:val="0"/>
          <w:sz w:val="28"/>
          <w:szCs w:val="28"/>
          <w:lang w:eastAsia="es-DO"/>
        </w:rPr>
        <w:drawing>
          <wp:inline distT="0" distB="0" distL="0" distR="0" wp14:anchorId="4FBB9566" wp14:editId="6A8C3DFA">
            <wp:extent cx="5467350" cy="2523611"/>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2770" cy="2530728"/>
                    </a:xfrm>
                    <a:prstGeom prst="rect">
                      <a:avLst/>
                    </a:prstGeom>
                    <a:noFill/>
                  </pic:spPr>
                </pic:pic>
              </a:graphicData>
            </a:graphic>
          </wp:inline>
        </w:drawing>
      </w:r>
    </w:p>
    <w:p w14:paraId="3FD67FE0" w14:textId="3EFC410D" w:rsidR="00F71A11" w:rsidRPr="00084D33" w:rsidRDefault="00F71A11" w:rsidP="0038205C">
      <w:pPr>
        <w:pStyle w:val="Textoindependiente"/>
        <w:spacing w:line="360" w:lineRule="auto"/>
        <w:jc w:val="both"/>
        <w:rPr>
          <w:noProof/>
          <w:color w:val="767171"/>
        </w:rPr>
      </w:pPr>
      <w:r w:rsidRPr="00084D33">
        <w:rPr>
          <w:b/>
          <w:color w:val="767171"/>
        </w:rPr>
        <w:t xml:space="preserve">Nota: </w:t>
      </w:r>
      <w:r w:rsidR="007D633B" w:rsidRPr="00084D33">
        <w:rPr>
          <w:rFonts w:eastAsia="Calibri"/>
          <w:color w:val="767171"/>
          <w:spacing w:val="0"/>
          <w:lang w:eastAsia="es-ES_tradnl"/>
        </w:rPr>
        <w:t>La Dirección de Compras y Contrataciones del MOPC se encuentra en proceso de actualización para mejorar la puntuación de este indicador</w:t>
      </w:r>
      <w:r w:rsidRPr="00084D33">
        <w:rPr>
          <w:color w:val="767171"/>
        </w:rPr>
        <w:t>.</w:t>
      </w:r>
    </w:p>
    <w:p w14:paraId="22F49449" w14:textId="6DD90154" w:rsidR="00F71A11" w:rsidRPr="00084D33" w:rsidRDefault="00F71A11" w:rsidP="00C517AE">
      <w:pPr>
        <w:pStyle w:val="Prrafodelista"/>
      </w:pPr>
      <w:r w:rsidRPr="00084D33">
        <w:lastRenderedPageBreak/>
        <w:t xml:space="preserve">Indicador Sistema de Análisis del Cumplimiento de las </w:t>
      </w:r>
      <w:r w:rsidR="00674FEB" w:rsidRPr="00084D33">
        <w:t>Normativas Contables (SISACNOC)</w:t>
      </w:r>
    </w:p>
    <w:p w14:paraId="42B788BC" w14:textId="77777777" w:rsidR="00504A80" w:rsidRPr="00084D33" w:rsidRDefault="00504A80" w:rsidP="007D633B">
      <w:pPr>
        <w:pStyle w:val="Textoindependiente"/>
        <w:spacing w:line="360" w:lineRule="auto"/>
        <w:jc w:val="both"/>
        <w:rPr>
          <w:color w:val="767171"/>
        </w:rPr>
      </w:pPr>
    </w:p>
    <w:p w14:paraId="0D9E6E23" w14:textId="77777777" w:rsidR="007D633B" w:rsidRPr="00084D33" w:rsidRDefault="007D633B" w:rsidP="007D633B">
      <w:pPr>
        <w:pStyle w:val="Textoindependiente"/>
        <w:spacing w:line="360" w:lineRule="auto"/>
        <w:jc w:val="both"/>
        <w:rPr>
          <w:color w:val="767171"/>
        </w:rPr>
      </w:pPr>
      <w:r w:rsidRPr="00084D33">
        <w:rPr>
          <w:color w:val="767171"/>
        </w:rPr>
        <w:t>Este indicador tiene como objetivo, contribuir a que las instituciones del Sector Público dominicano produzcan informaciones fiables y oportunas, destinadas a la toma de decisión, rendición de cuentas y transparencia.</w:t>
      </w:r>
    </w:p>
    <w:p w14:paraId="11F3FADA" w14:textId="77777777" w:rsidR="007D633B" w:rsidRPr="00084D33" w:rsidRDefault="007D633B" w:rsidP="007D633B">
      <w:pPr>
        <w:spacing w:line="240" w:lineRule="auto"/>
        <w:rPr>
          <w:rFonts w:eastAsia="Calibri" w:cs="Times New Roman"/>
          <w:spacing w:val="0"/>
          <w:szCs w:val="24"/>
          <w:lang w:eastAsia="es-ES_tradnl"/>
        </w:rPr>
      </w:pPr>
    </w:p>
    <w:p w14:paraId="74CE071E" w14:textId="411649B4" w:rsidR="007D633B" w:rsidRPr="00084D33" w:rsidRDefault="007D633B" w:rsidP="007202A9">
      <w:pPr>
        <w:numPr>
          <w:ilvl w:val="0"/>
          <w:numId w:val="31"/>
        </w:numPr>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Órgano rector responsable de medir Indicador: </w:t>
      </w:r>
      <w:r w:rsidRPr="00084D33">
        <w:rPr>
          <w:rFonts w:eastAsia="Calibri" w:cs="Times New Roman"/>
          <w:spacing w:val="0"/>
          <w:szCs w:val="24"/>
          <w:lang w:eastAsia="es-ES_tradnl"/>
        </w:rPr>
        <w:t>Dirección General de Contabilidad Gubernamental (DIGECOG).</w:t>
      </w:r>
    </w:p>
    <w:p w14:paraId="13F210A9" w14:textId="54340781" w:rsidR="007D633B" w:rsidRPr="00084D33" w:rsidRDefault="007D633B" w:rsidP="007202A9">
      <w:pPr>
        <w:numPr>
          <w:ilvl w:val="0"/>
          <w:numId w:val="31"/>
        </w:numPr>
        <w:jc w:val="left"/>
        <w:rPr>
          <w:rFonts w:eastAsia="Calibri" w:cs="Times New Roman"/>
          <w:spacing w:val="0"/>
          <w:szCs w:val="24"/>
          <w:lang w:eastAsia="es-ES_tradnl"/>
        </w:rPr>
      </w:pPr>
      <w:r w:rsidRPr="00084D33">
        <w:rPr>
          <w:rFonts w:eastAsia="Calibri" w:cs="Times New Roman"/>
          <w:b/>
          <w:spacing w:val="0"/>
          <w:szCs w:val="24"/>
          <w:lang w:eastAsia="es-ES_tradnl"/>
        </w:rPr>
        <w:t xml:space="preserve">Área del MOPC responsable de SISACNOC: </w:t>
      </w:r>
      <w:r w:rsidRPr="00084D33">
        <w:rPr>
          <w:rFonts w:eastAsia="Calibri" w:cs="Times New Roman"/>
          <w:spacing w:val="0"/>
          <w:szCs w:val="24"/>
          <w:lang w:eastAsia="es-ES_tradnl"/>
        </w:rPr>
        <w:t>Departamento de Contabilidad.</w:t>
      </w:r>
    </w:p>
    <w:p w14:paraId="4875D9F1" w14:textId="77777777" w:rsidR="007D633B" w:rsidRPr="00084D33" w:rsidRDefault="007D633B" w:rsidP="007202A9">
      <w:pPr>
        <w:numPr>
          <w:ilvl w:val="0"/>
          <w:numId w:val="31"/>
        </w:numPr>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Frecuencia de evaluación: </w:t>
      </w:r>
      <w:r w:rsidRPr="00084D33">
        <w:rPr>
          <w:rFonts w:eastAsia="Calibri" w:cs="Times New Roman"/>
          <w:spacing w:val="0"/>
          <w:szCs w:val="24"/>
          <w:lang w:eastAsia="es-ES_tradnl"/>
        </w:rPr>
        <w:t>Semestral</w:t>
      </w:r>
    </w:p>
    <w:p w14:paraId="6C36D561" w14:textId="77777777" w:rsidR="007D633B" w:rsidRPr="00084D33" w:rsidRDefault="007D633B" w:rsidP="007D633B">
      <w:pPr>
        <w:spacing w:line="240" w:lineRule="auto"/>
        <w:jc w:val="left"/>
        <w:rPr>
          <w:rFonts w:eastAsia="Calibri" w:cs="Times New Roman"/>
          <w:b/>
          <w:spacing w:val="0"/>
          <w:szCs w:val="24"/>
          <w:lang w:eastAsia="es-ES_tradnl"/>
        </w:rPr>
      </w:pPr>
    </w:p>
    <w:p w14:paraId="0EA4DA7C" w14:textId="0A1D79A3" w:rsidR="007D633B" w:rsidRPr="00084D33" w:rsidRDefault="007D633B" w:rsidP="007D633B">
      <w:pPr>
        <w:spacing w:before="280" w:after="280" w:line="240" w:lineRule="auto"/>
        <w:rPr>
          <w:rFonts w:eastAsia="Calibri" w:cs="Times New Roman"/>
          <w:spacing w:val="0"/>
          <w:szCs w:val="24"/>
          <w:lang w:eastAsia="es-ES_tradnl"/>
        </w:rPr>
      </w:pPr>
      <w:r w:rsidRPr="00084D33">
        <w:rPr>
          <w:rFonts w:eastAsia="Calibri" w:cs="Times New Roman"/>
          <w:spacing w:val="0"/>
          <w:szCs w:val="24"/>
          <w:lang w:eastAsia="es-ES_tradnl"/>
        </w:rPr>
        <w:t>Gráfico porcentual del indicador SISACNOC, según periodo Enero- Junio</w:t>
      </w:r>
      <w:r w:rsidR="00BC577E" w:rsidRPr="00084D33">
        <w:rPr>
          <w:rFonts w:eastAsia="Calibri" w:cs="Times New Roman"/>
          <w:spacing w:val="0"/>
          <w:szCs w:val="24"/>
          <w:lang w:eastAsia="es-ES_tradnl"/>
        </w:rPr>
        <w:t xml:space="preserve"> </w:t>
      </w:r>
      <w:r w:rsidRPr="00084D33">
        <w:rPr>
          <w:rFonts w:eastAsia="Calibri" w:cs="Times New Roman"/>
          <w:spacing w:val="0"/>
          <w:szCs w:val="24"/>
          <w:lang w:eastAsia="es-ES_tradnl"/>
        </w:rPr>
        <w:t>de 2024.</w:t>
      </w:r>
    </w:p>
    <w:p w14:paraId="655E7E6B" w14:textId="39B92292" w:rsidR="007D633B" w:rsidRPr="00084D33" w:rsidRDefault="007D633B" w:rsidP="007D633B">
      <w:pPr>
        <w:pBdr>
          <w:top w:val="nil"/>
          <w:left w:val="nil"/>
          <w:bottom w:val="nil"/>
          <w:right w:val="nil"/>
          <w:between w:val="nil"/>
        </w:pBdr>
        <w:spacing w:line="240" w:lineRule="auto"/>
        <w:ind w:left="720"/>
        <w:jc w:val="center"/>
        <w:rPr>
          <w:rFonts w:eastAsia="Calibri" w:cs="Times New Roman"/>
          <w:b/>
          <w:spacing w:val="0"/>
          <w:szCs w:val="24"/>
          <w:lang w:eastAsia="es-ES_tradnl"/>
        </w:rPr>
      </w:pPr>
      <w:r w:rsidRPr="00084D33">
        <w:rPr>
          <w:noProof/>
          <w:lang w:eastAsia="es-DO"/>
        </w:rPr>
        <w:drawing>
          <wp:inline distT="0" distB="0" distL="0" distR="0" wp14:anchorId="0E70134F" wp14:editId="7BE594CE">
            <wp:extent cx="3550228" cy="2713760"/>
            <wp:effectExtent l="0" t="0" r="0" b="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524B1A0" w14:textId="77777777" w:rsidR="007D633B" w:rsidRPr="00084D33" w:rsidRDefault="007D633B" w:rsidP="007D633B">
      <w:pPr>
        <w:pBdr>
          <w:top w:val="nil"/>
          <w:left w:val="nil"/>
          <w:bottom w:val="nil"/>
          <w:right w:val="nil"/>
          <w:between w:val="nil"/>
        </w:pBdr>
        <w:spacing w:line="240" w:lineRule="auto"/>
        <w:ind w:left="720"/>
        <w:jc w:val="left"/>
        <w:rPr>
          <w:rFonts w:eastAsia="Calibri" w:cs="Times New Roman"/>
          <w:b/>
          <w:spacing w:val="0"/>
          <w:szCs w:val="24"/>
          <w:lang w:eastAsia="es-ES_tradnl"/>
        </w:rPr>
      </w:pPr>
    </w:p>
    <w:p w14:paraId="6230DF27" w14:textId="4D037E06" w:rsidR="00A925AC" w:rsidRPr="00084D33" w:rsidRDefault="007D633B" w:rsidP="007D633B">
      <w:pPr>
        <w:spacing w:before="280" w:after="280"/>
        <w:rPr>
          <w:rFonts w:eastAsia="Calibri" w:cs="Times New Roman"/>
          <w:spacing w:val="0"/>
          <w:szCs w:val="24"/>
          <w:lang w:eastAsia="es-ES_tradnl"/>
        </w:rPr>
      </w:pPr>
      <w:r w:rsidRPr="00084D33">
        <w:rPr>
          <w:rFonts w:eastAsia="Calibri" w:cs="Times New Roman"/>
          <w:b/>
          <w:spacing w:val="0"/>
          <w:szCs w:val="24"/>
          <w:lang w:eastAsia="es-ES_tradnl"/>
        </w:rPr>
        <w:t>Nota</w:t>
      </w:r>
      <w:r w:rsidRPr="00084D33">
        <w:rPr>
          <w:rFonts w:eastAsia="Calibri" w:cs="Times New Roman"/>
          <w:spacing w:val="0"/>
          <w:szCs w:val="24"/>
          <w:lang w:eastAsia="es-ES_tradnl"/>
        </w:rPr>
        <w:t xml:space="preserve">: Según muestra el </w:t>
      </w:r>
      <w:r w:rsidRPr="00084D33">
        <w:rPr>
          <w:rFonts w:eastAsia="Calibri" w:cs="Times New Roman"/>
          <w:b/>
          <w:spacing w:val="0"/>
          <w:szCs w:val="24"/>
          <w:lang w:eastAsia="es-ES_tradnl"/>
        </w:rPr>
        <w:t>SMMGP</w:t>
      </w:r>
      <w:r w:rsidRPr="00084D33">
        <w:rPr>
          <w:rFonts w:eastAsia="Calibri" w:cs="Times New Roman"/>
          <w:spacing w:val="0"/>
          <w:szCs w:val="24"/>
          <w:lang w:eastAsia="es-ES_tradnl"/>
        </w:rPr>
        <w:t>, este indicador está actualizado hasta junio de 2024, la DIGECOG no ha actualizado el semestre julio-diciembre del 2024.</w:t>
      </w:r>
    </w:p>
    <w:p w14:paraId="1A06960E" w14:textId="77777777" w:rsidR="00A925AC" w:rsidRPr="00084D33" w:rsidRDefault="00A925AC">
      <w:pPr>
        <w:spacing w:after="160" w:line="259" w:lineRule="auto"/>
        <w:jc w:val="left"/>
        <w:rPr>
          <w:rFonts w:eastAsia="Calibri" w:cs="Times New Roman"/>
          <w:spacing w:val="0"/>
          <w:szCs w:val="24"/>
          <w:lang w:eastAsia="es-ES_tradnl"/>
        </w:rPr>
      </w:pPr>
      <w:r w:rsidRPr="00084D33">
        <w:rPr>
          <w:rFonts w:eastAsia="Calibri" w:cs="Times New Roman"/>
          <w:spacing w:val="0"/>
          <w:szCs w:val="24"/>
          <w:lang w:eastAsia="es-ES_tradnl"/>
        </w:rPr>
        <w:br w:type="page"/>
      </w:r>
    </w:p>
    <w:p w14:paraId="1D504FC6" w14:textId="612CBB48" w:rsidR="00504A80" w:rsidRPr="00084D33" w:rsidRDefault="00A925AC" w:rsidP="00C517AE">
      <w:pPr>
        <w:pStyle w:val="Prrafodelista"/>
      </w:pPr>
      <w:r w:rsidRPr="00084D33">
        <w:lastRenderedPageBreak/>
        <w:t>Sistema de Monitoreo de la Evaluación del Desempeño Institucional (EDI)</w:t>
      </w:r>
    </w:p>
    <w:p w14:paraId="0790BCB1" w14:textId="77777777" w:rsidR="00504A80" w:rsidRPr="00084D33" w:rsidRDefault="00504A80" w:rsidP="0038205C">
      <w:pPr>
        <w:rPr>
          <w:rFonts w:eastAsia="Times New Roman" w:cs="Times New Roman"/>
          <w:b/>
          <w:sz w:val="28"/>
          <w:szCs w:val="28"/>
          <w:lang w:eastAsia="es-ES_tradnl"/>
        </w:rPr>
      </w:pPr>
    </w:p>
    <w:p w14:paraId="5DEAD1BF" w14:textId="3A61FC89" w:rsidR="00A925AC" w:rsidRPr="00084D33" w:rsidRDefault="000E124E" w:rsidP="00A925AC">
      <w:pPr>
        <w:pStyle w:val="Textoindependiente"/>
        <w:spacing w:line="360" w:lineRule="auto"/>
        <w:jc w:val="both"/>
        <w:rPr>
          <w:color w:val="767171"/>
        </w:rPr>
      </w:pPr>
      <w:r w:rsidRPr="00084D33">
        <w:rPr>
          <w:color w:val="767171"/>
        </w:rPr>
        <w:t xml:space="preserve"> </w:t>
      </w:r>
      <w:r w:rsidR="00A925AC" w:rsidRPr="00084D33">
        <w:rPr>
          <w:color w:val="767171"/>
        </w:rPr>
        <w:t>La Evaluación del Desempeño Institucional es un proceso sistemático, sustentado en instrumentos técnicos y confiables, que muestra los esfuerzos de las organizaciones por lograr los resultados esperados en forma efectiva, de frente a sus ciudadanos clientes y a la población en general, y abarca todos los aspectos que tienden a la mejora continua del desempeño.</w:t>
      </w:r>
    </w:p>
    <w:p w14:paraId="147D62A2" w14:textId="77777777" w:rsidR="00A925AC" w:rsidRPr="00084D33" w:rsidRDefault="00A925AC" w:rsidP="00A925AC">
      <w:pPr>
        <w:pStyle w:val="Textoindependiente"/>
        <w:spacing w:line="360" w:lineRule="auto"/>
        <w:jc w:val="both"/>
        <w:rPr>
          <w:color w:val="767171"/>
        </w:rPr>
      </w:pPr>
    </w:p>
    <w:p w14:paraId="293D96F4" w14:textId="77777777" w:rsidR="00A925AC" w:rsidRPr="00084D33" w:rsidRDefault="00A925AC" w:rsidP="00A925AC">
      <w:pPr>
        <w:pStyle w:val="Textoindependiente"/>
        <w:spacing w:line="360" w:lineRule="auto"/>
        <w:jc w:val="both"/>
        <w:rPr>
          <w:color w:val="767171"/>
        </w:rPr>
      </w:pPr>
      <w:r w:rsidRPr="00084D33">
        <w:rPr>
          <w:color w:val="767171"/>
        </w:rPr>
        <w:t>Han sido seleccionadas 45 instituciones, las cuales son las que tienen más acercamiento con el desarrollo y producción en nuestra sociedad, entre ellas se encuentra Nuestro Ministerio de Obras Públicas y Comunicaciones.</w:t>
      </w:r>
    </w:p>
    <w:p w14:paraId="3AD4C7A9" w14:textId="77777777" w:rsidR="00A925AC" w:rsidRPr="00084D33" w:rsidRDefault="00A925AC" w:rsidP="00A925AC">
      <w:pPr>
        <w:spacing w:line="240" w:lineRule="auto"/>
        <w:rPr>
          <w:rFonts w:eastAsia="Calibri" w:cs="Times New Roman"/>
          <w:spacing w:val="0"/>
          <w:szCs w:val="24"/>
          <w:lang w:eastAsia="es-ES_tradnl"/>
        </w:rPr>
      </w:pPr>
    </w:p>
    <w:p w14:paraId="0FFC8101" w14:textId="77777777" w:rsidR="00A925AC" w:rsidRPr="00084D33" w:rsidRDefault="00A925AC" w:rsidP="00A925AC">
      <w:pPr>
        <w:spacing w:line="240" w:lineRule="auto"/>
        <w:rPr>
          <w:rFonts w:eastAsia="Calibri" w:cs="Times New Roman"/>
          <w:spacing w:val="0"/>
          <w:szCs w:val="24"/>
          <w:lang w:eastAsia="es-ES_tradnl"/>
        </w:rPr>
      </w:pPr>
    </w:p>
    <w:p w14:paraId="64EDB856" w14:textId="77777777" w:rsidR="00A925AC" w:rsidRPr="00084D33" w:rsidRDefault="00A925AC" w:rsidP="00A925AC">
      <w:pPr>
        <w:spacing w:after="120"/>
        <w:jc w:val="left"/>
        <w:rPr>
          <w:rFonts w:eastAsia="Calibri" w:cs="Times New Roman"/>
          <w:b/>
          <w:spacing w:val="0"/>
          <w:szCs w:val="24"/>
          <w:lang w:eastAsia="es-ES_tradnl"/>
        </w:rPr>
      </w:pPr>
      <w:r w:rsidRPr="00084D33">
        <w:rPr>
          <w:rFonts w:eastAsia="Calibri" w:cs="Times New Roman"/>
          <w:b/>
          <w:spacing w:val="0"/>
          <w:szCs w:val="24"/>
          <w:lang w:eastAsia="es-ES_tradnl"/>
        </w:rPr>
        <w:t>Organismos Rectores</w:t>
      </w:r>
    </w:p>
    <w:p w14:paraId="4F5F1C7F" w14:textId="77777777" w:rsidR="00A925AC" w:rsidRPr="00084D33" w:rsidRDefault="00A925AC" w:rsidP="007202A9">
      <w:pPr>
        <w:numPr>
          <w:ilvl w:val="0"/>
          <w:numId w:val="32"/>
        </w:numPr>
        <w:pBdr>
          <w:top w:val="nil"/>
          <w:left w:val="nil"/>
          <w:bottom w:val="nil"/>
          <w:right w:val="nil"/>
          <w:between w:val="nil"/>
        </w:pBdr>
        <w:spacing w:after="120"/>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Ministerio de Administración Pública </w:t>
      </w:r>
      <w:r w:rsidRPr="00084D33">
        <w:rPr>
          <w:rFonts w:eastAsia="Calibri" w:cs="Times New Roman"/>
          <w:spacing w:val="0"/>
          <w:szCs w:val="24"/>
          <w:lang w:eastAsia="es-ES_tradnl"/>
        </w:rPr>
        <w:t>(Coordinador General)</w:t>
      </w:r>
    </w:p>
    <w:p w14:paraId="0ED509DC" w14:textId="77777777" w:rsidR="00A925AC" w:rsidRPr="00084D33" w:rsidRDefault="00A925AC" w:rsidP="007202A9">
      <w:pPr>
        <w:numPr>
          <w:ilvl w:val="0"/>
          <w:numId w:val="32"/>
        </w:numPr>
        <w:pBdr>
          <w:top w:val="nil"/>
          <w:left w:val="nil"/>
          <w:bottom w:val="nil"/>
          <w:right w:val="nil"/>
          <w:between w:val="nil"/>
        </w:pBdr>
        <w:spacing w:after="120"/>
        <w:jc w:val="left"/>
        <w:rPr>
          <w:rFonts w:eastAsia="Calibri" w:cs="Times New Roman"/>
          <w:b/>
          <w:spacing w:val="0"/>
          <w:szCs w:val="24"/>
          <w:lang w:eastAsia="es-ES_tradnl"/>
        </w:rPr>
      </w:pPr>
      <w:r w:rsidRPr="00084D33">
        <w:rPr>
          <w:rFonts w:eastAsia="Calibri" w:cs="Times New Roman"/>
          <w:b/>
          <w:spacing w:val="0"/>
          <w:szCs w:val="24"/>
          <w:lang w:eastAsia="es-ES_tradnl"/>
        </w:rPr>
        <w:t xml:space="preserve">Ministerio de Economía, Planificación y Desarrollo </w:t>
      </w:r>
      <w:r w:rsidRPr="00084D33">
        <w:rPr>
          <w:rFonts w:eastAsia="Calibri" w:cs="Times New Roman"/>
          <w:spacing w:val="0"/>
          <w:szCs w:val="24"/>
          <w:lang w:eastAsia="es-ES_tradnl"/>
        </w:rPr>
        <w:t>(Coordinador de indicadores de Producción y sectoriales)</w:t>
      </w:r>
    </w:p>
    <w:p w14:paraId="1DE7E89C" w14:textId="77777777" w:rsidR="00A925AC" w:rsidRPr="00084D33" w:rsidRDefault="00A925AC" w:rsidP="007202A9">
      <w:pPr>
        <w:numPr>
          <w:ilvl w:val="0"/>
          <w:numId w:val="32"/>
        </w:numPr>
        <w:pBdr>
          <w:top w:val="nil"/>
          <w:left w:val="nil"/>
          <w:bottom w:val="nil"/>
          <w:right w:val="nil"/>
          <w:between w:val="nil"/>
        </w:pBdr>
        <w:jc w:val="left"/>
        <w:rPr>
          <w:rFonts w:eastAsia="Calibri" w:cs="Times New Roman"/>
          <w:spacing w:val="0"/>
          <w:szCs w:val="24"/>
          <w:lang w:eastAsia="es-ES_tradnl"/>
        </w:rPr>
      </w:pPr>
      <w:r w:rsidRPr="00084D33">
        <w:rPr>
          <w:rFonts w:eastAsia="Calibri" w:cs="Times New Roman"/>
          <w:b/>
          <w:spacing w:val="0"/>
          <w:szCs w:val="24"/>
          <w:lang w:eastAsia="es-ES_tradnl"/>
        </w:rPr>
        <w:t xml:space="preserve">Ministerio de la Presidencia </w:t>
      </w:r>
      <w:r w:rsidRPr="00084D33">
        <w:rPr>
          <w:rFonts w:eastAsia="Calibri" w:cs="Times New Roman"/>
          <w:spacing w:val="0"/>
          <w:szCs w:val="24"/>
          <w:lang w:eastAsia="es-ES_tradnl"/>
        </w:rPr>
        <w:t>(Apoyo del proceso de monitoreo de los entes y órganos del sector público)</w:t>
      </w:r>
    </w:p>
    <w:p w14:paraId="64D3582D" w14:textId="77777777" w:rsidR="00A925AC" w:rsidRPr="00084D33" w:rsidRDefault="00A925AC" w:rsidP="00A925AC">
      <w:pPr>
        <w:spacing w:after="120"/>
        <w:jc w:val="left"/>
        <w:rPr>
          <w:rFonts w:eastAsia="Times New Roman" w:cs="Times New Roman"/>
          <w:spacing w:val="0"/>
          <w:szCs w:val="24"/>
          <w:lang w:eastAsia="es-ES_tradnl"/>
        </w:rPr>
      </w:pPr>
    </w:p>
    <w:p w14:paraId="1AEA9655" w14:textId="59DFFD77" w:rsidR="00A925AC" w:rsidRPr="00084D33" w:rsidRDefault="00A925AC" w:rsidP="00A925AC">
      <w:pPr>
        <w:spacing w:after="120"/>
        <w:rPr>
          <w:rFonts w:eastAsia="Calibri" w:cs="Times New Roman"/>
          <w:spacing w:val="0"/>
          <w:szCs w:val="24"/>
          <w:lang w:eastAsia="es-ES_tradnl"/>
        </w:rPr>
      </w:pPr>
      <w:r w:rsidRPr="00084D33">
        <w:rPr>
          <w:rFonts w:eastAsia="Calibri" w:cs="Times New Roman"/>
          <w:spacing w:val="0"/>
          <w:szCs w:val="24"/>
          <w:lang w:eastAsia="es-ES_tradnl"/>
        </w:rPr>
        <w:t xml:space="preserve">En lo que corresponde al periodo </w:t>
      </w:r>
      <w:r w:rsidR="000A17C8" w:rsidRPr="00084D33">
        <w:rPr>
          <w:rFonts w:eastAsia="Calibri" w:cs="Times New Roman"/>
          <w:b/>
          <w:spacing w:val="0"/>
          <w:szCs w:val="24"/>
          <w:lang w:eastAsia="es-ES_tradnl"/>
        </w:rPr>
        <w:t>Enero-diciembre</w:t>
      </w:r>
      <w:r w:rsidRPr="00084D33">
        <w:rPr>
          <w:rFonts w:eastAsia="Calibri" w:cs="Times New Roman"/>
          <w:b/>
          <w:spacing w:val="0"/>
          <w:szCs w:val="24"/>
          <w:lang w:eastAsia="es-ES_tradnl"/>
        </w:rPr>
        <w:t xml:space="preserve"> de 2024</w:t>
      </w:r>
      <w:r w:rsidRPr="00084D33">
        <w:rPr>
          <w:rFonts w:eastAsia="Calibri" w:cs="Times New Roman"/>
          <w:spacing w:val="0"/>
          <w:szCs w:val="24"/>
          <w:lang w:eastAsia="es-ES_tradnl"/>
        </w:rPr>
        <w:t xml:space="preserve"> la calificación para el MOPC es de </w:t>
      </w:r>
      <w:r w:rsidRPr="00084D33">
        <w:rPr>
          <w:rFonts w:eastAsia="Calibri" w:cs="Times New Roman"/>
          <w:b/>
          <w:spacing w:val="0"/>
          <w:szCs w:val="24"/>
          <w:lang w:eastAsia="es-ES_tradnl"/>
        </w:rPr>
        <w:t>76.21</w:t>
      </w:r>
      <w:r w:rsidRPr="00084D33">
        <w:rPr>
          <w:rFonts w:eastAsia="Calibri" w:cs="Times New Roman"/>
          <w:spacing w:val="0"/>
          <w:szCs w:val="24"/>
          <w:lang w:eastAsia="es-ES_tradnl"/>
        </w:rPr>
        <w:t>, con una calificación en Implementación de la EDI de 95. como se muestra en la siguiente imagen:</w:t>
      </w:r>
    </w:p>
    <w:p w14:paraId="721F6CEE" w14:textId="407DD973" w:rsidR="001F5461" w:rsidRPr="00084D33" w:rsidRDefault="000E124E" w:rsidP="000E124E">
      <w:pPr>
        <w:pStyle w:val="Textoindependiente"/>
        <w:spacing w:line="360" w:lineRule="auto"/>
        <w:ind w:left="-450"/>
        <w:jc w:val="both"/>
        <w:rPr>
          <w:color w:val="767171"/>
        </w:rPr>
      </w:pPr>
      <w:r w:rsidRPr="00084D33">
        <w:rPr>
          <w:noProof/>
          <w:color w:val="767171"/>
          <w:spacing w:val="0"/>
          <w:lang w:val="es-DO" w:eastAsia="es-DO" w:bidi="ar-SA"/>
        </w:rPr>
        <w:drawing>
          <wp:inline distT="114300" distB="114300" distL="114300" distR="114300" wp14:anchorId="370BFA94" wp14:editId="486772F6">
            <wp:extent cx="5603600" cy="1052194"/>
            <wp:effectExtent l="0" t="0" r="0" b="0"/>
            <wp:docPr id="139892667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5640731" cy="1059166"/>
                    </a:xfrm>
                    <a:prstGeom prst="rect">
                      <a:avLst/>
                    </a:prstGeom>
                    <a:ln/>
                  </pic:spPr>
                </pic:pic>
              </a:graphicData>
            </a:graphic>
          </wp:inline>
        </w:drawing>
      </w:r>
    </w:p>
    <w:p w14:paraId="170CF7EE" w14:textId="14630B94" w:rsidR="000E124E" w:rsidRPr="00084D33" w:rsidRDefault="000E124E">
      <w:pPr>
        <w:spacing w:after="160" w:line="259" w:lineRule="auto"/>
        <w:jc w:val="left"/>
        <w:rPr>
          <w:rFonts w:eastAsia="Times New Roman" w:cs="Times New Roman"/>
          <w:szCs w:val="24"/>
          <w:lang w:val="es-ES" w:eastAsia="es-ES" w:bidi="es-ES"/>
        </w:rPr>
      </w:pPr>
      <w:r w:rsidRPr="00084D33">
        <w:br w:type="page"/>
      </w:r>
    </w:p>
    <w:p w14:paraId="48432DA9" w14:textId="77777777" w:rsidR="000E124E" w:rsidRPr="00084D33" w:rsidRDefault="000E124E" w:rsidP="000E124E">
      <w:pPr>
        <w:pStyle w:val="Textoindependiente"/>
        <w:spacing w:line="360" w:lineRule="auto"/>
        <w:jc w:val="both"/>
        <w:rPr>
          <w:color w:val="767171"/>
        </w:rPr>
      </w:pPr>
      <w:r w:rsidRPr="00084D33">
        <w:rPr>
          <w:color w:val="767171"/>
        </w:rPr>
        <w:lastRenderedPageBreak/>
        <w:t>Gráfico del crecimiento de la puntuación del Índice de Evaluación Institucional en los 2 años que formamos parte de esta medición:</w:t>
      </w:r>
    </w:p>
    <w:p w14:paraId="543B99F0" w14:textId="77777777" w:rsidR="000E124E" w:rsidRPr="00084D33" w:rsidRDefault="000E124E" w:rsidP="000E124E">
      <w:pPr>
        <w:spacing w:line="240" w:lineRule="auto"/>
        <w:rPr>
          <w:rFonts w:eastAsia="Calibri" w:cs="Times New Roman"/>
          <w:b/>
          <w:spacing w:val="0"/>
          <w:szCs w:val="24"/>
          <w:lang w:eastAsia="es-ES_tradnl"/>
        </w:rPr>
      </w:pPr>
    </w:p>
    <w:p w14:paraId="0D8D7B76" w14:textId="77777777" w:rsidR="000E124E" w:rsidRPr="00084D33" w:rsidRDefault="000E124E" w:rsidP="000E124E">
      <w:pPr>
        <w:spacing w:line="240" w:lineRule="auto"/>
        <w:rPr>
          <w:rFonts w:eastAsia="Calibri" w:cs="Times New Roman"/>
          <w:b/>
          <w:spacing w:val="0"/>
          <w:szCs w:val="24"/>
          <w:lang w:eastAsia="es-ES_tradnl"/>
        </w:rPr>
      </w:pPr>
    </w:p>
    <w:p w14:paraId="07C6073B" w14:textId="72A32CE6" w:rsidR="000E124E" w:rsidRPr="00084D33" w:rsidRDefault="000E124E" w:rsidP="000E124E">
      <w:pPr>
        <w:spacing w:line="240" w:lineRule="auto"/>
        <w:rPr>
          <w:rFonts w:eastAsia="Calibri" w:cs="Times New Roman"/>
          <w:b/>
          <w:spacing w:val="0"/>
          <w:szCs w:val="24"/>
          <w:lang w:eastAsia="es-ES_tradnl"/>
        </w:rPr>
      </w:pPr>
      <w:r w:rsidRPr="00084D33">
        <w:rPr>
          <w:noProof/>
          <w:lang w:eastAsia="es-DO"/>
        </w:rPr>
        <w:drawing>
          <wp:inline distT="0" distB="0" distL="0" distR="0" wp14:anchorId="45115FB2" wp14:editId="543AF909">
            <wp:extent cx="5181600" cy="2762250"/>
            <wp:effectExtent l="0" t="0" r="0" b="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084D33">
        <w:rPr>
          <w:rFonts w:eastAsia="Calibri" w:cs="Times New Roman"/>
          <w:b/>
          <w:noProof/>
          <w:spacing w:val="0"/>
          <w:szCs w:val="24"/>
          <w:lang w:eastAsia="es-DO"/>
        </w:rPr>
        <w:t xml:space="preserve"> </w:t>
      </w:r>
    </w:p>
    <w:p w14:paraId="53102019" w14:textId="77777777" w:rsidR="000E124E" w:rsidRPr="00084D33" w:rsidRDefault="000E124E" w:rsidP="000E124E">
      <w:pPr>
        <w:spacing w:line="240" w:lineRule="auto"/>
        <w:rPr>
          <w:rFonts w:eastAsia="Calibri" w:cs="Times New Roman"/>
          <w:b/>
          <w:spacing w:val="0"/>
          <w:szCs w:val="24"/>
          <w:lang w:eastAsia="es-ES_tradnl"/>
        </w:rPr>
      </w:pPr>
    </w:p>
    <w:p w14:paraId="68E206F1" w14:textId="37FD77DF" w:rsidR="000E124E" w:rsidRPr="00084D33" w:rsidRDefault="000E124E" w:rsidP="000E124E">
      <w:pPr>
        <w:spacing w:line="240" w:lineRule="auto"/>
        <w:rPr>
          <w:rFonts w:eastAsia="Times New Roman" w:cs="Times New Roman"/>
          <w:b/>
          <w:szCs w:val="24"/>
          <w:lang w:val="es-ES" w:eastAsia="es-ES" w:bidi="es-ES"/>
        </w:rPr>
      </w:pPr>
      <w:r w:rsidRPr="00084D33">
        <w:rPr>
          <w:rFonts w:eastAsia="Times New Roman" w:cs="Times New Roman"/>
          <w:b/>
          <w:szCs w:val="24"/>
          <w:lang w:val="es-ES" w:eastAsia="es-ES" w:bidi="es-ES"/>
        </w:rPr>
        <w:t xml:space="preserve">Actividades de la D.A.D correspondiente a </w:t>
      </w:r>
      <w:r w:rsidR="000A17C8" w:rsidRPr="00084D33">
        <w:rPr>
          <w:rFonts w:eastAsia="Times New Roman" w:cs="Times New Roman"/>
          <w:b/>
          <w:szCs w:val="24"/>
          <w:lang w:val="es-ES" w:eastAsia="es-ES" w:bidi="es-ES"/>
        </w:rPr>
        <w:t>enero-diciembre</w:t>
      </w:r>
      <w:r w:rsidRPr="00084D33">
        <w:rPr>
          <w:rFonts w:eastAsia="Times New Roman" w:cs="Times New Roman"/>
          <w:b/>
          <w:szCs w:val="24"/>
          <w:lang w:val="es-ES" w:eastAsia="es-ES" w:bidi="es-ES"/>
        </w:rPr>
        <w:t xml:space="preserve"> 2024:</w:t>
      </w:r>
    </w:p>
    <w:p w14:paraId="42314CBA" w14:textId="77777777" w:rsidR="000E124E" w:rsidRPr="00084D33" w:rsidRDefault="000E124E" w:rsidP="000E124E">
      <w:pPr>
        <w:spacing w:line="240" w:lineRule="auto"/>
        <w:rPr>
          <w:rFonts w:eastAsia="Calibri" w:cs="Times New Roman"/>
          <w:b/>
          <w:spacing w:val="0"/>
          <w:szCs w:val="24"/>
          <w:lang w:eastAsia="es-ES_tradnl"/>
        </w:rPr>
      </w:pPr>
    </w:p>
    <w:p w14:paraId="78595B1A" w14:textId="77777777" w:rsidR="000E124E" w:rsidRPr="00084D33" w:rsidRDefault="000E124E" w:rsidP="000E124E">
      <w:pPr>
        <w:spacing w:line="240" w:lineRule="auto"/>
        <w:rPr>
          <w:rFonts w:eastAsia="Times New Roman" w:cs="Times New Roman"/>
          <w:spacing w:val="0"/>
          <w:szCs w:val="24"/>
          <w:lang w:eastAsia="es-ES_tradnl"/>
        </w:rPr>
      </w:pPr>
    </w:p>
    <w:p w14:paraId="1708E4FE" w14:textId="77777777" w:rsidR="000E124E" w:rsidRPr="00084D33" w:rsidRDefault="000E124E" w:rsidP="007202A9">
      <w:pPr>
        <w:numPr>
          <w:ilvl w:val="0"/>
          <w:numId w:val="31"/>
        </w:numPr>
        <w:rPr>
          <w:rFonts w:eastAsia="Calibri" w:cs="Times New Roman"/>
          <w:spacing w:val="0"/>
          <w:szCs w:val="24"/>
          <w:lang w:eastAsia="es-ES_tradnl"/>
        </w:rPr>
      </w:pPr>
      <w:r w:rsidRPr="00084D33">
        <w:rPr>
          <w:rFonts w:eastAsia="Calibri" w:cs="Times New Roman"/>
          <w:spacing w:val="0"/>
          <w:szCs w:val="24"/>
          <w:lang w:eastAsia="es-ES_tradnl"/>
        </w:rPr>
        <w:t xml:space="preserve">Monitoreo y seguimiento continuo a indicadores de gestión en el SMMGP. Monitoreo y seguimiento continuo a indicadores de gestión en el sistema del EDI. </w:t>
      </w:r>
    </w:p>
    <w:p w14:paraId="46DE7DCD" w14:textId="44C114F9" w:rsidR="000E124E" w:rsidRPr="00084D33" w:rsidRDefault="000E124E" w:rsidP="007202A9">
      <w:pPr>
        <w:numPr>
          <w:ilvl w:val="0"/>
          <w:numId w:val="31"/>
        </w:numPr>
        <w:rPr>
          <w:rFonts w:eastAsia="Calibri" w:cs="Times New Roman"/>
          <w:spacing w:val="0"/>
          <w:szCs w:val="24"/>
          <w:lang w:eastAsia="es-ES_tradnl"/>
        </w:rPr>
      </w:pPr>
      <w:r w:rsidRPr="00084D33">
        <w:rPr>
          <w:rFonts w:eastAsia="Calibri" w:cs="Times New Roman"/>
          <w:spacing w:val="0"/>
          <w:szCs w:val="24"/>
          <w:lang w:eastAsia="es-ES_tradnl"/>
        </w:rPr>
        <w:t xml:space="preserve">Actualización de Transparencia en las Informaciones de Servicios y Funcionarios. </w:t>
      </w:r>
    </w:p>
    <w:p w14:paraId="608D0C3E" w14:textId="77777777" w:rsidR="000E124E" w:rsidRPr="00084D33" w:rsidRDefault="000E124E" w:rsidP="007202A9">
      <w:pPr>
        <w:numPr>
          <w:ilvl w:val="0"/>
          <w:numId w:val="31"/>
        </w:numPr>
        <w:rPr>
          <w:rFonts w:eastAsia="Calibri" w:cs="Times New Roman"/>
          <w:spacing w:val="0"/>
          <w:szCs w:val="24"/>
          <w:lang w:eastAsia="es-ES_tradnl"/>
        </w:rPr>
      </w:pPr>
      <w:r w:rsidRPr="00084D33">
        <w:rPr>
          <w:rFonts w:eastAsia="Calibri" w:cs="Times New Roman"/>
          <w:spacing w:val="0"/>
          <w:szCs w:val="24"/>
          <w:lang w:eastAsia="es-ES_tradnl"/>
        </w:rPr>
        <w:t>Colaboración con la Dirección de TIC en levantamiento de recertificación de las Normativas: A2 y A5.</w:t>
      </w:r>
    </w:p>
    <w:p w14:paraId="1E1BA082" w14:textId="77777777" w:rsidR="000E124E" w:rsidRPr="00084D33" w:rsidRDefault="000E124E" w:rsidP="000E124E">
      <w:pPr>
        <w:pBdr>
          <w:top w:val="nil"/>
          <w:left w:val="nil"/>
          <w:bottom w:val="nil"/>
          <w:right w:val="nil"/>
          <w:between w:val="nil"/>
        </w:pBdr>
        <w:spacing w:line="240" w:lineRule="auto"/>
        <w:ind w:left="720"/>
        <w:rPr>
          <w:rFonts w:ascii="Calibri" w:eastAsia="Calibri" w:hAnsi="Calibri" w:cs="Calibri"/>
          <w:spacing w:val="0"/>
          <w:szCs w:val="24"/>
          <w:lang w:eastAsia="es-ES_tradnl"/>
        </w:rPr>
      </w:pPr>
    </w:p>
    <w:p w14:paraId="24E969FA" w14:textId="77777777" w:rsidR="000E124E" w:rsidRPr="00084D33" w:rsidRDefault="000E124E" w:rsidP="000E124E">
      <w:pPr>
        <w:spacing w:line="240" w:lineRule="auto"/>
        <w:rPr>
          <w:rFonts w:ascii="Calibri" w:eastAsia="Calibri" w:hAnsi="Calibri" w:cs="Calibri"/>
          <w:b/>
          <w:spacing w:val="0"/>
          <w:sz w:val="22"/>
          <w:lang w:eastAsia="es-ES_tradnl"/>
        </w:rPr>
      </w:pPr>
    </w:p>
    <w:p w14:paraId="36BFD6E1" w14:textId="77777777" w:rsidR="000E124E" w:rsidRPr="00084D33" w:rsidRDefault="000E124E" w:rsidP="0038205C">
      <w:pPr>
        <w:pStyle w:val="Textoindependiente"/>
        <w:spacing w:line="360" w:lineRule="auto"/>
        <w:jc w:val="both"/>
        <w:rPr>
          <w:color w:val="767171"/>
          <w:lang w:val="es-DO"/>
        </w:rPr>
      </w:pPr>
    </w:p>
    <w:p w14:paraId="05488E86" w14:textId="77777777" w:rsidR="000E124E" w:rsidRPr="00084D33" w:rsidRDefault="000E124E">
      <w:pPr>
        <w:spacing w:after="160" w:line="259" w:lineRule="auto"/>
        <w:jc w:val="left"/>
        <w:rPr>
          <w:rFonts w:cs="Times New Roman"/>
          <w:b/>
        </w:rPr>
      </w:pPr>
      <w:bookmarkStart w:id="54" w:name="_Toc1381792"/>
      <w:bookmarkStart w:id="55" w:name="_Toc1418541"/>
      <w:bookmarkStart w:id="56" w:name="_Toc59361401"/>
      <w:r w:rsidRPr="00084D33">
        <w:br w:type="page"/>
      </w:r>
    </w:p>
    <w:p w14:paraId="3EDE3963" w14:textId="38DB0D47" w:rsidR="00A07B28" w:rsidRPr="00084D33" w:rsidRDefault="000E124E" w:rsidP="007202A9">
      <w:pPr>
        <w:pStyle w:val="Ttulo3RdeC"/>
        <w:numPr>
          <w:ilvl w:val="2"/>
          <w:numId w:val="23"/>
        </w:numPr>
        <w:jc w:val="center"/>
        <w:rPr>
          <w:color w:val="767171"/>
        </w:rPr>
      </w:pPr>
      <w:r w:rsidRPr="00084D33">
        <w:rPr>
          <w:color w:val="767171"/>
        </w:rPr>
        <w:lastRenderedPageBreak/>
        <w:t>Objetivos Globales del Gobierno para el Cuatrienio 2020 – 2024 durante el año 2024</w:t>
      </w:r>
      <w:bookmarkEnd w:id="54"/>
      <w:bookmarkEnd w:id="55"/>
      <w:bookmarkEnd w:id="56"/>
    </w:p>
    <w:p w14:paraId="033CEA97" w14:textId="2C15AD9F" w:rsidR="00A07B28" w:rsidRPr="00084D33" w:rsidRDefault="00A07B28" w:rsidP="0038205C">
      <w:pPr>
        <w:rPr>
          <w:rFonts w:cs="Times New Roman"/>
        </w:rPr>
      </w:pPr>
    </w:p>
    <w:p w14:paraId="33A37A77" w14:textId="6709DB70" w:rsidR="00BD14D5" w:rsidRPr="00084D33" w:rsidRDefault="008653BD" w:rsidP="008653BD">
      <w:pPr>
        <w:pStyle w:val="Textoindependiente"/>
        <w:spacing w:line="360" w:lineRule="auto"/>
        <w:jc w:val="both"/>
        <w:rPr>
          <w:color w:val="767171"/>
        </w:rPr>
      </w:pPr>
      <w:r w:rsidRPr="00084D33">
        <w:rPr>
          <w:color w:val="767171"/>
        </w:rPr>
        <w:t>El Ministerio de Obras Públicas y Comunicaciones (MOPC) durante el periodo enero-diciembre del año 2024, continuó la ejecución de los planes y programas en función de la sostenibilidad social, económica y ambiental establecidas en el Programa de Gobierno Constitucional para el cuatrienio 2020-2024, tomando en consideración los Objetivos Globales o de Desarrollo Sostenible, al ofrecer a la ciudadanía las obras y servicios que demanda la población a nivel nacional, enfocándose en la mejora de la infraestructura vial urbana e interurbana, con el objetivo de promover una infraestructura vial adecuada para el apoyo de la producción y distribución agroalimentaria del país, y la mejora de la accesibilidad, movilidad, seguridad y confort para los usuarios, contribuyendo con los objetivos de la Estrategia Nacional de Desarrollo (END) 2030, los Objetivos de Desarrollo Sostenible (ODS), el Marco de Sendai para la Reducción de Riesgos de Desastres 2015-2030 y el Plan Nacional Plurianual de Inversión Publica 2020-2024, entre las cuales citamos las siguiente</w:t>
      </w:r>
      <w:r w:rsidR="00BD14D5" w:rsidRPr="00084D33">
        <w:rPr>
          <w:color w:val="767171"/>
        </w:rPr>
        <w:t>s:</w:t>
      </w:r>
    </w:p>
    <w:p w14:paraId="219DF036" w14:textId="77777777" w:rsidR="00BD14D5" w:rsidRPr="00084D33" w:rsidRDefault="00BD14D5" w:rsidP="00BD14D5">
      <w:pPr>
        <w:spacing w:after="120"/>
        <w:rPr>
          <w:rFonts w:cs="Times New Roman"/>
          <w:szCs w:val="20"/>
        </w:rPr>
      </w:pPr>
    </w:p>
    <w:p w14:paraId="75750BF0" w14:textId="77777777" w:rsidR="008653BD" w:rsidRPr="00084D33" w:rsidRDefault="008653BD" w:rsidP="008653BD">
      <w:pPr>
        <w:pStyle w:val="Estilo1-Vietas-Parrafo"/>
        <w:numPr>
          <w:ilvl w:val="0"/>
          <w:numId w:val="8"/>
        </w:numPr>
        <w:ind w:left="360" w:firstLine="0"/>
      </w:pPr>
      <w:r w:rsidRPr="00084D33">
        <w:t>Continuación de los Programas Nacionales de Asfaltado y Construcción de Aceras y Contenes, denominados PROPACC 1, 2, 3 y 4, con el objetivo de mejorar y conservar la infraestructura de la red vial urbana y rural, proporcionando a los usuarios mayor accesibilidad, seguridad y confort, disminuyendo los costos operacionales, el número de accidentes y los impactos ambientales negativos.</w:t>
      </w:r>
    </w:p>
    <w:p w14:paraId="2657E89B" w14:textId="77777777" w:rsidR="008653BD" w:rsidRPr="00084D33" w:rsidRDefault="008653BD" w:rsidP="008653BD">
      <w:pPr>
        <w:pStyle w:val="Estilo1-Vietas-Parrafo"/>
        <w:ind w:left="360"/>
      </w:pPr>
    </w:p>
    <w:p w14:paraId="158343E0" w14:textId="77777777" w:rsidR="008653BD" w:rsidRPr="00084D33" w:rsidRDefault="008653BD" w:rsidP="008653BD">
      <w:pPr>
        <w:pStyle w:val="Estilo1-Vietas-Parrafo"/>
        <w:numPr>
          <w:ilvl w:val="0"/>
          <w:numId w:val="8"/>
        </w:numPr>
        <w:ind w:left="360" w:firstLine="0"/>
      </w:pPr>
      <w:r w:rsidRPr="00084D33">
        <w:t xml:space="preserve">Construir, reconstruir y conservar la infraestructura de carreteras troncales, secundarias y locales a nivel nacional, para garantizar la comunicación terrestre segura y efectiva en el territorio nacional, </w:t>
      </w:r>
      <w:r w:rsidRPr="00084D33">
        <w:lastRenderedPageBreak/>
        <w:t xml:space="preserve">impidiendo el deterioro significativo, lo cual incrementaría los costos de inversión de las opciones de mejoras afectando el presupuesto de la nación. </w:t>
      </w:r>
    </w:p>
    <w:p w14:paraId="67CF9960" w14:textId="77777777" w:rsidR="008653BD" w:rsidRPr="00084D33" w:rsidRDefault="008653BD" w:rsidP="008653BD">
      <w:pPr>
        <w:pStyle w:val="Estilo1-Vietas-Parrafo"/>
        <w:ind w:left="360"/>
      </w:pPr>
    </w:p>
    <w:p w14:paraId="223BF023" w14:textId="77777777" w:rsidR="008653BD" w:rsidRPr="00084D33" w:rsidRDefault="008653BD" w:rsidP="008653BD">
      <w:pPr>
        <w:pStyle w:val="Estilo1-Vietas-Parrafo"/>
        <w:numPr>
          <w:ilvl w:val="0"/>
          <w:numId w:val="8"/>
        </w:numPr>
        <w:ind w:left="360" w:firstLine="0"/>
      </w:pPr>
      <w:r w:rsidRPr="00084D33">
        <w:t>Construir, rehabilitar y conservar la red vial adyacente a los principales polos turísticos en todo el territorio nacional para proveer una accesibilidad segura y apropiada a las infraestructuras turísticas, apoyando el desarrollo de la industria turística, lo cual incrementa el número de empleos y la calidad de vida de los beneficiados.</w:t>
      </w:r>
    </w:p>
    <w:p w14:paraId="707836A5" w14:textId="77777777" w:rsidR="008653BD" w:rsidRPr="00084D33" w:rsidRDefault="008653BD" w:rsidP="008653BD">
      <w:pPr>
        <w:pStyle w:val="Estilo1-Vietas-Parrafo"/>
        <w:ind w:left="360"/>
      </w:pPr>
      <w:r w:rsidRPr="00084D33">
        <w:t xml:space="preserve"> </w:t>
      </w:r>
    </w:p>
    <w:p w14:paraId="4ED5402B" w14:textId="694CA00F" w:rsidR="008653BD" w:rsidRPr="00084D33" w:rsidRDefault="008653BD" w:rsidP="008653BD">
      <w:pPr>
        <w:pStyle w:val="Estilo1-Vietas-Parrafo"/>
        <w:numPr>
          <w:ilvl w:val="0"/>
          <w:numId w:val="8"/>
        </w:numPr>
        <w:ind w:left="360" w:firstLine="0"/>
      </w:pPr>
      <w:r w:rsidRPr="00084D33">
        <w:t xml:space="preserve">Ampliación del Programa Mantenimiento Comunitario Acción Vial de Caminos Vecinales (Peón Caminero) y el Programa Obras Publicas con la Gente, </w:t>
      </w:r>
      <w:r w:rsidR="00C3480E" w:rsidRPr="00084D33">
        <w:t>implementado</w:t>
      </w:r>
      <w:r w:rsidRPr="00084D33">
        <w:t xml:space="preserve"> en diez (10) provincial del país, con el objetivo de promover una infraestructura adecuada para el apoyo de la producción y distribución agroalimentaria del país. </w:t>
      </w:r>
    </w:p>
    <w:p w14:paraId="660B7E92" w14:textId="77777777" w:rsidR="008653BD" w:rsidRPr="00084D33" w:rsidRDefault="008653BD" w:rsidP="008653BD">
      <w:pPr>
        <w:pStyle w:val="Estilo1-Vietas-Parrafo"/>
        <w:ind w:left="360"/>
      </w:pPr>
    </w:p>
    <w:p w14:paraId="620395C8" w14:textId="77777777" w:rsidR="008653BD" w:rsidRPr="00084D33" w:rsidRDefault="008653BD" w:rsidP="008653BD">
      <w:pPr>
        <w:pStyle w:val="Estilo1-Vietas-Parrafo"/>
        <w:numPr>
          <w:ilvl w:val="0"/>
          <w:numId w:val="8"/>
        </w:numPr>
        <w:ind w:left="360" w:firstLine="0"/>
      </w:pPr>
      <w:r w:rsidRPr="00084D33">
        <w:t xml:space="preserve">Continuidad de la ejecución del Programa de Reconstrucción y Mantenimiento de Puentes a nivel nacional. </w:t>
      </w:r>
    </w:p>
    <w:p w14:paraId="3E960554" w14:textId="77777777" w:rsidR="008653BD" w:rsidRPr="00084D33" w:rsidRDefault="008653BD" w:rsidP="008653BD">
      <w:pPr>
        <w:pStyle w:val="Estilo1-Vietas-Parrafo"/>
        <w:ind w:left="360"/>
      </w:pPr>
    </w:p>
    <w:p w14:paraId="1C574208" w14:textId="77777777" w:rsidR="008653BD" w:rsidRPr="00084D33" w:rsidRDefault="008653BD" w:rsidP="008653BD">
      <w:pPr>
        <w:pStyle w:val="Estilo1-Vietas-Parrafo"/>
        <w:numPr>
          <w:ilvl w:val="0"/>
          <w:numId w:val="8"/>
        </w:numPr>
        <w:ind w:left="360" w:firstLine="0"/>
      </w:pPr>
      <w:r w:rsidRPr="00084D33">
        <w:t xml:space="preserve">Continuación del Programa Nacional de Señalización Vial a nivel nacional, con el objetivo de proveer la señalización horizontal, vertical y los dispositivos de control del tránsito necesarios en el sistema de infraestructura vial del país, para la operación segura y eficiente de los usuarios. </w:t>
      </w:r>
    </w:p>
    <w:p w14:paraId="5A8CF091" w14:textId="77777777" w:rsidR="008653BD" w:rsidRPr="00084D33" w:rsidRDefault="008653BD" w:rsidP="008653BD">
      <w:pPr>
        <w:pStyle w:val="Estilo1-Vietas-Parrafo"/>
        <w:ind w:left="360"/>
      </w:pPr>
    </w:p>
    <w:p w14:paraId="6BF5C556" w14:textId="77777777" w:rsidR="008653BD" w:rsidRPr="00084D33" w:rsidRDefault="008653BD" w:rsidP="008653BD">
      <w:pPr>
        <w:pStyle w:val="Estilo1-Vietas-Parrafo"/>
        <w:numPr>
          <w:ilvl w:val="0"/>
          <w:numId w:val="8"/>
        </w:numPr>
        <w:ind w:left="360" w:firstLine="0"/>
      </w:pPr>
      <w:r w:rsidRPr="00084D33">
        <w:lastRenderedPageBreak/>
        <w:t xml:space="preserve">Implementación de políticas públicas para la evaluación de la vulnerabilidad y riesgos de las infraestructuras viales y de edificaciones públicas ante la ocurrencia de fenómenos naturales, para proveer acciones oportunas a corto y mediano plazo que permitan disminuir los efectos de posibles daños en las zonas vulnerables del país. </w:t>
      </w:r>
    </w:p>
    <w:p w14:paraId="4EA06C34" w14:textId="77777777" w:rsidR="008653BD" w:rsidRPr="00084D33" w:rsidRDefault="008653BD" w:rsidP="008653BD">
      <w:pPr>
        <w:pStyle w:val="Estilo1-Vietas-Parrafo"/>
        <w:ind w:left="360"/>
      </w:pPr>
    </w:p>
    <w:p w14:paraId="7B63D962" w14:textId="77777777" w:rsidR="008653BD" w:rsidRPr="00084D33" w:rsidRDefault="008653BD" w:rsidP="008653BD">
      <w:pPr>
        <w:pStyle w:val="Estilo1-Vietas-Parrafo"/>
        <w:numPr>
          <w:ilvl w:val="0"/>
          <w:numId w:val="8"/>
        </w:numPr>
        <w:ind w:left="360" w:firstLine="0"/>
      </w:pPr>
      <w:r w:rsidRPr="00084D33">
        <w:t>Programa de Mejoras y/o Reconstrucción de Viviendas Vulnerables del Ministerio que realiza acciones de construcción, reparación y conservación de viviendas en varias provincias del país, con la finalidad de mejorar la calidad de vida y el estado de bienestar social de las familias dominicanas en condiciones de pobreza, garantizando el acceso a viviendas dignas y seguras.</w:t>
      </w:r>
    </w:p>
    <w:p w14:paraId="40978448" w14:textId="77777777" w:rsidR="008653BD" w:rsidRPr="00084D33" w:rsidRDefault="008653BD" w:rsidP="008653BD">
      <w:pPr>
        <w:pStyle w:val="Estilo1-Vietas-Parrafo"/>
        <w:ind w:left="360"/>
      </w:pPr>
    </w:p>
    <w:p w14:paraId="0FBA856B" w14:textId="77777777" w:rsidR="008653BD" w:rsidRPr="00084D33" w:rsidRDefault="008653BD" w:rsidP="008653BD">
      <w:pPr>
        <w:pStyle w:val="Estilo1-Vietas-Parrafo"/>
        <w:numPr>
          <w:ilvl w:val="0"/>
          <w:numId w:val="8"/>
        </w:numPr>
        <w:ind w:left="360" w:firstLine="0"/>
      </w:pPr>
      <w:r w:rsidRPr="00084D33">
        <w:t>Sostenibilidad y Ampliación de los Servicios de Protección y Asistencia Vial que proporciona la institución a través de la Comisión Militar y Policial del MOPC en los principales corredores rurales y urbanos del país, ampliando el alcance con la integración de nuevos corredores, con la finalidad de disminuir las condiciones de vulnerabilidad a los usuarios; además, proveer beneficios a personas que viven en situaciones extremas de exclusión social, mediante los operativos que realiza de suministro de agua potable, fumigación y desinfección, etc., a nivel nacional.</w:t>
      </w:r>
    </w:p>
    <w:p w14:paraId="019D0363" w14:textId="77777777" w:rsidR="008653BD" w:rsidRPr="00084D33" w:rsidRDefault="008653BD" w:rsidP="008653BD">
      <w:pPr>
        <w:pStyle w:val="Estilo1-Vietas-Parrafo"/>
        <w:ind w:left="360"/>
      </w:pPr>
    </w:p>
    <w:p w14:paraId="7F979233" w14:textId="77777777" w:rsidR="008653BD" w:rsidRPr="00084D33" w:rsidRDefault="008653BD" w:rsidP="008653BD">
      <w:pPr>
        <w:pStyle w:val="Estilo1-Vietas-Parrafo"/>
        <w:numPr>
          <w:ilvl w:val="0"/>
          <w:numId w:val="8"/>
        </w:numPr>
        <w:ind w:left="360" w:firstLine="0"/>
      </w:pPr>
      <w:r w:rsidRPr="00084D33">
        <w:t>Realización de diseños y estudios técnicos de drenaje para la ejecución de obras hidráulicas que proporcionan soluciones para la canalización del cauce de ríos y aguas pluviales en áreas interior y exterior, en toda la geografía nacional.</w:t>
      </w:r>
    </w:p>
    <w:p w14:paraId="74D0B94B" w14:textId="77777777" w:rsidR="008653BD" w:rsidRPr="00084D33" w:rsidRDefault="008653BD" w:rsidP="008653BD">
      <w:pPr>
        <w:pStyle w:val="Estilo1-Vietas-Parrafo"/>
        <w:ind w:left="360"/>
      </w:pPr>
    </w:p>
    <w:p w14:paraId="61B5CB70" w14:textId="77777777" w:rsidR="008653BD" w:rsidRPr="00084D33" w:rsidRDefault="008653BD" w:rsidP="008653BD">
      <w:pPr>
        <w:pStyle w:val="Estilo1-Vietas-Parrafo"/>
        <w:numPr>
          <w:ilvl w:val="0"/>
          <w:numId w:val="8"/>
        </w:numPr>
        <w:ind w:left="360" w:firstLine="0"/>
      </w:pPr>
      <w:r w:rsidRPr="00084D33">
        <w:lastRenderedPageBreak/>
        <w:t>Valoración exhaustiva y sistemática de la aplicación de la Ley No.115 en los proyectos de infraestructura vial a cargo del MOPC, que grava con un impuesto los terrenos urbanos no edificados que deriven una plusvalía por una intervención del Estado Dominicano en la ejecución de obras de infraestructura vial, tales como: Construcción de Avenidas de Circunvalación que construye el MOPC en diferentes ciudades, las cuales generan plusvalía a los terrenos periféricos, posibilitando el desarrollo de proyectos de urbanizaciones e impulsando la economía de la zona, lo que representa una importante fuente generadora de valor para los inmuebles ubicados en áreas periféricas a las obras ejecutadas, entre otros</w:t>
      </w:r>
    </w:p>
    <w:p w14:paraId="43151E4F" w14:textId="327EA689" w:rsidR="00BD14D5" w:rsidRPr="00084D33" w:rsidRDefault="00BD14D5" w:rsidP="008653BD">
      <w:pPr>
        <w:pStyle w:val="Estilo1-Vietas-Parrafo"/>
        <w:ind w:left="360"/>
      </w:pPr>
    </w:p>
    <w:p w14:paraId="1C389C9C" w14:textId="77777777" w:rsidR="00BD14D5" w:rsidRPr="00084D33" w:rsidRDefault="00BD14D5" w:rsidP="00BD14D5">
      <w:pPr>
        <w:pStyle w:val="Estilo1-Vietas-Parrafo"/>
        <w:spacing w:after="0"/>
        <w:ind w:left="360"/>
      </w:pPr>
    </w:p>
    <w:p w14:paraId="07835E1E" w14:textId="6159C4F6" w:rsidR="0003126F" w:rsidRPr="00084D33" w:rsidRDefault="0003126F" w:rsidP="008653BD">
      <w:pPr>
        <w:pStyle w:val="Estilo1-Vietas-Parrafo"/>
        <w:ind w:left="360"/>
      </w:pPr>
    </w:p>
    <w:p w14:paraId="2E772A03" w14:textId="7333C171" w:rsidR="00BD14D5" w:rsidRPr="00084D33" w:rsidRDefault="0003126F" w:rsidP="0022611A">
      <w:pPr>
        <w:spacing w:after="160" w:line="259" w:lineRule="auto"/>
        <w:jc w:val="left"/>
        <w:rPr>
          <w:rFonts w:cs="Times New Roman"/>
        </w:rPr>
      </w:pPr>
      <w:r w:rsidRPr="00084D33">
        <w:br w:type="page"/>
      </w:r>
    </w:p>
    <w:p w14:paraId="55BE682F" w14:textId="77777777" w:rsidR="00BD14D5" w:rsidRPr="00084D33" w:rsidRDefault="00BD14D5" w:rsidP="00BD14D5">
      <w:pPr>
        <w:ind w:left="450"/>
        <w:rPr>
          <w:rFonts w:cs="Times New Roman"/>
          <w:szCs w:val="20"/>
        </w:rPr>
      </w:pPr>
    </w:p>
    <w:p w14:paraId="1E867048" w14:textId="60DBB8D4" w:rsidR="007C6E4C" w:rsidRPr="00084D33" w:rsidRDefault="006D62C6" w:rsidP="00EE790D">
      <w:pPr>
        <w:pStyle w:val="Ttulo1"/>
        <w:numPr>
          <w:ilvl w:val="0"/>
          <w:numId w:val="2"/>
        </w:numPr>
        <w:spacing w:before="0"/>
        <w:ind w:left="709"/>
        <w:rPr>
          <w:rFonts w:cs="Times New Roman"/>
          <w:b/>
          <w:bCs/>
        </w:rPr>
      </w:pPr>
      <w:bookmarkStart w:id="57" w:name="_Toc186924350"/>
      <w:r w:rsidRPr="00084D33">
        <w:rPr>
          <w:rFonts w:cs="Times New Roman"/>
          <w:b/>
          <w:bCs/>
        </w:rPr>
        <w:t>RESULTADOS ÁREAS TRANSVERSALES</w:t>
      </w:r>
      <w:r w:rsidR="00BC577E" w:rsidRPr="00084D33">
        <w:rPr>
          <w:rFonts w:cs="Times New Roman"/>
          <w:b/>
          <w:bCs/>
        </w:rPr>
        <w:t xml:space="preserve"> </w:t>
      </w:r>
      <w:r w:rsidRPr="00084D33">
        <w:rPr>
          <w:rFonts w:cs="Times New Roman"/>
          <w:b/>
          <w:bCs/>
        </w:rPr>
        <w:t xml:space="preserve">Y DE APOYO, AÑO </w:t>
      </w:r>
      <w:r w:rsidR="00F43D7E" w:rsidRPr="00084D33">
        <w:rPr>
          <w:rFonts w:cs="Times New Roman"/>
          <w:b/>
          <w:bCs/>
        </w:rPr>
        <w:t>2024</w:t>
      </w:r>
      <w:bookmarkEnd w:id="57"/>
    </w:p>
    <w:p w14:paraId="1175E42A" w14:textId="45DE1D92" w:rsidR="00B718B3" w:rsidRPr="00084D33" w:rsidRDefault="00B718B3" w:rsidP="00B718B3">
      <w:pPr>
        <w:ind w:left="360"/>
      </w:pPr>
      <w:r w:rsidRPr="00084D33">
        <w:rPr>
          <w:rFonts w:eastAsiaTheme="majorEastAsia" w:cs="Times New Roman"/>
          <w:b/>
          <w:bCs/>
          <w:noProof/>
          <w:spacing w:val="30"/>
          <w:kern w:val="38"/>
          <w:sz w:val="28"/>
          <w:szCs w:val="32"/>
          <w:lang w:eastAsia="es-DO"/>
        </w:rPr>
        <mc:AlternateContent>
          <mc:Choice Requires="wps">
            <w:drawing>
              <wp:anchor distT="0" distB="0" distL="114300" distR="114300" simplePos="0" relativeHeight="251790336" behindDoc="1" locked="0" layoutInCell="1" allowOverlap="1" wp14:anchorId="268E4011" wp14:editId="6FC8378C">
                <wp:simplePos x="0" y="0"/>
                <wp:positionH relativeFrom="column">
                  <wp:posOffset>2202180</wp:posOffset>
                </wp:positionH>
                <wp:positionV relativeFrom="paragraph">
                  <wp:posOffset>73735</wp:posOffset>
                </wp:positionV>
                <wp:extent cx="539750" cy="0"/>
                <wp:effectExtent l="0" t="19050" r="31750" b="19050"/>
                <wp:wrapNone/>
                <wp:docPr id="12" name="Conector recto 12"/>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B2D35" id="Conector recto 12"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4pt,5.8pt" to="215.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9o2gEAAAs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" strokecolor="red" strokeweight="2.5pt">
                <v:stroke joinstyle="miter"/>
              </v:line>
            </w:pict>
          </mc:Fallback>
        </mc:AlternateContent>
      </w:r>
    </w:p>
    <w:p w14:paraId="14C3E0B4" w14:textId="1538272F" w:rsidR="00F447DF" w:rsidRPr="00084D33" w:rsidRDefault="006C0CCA" w:rsidP="008A280A">
      <w:pPr>
        <w:pStyle w:val="Textoindependiente"/>
        <w:jc w:val="center"/>
        <w:rPr>
          <w:rFonts w:eastAsia="Calibri"/>
          <w:color w:val="767171"/>
        </w:rPr>
      </w:pPr>
      <w:r w:rsidRPr="00084D33">
        <w:rPr>
          <w:rFonts w:eastAsia="Calibri"/>
          <w:color w:val="767171"/>
        </w:rPr>
        <w:t>Memoria institucional 2024</w:t>
      </w:r>
    </w:p>
    <w:p w14:paraId="599F5DBB" w14:textId="0268D2CF" w:rsidR="00830D1C" w:rsidRPr="00084D33" w:rsidRDefault="00830D1C" w:rsidP="008A280A">
      <w:pPr>
        <w:pStyle w:val="Textoindependiente"/>
        <w:jc w:val="center"/>
        <w:rPr>
          <w:rFonts w:eastAsia="Calibri"/>
          <w:color w:val="767171"/>
        </w:rPr>
      </w:pPr>
      <w:r w:rsidRPr="00084D33">
        <w:rPr>
          <w:rFonts w:eastAsia="Calibri"/>
          <w:color w:val="767171"/>
        </w:rPr>
        <w:t xml:space="preserve"> </w:t>
      </w:r>
    </w:p>
    <w:p w14:paraId="6EF93F99" w14:textId="32C53370" w:rsidR="007C6E4C" w:rsidRPr="00084D33" w:rsidRDefault="00B718B3" w:rsidP="001972C1">
      <w:pPr>
        <w:pStyle w:val="Ttulo1"/>
        <w:numPr>
          <w:ilvl w:val="0"/>
          <w:numId w:val="0"/>
        </w:numPr>
        <w:ind w:left="710"/>
        <w:rPr>
          <w:rFonts w:cs="Times New Roman"/>
          <w:b/>
          <w:sz w:val="24"/>
        </w:rPr>
      </w:pPr>
      <w:bookmarkStart w:id="58" w:name="_Toc90884480"/>
      <w:bookmarkStart w:id="59" w:name="_Toc90929076"/>
      <w:bookmarkStart w:id="60" w:name="_Toc90929437"/>
      <w:bookmarkStart w:id="61" w:name="_Toc91264805"/>
      <w:bookmarkStart w:id="62" w:name="_Toc78583640"/>
      <w:bookmarkStart w:id="63" w:name="_Toc186924351"/>
      <w:bookmarkEnd w:id="58"/>
      <w:bookmarkEnd w:id="59"/>
      <w:bookmarkEnd w:id="60"/>
      <w:bookmarkEnd w:id="61"/>
      <w:r w:rsidRPr="00084D33">
        <w:rPr>
          <w:rFonts w:cs="Times New Roman"/>
          <w:b/>
          <w:sz w:val="24"/>
        </w:rPr>
        <w:t>4.1</w:t>
      </w:r>
      <w:r w:rsidRPr="00084D33">
        <w:rPr>
          <w:rFonts w:cs="Times New Roman"/>
          <w:b/>
          <w:sz w:val="24"/>
        </w:rPr>
        <w:tab/>
      </w:r>
      <w:r w:rsidR="007C6E4C" w:rsidRPr="00084D33">
        <w:rPr>
          <w:rFonts w:cs="Times New Roman"/>
          <w:b/>
          <w:sz w:val="24"/>
        </w:rPr>
        <w:t>Desempeño Área Administrativa y Financiera</w:t>
      </w:r>
      <w:bookmarkEnd w:id="62"/>
      <w:bookmarkEnd w:id="63"/>
    </w:p>
    <w:p w14:paraId="6DD5D7CD" w14:textId="350AAEA0" w:rsidR="007C6E4C" w:rsidRPr="00084D33" w:rsidRDefault="001972C1" w:rsidP="00C517AE">
      <w:pPr>
        <w:pStyle w:val="Ttulo1"/>
        <w:numPr>
          <w:ilvl w:val="0"/>
          <w:numId w:val="0"/>
        </w:numPr>
        <w:ind w:left="1560"/>
        <w:rPr>
          <w:rFonts w:cs="Times New Roman"/>
          <w:b/>
          <w:sz w:val="24"/>
        </w:rPr>
      </w:pPr>
      <w:bookmarkStart w:id="64" w:name="_Toc78583641"/>
      <w:bookmarkStart w:id="65" w:name="_Toc186924352"/>
      <w:r w:rsidRPr="00084D33">
        <w:rPr>
          <w:rFonts w:cs="Times New Roman"/>
          <w:b/>
        </w:rPr>
        <w:t>4.1.1</w:t>
      </w:r>
      <w:r w:rsidR="00A51B9A" w:rsidRPr="00084D33">
        <w:rPr>
          <w:rFonts w:cs="Times New Roman"/>
        </w:rPr>
        <w:t xml:space="preserve"> </w:t>
      </w:r>
      <w:r w:rsidR="007C6E4C" w:rsidRPr="00084D33">
        <w:rPr>
          <w:rFonts w:cs="Times New Roman"/>
          <w:b/>
          <w:sz w:val="24"/>
        </w:rPr>
        <w:t>Ejecución Presupuestaria del MOPC</w:t>
      </w:r>
      <w:r w:rsidR="00830D1C" w:rsidRPr="00084D33">
        <w:rPr>
          <w:rFonts w:cs="Times New Roman"/>
          <w:b/>
          <w:sz w:val="24"/>
        </w:rPr>
        <w:t xml:space="preserve"> en el período </w:t>
      </w:r>
      <w:r w:rsidR="0022611A" w:rsidRPr="00084D33">
        <w:rPr>
          <w:rFonts w:cs="Times New Roman"/>
          <w:b/>
          <w:sz w:val="24"/>
        </w:rPr>
        <w:t>Enero – D</w:t>
      </w:r>
      <w:r w:rsidR="00B5550F" w:rsidRPr="00084D33">
        <w:rPr>
          <w:rFonts w:cs="Times New Roman"/>
          <w:b/>
          <w:sz w:val="24"/>
        </w:rPr>
        <w:t>iciembre</w:t>
      </w:r>
      <w:r w:rsidR="00830D1C" w:rsidRPr="00084D33">
        <w:rPr>
          <w:rFonts w:cs="Times New Roman"/>
          <w:b/>
          <w:sz w:val="24"/>
        </w:rPr>
        <w:t xml:space="preserve"> del año </w:t>
      </w:r>
      <w:r w:rsidR="003D0902" w:rsidRPr="00084D33">
        <w:rPr>
          <w:rFonts w:cs="Times New Roman"/>
          <w:b/>
          <w:sz w:val="24"/>
        </w:rPr>
        <w:t>202</w:t>
      </w:r>
      <w:bookmarkEnd w:id="64"/>
      <w:r w:rsidR="00407204" w:rsidRPr="00084D33">
        <w:rPr>
          <w:rFonts w:cs="Times New Roman"/>
          <w:b/>
          <w:sz w:val="24"/>
        </w:rPr>
        <w:t>4</w:t>
      </w:r>
      <w:bookmarkEnd w:id="65"/>
    </w:p>
    <w:p w14:paraId="11E75367" w14:textId="77777777" w:rsidR="001972C1" w:rsidRPr="00084D33" w:rsidRDefault="001972C1" w:rsidP="001972C1">
      <w:pPr>
        <w:rPr>
          <w:rFonts w:cs="Times New Roman"/>
        </w:rPr>
      </w:pPr>
    </w:p>
    <w:p w14:paraId="1F5B46D9" w14:textId="77777777" w:rsidR="001F5461" w:rsidRPr="00084D33" w:rsidRDefault="001F5461" w:rsidP="001F5461">
      <w:pPr>
        <w:pStyle w:val="Textoindependiente"/>
        <w:spacing w:line="360" w:lineRule="auto"/>
        <w:jc w:val="both"/>
        <w:rPr>
          <w:color w:val="767171"/>
        </w:rPr>
      </w:pPr>
    </w:p>
    <w:p w14:paraId="79B6CE1D" w14:textId="59EAFE31" w:rsidR="00D3523B" w:rsidRPr="00084D33" w:rsidRDefault="00D3523B" w:rsidP="00D3523B">
      <w:pPr>
        <w:spacing w:after="160"/>
      </w:pPr>
      <w:r w:rsidRPr="00084D33">
        <w:t>El Ministerio de Obras Públicas y Comunicaciones (MOPC), registró una asignación de recursos en el Proyecto de Ley de Presupuesto General del Estado 2024, por un monto de RD$66,126,298,418.00 (Sesenta y Seis Mil Ciento Veintiséis Millones Doscientos Noventa y Ocho Mil Cuatrocientos Dieciocho Pesos con 00/100), de los cuales RD$16,804,471,477.00 (Dieciséis Mil Ochocientos Cuatro Millones Cuatrocientos Setenta y Un Mil Cuatrocientos Setenta y</w:t>
      </w:r>
      <w:r w:rsidR="0022611A" w:rsidRPr="00084D33">
        <w:t xml:space="preserve"> </w:t>
      </w:r>
      <w:r w:rsidRPr="00084D33">
        <w:t xml:space="preserve">Siete Pesos con 00/100) corresponden a los recursos provenientes de la renegociación del contrato de concesión del Estado con la empresa Aeropuertos Dominicanos Siglo XXI (AERODOM).  Durante el período </w:t>
      </w:r>
      <w:r w:rsidR="00B5550F" w:rsidRPr="00084D33">
        <w:t xml:space="preserve">Enero - </w:t>
      </w:r>
      <w:r w:rsidR="0022611A" w:rsidRPr="00084D33">
        <w:t>D</w:t>
      </w:r>
      <w:r w:rsidR="00B5550F" w:rsidRPr="00084D33">
        <w:t>iciembre del año 2024</w:t>
      </w:r>
      <w:r w:rsidRPr="00084D33">
        <w:t>, la institución canalizó la inversión cumpliendo con el programa de inversión previsto para el logro de las metas en infraestructuras viales y de edificaciones a desarrollarse para el beneficio sostenib</w:t>
      </w:r>
      <w:r w:rsidR="0022611A" w:rsidRPr="00084D33">
        <w:t>le de la població</w:t>
      </w:r>
      <w:r w:rsidRPr="00084D33">
        <w:t>n dominicana.</w:t>
      </w:r>
    </w:p>
    <w:p w14:paraId="750E27C4" w14:textId="77777777" w:rsidR="00D3523B" w:rsidRPr="00084D33" w:rsidRDefault="00D3523B" w:rsidP="00D3523B">
      <w:pPr>
        <w:spacing w:after="160"/>
      </w:pPr>
    </w:p>
    <w:p w14:paraId="3B188683" w14:textId="31827AD4" w:rsidR="00D3523B" w:rsidRPr="00084D33" w:rsidRDefault="00D3523B" w:rsidP="00D3523B">
      <w:pPr>
        <w:spacing w:after="160"/>
      </w:pPr>
      <w:r w:rsidRPr="00084D33">
        <w:t xml:space="preserve">La ejecución presupuestaria del MOPC acorde a la distribución general por objeto del gasto de los egresos correspondiente al periodo </w:t>
      </w:r>
      <w:r w:rsidR="00B5550F" w:rsidRPr="00084D33">
        <w:t>enero – diciembre</w:t>
      </w:r>
      <w:r w:rsidRPr="00084D33">
        <w:t xml:space="preserve"> del 2024, integra Activos No Financieros (Obras), Transferencias de Capital, Disminución de Pasivos, Remuneraciones y Gratificaciones, </w:t>
      </w:r>
      <w:r w:rsidRPr="00084D33">
        <w:lastRenderedPageBreak/>
        <w:t xml:space="preserve">Materiales y Suministros, Bienes Muebles, Inmuebles e Intangibles, Transferencias de Capital, Transferencias Corrientes y Contratación de Servicios, entre otros. La institución utilizó en el periodo </w:t>
      </w:r>
      <w:r w:rsidR="00185F09" w:rsidRPr="00084D33">
        <w:rPr>
          <w:rFonts w:eastAsia="Calibri" w:cs="Times New Roman"/>
        </w:rPr>
        <w:t>Enero - Diciembre del año 2024, recursos ascendentes a la suma de RD$54,667,665,725.53 (Cincuenta y Cuatro Mil Seiscientos Sesenta y Siete Millones Seiscientos Sesenta y Cinco Mil Setecientos Veinticinco Pesos con 53/100), distribuidos por Estructura Programática, Fuentes de Financiamiento y Organismo Financiador. Con respecto a la inversión en obras de infraestructuras viales y de  edificaciones (activos no financieros), el MOPC ha ejecutado durante el periodo enero-diciembre del 2024, la suma de RD$38,428,476,702.27 (Treinta y Ocho Mil Cuatrocientos Veintiocho Millones Cuatrocientos Setenta y Seis Mil Setecientos Dos Pesos con 27/100), lo que representa un 70.29% con relación al total ejecutado para el citado período, lo que permitirá el logro de los objetivos planteados para el ejercicio presupuestario vigente, en consonancia con  las prioridades de la nación dominicana</w:t>
      </w:r>
      <w:r w:rsidRPr="00084D33">
        <w:t>.</w:t>
      </w:r>
    </w:p>
    <w:p w14:paraId="36ED1041" w14:textId="77777777" w:rsidR="00D3523B" w:rsidRPr="00084D33" w:rsidRDefault="00D3523B" w:rsidP="00D3523B">
      <w:pPr>
        <w:spacing w:after="160"/>
      </w:pPr>
    </w:p>
    <w:p w14:paraId="6316D364" w14:textId="58879928" w:rsidR="00407204" w:rsidRPr="00084D33" w:rsidRDefault="00D3523B" w:rsidP="00D3523B">
      <w:pPr>
        <w:spacing w:after="160"/>
        <w:rPr>
          <w:highlight w:val="lightGray"/>
        </w:rPr>
      </w:pPr>
      <w:r w:rsidRPr="00084D33">
        <w:t xml:space="preserve">La distribución general por objeto del gasto de los egresos efectuados por el MOPC durante el periodo </w:t>
      </w:r>
      <w:r w:rsidR="008653BD" w:rsidRPr="00084D33">
        <w:t>Enero - D</w:t>
      </w:r>
      <w:r w:rsidR="00B5550F" w:rsidRPr="00084D33">
        <w:t>iciembre del año 2024</w:t>
      </w:r>
      <w:r w:rsidRPr="00084D33">
        <w:t>, se resumen a continuación</w:t>
      </w:r>
      <w:r w:rsidR="00407204" w:rsidRPr="00084D33">
        <w:t>:</w:t>
      </w:r>
    </w:p>
    <w:p w14:paraId="7DB88A0D" w14:textId="77777777" w:rsidR="00407204" w:rsidRPr="00084D33" w:rsidRDefault="00407204" w:rsidP="00407204">
      <w:pPr>
        <w:spacing w:after="160"/>
        <w:rPr>
          <w:b/>
          <w:highlight w:val="green"/>
        </w:rPr>
      </w:pPr>
    </w:p>
    <w:p w14:paraId="59242C07" w14:textId="61186AC5" w:rsidR="009F315B" w:rsidRPr="00084D33" w:rsidRDefault="009F315B" w:rsidP="009F315B">
      <w:pPr>
        <w:pStyle w:val="Textoindependiente"/>
        <w:spacing w:line="360" w:lineRule="auto"/>
        <w:jc w:val="both"/>
        <w:rPr>
          <w:color w:val="767171"/>
        </w:rPr>
      </w:pPr>
      <w:r w:rsidRPr="00084D33">
        <w:rPr>
          <w:color w:val="767171"/>
        </w:rPr>
        <w:t xml:space="preserve">: </w:t>
      </w:r>
    </w:p>
    <w:p w14:paraId="5BB9FE2E" w14:textId="77777777" w:rsidR="009F315B" w:rsidRPr="00084D33" w:rsidRDefault="009F315B" w:rsidP="009F315B">
      <w:pPr>
        <w:spacing w:after="160"/>
        <w:rPr>
          <w:rFonts w:cs="Times New Roman"/>
        </w:rPr>
      </w:pPr>
    </w:p>
    <w:p w14:paraId="38131B42" w14:textId="77777777" w:rsidR="009F315B" w:rsidRPr="00084D33" w:rsidRDefault="009F315B" w:rsidP="009F315B">
      <w:pPr>
        <w:spacing w:after="160"/>
        <w:rPr>
          <w:rFonts w:cs="Times New Roman"/>
        </w:rPr>
      </w:pPr>
    </w:p>
    <w:p w14:paraId="6238053C" w14:textId="5D9CEEDD" w:rsidR="008471D7" w:rsidRPr="00084D33" w:rsidRDefault="005A498C" w:rsidP="008471D7">
      <w:pPr>
        <w:spacing w:after="160"/>
        <w:jc w:val="center"/>
        <w:rPr>
          <w:rFonts w:cs="Times New Roman"/>
          <w:b/>
          <w:highlight w:val="green"/>
        </w:rPr>
      </w:pPr>
      <w:r w:rsidRPr="00084D33">
        <w:rPr>
          <w:noProof/>
          <w:lang w:eastAsia="es-DO"/>
        </w:rPr>
        <w:lastRenderedPageBreak/>
        <w:drawing>
          <wp:inline distT="0" distB="0" distL="0" distR="0" wp14:anchorId="725456BC" wp14:editId="62D2482C">
            <wp:extent cx="4598670" cy="4309728"/>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23144" cy="4332664"/>
                    </a:xfrm>
                    <a:prstGeom prst="rect">
                      <a:avLst/>
                    </a:prstGeom>
                    <a:noFill/>
                    <a:ln>
                      <a:noFill/>
                    </a:ln>
                  </pic:spPr>
                </pic:pic>
              </a:graphicData>
            </a:graphic>
          </wp:inline>
        </w:drawing>
      </w:r>
      <w:r w:rsidR="00F8713D" w:rsidRPr="00084D33">
        <w:t xml:space="preserve"> </w:t>
      </w:r>
    </w:p>
    <w:p w14:paraId="1A2DB1A1" w14:textId="358A03B2" w:rsidR="008471D7" w:rsidRPr="00084D33" w:rsidRDefault="005A498C" w:rsidP="008471D7">
      <w:pPr>
        <w:spacing w:after="160"/>
        <w:ind w:left="-360"/>
        <w:jc w:val="center"/>
        <w:rPr>
          <w:rFonts w:cs="Times New Roman"/>
          <w:b/>
          <w:highlight w:val="green"/>
        </w:rPr>
      </w:pPr>
      <w:r w:rsidRPr="00084D33">
        <w:rPr>
          <w:rFonts w:cs="Times New Roman"/>
          <w:b/>
          <w:noProof/>
          <w:lang w:eastAsia="es-DO"/>
        </w:rPr>
        <w:drawing>
          <wp:inline distT="0" distB="0" distL="0" distR="0" wp14:anchorId="0D83FCF1" wp14:editId="76460D34">
            <wp:extent cx="5592968" cy="2971221"/>
            <wp:effectExtent l="0" t="0" r="825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33741" cy="2992881"/>
                    </a:xfrm>
                    <a:prstGeom prst="rect">
                      <a:avLst/>
                    </a:prstGeom>
                    <a:noFill/>
                  </pic:spPr>
                </pic:pic>
              </a:graphicData>
            </a:graphic>
          </wp:inline>
        </w:drawing>
      </w:r>
    </w:p>
    <w:p w14:paraId="5A5B4FD0" w14:textId="77777777" w:rsidR="005A498C" w:rsidRPr="00084D33" w:rsidRDefault="005A498C" w:rsidP="008A280A">
      <w:pPr>
        <w:pStyle w:val="Textoindependiente"/>
        <w:spacing w:line="360" w:lineRule="auto"/>
        <w:jc w:val="both"/>
        <w:rPr>
          <w:color w:val="767171"/>
        </w:rPr>
      </w:pPr>
    </w:p>
    <w:p w14:paraId="0FAE008C" w14:textId="36E7169D" w:rsidR="00B718B3" w:rsidRPr="00084D33" w:rsidRDefault="00D3523B" w:rsidP="008A280A">
      <w:pPr>
        <w:pStyle w:val="Textoindependiente"/>
        <w:spacing w:line="360" w:lineRule="auto"/>
        <w:jc w:val="both"/>
        <w:rPr>
          <w:color w:val="767171"/>
        </w:rPr>
      </w:pPr>
      <w:r w:rsidRPr="00084D33">
        <w:rPr>
          <w:color w:val="767171"/>
        </w:rPr>
        <w:lastRenderedPageBreak/>
        <w:t xml:space="preserve">El componente Obras de Inversión Pública, integra diferentes programas de construcción, reconstrucción, rehabilitación y mantenimiento de la infraestructura vial  y de edificaciones; además, de otros proyectos para el mejoramiento de obras públicas resilientes para reducir riesgos de desastres en el contexto del cambio climático a nivel nacional; de acuerdo al desarrollo de las obras durante el periodo </w:t>
      </w:r>
      <w:r w:rsidR="000A17C8" w:rsidRPr="00084D33">
        <w:rPr>
          <w:color w:val="767171"/>
        </w:rPr>
        <w:t>enero-diciembre</w:t>
      </w:r>
      <w:r w:rsidRPr="00084D33">
        <w:rPr>
          <w:color w:val="767171"/>
        </w:rPr>
        <w:t xml:space="preserve"> del 2024, la institución solicitó efectuar ajustes en las asignaciones de recursos por varias causas: a) proyectos prioritarios no incluidos en el Presupuesto General del Estado del año fiscal vigente; b) proyectos que requerían mayor disponibilidad de recursos con respecto a lo asignado; c) cambio de fuente o fondo; para tales fines, se realizaron un total de ciento cincuenta y seis (156) modificaciones presupuestarias, con el objetivo de garantizar la sostenibilidad de la amplia ejecución de obras programadas a corto y mediano plazo y de los servicios demandados por la población dominicana.</w:t>
      </w:r>
    </w:p>
    <w:p w14:paraId="1FF409CC" w14:textId="77777777" w:rsidR="00D3523B" w:rsidRPr="00084D33" w:rsidRDefault="00D3523B" w:rsidP="008A280A">
      <w:pPr>
        <w:pStyle w:val="Textoindependiente"/>
        <w:spacing w:line="360" w:lineRule="auto"/>
        <w:jc w:val="both"/>
        <w:rPr>
          <w:color w:val="767171"/>
        </w:rPr>
      </w:pPr>
    </w:p>
    <w:p w14:paraId="1FF38CEF" w14:textId="45495BB0" w:rsidR="00FB61C9" w:rsidRPr="00084D33" w:rsidRDefault="00FB61C9" w:rsidP="008A280A">
      <w:pPr>
        <w:pStyle w:val="Textoindependiente"/>
        <w:spacing w:line="360" w:lineRule="auto"/>
        <w:jc w:val="both"/>
        <w:rPr>
          <w:color w:val="767171"/>
        </w:rPr>
      </w:pPr>
    </w:p>
    <w:p w14:paraId="4EF3B9FA" w14:textId="0639F7C7" w:rsidR="008E403E" w:rsidRPr="00084D33" w:rsidRDefault="008A280A" w:rsidP="00C517AE">
      <w:pPr>
        <w:pStyle w:val="Ttulo1"/>
        <w:numPr>
          <w:ilvl w:val="0"/>
          <w:numId w:val="0"/>
        </w:numPr>
        <w:ind w:left="1560"/>
        <w:rPr>
          <w:rFonts w:cs="Times New Roman"/>
          <w:b/>
          <w:sz w:val="24"/>
          <w:szCs w:val="24"/>
        </w:rPr>
      </w:pPr>
      <w:bookmarkStart w:id="66" w:name="_Toc186924353"/>
      <w:bookmarkEnd w:id="2"/>
      <w:r w:rsidRPr="00084D33">
        <w:rPr>
          <w:rFonts w:cs="Times New Roman"/>
          <w:b/>
          <w:sz w:val="24"/>
          <w:szCs w:val="24"/>
        </w:rPr>
        <w:t>4</w:t>
      </w:r>
      <w:r w:rsidR="00C65538" w:rsidRPr="00084D33">
        <w:rPr>
          <w:rFonts w:cs="Times New Roman"/>
          <w:b/>
          <w:sz w:val="24"/>
          <w:szCs w:val="24"/>
        </w:rPr>
        <w:t xml:space="preserve">.1.2 </w:t>
      </w:r>
      <w:r w:rsidR="008E403E" w:rsidRPr="00084D33">
        <w:rPr>
          <w:rFonts w:cs="Times New Roman"/>
          <w:b/>
          <w:sz w:val="24"/>
          <w:szCs w:val="24"/>
        </w:rPr>
        <w:t xml:space="preserve">Plan de Inversión </w:t>
      </w:r>
      <w:r w:rsidR="00C65538" w:rsidRPr="00084D33">
        <w:rPr>
          <w:rFonts w:cs="Times New Roman"/>
          <w:b/>
          <w:sz w:val="24"/>
          <w:szCs w:val="24"/>
        </w:rPr>
        <w:t xml:space="preserve">(Operativo) </w:t>
      </w:r>
      <w:r w:rsidR="008E403E" w:rsidRPr="00084D33">
        <w:rPr>
          <w:rFonts w:cs="Times New Roman"/>
          <w:b/>
          <w:sz w:val="24"/>
          <w:szCs w:val="24"/>
        </w:rPr>
        <w:t>Anual</w:t>
      </w:r>
      <w:bookmarkEnd w:id="66"/>
    </w:p>
    <w:p w14:paraId="7732958B" w14:textId="68BF67B9" w:rsidR="008E403E" w:rsidRPr="00084D33" w:rsidRDefault="008E403E" w:rsidP="00FB61C9">
      <w:pPr>
        <w:pStyle w:val="Textoindependiente"/>
        <w:spacing w:before="160" w:line="360" w:lineRule="auto"/>
        <w:jc w:val="both"/>
        <w:rPr>
          <w:rFonts w:eastAsia="Calibri"/>
          <w:color w:val="767171"/>
        </w:rPr>
      </w:pPr>
    </w:p>
    <w:p w14:paraId="4CC0127F" w14:textId="743D8B5F" w:rsidR="00D3523B" w:rsidRPr="00084D33" w:rsidRDefault="00D3523B" w:rsidP="00D3523B">
      <w:pPr>
        <w:pStyle w:val="Textoindependiente"/>
        <w:spacing w:line="360" w:lineRule="auto"/>
        <w:jc w:val="both"/>
        <w:rPr>
          <w:color w:val="767171"/>
        </w:rPr>
      </w:pPr>
      <w:r w:rsidRPr="00084D33">
        <w:rPr>
          <w:color w:val="767171"/>
        </w:rPr>
        <w:t>El Ministerio de Obras Públicas y Comunicaciones (MOPC), registró un</w:t>
      </w:r>
      <w:r w:rsidRPr="00084D33">
        <w:rPr>
          <w:color w:val="767171"/>
          <w:szCs w:val="20"/>
        </w:rPr>
        <w:t xml:space="preserve"> total de </w:t>
      </w:r>
      <w:r w:rsidR="00D30370" w:rsidRPr="00084D33">
        <w:rPr>
          <w:color w:val="767171"/>
          <w:szCs w:val="20"/>
        </w:rPr>
        <w:t xml:space="preserve">Quinientos </w:t>
      </w:r>
      <w:r w:rsidR="00C3480E" w:rsidRPr="00084D33">
        <w:rPr>
          <w:color w:val="767171"/>
          <w:szCs w:val="20"/>
        </w:rPr>
        <w:t>Dieciocho</w:t>
      </w:r>
      <w:r w:rsidR="00D30370" w:rsidRPr="00084D33">
        <w:rPr>
          <w:color w:val="767171"/>
          <w:szCs w:val="20"/>
        </w:rPr>
        <w:t xml:space="preserve"> (518) proyectos en el </w:t>
      </w:r>
      <w:r w:rsidR="00D30370" w:rsidRPr="00084D33">
        <w:rPr>
          <w:color w:val="767171"/>
        </w:rPr>
        <w:t>Plan de Inversión (Operativo) Anual del MOPC correspondiente al año fiscal 2024,</w:t>
      </w:r>
      <w:r w:rsidR="00D30370" w:rsidRPr="00084D33">
        <w:rPr>
          <w:color w:val="767171"/>
          <w:szCs w:val="20"/>
        </w:rPr>
        <w:t xml:space="preserve"> con una </w:t>
      </w:r>
      <w:r w:rsidR="00C3480E" w:rsidRPr="00084D33">
        <w:rPr>
          <w:color w:val="767171"/>
          <w:szCs w:val="20"/>
        </w:rPr>
        <w:t>inversión</w:t>
      </w:r>
      <w:r w:rsidR="00D30370" w:rsidRPr="00084D33">
        <w:rPr>
          <w:color w:val="767171"/>
          <w:szCs w:val="20"/>
        </w:rPr>
        <w:t xml:space="preserve"> anual asignada </w:t>
      </w:r>
      <w:r w:rsidR="00D30370" w:rsidRPr="00084D33">
        <w:rPr>
          <w:color w:val="767171"/>
        </w:rPr>
        <w:t xml:space="preserve">de RD$38,938,921,692.07 (Treinta y Ocho Mil Novecientos Treinta y Ocho Millones Novecientos Veintiún Mil Seiscientos Noventa y Dos Pesos con 07/100), de </w:t>
      </w:r>
      <w:r w:rsidR="00D30370" w:rsidRPr="00084D33">
        <w:rPr>
          <w:color w:val="767171"/>
          <w:szCs w:val="20"/>
        </w:rPr>
        <w:t xml:space="preserve">los cuales se han ejecutado en obras durante el período enero – diciembre del año 2024, </w:t>
      </w:r>
      <w:r w:rsidR="00D30370" w:rsidRPr="00084D33">
        <w:rPr>
          <w:color w:val="767171"/>
        </w:rPr>
        <w:t xml:space="preserve">la suma de RD$38,428,476,702.21 </w:t>
      </w:r>
      <w:r w:rsidR="00D30370" w:rsidRPr="00084D33">
        <w:rPr>
          <w:color w:val="767171"/>
          <w:szCs w:val="20"/>
        </w:rPr>
        <w:t>(Treinta y Ocho Mil Cuatrocientos Veintiocho Millones Cuatrocientos Setenta y Seis Mil Setecientos Dos Pesos con 27/100), l</w:t>
      </w:r>
      <w:r w:rsidR="00D30370" w:rsidRPr="00084D33">
        <w:rPr>
          <w:color w:val="767171"/>
        </w:rPr>
        <w:t xml:space="preserve">o que representa un cumplimiento de la ejecución aproximado de un </w:t>
      </w:r>
      <w:r w:rsidR="00D30370" w:rsidRPr="00084D33">
        <w:rPr>
          <w:color w:val="767171"/>
          <w:szCs w:val="20"/>
        </w:rPr>
        <w:t>98.7%</w:t>
      </w:r>
      <w:r w:rsidR="00D30370" w:rsidRPr="00084D33">
        <w:rPr>
          <w:color w:val="767171"/>
        </w:rPr>
        <w:t xml:space="preserve"> ejecutado, con respecto al monto anual asignado para obras a la institución</w:t>
      </w:r>
      <w:r w:rsidRPr="00084D33">
        <w:rPr>
          <w:color w:val="767171"/>
        </w:rPr>
        <w:t xml:space="preserve">. </w:t>
      </w:r>
    </w:p>
    <w:p w14:paraId="7F927410" w14:textId="77777777" w:rsidR="00D3523B" w:rsidRPr="00084D33" w:rsidRDefault="00D3523B" w:rsidP="00D3523B">
      <w:pPr>
        <w:pStyle w:val="Textoindependiente"/>
        <w:spacing w:before="160" w:line="360" w:lineRule="auto"/>
        <w:jc w:val="both"/>
        <w:rPr>
          <w:color w:val="767171"/>
          <w:szCs w:val="20"/>
        </w:rPr>
      </w:pPr>
    </w:p>
    <w:p w14:paraId="307B9987" w14:textId="77777777" w:rsidR="00D3523B" w:rsidRPr="00084D33" w:rsidRDefault="00D3523B" w:rsidP="00D3523B">
      <w:pPr>
        <w:pStyle w:val="Textoindependiente"/>
        <w:spacing w:line="360" w:lineRule="auto"/>
        <w:jc w:val="both"/>
        <w:rPr>
          <w:rFonts w:eastAsia="Calibri"/>
          <w:color w:val="767171"/>
        </w:rPr>
      </w:pPr>
      <w:r w:rsidRPr="00084D33">
        <w:rPr>
          <w:rFonts w:eastAsia="Calibri"/>
          <w:color w:val="767171"/>
        </w:rPr>
        <w:t xml:space="preserve">Las políticas públicas aplicadas en la producción generada del Plan de Inversión Anual del MOPC correspondiente al año 2024, </w:t>
      </w:r>
      <w:r w:rsidRPr="00084D33">
        <w:rPr>
          <w:color w:val="767171"/>
        </w:rPr>
        <w:t>beneficiaron una población de 9,174,307 personas</w:t>
      </w:r>
      <w:r w:rsidRPr="00084D33">
        <w:rPr>
          <w:rFonts w:eastAsia="Calibri"/>
          <w:color w:val="767171"/>
        </w:rPr>
        <w:t xml:space="preserve">, generando con la ejecución de las infraestructuras viales y de edificaciones aproximadamente unos 265,098 empleos directos y 331,373 empleos indirectos, lo que provoca un incremento del desarrollo económico y social, así como del bienestar de la población residente en el área de influencia de las obras realizadas y en los usuarios de las mismas. </w:t>
      </w:r>
    </w:p>
    <w:p w14:paraId="10BD9282" w14:textId="77777777" w:rsidR="00D3523B" w:rsidRPr="00084D33" w:rsidRDefault="00D3523B" w:rsidP="00D3523B">
      <w:pPr>
        <w:pStyle w:val="Textoindependiente"/>
        <w:spacing w:before="160" w:line="360" w:lineRule="auto"/>
        <w:jc w:val="both"/>
        <w:rPr>
          <w:rFonts w:eastAsia="Calibri"/>
          <w:color w:val="767171"/>
          <w:szCs w:val="20"/>
        </w:rPr>
      </w:pPr>
    </w:p>
    <w:p w14:paraId="53AA3D1F" w14:textId="656DC9AD" w:rsidR="00D3523B" w:rsidRPr="00084D33" w:rsidRDefault="00D3523B" w:rsidP="00D3523B">
      <w:pPr>
        <w:pStyle w:val="Textoindependiente"/>
        <w:spacing w:line="360" w:lineRule="auto"/>
        <w:jc w:val="both"/>
        <w:rPr>
          <w:rFonts w:eastAsia="Calibri"/>
          <w:color w:val="767171"/>
        </w:rPr>
      </w:pPr>
      <w:r w:rsidRPr="00084D33">
        <w:rPr>
          <w:rFonts w:eastAsia="Calibri"/>
          <w:color w:val="767171"/>
        </w:rPr>
        <w:t xml:space="preserve">La matriz del Plan de Inversión Anual del MOPC correspondiente al año 2024, conteniendo el desempeño de la </w:t>
      </w:r>
      <w:r w:rsidR="00C3480E" w:rsidRPr="00084D33">
        <w:rPr>
          <w:rFonts w:eastAsia="Calibri"/>
          <w:color w:val="767171"/>
        </w:rPr>
        <w:t>producción</w:t>
      </w:r>
      <w:r w:rsidRPr="00084D33">
        <w:rPr>
          <w:rFonts w:eastAsia="Calibri"/>
          <w:color w:val="767171"/>
        </w:rPr>
        <w:t xml:space="preserve"> institucional se presenta en el anexo A.</w:t>
      </w:r>
    </w:p>
    <w:p w14:paraId="45D5909A" w14:textId="77777777" w:rsidR="00FE5262" w:rsidRPr="00084D33" w:rsidRDefault="00FE5262" w:rsidP="008A280A">
      <w:pPr>
        <w:pStyle w:val="Textoindependiente"/>
        <w:spacing w:line="360" w:lineRule="auto"/>
        <w:jc w:val="both"/>
        <w:rPr>
          <w:rFonts w:eastAsia="Calibri"/>
          <w:color w:val="767171"/>
        </w:rPr>
      </w:pPr>
    </w:p>
    <w:p w14:paraId="2D192F79" w14:textId="77777777" w:rsidR="00FE5262" w:rsidRPr="00084D33" w:rsidRDefault="00FE5262" w:rsidP="008A280A">
      <w:pPr>
        <w:pStyle w:val="Textoindependiente"/>
        <w:spacing w:line="360" w:lineRule="auto"/>
        <w:jc w:val="both"/>
        <w:rPr>
          <w:rFonts w:eastAsia="Calibri"/>
          <w:color w:val="767171"/>
        </w:rPr>
      </w:pPr>
    </w:p>
    <w:p w14:paraId="3A3F1265" w14:textId="77777777" w:rsidR="00FE5262" w:rsidRPr="00084D33" w:rsidRDefault="00FE5262" w:rsidP="008A280A">
      <w:pPr>
        <w:pStyle w:val="Textoindependiente"/>
        <w:spacing w:line="360" w:lineRule="auto"/>
        <w:jc w:val="both"/>
        <w:rPr>
          <w:rFonts w:eastAsia="Calibri"/>
          <w:color w:val="767171"/>
        </w:rPr>
      </w:pPr>
    </w:p>
    <w:p w14:paraId="01D41D00" w14:textId="40F33982" w:rsidR="00997F4D" w:rsidRPr="00084D33" w:rsidRDefault="00F2097C" w:rsidP="00C517AE">
      <w:pPr>
        <w:pStyle w:val="Ttulo1"/>
        <w:numPr>
          <w:ilvl w:val="0"/>
          <w:numId w:val="0"/>
        </w:numPr>
        <w:ind w:left="1560" w:hanging="709"/>
        <w:rPr>
          <w:rFonts w:cs="Times New Roman"/>
          <w:b/>
          <w:sz w:val="24"/>
          <w:szCs w:val="24"/>
        </w:rPr>
      </w:pPr>
      <w:bookmarkStart w:id="67" w:name="_Toc186924354"/>
      <w:r w:rsidRPr="00084D33">
        <w:rPr>
          <w:rFonts w:cs="Times New Roman"/>
          <w:b/>
          <w:sz w:val="24"/>
          <w:szCs w:val="24"/>
        </w:rPr>
        <w:t xml:space="preserve">4.1.3 </w:t>
      </w:r>
      <w:r w:rsidR="00997F4D" w:rsidRPr="00084D33">
        <w:rPr>
          <w:rFonts w:cs="Times New Roman"/>
          <w:b/>
          <w:sz w:val="24"/>
          <w:szCs w:val="24"/>
        </w:rPr>
        <w:t xml:space="preserve">Ejecución Física - Financiera </w:t>
      </w:r>
      <w:r w:rsidR="00DC6F16" w:rsidRPr="00084D33">
        <w:rPr>
          <w:rFonts w:cs="Times New Roman"/>
          <w:b/>
          <w:sz w:val="24"/>
          <w:szCs w:val="24"/>
        </w:rPr>
        <w:t>p</w:t>
      </w:r>
      <w:r w:rsidR="00997F4D" w:rsidRPr="00084D33">
        <w:rPr>
          <w:rFonts w:cs="Times New Roman"/>
          <w:b/>
          <w:sz w:val="24"/>
          <w:szCs w:val="24"/>
        </w:rPr>
        <w:t>or Programa en</w:t>
      </w:r>
      <w:r w:rsidR="00BC577E" w:rsidRPr="00084D33">
        <w:rPr>
          <w:rFonts w:cs="Times New Roman"/>
          <w:b/>
          <w:sz w:val="24"/>
          <w:szCs w:val="24"/>
        </w:rPr>
        <w:t xml:space="preserve"> </w:t>
      </w:r>
      <w:r w:rsidR="00997F4D" w:rsidRPr="00084D33">
        <w:rPr>
          <w:rFonts w:cs="Times New Roman"/>
          <w:b/>
          <w:sz w:val="24"/>
          <w:szCs w:val="24"/>
        </w:rPr>
        <w:t xml:space="preserve">el Periodo </w:t>
      </w:r>
      <w:r w:rsidR="001D3E75" w:rsidRPr="00084D33">
        <w:rPr>
          <w:rFonts w:cs="Times New Roman"/>
          <w:b/>
          <w:sz w:val="24"/>
          <w:szCs w:val="24"/>
        </w:rPr>
        <w:t>Enero</w:t>
      </w:r>
      <w:r w:rsidR="00997F4D" w:rsidRPr="00084D33">
        <w:rPr>
          <w:rFonts w:cs="Times New Roman"/>
          <w:b/>
          <w:sz w:val="24"/>
          <w:szCs w:val="24"/>
        </w:rPr>
        <w:t xml:space="preserve"> - </w:t>
      </w:r>
      <w:r w:rsidR="001D3E75" w:rsidRPr="00084D33">
        <w:rPr>
          <w:rFonts w:cs="Times New Roman"/>
          <w:b/>
          <w:sz w:val="24"/>
          <w:szCs w:val="24"/>
        </w:rPr>
        <w:t>Diciembre</w:t>
      </w:r>
      <w:r w:rsidR="00997F4D" w:rsidRPr="00084D33">
        <w:rPr>
          <w:rFonts w:cs="Times New Roman"/>
          <w:b/>
          <w:sz w:val="24"/>
          <w:szCs w:val="24"/>
        </w:rPr>
        <w:t xml:space="preserve"> del Año </w:t>
      </w:r>
      <w:r w:rsidR="00F43D7E" w:rsidRPr="00084D33">
        <w:rPr>
          <w:rFonts w:cs="Times New Roman"/>
          <w:b/>
          <w:sz w:val="24"/>
          <w:szCs w:val="24"/>
        </w:rPr>
        <w:t>2024</w:t>
      </w:r>
      <w:bookmarkEnd w:id="67"/>
    </w:p>
    <w:p w14:paraId="41694445" w14:textId="77777777" w:rsidR="00997F4D" w:rsidRPr="00084D33" w:rsidRDefault="00997F4D" w:rsidP="00997F4D">
      <w:pPr>
        <w:pStyle w:val="Textoindependiente"/>
        <w:spacing w:line="360" w:lineRule="auto"/>
        <w:rPr>
          <w:rFonts w:eastAsia="Calibri"/>
          <w:color w:val="767171"/>
        </w:rPr>
      </w:pPr>
    </w:p>
    <w:p w14:paraId="48E969DC" w14:textId="01A7A24A" w:rsidR="00D3523B" w:rsidRPr="00084D33" w:rsidRDefault="00D3523B" w:rsidP="00D3523B">
      <w:pPr>
        <w:pStyle w:val="Textoindependiente"/>
        <w:spacing w:line="360" w:lineRule="auto"/>
        <w:jc w:val="both"/>
        <w:rPr>
          <w:color w:val="767171"/>
        </w:rPr>
      </w:pPr>
      <w:r w:rsidRPr="00084D33">
        <w:rPr>
          <w:color w:val="767171"/>
        </w:rPr>
        <w:t xml:space="preserve">La ejecución física - financiera por programa presupuestal del Ministerio de Obras Públicas y Comunicaciones (MOPC), durante el periodo </w:t>
      </w:r>
      <w:r w:rsidR="00B5550F" w:rsidRPr="00084D33">
        <w:rPr>
          <w:color w:val="767171"/>
        </w:rPr>
        <w:t>enero – diciembre</w:t>
      </w:r>
      <w:r w:rsidRPr="00084D33">
        <w:rPr>
          <w:color w:val="767171"/>
        </w:rPr>
        <w:t xml:space="preserve"> del 2024, distribuida para el desempeño de las funciones de la institución, con la finalidad de contribuir al logro de las metas programadas para el periodo citado. Las mayores ejecutorias del citado periodo, se registraron  en los Programas 12 y 13 correspondientes al Mantenimiento, Seguridad y Asistencia Vial y al Desarrollo de la Infraestructura Física de Carreteras respectivamente, con un total de Doscientos </w:t>
      </w:r>
      <w:r w:rsidR="00451EFC">
        <w:rPr>
          <w:color w:val="767171"/>
        </w:rPr>
        <w:t>Catorce</w:t>
      </w:r>
      <w:r w:rsidRPr="00084D33">
        <w:rPr>
          <w:color w:val="767171"/>
        </w:rPr>
        <w:t xml:space="preserve"> (2</w:t>
      </w:r>
      <w:r w:rsidR="00451EFC">
        <w:rPr>
          <w:color w:val="767171"/>
        </w:rPr>
        <w:t>14</w:t>
      </w:r>
      <w:r w:rsidRPr="00084D33">
        <w:rPr>
          <w:color w:val="767171"/>
        </w:rPr>
        <w:t xml:space="preserve">) proyectos y un monto ejecutado ascendente a la suma de </w:t>
      </w:r>
      <w:r w:rsidR="00D30370" w:rsidRPr="00084D33">
        <w:rPr>
          <w:color w:val="767171"/>
        </w:rPr>
        <w:t>RD$17,5</w:t>
      </w:r>
      <w:r w:rsidR="00451EFC">
        <w:rPr>
          <w:color w:val="767171"/>
        </w:rPr>
        <w:t>3</w:t>
      </w:r>
      <w:r w:rsidR="00D30370" w:rsidRPr="00084D33">
        <w:rPr>
          <w:color w:val="767171"/>
        </w:rPr>
        <w:t xml:space="preserve">6,210,606.62 (Diecisiete Mil Quinientos </w:t>
      </w:r>
      <w:r w:rsidR="00451EFC">
        <w:rPr>
          <w:color w:val="767171"/>
        </w:rPr>
        <w:t>Treinta</w:t>
      </w:r>
      <w:r w:rsidR="00D30370" w:rsidRPr="00084D33">
        <w:rPr>
          <w:color w:val="767171"/>
        </w:rPr>
        <w:t xml:space="preserve"> y Seis Millones Doscientos Diez Mil Seiscientos Seis Pesos con 62/100) y </w:t>
      </w:r>
      <w:r w:rsidR="00451EFC">
        <w:rPr>
          <w:color w:val="767171"/>
        </w:rPr>
        <w:lastRenderedPageBreak/>
        <w:t>RD$7</w:t>
      </w:r>
      <w:r w:rsidR="00D30370" w:rsidRPr="00084D33">
        <w:rPr>
          <w:color w:val="767171"/>
        </w:rPr>
        <w:t>,</w:t>
      </w:r>
      <w:r w:rsidR="00451EFC">
        <w:rPr>
          <w:color w:val="767171"/>
        </w:rPr>
        <w:t>97</w:t>
      </w:r>
      <w:r w:rsidR="00D30370" w:rsidRPr="00084D33">
        <w:rPr>
          <w:color w:val="767171"/>
        </w:rPr>
        <w:t>2,2</w:t>
      </w:r>
      <w:r w:rsidR="00451EFC">
        <w:rPr>
          <w:color w:val="767171"/>
        </w:rPr>
        <w:t>3</w:t>
      </w:r>
      <w:r w:rsidR="00D30370" w:rsidRPr="00084D33">
        <w:rPr>
          <w:color w:val="767171"/>
        </w:rPr>
        <w:t>4,697.</w:t>
      </w:r>
      <w:r w:rsidR="00451EFC">
        <w:rPr>
          <w:color w:val="767171"/>
        </w:rPr>
        <w:t>1</w:t>
      </w:r>
      <w:r w:rsidR="00D30370" w:rsidRPr="00084D33">
        <w:rPr>
          <w:color w:val="767171"/>
        </w:rPr>
        <w:t>7 (</w:t>
      </w:r>
      <w:r w:rsidR="00451EFC">
        <w:rPr>
          <w:color w:val="767171"/>
        </w:rPr>
        <w:t>Siete</w:t>
      </w:r>
      <w:r w:rsidR="00D30370" w:rsidRPr="00084D33">
        <w:rPr>
          <w:color w:val="767171"/>
        </w:rPr>
        <w:t xml:space="preserve"> Mil </w:t>
      </w:r>
      <w:r w:rsidR="00451EFC">
        <w:rPr>
          <w:color w:val="767171"/>
        </w:rPr>
        <w:t>Novec</w:t>
      </w:r>
      <w:r w:rsidR="00D30370" w:rsidRPr="00084D33">
        <w:rPr>
          <w:color w:val="767171"/>
        </w:rPr>
        <w:t>i</w:t>
      </w:r>
      <w:r w:rsidR="00451EFC">
        <w:rPr>
          <w:color w:val="767171"/>
        </w:rPr>
        <w:t>e</w:t>
      </w:r>
      <w:r w:rsidR="00D30370" w:rsidRPr="00084D33">
        <w:rPr>
          <w:color w:val="767171"/>
        </w:rPr>
        <w:t>ntos</w:t>
      </w:r>
      <w:r w:rsidR="00451EFC">
        <w:rPr>
          <w:color w:val="767171"/>
        </w:rPr>
        <w:t xml:space="preserve"> Setenta y Dos</w:t>
      </w:r>
      <w:r w:rsidR="00D30370" w:rsidRPr="00084D33">
        <w:rPr>
          <w:color w:val="767171"/>
        </w:rPr>
        <w:t xml:space="preserve"> Millones </w:t>
      </w:r>
      <w:r w:rsidR="00451EFC">
        <w:rPr>
          <w:color w:val="767171"/>
        </w:rPr>
        <w:t>Do</w:t>
      </w:r>
      <w:r w:rsidR="00D30370" w:rsidRPr="00084D33">
        <w:rPr>
          <w:color w:val="767171"/>
        </w:rPr>
        <w:t xml:space="preserve">scientos </w:t>
      </w:r>
      <w:r w:rsidR="00451EFC">
        <w:rPr>
          <w:color w:val="767171"/>
        </w:rPr>
        <w:t>Trei</w:t>
      </w:r>
      <w:r w:rsidR="00D30370" w:rsidRPr="00084D33">
        <w:rPr>
          <w:color w:val="767171"/>
        </w:rPr>
        <w:t>nt</w:t>
      </w:r>
      <w:r w:rsidR="00451EFC">
        <w:rPr>
          <w:color w:val="767171"/>
        </w:rPr>
        <w:t>a y C</w:t>
      </w:r>
      <w:r w:rsidR="00D30370" w:rsidRPr="00084D33">
        <w:rPr>
          <w:color w:val="767171"/>
        </w:rPr>
        <w:t>uatro Mil Seiscie</w:t>
      </w:r>
      <w:r w:rsidR="00451EFC">
        <w:rPr>
          <w:color w:val="767171"/>
        </w:rPr>
        <w:t>ntos Noventa y Siete Pesos con 1</w:t>
      </w:r>
      <w:r w:rsidR="00D30370" w:rsidRPr="00084D33">
        <w:rPr>
          <w:color w:val="767171"/>
        </w:rPr>
        <w:t>7/100), respectivamente para un monto total de ejecución de RD$25,</w:t>
      </w:r>
      <w:r w:rsidR="00451EFC">
        <w:rPr>
          <w:color w:val="767171"/>
        </w:rPr>
        <w:t>5</w:t>
      </w:r>
      <w:r w:rsidR="00D30370" w:rsidRPr="00084D33">
        <w:rPr>
          <w:color w:val="767171"/>
        </w:rPr>
        <w:t>08,</w:t>
      </w:r>
      <w:r w:rsidR="00451EFC">
        <w:rPr>
          <w:color w:val="767171"/>
        </w:rPr>
        <w:t>44</w:t>
      </w:r>
      <w:r w:rsidR="00D30370" w:rsidRPr="00084D33">
        <w:rPr>
          <w:color w:val="767171"/>
        </w:rPr>
        <w:t>5,30</w:t>
      </w:r>
      <w:r w:rsidR="00451EFC">
        <w:rPr>
          <w:color w:val="767171"/>
        </w:rPr>
        <w:t>3</w:t>
      </w:r>
      <w:r w:rsidR="00D30370" w:rsidRPr="00084D33">
        <w:rPr>
          <w:color w:val="767171"/>
        </w:rPr>
        <w:t>.</w:t>
      </w:r>
      <w:r w:rsidR="00451EFC">
        <w:rPr>
          <w:color w:val="767171"/>
        </w:rPr>
        <w:t>7</w:t>
      </w:r>
      <w:r w:rsidR="00D30370" w:rsidRPr="00084D33">
        <w:rPr>
          <w:color w:val="767171"/>
        </w:rPr>
        <w:t xml:space="preserve">9 (Veinticinco Mil </w:t>
      </w:r>
      <w:r w:rsidR="00451EFC">
        <w:rPr>
          <w:color w:val="767171"/>
        </w:rPr>
        <w:t>Quin</w:t>
      </w:r>
      <w:r w:rsidR="00D30370" w:rsidRPr="00084D33">
        <w:rPr>
          <w:color w:val="767171"/>
        </w:rPr>
        <w:t xml:space="preserve">ientos Ocho Millones </w:t>
      </w:r>
      <w:r w:rsidR="00451EFC">
        <w:rPr>
          <w:color w:val="767171"/>
        </w:rPr>
        <w:t>Cuatroc</w:t>
      </w:r>
      <w:r w:rsidR="00D30370" w:rsidRPr="00084D33">
        <w:rPr>
          <w:color w:val="767171"/>
        </w:rPr>
        <w:t xml:space="preserve">ientos </w:t>
      </w:r>
      <w:r w:rsidR="00451EFC">
        <w:rPr>
          <w:color w:val="767171"/>
        </w:rPr>
        <w:t>Cua</w:t>
      </w:r>
      <w:r w:rsidR="00D30370" w:rsidRPr="00084D33">
        <w:rPr>
          <w:color w:val="767171"/>
        </w:rPr>
        <w:t xml:space="preserve">renta y Cinco Mil Trescientos </w:t>
      </w:r>
      <w:r w:rsidR="00451EFC">
        <w:rPr>
          <w:color w:val="767171"/>
        </w:rPr>
        <w:t>Tres</w:t>
      </w:r>
      <w:r w:rsidR="00D30370" w:rsidRPr="00084D33">
        <w:rPr>
          <w:color w:val="767171"/>
        </w:rPr>
        <w:t xml:space="preserve"> Pesos con </w:t>
      </w:r>
      <w:r w:rsidR="00451EFC">
        <w:rPr>
          <w:color w:val="767171"/>
        </w:rPr>
        <w:t>79/100), lo que representa un 66.4</w:t>
      </w:r>
      <w:r w:rsidR="00D30370" w:rsidRPr="00084D33">
        <w:rPr>
          <w:color w:val="767171"/>
        </w:rPr>
        <w:t>% ejecutado por los programas 12 y 13 con respecto al total programado en el Plan de Inversión para el año fiscal vigente</w:t>
      </w:r>
      <w:r w:rsidRPr="00084D33">
        <w:rPr>
          <w:color w:val="767171"/>
        </w:rPr>
        <w:t xml:space="preserve">. </w:t>
      </w:r>
    </w:p>
    <w:p w14:paraId="3D8EFC9B" w14:textId="77777777" w:rsidR="00D3523B" w:rsidRPr="00084D33" w:rsidRDefault="00D3523B" w:rsidP="00D3523B">
      <w:pPr>
        <w:pStyle w:val="Textoindependiente"/>
        <w:spacing w:line="360" w:lineRule="auto"/>
        <w:jc w:val="both"/>
        <w:rPr>
          <w:color w:val="767171"/>
        </w:rPr>
      </w:pPr>
    </w:p>
    <w:p w14:paraId="317D9E6D" w14:textId="77777777" w:rsidR="00D3523B" w:rsidRPr="00084D33" w:rsidRDefault="00D3523B" w:rsidP="00D3523B">
      <w:pPr>
        <w:pStyle w:val="Textoindependiente"/>
        <w:spacing w:line="360" w:lineRule="auto"/>
        <w:jc w:val="both"/>
        <w:rPr>
          <w:color w:val="767171"/>
        </w:rPr>
      </w:pPr>
    </w:p>
    <w:p w14:paraId="6AE32051" w14:textId="17028EB1" w:rsidR="00643713" w:rsidRPr="00084D33" w:rsidRDefault="00D3523B" w:rsidP="00D3523B">
      <w:pPr>
        <w:pStyle w:val="Textoindependiente"/>
        <w:spacing w:line="360" w:lineRule="auto"/>
        <w:jc w:val="both"/>
        <w:rPr>
          <w:color w:val="767171"/>
        </w:rPr>
      </w:pPr>
      <w:r w:rsidRPr="00084D33">
        <w:rPr>
          <w:color w:val="767171"/>
        </w:rPr>
        <w:t xml:space="preserve">El desempeño de la ejecución presupuestaria por programa y los productos generados por el MOPC durante el periodo </w:t>
      </w:r>
      <w:r w:rsidR="000A17C8" w:rsidRPr="00084D33">
        <w:rPr>
          <w:color w:val="767171"/>
        </w:rPr>
        <w:t>Enero-diciembre</w:t>
      </w:r>
      <w:r w:rsidRPr="00084D33">
        <w:rPr>
          <w:color w:val="767171"/>
        </w:rPr>
        <w:t xml:space="preserve"> del año fiscal vigente, se presenta en la tabla siguiente</w:t>
      </w:r>
      <w:r w:rsidR="00643713" w:rsidRPr="00084D33">
        <w:rPr>
          <w:color w:val="767171"/>
        </w:rPr>
        <w:t xml:space="preserve">: </w:t>
      </w:r>
    </w:p>
    <w:p w14:paraId="265BAAE7" w14:textId="77777777" w:rsidR="00643713" w:rsidRPr="00084D33" w:rsidRDefault="00643713" w:rsidP="00643713">
      <w:pPr>
        <w:pStyle w:val="Textoindependiente"/>
        <w:spacing w:line="360" w:lineRule="auto"/>
        <w:jc w:val="both"/>
        <w:rPr>
          <w:color w:val="767171"/>
        </w:rPr>
      </w:pPr>
    </w:p>
    <w:p w14:paraId="66EEC629" w14:textId="47F2894C" w:rsidR="002B2568" w:rsidRPr="00084D33" w:rsidRDefault="0034062E" w:rsidP="0034062E">
      <w:pPr>
        <w:pStyle w:val="Textoindependiente"/>
        <w:spacing w:line="360" w:lineRule="auto"/>
        <w:ind w:left="-142"/>
        <w:jc w:val="both"/>
        <w:rPr>
          <w:color w:val="767171"/>
        </w:rPr>
      </w:pPr>
      <w:r w:rsidRPr="00084D33">
        <w:rPr>
          <w:noProof/>
          <w:color w:val="767171"/>
          <w:lang w:val="es-DO" w:eastAsia="es-DO" w:bidi="ar-SA"/>
        </w:rPr>
        <w:lastRenderedPageBreak/>
        <w:drawing>
          <wp:inline distT="0" distB="0" distL="0" distR="0" wp14:anchorId="5B2BBC1B" wp14:editId="4CE352F6">
            <wp:extent cx="7938756" cy="537654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7966744" cy="5395500"/>
                    </a:xfrm>
                    <a:prstGeom prst="rect">
                      <a:avLst/>
                    </a:prstGeom>
                    <a:noFill/>
                    <a:ln>
                      <a:noFill/>
                    </a:ln>
                  </pic:spPr>
                </pic:pic>
              </a:graphicData>
            </a:graphic>
          </wp:inline>
        </w:drawing>
      </w:r>
      <w:r w:rsidRPr="00084D33">
        <w:rPr>
          <w:color w:val="767171"/>
          <w:highlight w:val="yellow"/>
        </w:rPr>
        <w:t xml:space="preserve"> </w:t>
      </w:r>
    </w:p>
    <w:p w14:paraId="26EF6682" w14:textId="508259A1" w:rsidR="00997F4D" w:rsidRPr="00084D33" w:rsidRDefault="00997F4D" w:rsidP="008471D7">
      <w:pPr>
        <w:ind w:left="-360"/>
        <w:rPr>
          <w:rFonts w:eastAsia="Calibri" w:cs="Times New Roman"/>
        </w:rPr>
      </w:pPr>
    </w:p>
    <w:p w14:paraId="12565518" w14:textId="302DDD2C" w:rsidR="00AC2BAC" w:rsidRPr="00084D33" w:rsidRDefault="00427400" w:rsidP="00C517AE">
      <w:pPr>
        <w:pStyle w:val="Ttulo3RdeC"/>
        <w:numPr>
          <w:ilvl w:val="0"/>
          <w:numId w:val="0"/>
        </w:numPr>
        <w:ind w:left="672"/>
        <w:jc w:val="center"/>
        <w:rPr>
          <w:color w:val="767171"/>
        </w:rPr>
      </w:pPr>
      <w:r w:rsidRPr="00084D33">
        <w:rPr>
          <w:color w:val="767171"/>
          <w:lang w:val="es-ES"/>
        </w:rPr>
        <w:t>4.1.3.1</w:t>
      </w:r>
      <w:r w:rsidRPr="00084D33">
        <w:rPr>
          <w:color w:val="767171"/>
        </w:rPr>
        <w:tab/>
      </w:r>
      <w:r w:rsidRPr="00084D33">
        <w:rPr>
          <w:color w:val="767171"/>
        </w:rPr>
        <w:tab/>
      </w:r>
      <w:r w:rsidR="00AC2BAC" w:rsidRPr="00084D33">
        <w:rPr>
          <w:color w:val="767171"/>
        </w:rPr>
        <w:t xml:space="preserve">Ejecución Física y Financiera por Proyectos de Inversión </w:t>
      </w:r>
      <w:r w:rsidR="00F2097C" w:rsidRPr="00084D33">
        <w:rPr>
          <w:color w:val="767171"/>
        </w:rPr>
        <w:t xml:space="preserve">para el periodo </w:t>
      </w:r>
      <w:r w:rsidR="000A17C8" w:rsidRPr="00084D33">
        <w:rPr>
          <w:color w:val="767171"/>
        </w:rPr>
        <w:t>enero-diciembre</w:t>
      </w:r>
      <w:r w:rsidR="006C0CCA" w:rsidRPr="00084D33">
        <w:rPr>
          <w:color w:val="767171"/>
        </w:rPr>
        <w:t xml:space="preserve"> del año 2024</w:t>
      </w:r>
    </w:p>
    <w:p w14:paraId="13F2C359" w14:textId="77777777" w:rsidR="00F2097C" w:rsidRPr="00084D33" w:rsidRDefault="00F2097C" w:rsidP="008A280A">
      <w:pPr>
        <w:ind w:left="1470"/>
        <w:rPr>
          <w:rFonts w:cs="Times New Roman"/>
        </w:rPr>
      </w:pPr>
    </w:p>
    <w:p w14:paraId="2AB52434" w14:textId="20CFE8BA" w:rsidR="003B6AE7" w:rsidRPr="00084D33" w:rsidRDefault="00551B3B" w:rsidP="00D24B09">
      <w:pPr>
        <w:spacing w:after="160"/>
      </w:pPr>
      <w:r w:rsidRPr="00084D33">
        <w:t xml:space="preserve">El Ministerio de Obras Públicas y Comunicaciones (MOPC), con el objetivo de administrar los recursos asignados en el Presupuesto Nacional de Inversión Pública del Estado para el periodo </w:t>
      </w:r>
      <w:r w:rsidR="000A17C8" w:rsidRPr="00084D33">
        <w:t>enero-diciembre</w:t>
      </w:r>
      <w:r w:rsidRPr="00084D33">
        <w:t xml:space="preserve"> del 2024, distribuidos acorde a los programas vigentes en el Sistema Nacional de Inversión Pública (SNIP) y a las metas de producción programadas para el logro de los objetivos, registra en el anexo c del presente documento, el índice de gestión presupuestaria correspondiente al periodo </w:t>
      </w:r>
      <w:r w:rsidR="000A17C8" w:rsidRPr="00084D33">
        <w:t>enero-diciembre</w:t>
      </w:r>
      <w:r w:rsidRPr="00084D33">
        <w:t xml:space="preserve"> del año 2024 (IGP), integrando la programación versus la ejecución financiera y el indicador de eficacia (%) resultante de los desempeños de la producción institucional del año fiscal vigente.</w:t>
      </w:r>
    </w:p>
    <w:p w14:paraId="5A131F11" w14:textId="08BBEC5A" w:rsidR="00FB5E89" w:rsidRPr="00084D33" w:rsidRDefault="00FB5E89" w:rsidP="00D24B09">
      <w:pPr>
        <w:spacing w:after="160"/>
      </w:pPr>
    </w:p>
    <w:p w14:paraId="21AC173C" w14:textId="2AC1BE48" w:rsidR="00AC2BAC" w:rsidRPr="00084D33" w:rsidRDefault="00AC2BAC" w:rsidP="00434A4D">
      <w:pPr>
        <w:rPr>
          <w:rFonts w:cs="Times New Roman"/>
          <w:highlight w:val="green"/>
        </w:rPr>
      </w:pPr>
    </w:p>
    <w:p w14:paraId="20C71331" w14:textId="0ADD155E" w:rsidR="00DE7546" w:rsidRPr="00084D33" w:rsidRDefault="00B3060E" w:rsidP="00C517AE">
      <w:pPr>
        <w:ind w:left="1380"/>
        <w:jc w:val="center"/>
        <w:rPr>
          <w:rFonts w:cs="Times New Roman"/>
          <w:b/>
        </w:rPr>
      </w:pPr>
      <w:r w:rsidRPr="00084D33">
        <w:rPr>
          <w:rFonts w:cs="Times New Roman"/>
          <w:b/>
        </w:rPr>
        <w:t>4.1.</w:t>
      </w:r>
      <w:r w:rsidR="00427400" w:rsidRPr="00084D33">
        <w:rPr>
          <w:rFonts w:cs="Times New Roman"/>
          <w:b/>
        </w:rPr>
        <w:t>3.2</w:t>
      </w:r>
      <w:r w:rsidR="00427400" w:rsidRPr="00084D33">
        <w:rPr>
          <w:rFonts w:cs="Times New Roman"/>
          <w:b/>
        </w:rPr>
        <w:tab/>
      </w:r>
      <w:r w:rsidRPr="00084D33">
        <w:rPr>
          <w:rFonts w:cs="Times New Roman"/>
          <w:b/>
        </w:rPr>
        <w:t xml:space="preserve"> </w:t>
      </w:r>
      <w:r w:rsidR="00DE7546" w:rsidRPr="00084D33">
        <w:rPr>
          <w:rFonts w:cs="Times New Roman"/>
          <w:b/>
        </w:rPr>
        <w:t>Ingresos (Recaudaciones) por otros Conceptos</w:t>
      </w:r>
    </w:p>
    <w:p w14:paraId="5001A7F2" w14:textId="77777777" w:rsidR="001A26A0" w:rsidRPr="00084D33" w:rsidRDefault="001A26A0" w:rsidP="001A26A0">
      <w:pPr>
        <w:rPr>
          <w:rFonts w:cs="Times New Roman"/>
        </w:rPr>
      </w:pPr>
      <w:bookmarkStart w:id="68" w:name="_Hlk90809072"/>
    </w:p>
    <w:p w14:paraId="5227D580" w14:textId="77777777" w:rsidR="001A26A0" w:rsidRPr="00084D33" w:rsidRDefault="001A26A0" w:rsidP="001A26A0">
      <w:pPr>
        <w:rPr>
          <w:rFonts w:cs="Times New Roman"/>
        </w:rPr>
      </w:pPr>
    </w:p>
    <w:p w14:paraId="664E3D50" w14:textId="5CF7356B" w:rsidR="001A26A0" w:rsidRPr="00084D33" w:rsidRDefault="001A26A0" w:rsidP="001A26A0">
      <w:pPr>
        <w:rPr>
          <w:rFonts w:cs="Times New Roman"/>
        </w:rPr>
      </w:pPr>
      <w:r w:rsidRPr="00084D33">
        <w:rPr>
          <w:rFonts w:cs="Times New Roman"/>
        </w:rPr>
        <w:t xml:space="preserve">La institución utilizó la asignación presupuestaria por proyectos consignada en el Presupuesto Nacional de Inversión Pública del Estado para el periodo </w:t>
      </w:r>
      <w:r w:rsidR="000A17C8" w:rsidRPr="00084D33">
        <w:rPr>
          <w:rFonts w:cs="Times New Roman"/>
        </w:rPr>
        <w:t>enero-diciembre</w:t>
      </w:r>
      <w:r w:rsidRPr="00084D33">
        <w:rPr>
          <w:rFonts w:cs="Times New Roman"/>
        </w:rPr>
        <w:t xml:space="preserve"> del 2024, adjudicada de acuerdo a la programación de las metas de producción física y financiera de los diferentes proyectos de inversión pública contenidos en los programas para el año fiscal vigente, con sus costos totales y la ejecución realizada en el citado periodo, los cuales se registran en el cuadro siguiente:  </w:t>
      </w:r>
    </w:p>
    <w:p w14:paraId="74035C84" w14:textId="57655A83" w:rsidR="007034CB" w:rsidRPr="00084D33" w:rsidRDefault="007034CB" w:rsidP="00AB04EB">
      <w:pPr>
        <w:pStyle w:val="Textoindependiente"/>
        <w:spacing w:line="360" w:lineRule="auto"/>
        <w:jc w:val="both"/>
        <w:rPr>
          <w:color w:val="767171"/>
        </w:rPr>
      </w:pPr>
      <w:r w:rsidRPr="00084D33">
        <w:rPr>
          <w:color w:val="767171"/>
        </w:rPr>
        <w:t>:</w:t>
      </w:r>
      <w:r w:rsidR="00D97A64" w:rsidRPr="00084D33">
        <w:rPr>
          <w:color w:val="767171"/>
        </w:rPr>
        <w:t xml:space="preserve"> </w:t>
      </w:r>
    </w:p>
    <w:p w14:paraId="4B56B778" w14:textId="530594A3" w:rsidR="00EE3F93" w:rsidRPr="00084D33" w:rsidRDefault="00EE3F93" w:rsidP="00B3060E">
      <w:pPr>
        <w:pStyle w:val="Textoindependiente"/>
        <w:spacing w:line="360" w:lineRule="auto"/>
        <w:jc w:val="both"/>
        <w:rPr>
          <w:color w:val="767171"/>
        </w:rPr>
      </w:pPr>
    </w:p>
    <w:p w14:paraId="182411A6" w14:textId="77777777" w:rsidR="00A36753" w:rsidRPr="00084D33" w:rsidRDefault="00A36753" w:rsidP="00B3060E">
      <w:pPr>
        <w:pStyle w:val="Textoindependiente"/>
        <w:spacing w:line="360" w:lineRule="auto"/>
        <w:jc w:val="both"/>
        <w:rPr>
          <w:color w:val="767171"/>
        </w:rPr>
      </w:pPr>
    </w:p>
    <w:p w14:paraId="142B4B74" w14:textId="6DC9511E" w:rsidR="002A29EA" w:rsidRPr="00084D33" w:rsidRDefault="009569B2" w:rsidP="00E211D2">
      <w:pPr>
        <w:pStyle w:val="Textoindependiente"/>
        <w:spacing w:line="360" w:lineRule="auto"/>
        <w:jc w:val="center"/>
        <w:rPr>
          <w:color w:val="767171"/>
          <w:lang w:val="es-DO"/>
        </w:rPr>
      </w:pPr>
      <w:r w:rsidRPr="00084D33">
        <w:rPr>
          <w:noProof/>
          <w:color w:val="767171"/>
          <w:lang w:val="es-DO" w:eastAsia="es-DO" w:bidi="ar-SA"/>
        </w:rPr>
        <w:lastRenderedPageBreak/>
        <w:drawing>
          <wp:inline distT="0" distB="0" distL="0" distR="0" wp14:anchorId="5DE8C1EC" wp14:editId="11F23546">
            <wp:extent cx="5028565" cy="7987553"/>
            <wp:effectExtent l="0" t="0" r="63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3987" cy="8012051"/>
                    </a:xfrm>
                    <a:prstGeom prst="rect">
                      <a:avLst/>
                    </a:prstGeom>
                    <a:noFill/>
                    <a:ln>
                      <a:noFill/>
                    </a:ln>
                  </pic:spPr>
                </pic:pic>
              </a:graphicData>
            </a:graphic>
          </wp:inline>
        </w:drawing>
      </w:r>
    </w:p>
    <w:p w14:paraId="7B342C4D" w14:textId="77777777" w:rsidR="00AB04EB" w:rsidRPr="00084D33" w:rsidRDefault="00562F06" w:rsidP="00AB04EB">
      <w:pPr>
        <w:keepNext/>
        <w:keepLines/>
        <w:spacing w:before="240" w:line="259" w:lineRule="auto"/>
        <w:ind w:firstLine="709"/>
        <w:jc w:val="center"/>
        <w:outlineLvl w:val="1"/>
        <w:rPr>
          <w:rFonts w:eastAsia="Times New Roman" w:cs="Times New Roman"/>
          <w:b/>
          <w:szCs w:val="32"/>
        </w:rPr>
      </w:pPr>
      <w:bookmarkStart w:id="69" w:name="_Toc186924355"/>
      <w:bookmarkStart w:id="70" w:name="_Toc78583644"/>
      <w:bookmarkEnd w:id="68"/>
      <w:r w:rsidRPr="00084D33">
        <w:rPr>
          <w:rFonts w:eastAsia="Times New Roman" w:cs="Times New Roman"/>
          <w:b/>
          <w:szCs w:val="32"/>
        </w:rPr>
        <w:lastRenderedPageBreak/>
        <w:t xml:space="preserve">4.1.4 </w:t>
      </w:r>
      <w:r w:rsidR="00AB04EB" w:rsidRPr="00084D33">
        <w:rPr>
          <w:rFonts w:eastAsia="Times New Roman" w:cs="Times New Roman"/>
          <w:b/>
          <w:szCs w:val="32"/>
        </w:rPr>
        <w:tab/>
        <w:t>Plan Nacional Plurianual de Inversión Pública</w:t>
      </w:r>
      <w:bookmarkEnd w:id="69"/>
      <w:r w:rsidR="00AB04EB" w:rsidRPr="00084D33">
        <w:rPr>
          <w:rFonts w:eastAsia="Times New Roman" w:cs="Times New Roman"/>
          <w:b/>
          <w:szCs w:val="32"/>
        </w:rPr>
        <w:t xml:space="preserve"> </w:t>
      </w:r>
    </w:p>
    <w:p w14:paraId="3C172F81" w14:textId="77777777" w:rsidR="00AB04EB" w:rsidRPr="00084D33" w:rsidRDefault="00AB04EB" w:rsidP="00AB04EB"/>
    <w:p w14:paraId="108D433E" w14:textId="18B735BD" w:rsidR="00203AFF" w:rsidRPr="00084D33" w:rsidRDefault="00203AFF" w:rsidP="00203AFF">
      <w:pPr>
        <w:rPr>
          <w:rFonts w:eastAsia="Calibri" w:cs="Times New Roman"/>
          <w:noProof/>
          <w:spacing w:val="20"/>
          <w:szCs w:val="24"/>
        </w:rPr>
      </w:pPr>
      <w:r w:rsidRPr="00084D33">
        <w:rPr>
          <w:rFonts w:eastAsia="Calibri" w:cs="Times New Roman"/>
          <w:noProof/>
          <w:spacing w:val="20"/>
          <w:szCs w:val="24"/>
        </w:rPr>
        <w:t>El Plan Nacional Plurianual del Sector Público (PNPSP), instrumento de planificación para el cuatrienio 2021-2024 de nuestro país, se encuentra en su fase final correspondiente al año 2024 y por ende el Plan Plurianual de Inversión Pública del Ministerio de Obras Públicas y Comunicaciones tambien; se realizó la actualización del ultimo año del mismo en el primer semestre del periodo fiscal vigente, con la finalidad de conciliar los indicadores específicos y monitorear los avances de las acciones ejecutadas vinculadas a las politicas públicas definidas para los ejes que desarrolla la institución para alcanzar las metas programadas en un corto y largo plazo y para la preparación de los Planes Estratégicos, Planes Sectoriales y Planes Institucionales del Ministerio.</w:t>
      </w:r>
    </w:p>
    <w:p w14:paraId="16595CF2" w14:textId="77777777" w:rsidR="00203AFF" w:rsidRPr="00084D33" w:rsidRDefault="00203AFF" w:rsidP="00203AFF">
      <w:pPr>
        <w:rPr>
          <w:rFonts w:eastAsia="Calibri" w:cs="Times New Roman"/>
          <w:noProof/>
          <w:spacing w:val="20"/>
          <w:szCs w:val="24"/>
        </w:rPr>
      </w:pPr>
    </w:p>
    <w:p w14:paraId="7D4F64F6" w14:textId="4E009A06" w:rsidR="00203AFF" w:rsidRPr="00084D33" w:rsidRDefault="00203AFF" w:rsidP="00203AFF">
      <w:pPr>
        <w:rPr>
          <w:rFonts w:eastAsia="Calibri" w:cs="Times New Roman"/>
          <w:noProof/>
          <w:spacing w:val="20"/>
          <w:szCs w:val="24"/>
        </w:rPr>
      </w:pPr>
      <w:r w:rsidRPr="00084D33">
        <w:rPr>
          <w:rFonts w:eastAsia="Calibri" w:cs="Times New Roman"/>
          <w:noProof/>
          <w:spacing w:val="20"/>
          <w:szCs w:val="24"/>
        </w:rPr>
        <w:t xml:space="preserve">Posteriormente, durante el periodo </w:t>
      </w:r>
      <w:r w:rsidR="000A17C8" w:rsidRPr="00084D33">
        <w:rPr>
          <w:rFonts w:eastAsia="Calibri" w:cs="Times New Roman"/>
          <w:noProof/>
          <w:spacing w:val="20"/>
          <w:szCs w:val="24"/>
        </w:rPr>
        <w:t>enero-diciembre</w:t>
      </w:r>
      <w:r w:rsidRPr="00084D33">
        <w:rPr>
          <w:rFonts w:eastAsia="Calibri" w:cs="Times New Roman"/>
          <w:noProof/>
          <w:spacing w:val="20"/>
          <w:szCs w:val="24"/>
        </w:rPr>
        <w:t xml:space="preserve"> del año 2024,  el MOPC preparó el Plan Plurianual de Inversión Pública correspondietne al cuatrienio 2025-2028, conteniendo la programación de los planes, programas y proyectos a desarrollar a partir del año próximo, con el objetivo de priorizar en un horizonte plurianual los proyectos de inversión pública, acorde a los resultados e impactos generados por las políticas sectoriales definidas en el Plan de Gobierno del período vigente, a la Estrategia Nacional de Desarrollo (END) 2030 y a los Objetivos de Desarrollo Sostenible (ODS). El PNPIP del MOPC integró para el año fiscal 2025, un total de quinientos catorce (514) Códigos SNIP proyectos programados con sus respectivos Códigos SNIP y una inversión asignada que permitirá el logro de los objetivos planteados por la institución, en consonancia con las prioridades de la nación dominicana.</w:t>
      </w:r>
    </w:p>
    <w:p w14:paraId="69E12248" w14:textId="77777777" w:rsidR="00203AFF" w:rsidRPr="00084D33" w:rsidRDefault="00203AFF" w:rsidP="00203AFF">
      <w:pPr>
        <w:rPr>
          <w:rFonts w:eastAsia="Calibri" w:cs="Times New Roman"/>
          <w:noProof/>
          <w:spacing w:val="20"/>
          <w:szCs w:val="24"/>
        </w:rPr>
      </w:pPr>
    </w:p>
    <w:p w14:paraId="6C48CFB8" w14:textId="7CED1A2A" w:rsidR="00AB04EB" w:rsidRPr="00084D33" w:rsidRDefault="00203AFF" w:rsidP="00203AFF">
      <w:pPr>
        <w:rPr>
          <w:rFonts w:eastAsia="Calibri" w:cs="Times New Roman"/>
          <w:noProof/>
          <w:spacing w:val="20"/>
          <w:szCs w:val="24"/>
        </w:rPr>
      </w:pPr>
      <w:r w:rsidRPr="00084D33">
        <w:rPr>
          <w:rFonts w:eastAsia="Calibri" w:cs="Times New Roman"/>
          <w:noProof/>
          <w:spacing w:val="20"/>
          <w:szCs w:val="24"/>
        </w:rPr>
        <w:lastRenderedPageBreak/>
        <w:t>El Plan Nacional Plurianual de Inversión Pública (PNPIP) del MOPC para el cuatrienio 2025-2028, establece los lineamientos de gestión del sector público, señalados en el Artículo No. 4 de la Ley No. 498-06 que constituye el Sistema Nacional de Planificacion e Inversión Pública, instrumento base para la preparación del Plan Nacional Plurianual del Sector Publico (PNPSP) 2025-2028</w:t>
      </w:r>
      <w:r w:rsidR="00AB04EB" w:rsidRPr="00084D33">
        <w:rPr>
          <w:rFonts w:eastAsia="Calibri" w:cs="Times New Roman"/>
          <w:noProof/>
          <w:spacing w:val="20"/>
          <w:szCs w:val="24"/>
        </w:rPr>
        <w:t>.</w:t>
      </w:r>
    </w:p>
    <w:p w14:paraId="0CEC070D" w14:textId="6E59F89F" w:rsidR="00AB04EB" w:rsidRPr="00084D33" w:rsidRDefault="00AB04EB" w:rsidP="00AB04EB"/>
    <w:p w14:paraId="0CA3DE7B" w14:textId="77777777" w:rsidR="00203AFF" w:rsidRPr="00084D33" w:rsidRDefault="00203AFF" w:rsidP="00AB04EB"/>
    <w:p w14:paraId="46A3743A" w14:textId="4C03A736" w:rsidR="00A4351C" w:rsidRPr="00084D33" w:rsidRDefault="00AB04EB" w:rsidP="00AB04EB">
      <w:pPr>
        <w:keepNext/>
        <w:keepLines/>
        <w:spacing w:before="240" w:line="259" w:lineRule="auto"/>
        <w:ind w:firstLine="709"/>
        <w:jc w:val="center"/>
        <w:outlineLvl w:val="1"/>
        <w:rPr>
          <w:rFonts w:eastAsia="Times New Roman" w:cs="Times New Roman"/>
          <w:b/>
          <w:szCs w:val="32"/>
        </w:rPr>
      </w:pPr>
      <w:bookmarkStart w:id="71" w:name="_Toc186924356"/>
      <w:r w:rsidRPr="00084D33">
        <w:rPr>
          <w:rFonts w:eastAsia="Times New Roman" w:cs="Times New Roman"/>
          <w:b/>
          <w:szCs w:val="32"/>
        </w:rPr>
        <w:t>4.1.5</w:t>
      </w:r>
      <w:r w:rsidRPr="00084D33">
        <w:rPr>
          <w:rFonts w:eastAsia="Times New Roman" w:cs="Times New Roman"/>
          <w:b/>
          <w:szCs w:val="32"/>
        </w:rPr>
        <w:tab/>
      </w:r>
      <w:r w:rsidR="00A4351C" w:rsidRPr="00084D33">
        <w:rPr>
          <w:rFonts w:eastAsia="Times New Roman" w:cs="Times New Roman"/>
          <w:b/>
          <w:szCs w:val="32"/>
        </w:rPr>
        <w:t>Análisis del Cumplimiento del Plan de Inversión</w:t>
      </w:r>
      <w:r w:rsidR="00562F06" w:rsidRPr="00084D33">
        <w:rPr>
          <w:rFonts w:eastAsia="Times New Roman" w:cs="Times New Roman"/>
          <w:b/>
          <w:szCs w:val="32"/>
        </w:rPr>
        <w:t xml:space="preserve"> </w:t>
      </w:r>
      <w:r w:rsidR="00A4351C" w:rsidRPr="00084D33">
        <w:rPr>
          <w:rFonts w:eastAsia="Times New Roman" w:cs="Times New Roman"/>
          <w:b/>
          <w:szCs w:val="32"/>
        </w:rPr>
        <w:t>Anual</w:t>
      </w:r>
      <w:bookmarkEnd w:id="70"/>
      <w:r w:rsidRPr="00084D33">
        <w:rPr>
          <w:rFonts w:eastAsia="Times New Roman" w:cs="Times New Roman"/>
          <w:b/>
          <w:szCs w:val="32"/>
        </w:rPr>
        <w:t xml:space="preserve"> del año 2024</w:t>
      </w:r>
      <w:bookmarkEnd w:id="71"/>
    </w:p>
    <w:p w14:paraId="07AEB50F" w14:textId="77777777" w:rsidR="00A4351C" w:rsidRPr="00084D33" w:rsidRDefault="00A4351C" w:rsidP="00434A4D">
      <w:pPr>
        <w:rPr>
          <w:rFonts w:eastAsia="Calibri" w:cs="Times New Roman"/>
          <w:lang w:val="es-ES"/>
        </w:rPr>
      </w:pPr>
    </w:p>
    <w:p w14:paraId="345AF206" w14:textId="77777777" w:rsidR="00203AFF" w:rsidRPr="00084D33" w:rsidRDefault="00203AFF" w:rsidP="00203AFF">
      <w:pPr>
        <w:rPr>
          <w:rFonts w:eastAsia="Calibri" w:cs="Times New Roman"/>
          <w:noProof/>
          <w:spacing w:val="20"/>
          <w:szCs w:val="24"/>
        </w:rPr>
      </w:pPr>
      <w:r w:rsidRPr="00084D33">
        <w:rPr>
          <w:rFonts w:eastAsia="Calibri" w:cs="Times New Roman"/>
          <w:noProof/>
          <w:spacing w:val="20"/>
          <w:szCs w:val="24"/>
        </w:rPr>
        <w:t>El Plan Nacional Plurianual del Sector Público (PNPSP), instrumento de planificación para el cuatrienio 2021-2024 de nuestro país, se encuentra en su fase final correspondiente al año 2024 y por ende el Plan Plurianual de Inversión Pública del Ministerio de Obras Públicas y Comunicaciones tambien; se realizó la actualización del ultimo año del mismo en el primer semestre del periodo fiscal vigente, con la finalidad de conciliar los indicadores específicos y monitorear los avances de las acciones ejecutadas vinculadas a las politicas públicas definidas para los ejes que desarrolla la institución para alcanzar las metas programadas en un corto y largo plazo y para la preparación de los Planes Estratégicos, Planes Sectoriales y Planes Institucionales del Ministerio.</w:t>
      </w:r>
    </w:p>
    <w:p w14:paraId="2003A9B9" w14:textId="77777777" w:rsidR="00203AFF" w:rsidRPr="00084D33" w:rsidRDefault="00203AFF" w:rsidP="00203AFF">
      <w:pPr>
        <w:pStyle w:val="Textoindependiente"/>
        <w:rPr>
          <w:color w:val="767171"/>
        </w:rPr>
      </w:pPr>
    </w:p>
    <w:p w14:paraId="4792D401" w14:textId="77777777" w:rsidR="00203AFF" w:rsidRPr="00084D33" w:rsidRDefault="00203AFF" w:rsidP="00203AFF">
      <w:pPr>
        <w:pStyle w:val="Textoindependiente"/>
        <w:rPr>
          <w:color w:val="767171"/>
        </w:rPr>
      </w:pPr>
    </w:p>
    <w:p w14:paraId="66DC143C" w14:textId="10A2F0E3" w:rsidR="00203AFF" w:rsidRPr="00084D33" w:rsidRDefault="00203AFF" w:rsidP="00203AFF">
      <w:pPr>
        <w:spacing w:after="240"/>
        <w:rPr>
          <w:rFonts w:eastAsia="Calibri" w:cs="Times New Roman"/>
          <w:noProof/>
          <w:spacing w:val="20"/>
          <w:szCs w:val="24"/>
        </w:rPr>
      </w:pPr>
      <w:r w:rsidRPr="00084D33">
        <w:rPr>
          <w:rFonts w:eastAsia="Calibri" w:cs="Times New Roman"/>
          <w:noProof/>
          <w:spacing w:val="20"/>
          <w:szCs w:val="24"/>
        </w:rPr>
        <w:t xml:space="preserve">Posteriormente, durante el periodo </w:t>
      </w:r>
      <w:r w:rsidR="000A17C8" w:rsidRPr="00084D33">
        <w:rPr>
          <w:rFonts w:eastAsia="Calibri" w:cs="Times New Roman"/>
          <w:noProof/>
          <w:spacing w:val="20"/>
          <w:szCs w:val="24"/>
        </w:rPr>
        <w:t>enero-diciembre</w:t>
      </w:r>
      <w:r w:rsidRPr="00084D33">
        <w:rPr>
          <w:rFonts w:eastAsia="Calibri" w:cs="Times New Roman"/>
          <w:noProof/>
          <w:spacing w:val="20"/>
          <w:szCs w:val="24"/>
        </w:rPr>
        <w:t xml:space="preserve"> del año 2024,  el MOPC preparó el Plan Plurianual de Inversión Pública correspondietne al cuatrienio 2025-2028, conteniendo la programación de los planes, programas y proyectos a desarrollar a partir del año próximo, con el objetivo de priorizar en un horizonte plurianual los proyectos de inversión pública, acorde a los resultados </w:t>
      </w:r>
      <w:r w:rsidRPr="00084D33">
        <w:rPr>
          <w:rFonts w:eastAsia="Calibri" w:cs="Times New Roman"/>
          <w:noProof/>
          <w:spacing w:val="20"/>
          <w:szCs w:val="24"/>
        </w:rPr>
        <w:lastRenderedPageBreak/>
        <w:t>e impactos generados por las políticas sectoriales definidas en el Plan de Gobierno del período vigente, a la Estrategia Nacional de Desarrollo (END) 2030 y a los Objetivos de Desarrollo Sostenible (ODS). El PNPIP del MOPC integró para el año fiscal 2025, un total de quinientos catorce (514) Códigos SNIP proyectos programados con sus respectivos Códigos SNIP y una inversión asignada que permitirá el logro de los objetivos planteados por la institución, en consonancia con las prioridades de la nación dominicana.</w:t>
      </w:r>
    </w:p>
    <w:p w14:paraId="240134E4" w14:textId="77777777" w:rsidR="00203AFF" w:rsidRPr="00084D33" w:rsidRDefault="00203AFF" w:rsidP="00203AFF">
      <w:pPr>
        <w:rPr>
          <w:rFonts w:eastAsia="Calibri" w:cs="Times New Roman"/>
          <w:noProof/>
          <w:spacing w:val="20"/>
          <w:szCs w:val="24"/>
        </w:rPr>
      </w:pPr>
    </w:p>
    <w:p w14:paraId="1B137B29" w14:textId="5D56C24D" w:rsidR="004C6A3C" w:rsidRPr="00084D33" w:rsidRDefault="00203AFF" w:rsidP="00203AFF">
      <w:pPr>
        <w:rPr>
          <w:rFonts w:eastAsia="Calibri" w:cs="Times New Roman"/>
          <w:noProof/>
          <w:spacing w:val="20"/>
          <w:szCs w:val="24"/>
        </w:rPr>
      </w:pPr>
      <w:r w:rsidRPr="00084D33">
        <w:rPr>
          <w:rFonts w:eastAsia="Calibri" w:cs="Times New Roman"/>
          <w:noProof/>
          <w:spacing w:val="20"/>
          <w:szCs w:val="24"/>
        </w:rPr>
        <w:t>El Plan Nacional Plurianual de Inversión Pública (PNPIP) del MOPC para el cuatrienio 2025-2028, establece los lineamientos de gestión del sector público, señalados en el Artículo No. 4 de la Ley No. 498-06 que constituye el Sistema Nacional de Planificacion e Inversión Pública, instrumento base para la preparación del Plan Nacional Plurianual del Sector Publico (PNPSP) 2025-2028</w:t>
      </w:r>
      <w:r w:rsidR="004C6A3C" w:rsidRPr="00084D33">
        <w:rPr>
          <w:rFonts w:eastAsia="Calibri" w:cs="Times New Roman"/>
          <w:noProof/>
          <w:spacing w:val="20"/>
          <w:szCs w:val="24"/>
        </w:rPr>
        <w:t>.</w:t>
      </w:r>
    </w:p>
    <w:p w14:paraId="73E9B84B" w14:textId="5FECAF8C" w:rsidR="00DC2901" w:rsidRPr="00084D33" w:rsidRDefault="00DC2901">
      <w:pPr>
        <w:spacing w:after="160" w:line="259" w:lineRule="auto"/>
        <w:jc w:val="left"/>
        <w:rPr>
          <w:rFonts w:eastAsia="Times New Roman" w:cs="Times New Roman"/>
          <w:szCs w:val="20"/>
          <w:lang w:val="es-ES" w:eastAsia="es-ES" w:bidi="es-ES"/>
        </w:rPr>
      </w:pPr>
    </w:p>
    <w:p w14:paraId="49B9CE8B" w14:textId="567A4E53" w:rsidR="009A7707" w:rsidRPr="00084D33" w:rsidRDefault="00783662" w:rsidP="00AB04EB">
      <w:pPr>
        <w:pStyle w:val="Lista2"/>
        <w:jc w:val="center"/>
        <w:rPr>
          <w:rFonts w:cs="Times New Roman"/>
          <w:b/>
        </w:rPr>
      </w:pPr>
      <w:r w:rsidRPr="00084D33">
        <w:rPr>
          <w:rFonts w:cs="Times New Roman"/>
          <w:b/>
        </w:rPr>
        <w:t>4.</w:t>
      </w:r>
      <w:r w:rsidR="00137E4B" w:rsidRPr="00084D33">
        <w:rPr>
          <w:rFonts w:cs="Times New Roman"/>
          <w:b/>
        </w:rPr>
        <w:t>1.</w:t>
      </w:r>
      <w:r w:rsidR="00AB04EB" w:rsidRPr="00084D33">
        <w:rPr>
          <w:rFonts w:cs="Times New Roman"/>
          <w:b/>
        </w:rPr>
        <w:t>5</w:t>
      </w:r>
      <w:r w:rsidR="00137E4B" w:rsidRPr="00084D33">
        <w:rPr>
          <w:rFonts w:cs="Times New Roman"/>
          <w:b/>
        </w:rPr>
        <w:t>.1</w:t>
      </w:r>
      <w:r w:rsidR="009A41B9" w:rsidRPr="00084D33">
        <w:rPr>
          <w:rFonts w:cs="Times New Roman"/>
          <w:b/>
        </w:rPr>
        <w:tab/>
      </w:r>
      <w:r w:rsidR="004666B5" w:rsidRPr="00084D33">
        <w:rPr>
          <w:rFonts w:cs="Times New Roman"/>
          <w:b/>
        </w:rPr>
        <w:t xml:space="preserve">Resumen Proyectos </w:t>
      </w:r>
      <w:r w:rsidR="00AB04EB" w:rsidRPr="00084D33">
        <w:rPr>
          <w:rFonts w:cs="Times New Roman"/>
          <w:b/>
        </w:rPr>
        <w:t xml:space="preserve">contemplados en el POA, Terminados en el Periodo </w:t>
      </w:r>
      <w:r w:rsidR="000A17C8" w:rsidRPr="00084D33">
        <w:rPr>
          <w:rFonts w:cs="Times New Roman"/>
          <w:b/>
        </w:rPr>
        <w:t>Enero-diciembre</w:t>
      </w:r>
      <w:r w:rsidR="00AB04EB" w:rsidRPr="00084D33">
        <w:rPr>
          <w:rFonts w:cs="Times New Roman"/>
          <w:b/>
        </w:rPr>
        <w:t xml:space="preserve"> del Año 2024</w:t>
      </w:r>
    </w:p>
    <w:p w14:paraId="4D2F8E5D" w14:textId="77777777" w:rsidR="004666B5" w:rsidRPr="00084D33" w:rsidRDefault="004666B5" w:rsidP="00C91766">
      <w:pPr>
        <w:ind w:left="1890"/>
        <w:rPr>
          <w:rFonts w:cs="Times New Roman"/>
        </w:rPr>
      </w:pPr>
    </w:p>
    <w:p w14:paraId="5A847225"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Reconstrucción</w:t>
      </w:r>
      <w:r w:rsidRPr="00084D33">
        <w:rPr>
          <w:rFonts w:eastAsia="Calibri"/>
          <w:noProof/>
          <w:spacing w:val="20"/>
          <w:szCs w:val="24"/>
        </w:rPr>
        <w:t xml:space="preserve"> Carretera El Mango – La Piragua, Provincia Puerto Plata, con una longitud de 8.83 km, un Valor Presupuestado Aproximado de RD$600,000,000.00 (Seiscientos Millones  de Pesos con 00/100). Condicion Actual: Terminado.</w:t>
      </w:r>
    </w:p>
    <w:p w14:paraId="7DD05793" w14:textId="6CB4433D" w:rsidR="009A0AD1" w:rsidRPr="00084D33" w:rsidRDefault="009A0AD1" w:rsidP="00C517AE">
      <w:pPr>
        <w:ind w:left="720"/>
        <w:rPr>
          <w:rFonts w:eastAsia="Calibri" w:cs="Times New Roman"/>
          <w:noProof/>
          <w:spacing w:val="20"/>
          <w:szCs w:val="24"/>
        </w:rPr>
      </w:pPr>
      <w:r w:rsidRPr="00084D33">
        <w:t xml:space="preserve"> </w:t>
      </w:r>
    </w:p>
    <w:p w14:paraId="3CBC9D83"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Reconstrucción</w:t>
      </w:r>
      <w:r w:rsidRPr="00084D33">
        <w:rPr>
          <w:rFonts w:eastAsia="Calibri"/>
          <w:noProof/>
          <w:spacing w:val="20"/>
          <w:szCs w:val="24"/>
        </w:rPr>
        <w:t xml:space="preserve"> Conexión de la Carretera Juan Veras - Las Yayitas, Provincia Santiago, con una longitud de 6.30 km, un valor presupuestado aproximado de RD$350,000,000.00 </w:t>
      </w:r>
      <w:r w:rsidRPr="00084D33">
        <w:rPr>
          <w:rFonts w:eastAsia="Calibri"/>
          <w:noProof/>
          <w:spacing w:val="20"/>
          <w:szCs w:val="24"/>
        </w:rPr>
        <w:lastRenderedPageBreak/>
        <w:t xml:space="preserve">(Trescientos Cincuenta Millones de Pesos con 00/100). Condicion Actual: Terminado. </w:t>
      </w:r>
    </w:p>
    <w:p w14:paraId="2AF36EDA"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Reconstrucción</w:t>
      </w:r>
      <w:r w:rsidRPr="00084D33">
        <w:rPr>
          <w:rFonts w:eastAsia="Calibri"/>
          <w:noProof/>
          <w:spacing w:val="20"/>
          <w:szCs w:val="24"/>
        </w:rPr>
        <w:t xml:space="preserve"> Carretera San Victor – Jamao al Norte (Tramo II) Provincia Espaillat, con una longitud de 40.00 km, un Valor  Presupuestado Aproximado de RD$2,000,000,000.00 (Dos Mil Millones de Pesos con 00/100), Condicion Actual: Terminado.</w:t>
      </w:r>
    </w:p>
    <w:p w14:paraId="57F066E1" w14:textId="77777777" w:rsidR="009A0AD1" w:rsidRPr="00084D33" w:rsidRDefault="009A0AD1" w:rsidP="00C517AE">
      <w:pPr>
        <w:ind w:left="720"/>
        <w:rPr>
          <w:rFonts w:eastAsia="Calibri" w:cs="Times New Roman"/>
          <w:noProof/>
          <w:spacing w:val="20"/>
          <w:szCs w:val="24"/>
        </w:rPr>
      </w:pPr>
    </w:p>
    <w:p w14:paraId="3CA79CBB" w14:textId="65D93B53" w:rsidR="009A0AD1" w:rsidRPr="00084D33" w:rsidRDefault="009A0AD1" w:rsidP="007202A9">
      <w:pPr>
        <w:pStyle w:val="Estilo1-Vietas-Parrafo"/>
        <w:numPr>
          <w:ilvl w:val="0"/>
          <w:numId w:val="33"/>
        </w:numPr>
        <w:ind w:left="990"/>
      </w:pPr>
      <w:r w:rsidRPr="00084D33">
        <w:t>Construcción</w:t>
      </w:r>
      <w:r w:rsidRPr="00084D33">
        <w:rPr>
          <w:rFonts w:eastAsia="Calibri"/>
          <w:noProof/>
          <w:spacing w:val="20"/>
          <w:szCs w:val="24"/>
        </w:rPr>
        <w:t xml:space="preserve"> Carretera Los Jovillos - Cañada de Piedra, Provincia Azua, con una longitud de  2.50 km, un valor  presupuestado aproximado de RD$63,677,063.71 (Sesenta y Tres Millones Seiscientos Setenta y Siete Mil Sesenta y Tres  Pesos con </w:t>
      </w:r>
      <w:r w:rsidRPr="00084D33">
        <w:t xml:space="preserve">71/100) </w:t>
      </w:r>
      <w:r w:rsidR="00C3480E" w:rsidRPr="00084D33">
        <w:t>Condición</w:t>
      </w:r>
      <w:r w:rsidRPr="00084D33">
        <w:t xml:space="preserve"> Actual: Terminado.</w:t>
      </w:r>
    </w:p>
    <w:p w14:paraId="0534875B" w14:textId="77777777" w:rsidR="009A0AD1" w:rsidRPr="00084D33" w:rsidRDefault="009A0AD1" w:rsidP="00C517AE">
      <w:pPr>
        <w:ind w:left="720"/>
        <w:rPr>
          <w:rFonts w:eastAsia="Calibri" w:cs="Times New Roman"/>
          <w:noProof/>
          <w:spacing w:val="20"/>
          <w:szCs w:val="24"/>
        </w:rPr>
      </w:pPr>
    </w:p>
    <w:p w14:paraId="4B39643B"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Construcción</w:t>
      </w:r>
      <w:r w:rsidRPr="00084D33">
        <w:rPr>
          <w:rFonts w:eastAsia="Calibri"/>
          <w:noProof/>
          <w:spacing w:val="20"/>
          <w:szCs w:val="24"/>
        </w:rPr>
        <w:t xml:space="preserve"> de Calles, Aceras y Contenes en el Barrio Emma Balaguer,   Provincia Azua , con una longitud de  9.68 km, un valor  presupuestado aproximado de RD$210,031,598.37 (Doscientos Diez Millones Trenta y Un Mil Quinientos Noventa y Ocho  Pesos con 37/100). Condicion Actual: Terminado.</w:t>
      </w:r>
    </w:p>
    <w:p w14:paraId="73C711C8" w14:textId="77777777" w:rsidR="009A0AD1" w:rsidRPr="00084D33" w:rsidRDefault="009A0AD1" w:rsidP="00C517AE">
      <w:pPr>
        <w:ind w:left="720"/>
        <w:rPr>
          <w:rFonts w:eastAsia="Calibri" w:cs="Times New Roman"/>
          <w:noProof/>
          <w:spacing w:val="20"/>
          <w:szCs w:val="24"/>
        </w:rPr>
      </w:pPr>
    </w:p>
    <w:p w14:paraId="37022A81"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Construcción</w:t>
      </w:r>
      <w:r w:rsidRPr="00084D33">
        <w:rPr>
          <w:rFonts w:eastAsia="Calibri"/>
          <w:noProof/>
          <w:spacing w:val="20"/>
          <w:szCs w:val="24"/>
        </w:rPr>
        <w:t xml:space="preserve"> y Reconstrucion de la Carretera Gurabito De Yaroa. Provincia Puerto Plata, con una longitud de  8.55 km, un valor  presupuestado aproximado de RD$1,007,316,420.17  (Mil Siete Millones  Trescientos Dieciséis Mil Cuatrocientos Veinte Pesos Con 17/100) Condicion Actual: Terminado.</w:t>
      </w:r>
    </w:p>
    <w:p w14:paraId="692572A6" w14:textId="77777777" w:rsidR="009A0AD1" w:rsidRPr="00084D33" w:rsidRDefault="009A0AD1" w:rsidP="00C517AE">
      <w:pPr>
        <w:ind w:left="720"/>
        <w:rPr>
          <w:rFonts w:eastAsia="Calibri" w:cs="Times New Roman"/>
          <w:noProof/>
          <w:spacing w:val="20"/>
          <w:szCs w:val="24"/>
        </w:rPr>
      </w:pPr>
    </w:p>
    <w:p w14:paraId="5CAC37B3" w14:textId="77777777" w:rsidR="009A0AD1" w:rsidRPr="00084D33" w:rsidRDefault="009A0AD1" w:rsidP="007202A9">
      <w:pPr>
        <w:pStyle w:val="Estilo1-Vietas-Parrafo"/>
        <w:numPr>
          <w:ilvl w:val="0"/>
          <w:numId w:val="33"/>
        </w:numPr>
        <w:ind w:left="990"/>
        <w:rPr>
          <w:rFonts w:eastAsia="Calibri"/>
          <w:noProof/>
          <w:spacing w:val="20"/>
          <w:szCs w:val="24"/>
        </w:rPr>
      </w:pPr>
      <w:r w:rsidRPr="00084D33">
        <w:lastRenderedPageBreak/>
        <w:t>Construcción</w:t>
      </w:r>
      <w:r w:rsidRPr="00084D33">
        <w:rPr>
          <w:rFonts w:eastAsia="Calibri"/>
          <w:noProof/>
          <w:spacing w:val="20"/>
          <w:szCs w:val="24"/>
        </w:rPr>
        <w:t xml:space="preserve"> de las Calles Del Paso, Provincia Santo Domingo, con  una longitud de 2.20 km, un Valor  Presupuestado Aproximado de RD$93,000,000.00 (Noventa y Tres Millones de Pesos con 00/100) Condicion Actual: Terminado.</w:t>
      </w:r>
    </w:p>
    <w:p w14:paraId="55E1AF5C" w14:textId="77777777" w:rsidR="009A0AD1" w:rsidRPr="00084D33" w:rsidRDefault="009A0AD1" w:rsidP="00C517AE">
      <w:pPr>
        <w:ind w:left="720"/>
        <w:rPr>
          <w:rFonts w:eastAsia="Calibri" w:cs="Times New Roman"/>
          <w:noProof/>
          <w:spacing w:val="20"/>
          <w:szCs w:val="24"/>
        </w:rPr>
      </w:pPr>
    </w:p>
    <w:p w14:paraId="4E113463"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Construcción</w:t>
      </w:r>
      <w:r w:rsidRPr="00084D33">
        <w:rPr>
          <w:rFonts w:eastAsia="Calibri"/>
          <w:noProof/>
          <w:spacing w:val="20"/>
          <w:szCs w:val="24"/>
        </w:rPr>
        <w:t xml:space="preserve"> del Mercado Municipal de La Vega, Provincia La Vega  con un área de contrucción de 12,315 M²,  con un valor  presupuestado aproximado RD$485,866,114.61 (Cuatrocientos  Ochenta y Cinco Millones Ochocientos Sesenta y Seis Mil Ciento  Catorce  Pesos con 61/100). Condicion Actual: Terminado.</w:t>
      </w:r>
    </w:p>
    <w:p w14:paraId="05139D40" w14:textId="77777777" w:rsidR="009A0AD1" w:rsidRPr="00084D33" w:rsidRDefault="009A0AD1" w:rsidP="00C517AE">
      <w:pPr>
        <w:ind w:left="720"/>
        <w:rPr>
          <w:rFonts w:eastAsia="Calibri" w:cs="Times New Roman"/>
          <w:noProof/>
          <w:spacing w:val="20"/>
          <w:szCs w:val="24"/>
        </w:rPr>
      </w:pPr>
    </w:p>
    <w:p w14:paraId="5C844736"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Reconstrucción</w:t>
      </w:r>
      <w:r w:rsidRPr="00084D33">
        <w:rPr>
          <w:rFonts w:eastAsia="Calibri"/>
          <w:noProof/>
          <w:spacing w:val="20"/>
          <w:szCs w:val="24"/>
        </w:rPr>
        <w:t xml:space="preserve"> Muro de Hormigon a orillas del Rio Higuamo, Provincia San Pedro de Macorís, con  una longitud de 225 Ml, un valor presupuesto de RD$19,247,085.73 (Diecinueve Millones Doscientos Cuarenta y Siete Mil Ochenta y Cinco Pesos con 73/100). Condicion Actual: Terminado.</w:t>
      </w:r>
    </w:p>
    <w:p w14:paraId="59ACCDD7" w14:textId="77777777" w:rsidR="009A0AD1" w:rsidRPr="00084D33" w:rsidRDefault="009A0AD1" w:rsidP="00C517AE">
      <w:pPr>
        <w:ind w:left="720"/>
        <w:rPr>
          <w:rFonts w:eastAsia="Calibri" w:cs="Times New Roman"/>
          <w:noProof/>
          <w:spacing w:val="20"/>
          <w:szCs w:val="24"/>
        </w:rPr>
      </w:pPr>
    </w:p>
    <w:p w14:paraId="5561882C" w14:textId="1589C995" w:rsidR="009A0AD1" w:rsidRPr="00084D33" w:rsidRDefault="00C3480E" w:rsidP="007202A9">
      <w:pPr>
        <w:pStyle w:val="Estilo1-Vietas-Parrafo"/>
        <w:numPr>
          <w:ilvl w:val="0"/>
          <w:numId w:val="33"/>
        </w:numPr>
        <w:ind w:left="990"/>
        <w:rPr>
          <w:rFonts w:eastAsia="Calibri"/>
          <w:noProof/>
          <w:spacing w:val="20"/>
          <w:szCs w:val="24"/>
        </w:rPr>
      </w:pPr>
      <w:r w:rsidRPr="00084D33">
        <w:t>Construcción</w:t>
      </w:r>
      <w:r w:rsidR="009A0AD1" w:rsidRPr="00084D33">
        <w:rPr>
          <w:rFonts w:eastAsia="Calibri"/>
          <w:noProof/>
          <w:spacing w:val="20"/>
          <w:szCs w:val="24"/>
        </w:rPr>
        <w:t xml:space="preserve"> del Puente Villa Guera, Enlaces y Obras Conexas, Provincia Peravia, con una longitud de 65.0 m, un valor  presupuestado de RD$270,000,000.00 (Doscientos Setenta Millones de Pesos con 00/100). Condicion Actual: Terminado.</w:t>
      </w:r>
    </w:p>
    <w:p w14:paraId="19B1DC60" w14:textId="77777777" w:rsidR="009A0AD1" w:rsidRPr="00084D33" w:rsidRDefault="009A0AD1" w:rsidP="00C517AE">
      <w:pPr>
        <w:ind w:left="720"/>
        <w:rPr>
          <w:rFonts w:eastAsia="Calibri" w:cs="Times New Roman"/>
          <w:noProof/>
          <w:spacing w:val="20"/>
          <w:szCs w:val="24"/>
        </w:rPr>
      </w:pPr>
    </w:p>
    <w:p w14:paraId="576000ED"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Construcción</w:t>
      </w:r>
      <w:r w:rsidRPr="00084D33">
        <w:rPr>
          <w:rFonts w:eastAsia="Calibri"/>
          <w:noProof/>
          <w:spacing w:val="20"/>
          <w:szCs w:val="24"/>
        </w:rPr>
        <w:t xml:space="preserve"> y Asfaltado de calles de  San Cristóbal, Provincia San Cristóbal,   con  una longitud de 44.3 km, un valor  presupuestado de RD$406,447,221.44  (Cuatrocientos </w:t>
      </w:r>
      <w:r w:rsidRPr="00084D33">
        <w:rPr>
          <w:rFonts w:eastAsia="Calibri"/>
          <w:noProof/>
          <w:spacing w:val="20"/>
          <w:szCs w:val="24"/>
        </w:rPr>
        <w:lastRenderedPageBreak/>
        <w:t>Seis Millones Cuatrocientos Cuarenta y Siete Mil Doscientos Veintiún Pesos con 44/100) Ccondicion actual: Terminado.</w:t>
      </w:r>
    </w:p>
    <w:p w14:paraId="19106AD4" w14:textId="77777777" w:rsidR="009A0AD1" w:rsidRPr="00084D33" w:rsidRDefault="009A0AD1" w:rsidP="00C517AE">
      <w:pPr>
        <w:ind w:left="720"/>
        <w:rPr>
          <w:rFonts w:eastAsia="Calibri" w:cs="Times New Roman"/>
          <w:noProof/>
          <w:spacing w:val="20"/>
          <w:szCs w:val="24"/>
        </w:rPr>
      </w:pPr>
    </w:p>
    <w:p w14:paraId="25DEFB9E" w14:textId="42677465" w:rsidR="009A0AD1" w:rsidRPr="00084D33" w:rsidRDefault="00C3480E" w:rsidP="007202A9">
      <w:pPr>
        <w:pStyle w:val="Estilo1-Vietas-Parrafo"/>
        <w:numPr>
          <w:ilvl w:val="0"/>
          <w:numId w:val="33"/>
        </w:numPr>
        <w:ind w:left="990"/>
        <w:rPr>
          <w:rFonts w:eastAsia="Calibri"/>
          <w:noProof/>
          <w:spacing w:val="20"/>
          <w:szCs w:val="24"/>
        </w:rPr>
      </w:pPr>
      <w:r w:rsidRPr="00084D33">
        <w:t>Construcción</w:t>
      </w:r>
      <w:r w:rsidR="009A0AD1" w:rsidRPr="00084D33">
        <w:rPr>
          <w:rFonts w:eastAsia="Calibri"/>
          <w:noProof/>
          <w:spacing w:val="20"/>
          <w:szCs w:val="24"/>
        </w:rPr>
        <w:t xml:space="preserve"> y Demolición del Puente Nisibón sobre El Río Yauya, Provincia  San Pedro de Macorís, con una longitud de 10.30 m, un valor  presupuesto aproximado de RD$92,607,780.00 (Noventa  y Dos Millones Seiscientos  Siete Mil Setecientos Ochenta Pesos con 00/100). Condicion actual: Terminado.</w:t>
      </w:r>
    </w:p>
    <w:p w14:paraId="7667A381" w14:textId="77777777" w:rsidR="009A0AD1" w:rsidRPr="00084D33" w:rsidRDefault="009A0AD1" w:rsidP="00C517AE">
      <w:pPr>
        <w:ind w:left="720"/>
        <w:rPr>
          <w:rFonts w:eastAsia="Calibri" w:cs="Times New Roman"/>
          <w:noProof/>
          <w:spacing w:val="20"/>
          <w:szCs w:val="24"/>
        </w:rPr>
      </w:pPr>
    </w:p>
    <w:p w14:paraId="00F8742B"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Construcción</w:t>
      </w:r>
      <w:r w:rsidRPr="00084D33">
        <w:rPr>
          <w:rFonts w:eastAsia="Calibri"/>
          <w:noProof/>
          <w:spacing w:val="20"/>
          <w:szCs w:val="24"/>
        </w:rPr>
        <w:t xml:space="preserve"> y Reconstrucción de Calles Internas en el Sector Palmarito, Provincia Monseñor Nouel, con una longitud de 5.20 km, un valor presupuestado de RD$150,000,000.00 (Ciento Cincuenta Millones de Pesos con 00/100). Condicion actual: Terminado.</w:t>
      </w:r>
    </w:p>
    <w:p w14:paraId="568D431A" w14:textId="77777777" w:rsidR="009A0AD1" w:rsidRPr="00084D33" w:rsidRDefault="009A0AD1" w:rsidP="00C517AE">
      <w:pPr>
        <w:ind w:left="720"/>
        <w:rPr>
          <w:rFonts w:eastAsia="Calibri" w:cs="Times New Roman"/>
          <w:noProof/>
          <w:spacing w:val="20"/>
          <w:szCs w:val="24"/>
        </w:rPr>
      </w:pPr>
    </w:p>
    <w:p w14:paraId="0454201B"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Construcción</w:t>
      </w:r>
      <w:r w:rsidRPr="00084D33">
        <w:rPr>
          <w:rFonts w:eastAsia="Calibri"/>
          <w:noProof/>
          <w:spacing w:val="20"/>
          <w:szCs w:val="24"/>
        </w:rPr>
        <w:t xml:space="preserve"> y Reconstrucción de las Calles del Distrito Municipal Guayajayuco, Provincia Elias Piña, con una longitud de 8.0 km, un valor  presupuestado aproximado  de RD$83,000.000.00 (Ochenta y Tres Millones  de Pesos con 00/100). Condicion actual: Terminado.</w:t>
      </w:r>
    </w:p>
    <w:p w14:paraId="2A605AB7" w14:textId="77777777" w:rsidR="009A0AD1" w:rsidRPr="00084D33" w:rsidRDefault="009A0AD1" w:rsidP="00C517AE">
      <w:pPr>
        <w:ind w:left="720"/>
        <w:rPr>
          <w:rFonts w:eastAsia="Calibri" w:cs="Times New Roman"/>
          <w:noProof/>
          <w:spacing w:val="20"/>
          <w:szCs w:val="24"/>
        </w:rPr>
      </w:pPr>
    </w:p>
    <w:p w14:paraId="4D84ED14"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Construcción</w:t>
      </w:r>
      <w:r w:rsidRPr="00084D33">
        <w:rPr>
          <w:rFonts w:eastAsia="Calibri"/>
          <w:noProof/>
          <w:spacing w:val="20"/>
          <w:szCs w:val="24"/>
        </w:rPr>
        <w:t xml:space="preserve"> del Puente Peatonal Motorizado Cruce De Semilla, Provincia  San Cristóbal, con una longitud  aproximada de 0.045 km,   un valor presupuestado de RD$60,000,000.00 (Sesenta Millones  de Pesos con 00/100), Condicion actual: Terminado.</w:t>
      </w:r>
    </w:p>
    <w:p w14:paraId="7F8806DB" w14:textId="77777777" w:rsidR="009A0AD1" w:rsidRPr="00084D33" w:rsidRDefault="009A0AD1" w:rsidP="00C517AE">
      <w:pPr>
        <w:ind w:left="720"/>
        <w:rPr>
          <w:rFonts w:eastAsia="Calibri" w:cs="Times New Roman"/>
          <w:noProof/>
          <w:spacing w:val="20"/>
          <w:szCs w:val="24"/>
        </w:rPr>
      </w:pPr>
    </w:p>
    <w:p w14:paraId="207C03A9" w14:textId="77777777" w:rsidR="009A0AD1" w:rsidRPr="00084D33" w:rsidRDefault="009A0AD1" w:rsidP="007202A9">
      <w:pPr>
        <w:pStyle w:val="Estilo1-Vietas-Parrafo"/>
        <w:numPr>
          <w:ilvl w:val="0"/>
          <w:numId w:val="33"/>
        </w:numPr>
        <w:ind w:left="990"/>
        <w:rPr>
          <w:rFonts w:eastAsia="Calibri"/>
          <w:noProof/>
          <w:spacing w:val="20"/>
          <w:szCs w:val="24"/>
        </w:rPr>
      </w:pPr>
      <w:r w:rsidRPr="00084D33">
        <w:lastRenderedPageBreak/>
        <w:t>Reconstrucción</w:t>
      </w:r>
      <w:r w:rsidRPr="00084D33">
        <w:rPr>
          <w:rFonts w:eastAsia="Calibri"/>
          <w:noProof/>
          <w:spacing w:val="20"/>
          <w:szCs w:val="24"/>
        </w:rPr>
        <w:t xml:space="preserve"> Paso a Desnivel en la inrtersección de las Avenidas 27 de Febrero y Máximo Gómez, en el Distrito Nacional, con un valor  presupuesto aproximado  de RD$250,000,000.00 (Doscientos Cincuenta Millones de Pesos con 00/100). Condicion actual: Terminado.</w:t>
      </w:r>
    </w:p>
    <w:p w14:paraId="50A526DC" w14:textId="77777777" w:rsidR="009A0AD1" w:rsidRPr="00084D33" w:rsidRDefault="009A0AD1" w:rsidP="00C517AE">
      <w:pPr>
        <w:ind w:left="720"/>
        <w:rPr>
          <w:rFonts w:eastAsia="Calibri" w:cs="Times New Roman"/>
          <w:noProof/>
          <w:spacing w:val="20"/>
          <w:szCs w:val="24"/>
        </w:rPr>
      </w:pPr>
    </w:p>
    <w:p w14:paraId="6AD0B62A"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Reasfaltado</w:t>
      </w:r>
      <w:r w:rsidRPr="00084D33">
        <w:rPr>
          <w:rFonts w:eastAsia="Calibri"/>
          <w:noProof/>
          <w:spacing w:val="20"/>
          <w:szCs w:val="24"/>
        </w:rPr>
        <w:t xml:space="preserve"> de las Calles de Juan Adrián,  Provincia Monseñor Nouel con una longitud de 7.00 km, un valor  presupuestado de RD$49, 737,307.70 (Cuarenta y Nueve Millones Setecientos Treinta y Siete Mil Trescientos Siete Pesos con 70/100). Condicion actual: Terminado.</w:t>
      </w:r>
    </w:p>
    <w:p w14:paraId="63E946D7" w14:textId="77777777" w:rsidR="009A0AD1" w:rsidRPr="00084D33" w:rsidRDefault="009A0AD1" w:rsidP="00C517AE">
      <w:pPr>
        <w:ind w:left="720"/>
        <w:rPr>
          <w:rFonts w:eastAsia="Calibri" w:cs="Times New Roman"/>
          <w:noProof/>
          <w:spacing w:val="20"/>
          <w:szCs w:val="24"/>
        </w:rPr>
      </w:pPr>
    </w:p>
    <w:p w14:paraId="074FA15E"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Reconstrucción</w:t>
      </w:r>
      <w:r w:rsidRPr="00084D33">
        <w:rPr>
          <w:rFonts w:eastAsia="Calibri"/>
          <w:noProof/>
          <w:spacing w:val="20"/>
          <w:szCs w:val="24"/>
        </w:rPr>
        <w:t xml:space="preserve"> Camino Los Bleos, Construcción Muro de Gaviones, Municipio Arroyo Toro. Provincia Monseñor Nouel, con una longitud de  2.3 km, un valor  presupuestado de RD$107,419,849.84 (Ciento Siete Millones Cuatrocientos Diecinueve Mil Ochocientos Cuarenta y Nueve Pesos con 84/100). Condicion actual: Terminado.</w:t>
      </w:r>
    </w:p>
    <w:p w14:paraId="14EE3EE9" w14:textId="77777777" w:rsidR="009A0AD1" w:rsidRPr="00084D33" w:rsidRDefault="009A0AD1" w:rsidP="00C517AE">
      <w:pPr>
        <w:ind w:left="720"/>
        <w:rPr>
          <w:rFonts w:eastAsia="Calibri" w:cs="Times New Roman"/>
          <w:noProof/>
          <w:spacing w:val="20"/>
          <w:szCs w:val="24"/>
        </w:rPr>
      </w:pPr>
    </w:p>
    <w:p w14:paraId="12F0271F" w14:textId="2D4C7F2A" w:rsidR="009A0AD1" w:rsidRPr="00084D33" w:rsidRDefault="00C3480E" w:rsidP="007202A9">
      <w:pPr>
        <w:pStyle w:val="Estilo1-Vietas-Parrafo"/>
        <w:numPr>
          <w:ilvl w:val="0"/>
          <w:numId w:val="33"/>
        </w:numPr>
        <w:ind w:left="990"/>
        <w:rPr>
          <w:rFonts w:eastAsia="Calibri"/>
          <w:noProof/>
          <w:spacing w:val="20"/>
          <w:szCs w:val="24"/>
        </w:rPr>
      </w:pPr>
      <w:r w:rsidRPr="00084D33">
        <w:t>Reconstrucción</w:t>
      </w:r>
      <w:r w:rsidR="009A0AD1" w:rsidRPr="00084D33">
        <w:rPr>
          <w:rFonts w:eastAsia="Calibri"/>
          <w:noProof/>
          <w:spacing w:val="20"/>
          <w:szCs w:val="24"/>
        </w:rPr>
        <w:t xml:space="preserve"> Carretera desde Cruce Carretera Hato Mayor hasta El Seibo, La Candelaria, Magarin. Provincia El Seibo, con una longitud de 12.50 km,, un valor  presupuestado de RD$456, 382,705.54 (Cuatrocientos Cincuenta y Seis Millones Trescientos Ochenta y Dos Mil Setecientos Cinco Pesos con 54/100). Condicion actual: Terminado.</w:t>
      </w:r>
    </w:p>
    <w:p w14:paraId="221985C3" w14:textId="77777777" w:rsidR="009A0AD1" w:rsidRPr="00084D33" w:rsidRDefault="009A0AD1" w:rsidP="00C517AE">
      <w:pPr>
        <w:ind w:left="720"/>
        <w:rPr>
          <w:rFonts w:eastAsia="Calibri" w:cs="Times New Roman"/>
          <w:noProof/>
          <w:spacing w:val="20"/>
          <w:szCs w:val="24"/>
        </w:rPr>
      </w:pPr>
    </w:p>
    <w:p w14:paraId="482D57D7"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Rehabilitación</w:t>
      </w:r>
      <w:r w:rsidRPr="00084D33">
        <w:rPr>
          <w:rFonts w:eastAsia="Calibri"/>
          <w:noProof/>
          <w:spacing w:val="20"/>
          <w:szCs w:val="24"/>
        </w:rPr>
        <w:t xml:space="preserve"> de la Carretera El Seibo - Cruce Pavón,  Provincia El Seibo, con una longitud de 12.00 km, un valor presupuestado de RD$ 238,000,000.00 (Doscientos Treinta y </w:t>
      </w:r>
      <w:r w:rsidRPr="00084D33">
        <w:rPr>
          <w:rFonts w:eastAsia="Calibri"/>
          <w:noProof/>
          <w:spacing w:val="20"/>
          <w:szCs w:val="24"/>
        </w:rPr>
        <w:lastRenderedPageBreak/>
        <w:t>Ocho Millones de Pesos con 00/100) Condicion actual: Terminado.</w:t>
      </w:r>
    </w:p>
    <w:p w14:paraId="0E8FB052" w14:textId="77777777" w:rsidR="009A0AD1" w:rsidRPr="00084D33" w:rsidRDefault="009A0AD1" w:rsidP="00C517AE">
      <w:pPr>
        <w:ind w:left="720"/>
        <w:rPr>
          <w:rFonts w:eastAsia="Calibri" w:cs="Times New Roman"/>
          <w:noProof/>
          <w:spacing w:val="20"/>
          <w:szCs w:val="24"/>
        </w:rPr>
      </w:pPr>
    </w:p>
    <w:p w14:paraId="396BEBC4"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Construcción</w:t>
      </w:r>
      <w:r w:rsidRPr="00084D33">
        <w:rPr>
          <w:rFonts w:eastAsia="Calibri"/>
          <w:noProof/>
          <w:spacing w:val="20"/>
          <w:szCs w:val="24"/>
        </w:rPr>
        <w:t>, Reconstrucción y Recapeo de las Calles de la Zona Industrial de Haina y Sectores Aledaños, Provincia San Cristóbal con una longitud de 23.0 km, un valor  presupuestado aproximado de RD$134,000,000.00 (Ciento Treinta y Cuatro Millones de Pesos con 00/100). Condicion actual: Terminado.</w:t>
      </w:r>
    </w:p>
    <w:p w14:paraId="7C409DF5" w14:textId="77777777" w:rsidR="009A0AD1" w:rsidRPr="00084D33" w:rsidRDefault="009A0AD1" w:rsidP="00C517AE">
      <w:pPr>
        <w:ind w:left="720"/>
        <w:rPr>
          <w:rFonts w:eastAsia="Calibri" w:cs="Times New Roman"/>
          <w:noProof/>
          <w:spacing w:val="20"/>
          <w:szCs w:val="24"/>
        </w:rPr>
      </w:pPr>
    </w:p>
    <w:p w14:paraId="55F8C573" w14:textId="77777777" w:rsidR="009A0AD1" w:rsidRPr="00084D33" w:rsidRDefault="009A0AD1" w:rsidP="007202A9">
      <w:pPr>
        <w:pStyle w:val="Estilo1-Vietas-Parrafo"/>
        <w:numPr>
          <w:ilvl w:val="0"/>
          <w:numId w:val="33"/>
        </w:numPr>
        <w:ind w:left="990"/>
        <w:rPr>
          <w:rFonts w:eastAsia="Calibri"/>
          <w:noProof/>
          <w:spacing w:val="20"/>
          <w:szCs w:val="24"/>
        </w:rPr>
      </w:pPr>
      <w:r w:rsidRPr="00084D33">
        <w:t>Reconstrucción</w:t>
      </w:r>
      <w:r w:rsidRPr="00084D33">
        <w:rPr>
          <w:rFonts w:eastAsia="Calibri"/>
          <w:noProof/>
          <w:spacing w:val="20"/>
          <w:szCs w:val="24"/>
        </w:rPr>
        <w:t xml:space="preserve"> de Puente Peatonal sobre La Autovia del Este, Sector El Soco, Provincia San Pedro de Macorís, con una longitud de  0.03 km, un valor  presupuestado de  RD$10,170,405.48 (Diez Millones Ciento Setenta Mil Cuatrocientos Cinco Pesos con 48/100). Condicion actual: Terminado.</w:t>
      </w:r>
    </w:p>
    <w:p w14:paraId="13D96BB5" w14:textId="77777777" w:rsidR="009A0AD1" w:rsidRPr="00084D33" w:rsidRDefault="009A0AD1" w:rsidP="00C517AE">
      <w:pPr>
        <w:ind w:left="720"/>
        <w:rPr>
          <w:rFonts w:eastAsia="Calibri" w:cs="Times New Roman"/>
          <w:noProof/>
          <w:spacing w:val="20"/>
          <w:szCs w:val="24"/>
        </w:rPr>
      </w:pPr>
    </w:p>
    <w:p w14:paraId="1705BCB9" w14:textId="77777777" w:rsidR="009A0AD1" w:rsidRPr="00084D33" w:rsidRDefault="009A0AD1" w:rsidP="007202A9">
      <w:pPr>
        <w:pStyle w:val="Estilo1-Vietas-Parrafo"/>
        <w:numPr>
          <w:ilvl w:val="0"/>
          <w:numId w:val="33"/>
        </w:numPr>
        <w:ind w:left="990"/>
        <w:rPr>
          <w:rFonts w:eastAsia="Calibri"/>
          <w:noProof/>
          <w:spacing w:val="20"/>
          <w:szCs w:val="24"/>
        </w:rPr>
      </w:pPr>
      <w:r w:rsidRPr="00084D33">
        <w:rPr>
          <w:rFonts w:eastAsia="Calibri"/>
          <w:noProof/>
          <w:spacing w:val="20"/>
          <w:szCs w:val="24"/>
        </w:rPr>
        <w:t xml:space="preserve">Reconstrucción </w:t>
      </w:r>
      <w:r w:rsidRPr="00084D33">
        <w:t>Carretera</w:t>
      </w:r>
      <w:r w:rsidRPr="00084D33">
        <w:rPr>
          <w:rFonts w:eastAsia="Calibri"/>
          <w:noProof/>
          <w:spacing w:val="20"/>
          <w:szCs w:val="24"/>
        </w:rPr>
        <w:t xml:space="preserve"> desde el Cruce Carretera Nordeste - Mata Los Indios - Bella Vista - Guerra, Municipio San Antonio De Guerra, Provincia. Santo. Domingo, con una longitud  de  12.80 km, un valor  presupuestado aproximado de RD$690,666,268.33  (Seiscientos Noventa Millones Seiscientos Sesenta y Seis Mil Doscientos Sesenta y Ocho Pesos con 33/100). Condicion Actual: Terminado.</w:t>
      </w:r>
    </w:p>
    <w:p w14:paraId="5225C100" w14:textId="77777777" w:rsidR="009A0AD1" w:rsidRPr="00084D33" w:rsidRDefault="009A0AD1" w:rsidP="009A0AD1">
      <w:pPr>
        <w:ind w:left="465"/>
      </w:pPr>
    </w:p>
    <w:p w14:paraId="09203736" w14:textId="77777777" w:rsidR="00A11091" w:rsidRPr="00084D33" w:rsidRDefault="00A11091" w:rsidP="00A11091">
      <w:pPr>
        <w:spacing w:after="160"/>
        <w:rPr>
          <w:rFonts w:eastAsia="Calibri" w:cs="Times New Roman"/>
          <w:noProof/>
          <w:spacing w:val="20"/>
          <w:szCs w:val="24"/>
          <w:highlight w:val="lightGray"/>
        </w:rPr>
      </w:pPr>
    </w:p>
    <w:p w14:paraId="066D531C" w14:textId="15AABCFB" w:rsidR="000E449B" w:rsidRPr="00084D33" w:rsidRDefault="000E449B" w:rsidP="000E449B">
      <w:pPr>
        <w:pStyle w:val="Lista2"/>
        <w:jc w:val="center"/>
        <w:rPr>
          <w:rFonts w:cs="Times New Roman"/>
          <w:b/>
        </w:rPr>
      </w:pPr>
      <w:r w:rsidRPr="00084D33">
        <w:rPr>
          <w:rFonts w:cs="Times New Roman"/>
          <w:b/>
        </w:rPr>
        <w:t>4.1.5.2</w:t>
      </w:r>
      <w:r w:rsidRPr="00084D33">
        <w:rPr>
          <w:rFonts w:cs="Times New Roman"/>
          <w:b/>
        </w:rPr>
        <w:tab/>
        <w:t>Construcción, Reconstrucción y Rehabilitación de Carreteras, Avenidas, Calles y Caminos Vecinales</w:t>
      </w:r>
    </w:p>
    <w:p w14:paraId="4C20C86D" w14:textId="77777777" w:rsidR="000E449B" w:rsidRPr="00084D33" w:rsidRDefault="000E449B" w:rsidP="000E449B">
      <w:pPr>
        <w:spacing w:after="160"/>
        <w:rPr>
          <w:rFonts w:eastAsia="Calibri" w:cs="Times New Roman"/>
          <w:noProof/>
          <w:spacing w:val="20"/>
          <w:szCs w:val="24"/>
          <w:highlight w:val="lightGray"/>
        </w:rPr>
      </w:pPr>
    </w:p>
    <w:p w14:paraId="4702777D" w14:textId="747E9225" w:rsidR="000E449B" w:rsidRPr="00084D33" w:rsidRDefault="000E449B" w:rsidP="000E449B">
      <w:pPr>
        <w:spacing w:after="160"/>
        <w:rPr>
          <w:rFonts w:eastAsia="Calibri" w:cs="Times New Roman"/>
          <w:noProof/>
          <w:spacing w:val="20"/>
          <w:szCs w:val="24"/>
        </w:rPr>
      </w:pPr>
      <w:r w:rsidRPr="00084D33">
        <w:rPr>
          <w:rFonts w:eastAsia="Calibri" w:cs="Times New Roman"/>
          <w:noProof/>
          <w:spacing w:val="20"/>
          <w:szCs w:val="24"/>
        </w:rPr>
        <w:lastRenderedPageBreak/>
        <w:t xml:space="preserve">En el área de vialidad para el período </w:t>
      </w:r>
      <w:r w:rsidR="00B5550F" w:rsidRPr="00084D33">
        <w:rPr>
          <w:rFonts w:eastAsia="Calibri" w:cs="Times New Roman"/>
          <w:noProof/>
          <w:spacing w:val="20"/>
          <w:szCs w:val="24"/>
        </w:rPr>
        <w:t>enero – diciembre</w:t>
      </w:r>
      <w:r w:rsidRPr="00084D33">
        <w:rPr>
          <w:rFonts w:eastAsia="Calibri" w:cs="Times New Roman"/>
          <w:noProof/>
          <w:spacing w:val="20"/>
          <w:szCs w:val="24"/>
        </w:rPr>
        <w:t xml:space="preserve"> del año 2024, la producción planeada por el Ministerio de Obras Públicas y Comunicaciones (MOPC), avanzó y concluyó importantes proyectos, con la finalidad de mejorar el transporte de las personas y las cargas y por ende el desarrollo y crecimiento de las diferentes regiones del país, identificándose significativamente las ejecutorias de la institución con el Eje 3 de la Estrategia Nacional de Desarrollo (END) 2030 y el Objetivo Específico 3.3.6; destacándose las obras siguientes:</w:t>
      </w:r>
    </w:p>
    <w:p w14:paraId="3A1E159D" w14:textId="6180248D" w:rsidR="0096018F" w:rsidRPr="00084D33" w:rsidRDefault="00C3480E" w:rsidP="007202A9">
      <w:pPr>
        <w:pStyle w:val="Estilo1-Vietas-Parrafo"/>
        <w:numPr>
          <w:ilvl w:val="0"/>
          <w:numId w:val="33"/>
        </w:numPr>
        <w:ind w:left="990"/>
      </w:pPr>
      <w:r>
        <w:t>Construcción de la Calle Jigü</w:t>
      </w:r>
      <w:r w:rsidR="0096018F" w:rsidRPr="00084D33">
        <w:t xml:space="preserve">ey Aguacate, Municipio Santo Domingo Oeste, con una longitud de 1.80 km y un monto presupuestado de </w:t>
      </w:r>
      <w:r w:rsidR="0096018F" w:rsidRPr="00084D33">
        <w:tab/>
        <w:t xml:space="preserve">$56,538,420.56 (Cincuenta y Seis Millones Quinientos Treinta y Ocho Mil Cuatrocientos Veinte Pesos con 00/100). Condición actual: Terminado. </w:t>
      </w:r>
    </w:p>
    <w:p w14:paraId="4D9CE94C" w14:textId="77777777" w:rsidR="00C1227A" w:rsidRPr="00084D33" w:rsidRDefault="00C1227A" w:rsidP="00C1227A">
      <w:pPr>
        <w:pStyle w:val="Estilo1-Vietas-Parrafo"/>
        <w:ind w:left="630"/>
      </w:pPr>
    </w:p>
    <w:p w14:paraId="5D43BCE3" w14:textId="0B294D51" w:rsidR="0096018F" w:rsidRPr="00084D33" w:rsidRDefault="0096018F" w:rsidP="007202A9">
      <w:pPr>
        <w:pStyle w:val="Estilo1-Vietas-Parrafo"/>
        <w:numPr>
          <w:ilvl w:val="0"/>
          <w:numId w:val="33"/>
        </w:numPr>
        <w:ind w:left="990"/>
      </w:pPr>
      <w:r w:rsidRPr="00084D33">
        <w:t xml:space="preserve">Construcción Puente Peatonal y Motorizado en la Autopista 6 de Noviembre, Cruce de La Semilla, Provincia San </w:t>
      </w:r>
      <w:r w:rsidR="00C3480E" w:rsidRPr="00084D33">
        <w:t>Cristóbal</w:t>
      </w:r>
      <w:r w:rsidRPr="00084D33">
        <w:t xml:space="preserve">, con una longitud de 0.15 ml, una inversión aproximada de RD$39,891,334.62 (Treinta y Nueve Millones Ochocientos Noventa y Un Mil Trescientos Treinta y Cuatro Pesos con 62/100). Condición actual: Terminado; </w:t>
      </w:r>
    </w:p>
    <w:p w14:paraId="0AB22822" w14:textId="77777777" w:rsidR="0096018F" w:rsidRPr="00084D33" w:rsidRDefault="0096018F" w:rsidP="0096018F">
      <w:pPr>
        <w:pStyle w:val="Estilo1-Vietas-Parrafo"/>
        <w:ind w:left="990"/>
      </w:pPr>
    </w:p>
    <w:p w14:paraId="6FBA67C1" w14:textId="584536D2" w:rsidR="0096018F" w:rsidRPr="00084D33" w:rsidRDefault="0096018F" w:rsidP="007202A9">
      <w:pPr>
        <w:pStyle w:val="Estilo1-Vietas-Parrafo"/>
        <w:numPr>
          <w:ilvl w:val="0"/>
          <w:numId w:val="33"/>
        </w:numPr>
        <w:ind w:left="990"/>
      </w:pPr>
      <w:r w:rsidRPr="00084D33">
        <w:t xml:space="preserve">Construcción Puente Villa </w:t>
      </w:r>
      <w:r w:rsidR="00C3480E" w:rsidRPr="00084D33">
        <w:t>Güera</w:t>
      </w:r>
      <w:r w:rsidRPr="00084D33">
        <w:t xml:space="preserve">, en Otra Banda, Provincia Peravia, con una longitud de 0.35 ml, una inversión aproximada de RD$146,346,810.56 (Ciento Cuarenta y Seis Millones Trescientos Cuarenta y Seis Mil Ochocientos Diez Pesos con 56/100). Condición actual: Terminado. </w:t>
      </w:r>
    </w:p>
    <w:p w14:paraId="5D2B5B49" w14:textId="77777777" w:rsidR="0096018F" w:rsidRPr="00084D33" w:rsidRDefault="0096018F" w:rsidP="0096018F">
      <w:pPr>
        <w:pStyle w:val="Estilo1-Vietas-Parrafo"/>
        <w:ind w:left="990"/>
      </w:pPr>
    </w:p>
    <w:p w14:paraId="6359E93E" w14:textId="40C64590" w:rsidR="0096018F" w:rsidRPr="00084D33" w:rsidRDefault="0096018F" w:rsidP="007202A9">
      <w:pPr>
        <w:pStyle w:val="Estilo1-Vietas-Parrafo"/>
        <w:numPr>
          <w:ilvl w:val="0"/>
          <w:numId w:val="33"/>
        </w:numPr>
        <w:ind w:left="990"/>
      </w:pPr>
      <w:r w:rsidRPr="00084D33">
        <w:lastRenderedPageBreak/>
        <w:t xml:space="preserve">Construcción Puente sobre el Arroyo Yauya, en Otra Banda, Municipio </w:t>
      </w:r>
      <w:r w:rsidR="00C3480E" w:rsidRPr="00084D33">
        <w:t>Higüey</w:t>
      </w:r>
      <w:r w:rsidRPr="00084D33">
        <w:t>, Provincia La Altagracia, con una longitud de 0.02 ml, una inversión aproximada de RD$92,000,000.00 (Noventa y Dos Millones de Pesos con 00/100). Condición actual: Terminado; entre otros.</w:t>
      </w:r>
    </w:p>
    <w:p w14:paraId="0B55D4AE" w14:textId="77777777" w:rsidR="0096018F" w:rsidRPr="00084D33" w:rsidRDefault="0096018F" w:rsidP="0096018F">
      <w:pPr>
        <w:pStyle w:val="Estilo1-Vietas-Parrafo"/>
        <w:ind w:left="630"/>
      </w:pPr>
    </w:p>
    <w:p w14:paraId="59D52108" w14:textId="2910DC59" w:rsidR="0096018F" w:rsidRPr="00084D33" w:rsidRDefault="0096018F" w:rsidP="0099481D">
      <w:pPr>
        <w:pStyle w:val="Estilo1-Vietas-Parrafo"/>
      </w:pPr>
      <w:r w:rsidRPr="00084D33">
        <w:t xml:space="preserve">Entre los principales proyectos que durante el periodo enero – junio del 2024, continuaron en proceso de ejecución, se destacan los siguientes: </w:t>
      </w:r>
    </w:p>
    <w:p w14:paraId="60612757" w14:textId="77777777" w:rsidR="0096018F" w:rsidRPr="00084D33" w:rsidRDefault="0096018F" w:rsidP="007202A9">
      <w:pPr>
        <w:pStyle w:val="Estilo1-Vietas-Parrafo"/>
        <w:numPr>
          <w:ilvl w:val="0"/>
          <w:numId w:val="33"/>
        </w:numPr>
        <w:ind w:left="990"/>
      </w:pPr>
      <w:r w:rsidRPr="00084D33">
        <w:t>Programa de Ampliación, Reconstrucción y Modernización de la Autopista Duarte, que contempla en su alcance la intervención de 270 km de longitud y la construcción de diecinueve (19) retornos operacionales en dicha vía, Multiprovincial, con un valor presupuestado de RD$26,434,488,965.12 (Veintiséis Mil Cuatrocientos Treinta y Cuatro Millones Cuatrocientos Ochenta y Ocho Mil Novecientos Sesenta y Cinco Pesos con 12/100). Condición actual: Ejecución;</w:t>
      </w:r>
    </w:p>
    <w:p w14:paraId="0A2F22FA" w14:textId="77777777" w:rsidR="0096018F" w:rsidRPr="00084D33" w:rsidRDefault="0096018F" w:rsidP="0096018F">
      <w:pPr>
        <w:pStyle w:val="Estilo1-Vietas-Parrafo"/>
        <w:spacing w:after="0"/>
        <w:ind w:left="990"/>
      </w:pPr>
    </w:p>
    <w:p w14:paraId="4D5D99A6" w14:textId="77777777" w:rsidR="0096018F" w:rsidRPr="00084D33" w:rsidRDefault="0096018F" w:rsidP="007202A9">
      <w:pPr>
        <w:pStyle w:val="Estilo1-Vietas-Parrafo"/>
        <w:numPr>
          <w:ilvl w:val="0"/>
          <w:numId w:val="33"/>
        </w:numPr>
        <w:ind w:left="990"/>
      </w:pPr>
      <w:r w:rsidRPr="00084D33">
        <w:t>Diseño y Construcción de la Avenida de Circunvalación de Baní, Provincia Peravia, con una longitud de 19.0 km, un valor presupuestado de RD$2,709,235,609.71 (Dos Mil Setecientos Nueve Millones Doscientos Treinta y Cinco Mil Seiscientos Nueve Pesos con 71/100). Condición actual: Ejecución; Avance: 90 %</w:t>
      </w:r>
    </w:p>
    <w:p w14:paraId="1ADC646D" w14:textId="77777777" w:rsidR="0096018F" w:rsidRPr="00084D33" w:rsidRDefault="0096018F" w:rsidP="0096018F">
      <w:pPr>
        <w:pStyle w:val="Estilo1-Vietas-Parrafo"/>
        <w:spacing w:after="0"/>
        <w:ind w:left="990"/>
      </w:pPr>
    </w:p>
    <w:p w14:paraId="14056B63" w14:textId="77777777" w:rsidR="0096018F" w:rsidRPr="00084D33" w:rsidRDefault="0096018F" w:rsidP="007202A9">
      <w:pPr>
        <w:pStyle w:val="Estilo1-Vietas-Parrafo"/>
        <w:numPr>
          <w:ilvl w:val="0"/>
          <w:numId w:val="33"/>
        </w:numPr>
        <w:ind w:left="990"/>
      </w:pPr>
      <w:r w:rsidRPr="00084D33">
        <w:t>Reconstrucción y Ampliación Carretera Federico Basilis, tramo La Vega – Jarabacoa, Provincia La Vega, con una longitud de 25.2 km, un valor presupuestado de RD$800,000,000.00 (Ochocientos Millones de Pesos con 00/100). Condición actual: Ejecución.</w:t>
      </w:r>
    </w:p>
    <w:p w14:paraId="2EF57AE0" w14:textId="77777777" w:rsidR="0096018F" w:rsidRPr="00084D33" w:rsidRDefault="0096018F" w:rsidP="005273D6">
      <w:pPr>
        <w:pStyle w:val="Estilo1-Vietas-Parrafo"/>
        <w:spacing w:after="0" w:line="276" w:lineRule="auto"/>
        <w:ind w:left="990"/>
      </w:pPr>
    </w:p>
    <w:p w14:paraId="1A77A8E9" w14:textId="68B7A653" w:rsidR="0096018F" w:rsidRPr="00084D33" w:rsidRDefault="0096018F" w:rsidP="007202A9">
      <w:pPr>
        <w:pStyle w:val="Estilo1-Vietas-Parrafo"/>
        <w:numPr>
          <w:ilvl w:val="0"/>
          <w:numId w:val="33"/>
        </w:numPr>
        <w:ind w:left="990"/>
      </w:pPr>
      <w:r w:rsidRPr="00084D33">
        <w:t>Reconstrucción Carretera El Seibo-Cruce de Pavón, Provincia El Se</w:t>
      </w:r>
      <w:r w:rsidR="007B2509" w:rsidRPr="00084D33">
        <w:t>i</w:t>
      </w:r>
      <w:r w:rsidRPr="00084D33">
        <w:t>bo, con una longitud de 15.0 km, un valor presupuestado de RD$300,000,000.00 (Trescientos Millones de Pesos con 00/100). Condición actual: Ejecución.</w:t>
      </w:r>
    </w:p>
    <w:p w14:paraId="7B97BBB2" w14:textId="77777777" w:rsidR="0096018F" w:rsidRPr="00084D33" w:rsidRDefault="0096018F" w:rsidP="005273D6">
      <w:pPr>
        <w:pStyle w:val="Estilo1-Vietas-Parrafo"/>
        <w:spacing w:line="276" w:lineRule="auto"/>
        <w:ind w:left="990"/>
      </w:pPr>
    </w:p>
    <w:p w14:paraId="4F58AC58" w14:textId="5E03E25F" w:rsidR="0096018F" w:rsidRPr="00084D33" w:rsidRDefault="0096018F" w:rsidP="007202A9">
      <w:pPr>
        <w:pStyle w:val="Estilo1-Vietas-Parrafo"/>
        <w:numPr>
          <w:ilvl w:val="0"/>
          <w:numId w:val="33"/>
        </w:numPr>
        <w:ind w:left="990"/>
      </w:pPr>
      <w:r w:rsidRPr="00084D33">
        <w:t>Reconstrucción Carretera Eladio Romero Santos, Santa Ana, Sabana Rey, Los Solares, Distrito Municipal El Ranchito, Provincia La Vega, con una longitud de 6.70 km, un valor presupuestado de RD$211,000,000.00 (Doscientos Once Millones de Pesos con 00/100). Condición actual: Ejecución.</w:t>
      </w:r>
    </w:p>
    <w:p w14:paraId="561050DE" w14:textId="77777777" w:rsidR="0096018F" w:rsidRPr="00084D33" w:rsidRDefault="0096018F" w:rsidP="005273D6">
      <w:pPr>
        <w:pStyle w:val="Estilo1-Vietas-Parrafo"/>
        <w:spacing w:line="276" w:lineRule="auto"/>
        <w:ind w:left="270"/>
      </w:pPr>
    </w:p>
    <w:p w14:paraId="17D88536" w14:textId="77777777" w:rsidR="0096018F" w:rsidRPr="00084D33" w:rsidRDefault="0096018F" w:rsidP="007202A9">
      <w:pPr>
        <w:pStyle w:val="Estilo1-Vietas-Parrafo"/>
        <w:numPr>
          <w:ilvl w:val="0"/>
          <w:numId w:val="33"/>
        </w:numPr>
        <w:ind w:left="990"/>
      </w:pPr>
      <w:r w:rsidRPr="00084D33">
        <w:t>Construcción de la Avenida de Circunvalación de San Francisco de Macorís, Provincia Duarte, con una longitud de 15.0 km, un valor presupuestado de RD$2,014,536,217.57 (Dos Mil Catorce Millones Quinientos Treinta y Seis Mil Doscientos Diecisiete Pesos con 57/100). Condición actual: Ejecución;</w:t>
      </w:r>
    </w:p>
    <w:p w14:paraId="57DD2046" w14:textId="5A49FFE9" w:rsidR="0096018F" w:rsidRPr="00084D33" w:rsidRDefault="0096018F" w:rsidP="005273D6">
      <w:pPr>
        <w:pStyle w:val="Estilo1-Vietas-Parrafo"/>
        <w:spacing w:line="276" w:lineRule="auto"/>
        <w:ind w:left="630"/>
      </w:pPr>
    </w:p>
    <w:p w14:paraId="592C0F05" w14:textId="77777777" w:rsidR="0096018F" w:rsidRPr="00084D33" w:rsidRDefault="0096018F" w:rsidP="007202A9">
      <w:pPr>
        <w:pStyle w:val="Estilo1-Vietas-Parrafo"/>
        <w:numPr>
          <w:ilvl w:val="0"/>
          <w:numId w:val="33"/>
        </w:numPr>
        <w:ind w:left="990"/>
      </w:pPr>
      <w:r w:rsidRPr="00084D33">
        <w:t>Construcción Avenida Nuevo Camino / Circunvalación Los Alcarrizos, Municipio Los Alcarrizos, Provincia Santo Domingo, con una longitud de 8.0 km, un valor presupuestado de RD$2,388,116,904.14 (Dos Mil Trescientos Ochenta y Ocho Millones Ciento Dieciséis Mil Novecientos Cuatro Pesos con 14/100). Condición actual: Ejecución;</w:t>
      </w:r>
    </w:p>
    <w:p w14:paraId="3193C264" w14:textId="0563DABC" w:rsidR="0096018F" w:rsidRPr="00084D33" w:rsidRDefault="0096018F" w:rsidP="005273D6">
      <w:pPr>
        <w:pStyle w:val="Estilo1-Vietas-Parrafo"/>
        <w:spacing w:line="276" w:lineRule="auto"/>
        <w:ind w:left="990"/>
      </w:pPr>
    </w:p>
    <w:p w14:paraId="0C95483A" w14:textId="77777777" w:rsidR="0096018F" w:rsidRPr="00084D33" w:rsidRDefault="0096018F" w:rsidP="007202A9">
      <w:pPr>
        <w:pStyle w:val="Estilo1-Vietas-Parrafo"/>
        <w:numPr>
          <w:ilvl w:val="0"/>
          <w:numId w:val="33"/>
        </w:numPr>
        <w:ind w:left="990"/>
      </w:pPr>
      <w:r w:rsidRPr="00084D33">
        <w:t>Construcción Avenida de Circunvalación de Navarrete, Provincia Santiago, con una longitud de 7.1 km, un valor presupuestado de RD$4,900,000,000.00 (Cuatro Mil Novecientos Millones de Pesos con 00/100). Condición actual: Ejecución;</w:t>
      </w:r>
    </w:p>
    <w:p w14:paraId="75912EF2" w14:textId="77777777" w:rsidR="0096018F" w:rsidRPr="00084D33" w:rsidRDefault="0096018F" w:rsidP="007202A9">
      <w:pPr>
        <w:pStyle w:val="Estilo1-Vietas-Parrafo"/>
        <w:numPr>
          <w:ilvl w:val="0"/>
          <w:numId w:val="33"/>
        </w:numPr>
        <w:ind w:left="990"/>
      </w:pPr>
      <w:r w:rsidRPr="00084D33">
        <w:lastRenderedPageBreak/>
        <w:t>Reconstrucción y Ampliación Carretera Enriquillo- Pedernales, Provincias Barahona y Pedernales, con una longitud de 73.0 km, un valor presupuestado de RD$3,404,766,947.02 (Tres Mil Cuatrocientos Cuatro Millones Setecientos Sesenta y Seis Mil Novecientos Cuarenta y Siete Pesos con 02/100). Condición actual: Ejecución.</w:t>
      </w:r>
    </w:p>
    <w:p w14:paraId="5DC2E1D7" w14:textId="77777777" w:rsidR="0096018F" w:rsidRPr="00084D33" w:rsidRDefault="0096018F" w:rsidP="005273D6">
      <w:pPr>
        <w:pStyle w:val="Estilo1-Vietas-Parrafo"/>
        <w:spacing w:line="276" w:lineRule="auto"/>
        <w:ind w:left="990"/>
      </w:pPr>
    </w:p>
    <w:p w14:paraId="07D9EFBA" w14:textId="32DE312B" w:rsidR="0096018F" w:rsidRPr="00084D33" w:rsidRDefault="0096018F" w:rsidP="007202A9">
      <w:pPr>
        <w:pStyle w:val="Estilo1-Vietas-Parrafo"/>
        <w:numPr>
          <w:ilvl w:val="0"/>
          <w:numId w:val="33"/>
        </w:numPr>
        <w:ind w:left="990"/>
      </w:pPr>
      <w:r w:rsidRPr="00084D33">
        <w:t>Terminación Carretera Barahona - Enriquillo, Provincia Barahona, con una longitud de 45.50 km, un valor presupuestado de RD$2,630,007,953.20 (Dos Mil Seiscientos Treinta Millones Siete Mil Novecientos Cincuenta y Tres Pesos con 20/100). Condición actual: Ejecución.</w:t>
      </w:r>
    </w:p>
    <w:p w14:paraId="4ECE7661" w14:textId="77777777" w:rsidR="0096018F" w:rsidRPr="00084D33" w:rsidRDefault="0096018F" w:rsidP="005273D6">
      <w:pPr>
        <w:pStyle w:val="Estilo1-Vietas-Parrafo"/>
        <w:spacing w:line="276" w:lineRule="auto"/>
        <w:ind w:left="990"/>
      </w:pPr>
    </w:p>
    <w:p w14:paraId="61A04FD6" w14:textId="77777777" w:rsidR="0096018F" w:rsidRPr="00084D33" w:rsidRDefault="0096018F" w:rsidP="007202A9">
      <w:pPr>
        <w:pStyle w:val="Estilo1-Vietas-Parrafo"/>
        <w:numPr>
          <w:ilvl w:val="0"/>
          <w:numId w:val="33"/>
        </w:numPr>
        <w:ind w:left="990"/>
      </w:pPr>
      <w:r w:rsidRPr="00084D33">
        <w:t>Construcción Barrera de Protección Marina, Tramo Vial, Obras Conexas y Complementarias en el Municipio de Nagua (Malecón de Nagua), Provincia María Trinidad Sánchez, con una longitud de 3.30 km, un valor presupuestado de RD$3,308,406,249.20 (Tres Mil Trescientos Ocho Millones Cuatrocientos Seis Mil Doscientos Cuarenta y Nueve Pesos con 20/100). Condición actual: Ejecución.</w:t>
      </w:r>
    </w:p>
    <w:p w14:paraId="5E23B475" w14:textId="77777777" w:rsidR="0096018F" w:rsidRPr="00084D33" w:rsidRDefault="0096018F" w:rsidP="005273D6">
      <w:pPr>
        <w:pStyle w:val="Estilo1-Vietas-Parrafo"/>
        <w:spacing w:line="276" w:lineRule="auto"/>
        <w:ind w:left="990"/>
      </w:pPr>
    </w:p>
    <w:p w14:paraId="0E5BD8F0" w14:textId="2B84D34A" w:rsidR="0096018F" w:rsidRPr="00084D33" w:rsidRDefault="0096018F" w:rsidP="007202A9">
      <w:pPr>
        <w:pStyle w:val="Estilo1-Vietas-Parrafo"/>
        <w:numPr>
          <w:ilvl w:val="0"/>
          <w:numId w:val="33"/>
        </w:numPr>
        <w:ind w:left="990"/>
      </w:pPr>
      <w:r w:rsidRPr="00084D33">
        <w:t>Reconstrucción de Obras Complementarias Carretera Turística Gregorio Luperón, Provincias Santiago- Puerto Plata, con una longitud de 23.42</w:t>
      </w:r>
      <w:r w:rsidRPr="00084D33">
        <w:tab/>
        <w:t>km, un valor presupuestado de RD$2,479,351,277.45 (Seiscientos Treinta y Seis Millones de Pesos con 00/100). Condición actual: Ejecución.</w:t>
      </w:r>
    </w:p>
    <w:p w14:paraId="749E37B7" w14:textId="77777777" w:rsidR="0096018F" w:rsidRPr="00084D33" w:rsidRDefault="0096018F" w:rsidP="005273D6">
      <w:pPr>
        <w:pStyle w:val="Estilo1-Vietas-Parrafo"/>
        <w:spacing w:line="276" w:lineRule="auto"/>
        <w:ind w:left="630"/>
      </w:pPr>
    </w:p>
    <w:p w14:paraId="5FB581B3" w14:textId="0A666209" w:rsidR="0096018F" w:rsidRPr="00084D33" w:rsidRDefault="0096018F" w:rsidP="007202A9">
      <w:pPr>
        <w:pStyle w:val="Estilo1-Vietas-Parrafo"/>
        <w:numPr>
          <w:ilvl w:val="0"/>
          <w:numId w:val="33"/>
        </w:numPr>
        <w:ind w:left="990"/>
      </w:pPr>
      <w:r w:rsidRPr="00084D33">
        <w:lastRenderedPageBreak/>
        <w:t>Reconstrucción Carretera Hacienda Estrella- Cruce Pajón hasta Monte Plata, Provincia Monte Plata, con una longitud de 21.75km, un valor presupuestado de RD$1,138,245,926.69 (Mil Ciento Treinta y Ocho Millones Doscientos Cuarenta y Cinco Mil Novecientos Veintiséis Pesos con 69/100). Condición actual: Ejecución.</w:t>
      </w:r>
    </w:p>
    <w:p w14:paraId="513DA1D8" w14:textId="77777777" w:rsidR="0096018F" w:rsidRPr="00084D33" w:rsidRDefault="0096018F" w:rsidP="005273D6">
      <w:pPr>
        <w:pStyle w:val="Estilo1-Vietas-Parrafo"/>
        <w:spacing w:line="276" w:lineRule="auto"/>
        <w:ind w:left="990"/>
      </w:pPr>
    </w:p>
    <w:p w14:paraId="18950F32" w14:textId="23CDE36B" w:rsidR="0096018F" w:rsidRPr="00084D33" w:rsidRDefault="0096018F" w:rsidP="007202A9">
      <w:pPr>
        <w:pStyle w:val="Estilo1-Vietas-Parrafo"/>
        <w:numPr>
          <w:ilvl w:val="0"/>
          <w:numId w:val="33"/>
        </w:numPr>
        <w:ind w:left="990"/>
      </w:pPr>
      <w:r w:rsidRPr="00084D33">
        <w:t>Reconstrucción del Tramo Carretero Nagua-Cabrera en el Municipio de Nagua, Provincia María Trinidad Sánchez, con una longitud de 34.30 km, un valor presupuestado de RD$ 1,250,583,353.00 (Un Mil Doscientos Cincuenta Millones Quinientos Ochenta y Tres Mil Trescientos Cincuenta y Tres Pesos con 00/100). Condición actual: Ejecución.</w:t>
      </w:r>
    </w:p>
    <w:p w14:paraId="29749DD3" w14:textId="77777777" w:rsidR="0096018F" w:rsidRPr="00084D33" w:rsidRDefault="0096018F" w:rsidP="005273D6">
      <w:pPr>
        <w:pStyle w:val="Estilo1-Vietas-Parrafo"/>
        <w:spacing w:line="276" w:lineRule="auto"/>
        <w:ind w:left="270"/>
      </w:pPr>
    </w:p>
    <w:p w14:paraId="574B4197" w14:textId="3091ED03" w:rsidR="0096018F" w:rsidRPr="00084D33" w:rsidRDefault="0096018F" w:rsidP="007202A9">
      <w:pPr>
        <w:pStyle w:val="Estilo1-Vietas-Parrafo"/>
        <w:numPr>
          <w:ilvl w:val="0"/>
          <w:numId w:val="33"/>
        </w:numPr>
        <w:ind w:left="990"/>
      </w:pPr>
      <w:r w:rsidRPr="00084D33">
        <w:t>Reconstrucción Carretera Villa Elisa - Punta Rucia - La Ensenada, Provincia Montecristi, con una longitud de 18.0 km, un valor presupuestado de RD$636,000,000.00 (Seiscientos Treinta y Seis Millones de Pesos con 00/100). Condición actual: Ejecución.</w:t>
      </w:r>
    </w:p>
    <w:p w14:paraId="7D20107F" w14:textId="77777777" w:rsidR="0096018F" w:rsidRPr="00084D33" w:rsidRDefault="0096018F" w:rsidP="005273D6">
      <w:pPr>
        <w:pStyle w:val="Estilo1-Vietas-Parrafo"/>
        <w:spacing w:line="276" w:lineRule="auto"/>
        <w:ind w:left="270"/>
      </w:pPr>
    </w:p>
    <w:p w14:paraId="1B332AA5" w14:textId="1DDCC982" w:rsidR="005273D6" w:rsidRPr="00084D33" w:rsidRDefault="005273D6" w:rsidP="007202A9">
      <w:pPr>
        <w:pStyle w:val="Estilo1-Vietas-Parrafo"/>
        <w:numPr>
          <w:ilvl w:val="0"/>
          <w:numId w:val="33"/>
        </w:numPr>
        <w:ind w:left="990"/>
      </w:pPr>
      <w:r w:rsidRPr="00084D33">
        <w:t>A</w:t>
      </w:r>
      <w:r w:rsidRPr="00084D33">
        <w:rPr>
          <w:rFonts w:eastAsia="Calibri"/>
          <w:noProof/>
          <w:szCs w:val="24"/>
          <w:lang w:val="es-ES" w:eastAsia="es-ES" w:bidi="es-ES"/>
        </w:rPr>
        <w:t>mpliación Vial Km 9 de la Autopista Duarte con Avenida Gregorio Luperón, Municipio Santo Domingo Norte, Provincia Santo Domingo con un valor presupuestado de RD$1,723,584,280.93 (Un Mil Setecientos Veintitrés  Millones Quinientos Ochenta y Cuatro Mil Doscientos Ochenta Pesos con 93/100),  Condición actual: Ejecución.</w:t>
      </w:r>
    </w:p>
    <w:p w14:paraId="16B5322B" w14:textId="77777777" w:rsidR="005273D6" w:rsidRPr="00084D33" w:rsidRDefault="005273D6" w:rsidP="005273D6">
      <w:pPr>
        <w:pStyle w:val="Estilo1-Vietas-Parrafo"/>
        <w:spacing w:line="276" w:lineRule="auto"/>
        <w:ind w:left="990"/>
      </w:pPr>
    </w:p>
    <w:p w14:paraId="5225E5C0" w14:textId="73C65837" w:rsidR="0096018F" w:rsidRPr="00084D33" w:rsidRDefault="0096018F" w:rsidP="007202A9">
      <w:pPr>
        <w:pStyle w:val="Estilo1-Vietas-Parrafo"/>
        <w:numPr>
          <w:ilvl w:val="0"/>
          <w:numId w:val="33"/>
        </w:numPr>
        <w:ind w:left="990"/>
      </w:pPr>
      <w:r w:rsidRPr="00084D33">
        <w:t xml:space="preserve">Mejoramiento Puerto de Manzanillo y sus vías de Conectividad, Provincia Montecristi, con un valor presupuestado de </w:t>
      </w:r>
      <w:r w:rsidRPr="00084D33">
        <w:lastRenderedPageBreak/>
        <w:t>RD$6,230,000,000.00 (Seis Mil Doscientos Treinta Millones de Pesos con 00/100), incluye la ejecución de varias obras viales en el municipio de Montecristi. Condición actual: Ejecución.</w:t>
      </w:r>
    </w:p>
    <w:p w14:paraId="12EBDC48" w14:textId="77777777" w:rsidR="0096018F" w:rsidRPr="00084D33" w:rsidRDefault="0096018F" w:rsidP="005273D6">
      <w:pPr>
        <w:pStyle w:val="Estilo1-Vietas-Parrafo"/>
        <w:spacing w:line="276" w:lineRule="auto"/>
        <w:ind w:left="990"/>
      </w:pPr>
    </w:p>
    <w:p w14:paraId="108C5561" w14:textId="008E1C96" w:rsidR="0096018F" w:rsidRPr="00084D33" w:rsidRDefault="0096018F" w:rsidP="007202A9">
      <w:pPr>
        <w:pStyle w:val="Estilo1-Vietas-Parrafo"/>
        <w:numPr>
          <w:ilvl w:val="0"/>
          <w:numId w:val="33"/>
        </w:numPr>
        <w:ind w:left="990"/>
      </w:pPr>
      <w:r w:rsidRPr="00084D33">
        <w:t>Diseño y Reconstrucción Entrada Acceso a la ciudad de Samaná, Provincia Samaná, con una longitud de 3.10 km, un valor presupuestado de RD$720,760,279.80 (Setecientos Veinte Millones Setecientos Sesenta Mil Doscientos Setenta y Nueve Pesos con 80/100). Condición actual: Ejecución;</w:t>
      </w:r>
    </w:p>
    <w:p w14:paraId="72B42641" w14:textId="77777777" w:rsidR="0096018F" w:rsidRPr="00084D33" w:rsidRDefault="0096018F" w:rsidP="005273D6">
      <w:pPr>
        <w:pStyle w:val="Estilo1-Vietas-Parrafo"/>
        <w:spacing w:line="276" w:lineRule="auto"/>
        <w:ind w:left="990"/>
      </w:pPr>
    </w:p>
    <w:p w14:paraId="54B97F4A" w14:textId="653B8BC7" w:rsidR="0096018F" w:rsidRPr="00084D33" w:rsidRDefault="0096018F" w:rsidP="007202A9">
      <w:pPr>
        <w:pStyle w:val="Estilo1-Vietas-Parrafo"/>
        <w:numPr>
          <w:ilvl w:val="0"/>
          <w:numId w:val="33"/>
        </w:numPr>
        <w:ind w:left="990"/>
      </w:pPr>
      <w:r w:rsidRPr="00084D33">
        <w:t>Reconstrucción Carretera Hato Mayor - El Puerto, Provincia Hato Mayor, con una longitud de 21.0 km, un valor presupuestado de RD$2,104,000,000.00 (Dos Mil Ciento Cuatro Millones de Pesos con 00/100). Condición actual: Ejecución.</w:t>
      </w:r>
    </w:p>
    <w:p w14:paraId="6B551A2A" w14:textId="77777777" w:rsidR="0096018F" w:rsidRPr="00084D33" w:rsidRDefault="0096018F" w:rsidP="005273D6">
      <w:pPr>
        <w:pStyle w:val="Estilo1-Vietas-Parrafo"/>
        <w:spacing w:line="276" w:lineRule="auto"/>
        <w:ind w:left="990"/>
      </w:pPr>
    </w:p>
    <w:p w14:paraId="3AD9A6C2" w14:textId="77777777" w:rsidR="0096018F" w:rsidRPr="00084D33" w:rsidRDefault="0096018F" w:rsidP="007202A9">
      <w:pPr>
        <w:pStyle w:val="Estilo1-Vietas-Parrafo"/>
        <w:numPr>
          <w:ilvl w:val="0"/>
          <w:numId w:val="33"/>
        </w:numPr>
        <w:ind w:left="990"/>
      </w:pPr>
      <w:r w:rsidRPr="00084D33">
        <w:t>Reconstrucción del Tramo III de la Carretera Rancho Arriba-Sabana Larga (Terminación Carretera Cibao-Sur), Municipios Rancho Arriba y Sabana Larga, Provincia San José de Ocoa, con una longitud de 29.70 km, un valor presupuestado de RD$1,127,444,050.88 (Un Mil Ciento Veintisiete Millones Cuatrocientos Cuarenta y Cuatro Mil Cincuenta Pesos con 88/100. Condición actual: Ejecución.</w:t>
      </w:r>
    </w:p>
    <w:p w14:paraId="4ADF30B9" w14:textId="77777777" w:rsidR="0096018F" w:rsidRPr="00084D33" w:rsidRDefault="0096018F" w:rsidP="00C1227A">
      <w:pPr>
        <w:pStyle w:val="Estilo1-Vietas-Parrafo"/>
        <w:ind w:left="990"/>
      </w:pPr>
    </w:p>
    <w:p w14:paraId="6F5D17A6" w14:textId="77777777" w:rsidR="0096018F" w:rsidRPr="00084D33" w:rsidRDefault="0096018F" w:rsidP="007202A9">
      <w:pPr>
        <w:pStyle w:val="Estilo1-Vietas-Parrafo"/>
        <w:numPr>
          <w:ilvl w:val="0"/>
          <w:numId w:val="33"/>
        </w:numPr>
        <w:ind w:left="990"/>
      </w:pPr>
      <w:r w:rsidRPr="00084D33">
        <w:t>Construcción Camino Vecinal Monte Plata – Cevicos, Provincia Monte Plata, con una longitud de 44.25 km, un valor presupuestado de RD$756,583,060.26 (Setecientos Cincuenta y Seis Millones Quinientos Ochenta y Tres Mil Sesenta Pesos con 26/100). Condición actual: Ejecución;</w:t>
      </w:r>
    </w:p>
    <w:p w14:paraId="61613177" w14:textId="77777777" w:rsidR="0096018F" w:rsidRPr="00084D33" w:rsidRDefault="0096018F" w:rsidP="005273D6">
      <w:pPr>
        <w:pStyle w:val="Estilo1-Vietas-Parrafo"/>
        <w:spacing w:line="276" w:lineRule="auto"/>
        <w:ind w:left="990"/>
      </w:pPr>
    </w:p>
    <w:p w14:paraId="68B38D4D" w14:textId="77777777" w:rsidR="0096018F" w:rsidRPr="00084D33" w:rsidRDefault="0096018F" w:rsidP="007202A9">
      <w:pPr>
        <w:pStyle w:val="Estilo1-Vietas-Parrafo"/>
        <w:numPr>
          <w:ilvl w:val="0"/>
          <w:numId w:val="33"/>
        </w:numPr>
        <w:ind w:left="990"/>
      </w:pPr>
      <w:r w:rsidRPr="00084D33">
        <w:t xml:space="preserve">Construcción Camino Vecinal Monte Plata – Bayaguana, Provincia </w:t>
      </w:r>
      <w:r w:rsidRPr="00084D33">
        <w:tab/>
        <w:t>Monte Plata, con una longitud de 17.76 km, un valor presupuestado de RD$453,845,542.19 (Cuatrocientos Cincuenta y Tres Millones Ochocientos Cuarenta y Cinco Mil Quinientos Cuarenta y Dos Pesos con 19/100). Condición actual: Ejecución;</w:t>
      </w:r>
      <w:r w:rsidRPr="00084D33">
        <w:tab/>
      </w:r>
    </w:p>
    <w:p w14:paraId="4B40B277" w14:textId="77777777" w:rsidR="0096018F" w:rsidRPr="00084D33" w:rsidRDefault="0096018F" w:rsidP="005273D6">
      <w:pPr>
        <w:pStyle w:val="Estilo1-Vietas-Parrafo"/>
        <w:spacing w:line="276" w:lineRule="auto"/>
        <w:ind w:left="990"/>
      </w:pPr>
    </w:p>
    <w:p w14:paraId="0C0B63DD" w14:textId="77777777" w:rsidR="0096018F" w:rsidRPr="00084D33" w:rsidRDefault="0096018F" w:rsidP="007202A9">
      <w:pPr>
        <w:pStyle w:val="Estilo1-Vietas-Parrafo"/>
        <w:numPr>
          <w:ilvl w:val="0"/>
          <w:numId w:val="33"/>
        </w:numPr>
        <w:ind w:left="990"/>
      </w:pPr>
      <w:r w:rsidRPr="00084D33">
        <w:t>Construcción Camino Vecinal La Llanada Del Cerro, Provincia La Altagracia, con una longitud de 8.30 km, un valor presupuestado de RD$104,733,650.93 (Ciento Cuatro Millones Setecientos Treinta y Tres Mil Seiscientos Cincuenta Pesos con 93/100). Condición actual: Ejecución;</w:t>
      </w:r>
    </w:p>
    <w:p w14:paraId="2C02C697" w14:textId="77777777" w:rsidR="0096018F" w:rsidRPr="00084D33" w:rsidRDefault="0096018F" w:rsidP="005273D6">
      <w:pPr>
        <w:pStyle w:val="Estilo1-Vietas-Parrafo"/>
        <w:spacing w:line="276" w:lineRule="auto"/>
        <w:ind w:left="990"/>
      </w:pPr>
    </w:p>
    <w:p w14:paraId="0CBF2627" w14:textId="4CAF1D9F" w:rsidR="0096018F" w:rsidRPr="00084D33" w:rsidRDefault="005273D6" w:rsidP="007202A9">
      <w:pPr>
        <w:pStyle w:val="Estilo1-Vietas-Parrafo"/>
        <w:numPr>
          <w:ilvl w:val="0"/>
          <w:numId w:val="33"/>
        </w:numPr>
        <w:ind w:left="990"/>
      </w:pPr>
      <w:r w:rsidRPr="00084D33">
        <w:t xml:space="preserve">Reconstrucción </w:t>
      </w:r>
      <w:r w:rsidR="0096018F" w:rsidRPr="00084D33">
        <w:t>Puente Arroyo Naranjo en la Carretera Hacienda Estrella, Provincia Monte Plata, con una longitud de 8.30 km, un valor presupuestado de RD$104,733,650.93 (Ciento Cuatro Millones Setecientos Treinta y Tres Mil Seiscientos Cincuenta Pesos con 93/100). Condición actual: Ejecución;</w:t>
      </w:r>
    </w:p>
    <w:p w14:paraId="1C276988" w14:textId="77777777" w:rsidR="0096018F" w:rsidRPr="00084D33" w:rsidRDefault="0096018F" w:rsidP="005273D6">
      <w:pPr>
        <w:pStyle w:val="Estilo1-Vietas-Parrafo"/>
        <w:spacing w:line="276" w:lineRule="auto"/>
        <w:ind w:left="990"/>
      </w:pPr>
    </w:p>
    <w:p w14:paraId="2F0850B3" w14:textId="77777777" w:rsidR="0096018F" w:rsidRPr="00084D33" w:rsidRDefault="0096018F" w:rsidP="007202A9">
      <w:pPr>
        <w:pStyle w:val="Estilo1-Vietas-Parrafo"/>
        <w:numPr>
          <w:ilvl w:val="0"/>
          <w:numId w:val="33"/>
        </w:numPr>
        <w:ind w:left="990"/>
      </w:pPr>
      <w:r w:rsidRPr="00084D33">
        <w:t xml:space="preserve">Mejoramiento de Obras Públicas Resilientes para Reducir Riesgos de Desastres en el Contexto del Cambio Climático a nivel nacional, un valor presupuestado de RD$3,325,000,000.00 (Tres Mil Trescientos Veinticinco Millones de Pesos con 00/100), incluye la Construcción de viviendas, construcción de obras viales Resilientes; Construcción de tres (3) Puentes en el Camino Naranjo Dulce-La Jaguita; Construcción Camino Vecinal de 10.0 km de longitud y 4 Puentes en la comunidad San Felipe - Pimentel </w:t>
      </w:r>
      <w:r w:rsidRPr="00084D33">
        <w:lastRenderedPageBreak/>
        <w:t>Abajo; entre otros. Organismo financiador BID. Condición actual: Ejecución;</w:t>
      </w:r>
    </w:p>
    <w:p w14:paraId="1A64CD07" w14:textId="5C82623E" w:rsidR="0096018F" w:rsidRPr="00084D33" w:rsidRDefault="0096018F" w:rsidP="005273D6">
      <w:pPr>
        <w:pStyle w:val="Estilo1-Vietas-Parrafo"/>
        <w:spacing w:line="276" w:lineRule="auto"/>
        <w:ind w:left="990"/>
      </w:pPr>
    </w:p>
    <w:p w14:paraId="281A52CC" w14:textId="77777777" w:rsidR="0096018F" w:rsidRPr="00084D33" w:rsidRDefault="0096018F" w:rsidP="007202A9">
      <w:pPr>
        <w:pStyle w:val="Estilo1-Vietas-Parrafo"/>
        <w:numPr>
          <w:ilvl w:val="0"/>
          <w:numId w:val="33"/>
        </w:numPr>
        <w:ind w:left="990"/>
      </w:pPr>
      <w:r w:rsidRPr="00084D33">
        <w:t>Reconstrucción Camino Los Fríos - Los Guayayos - Las Lajas, Provincia Azua, con una longitud de 12.80 km, un valor presupuestado de RD$109,861,685.68 (Ciento Nueve Millones Ochocientos Sesenta y Un Mil Seiscientos Ochenta y Cinco Pesos con 68/100). Condición actual: Ejecución;</w:t>
      </w:r>
    </w:p>
    <w:p w14:paraId="00DD4D31" w14:textId="11F3E419" w:rsidR="0096018F" w:rsidRPr="00084D33" w:rsidRDefault="0096018F" w:rsidP="005273D6">
      <w:pPr>
        <w:pStyle w:val="Estilo1-Vietas-Parrafo"/>
        <w:spacing w:line="276" w:lineRule="auto"/>
        <w:ind w:left="990"/>
      </w:pPr>
    </w:p>
    <w:p w14:paraId="44E70673" w14:textId="77777777" w:rsidR="0096018F" w:rsidRPr="00084D33" w:rsidRDefault="0096018F" w:rsidP="007202A9">
      <w:pPr>
        <w:pStyle w:val="Estilo1-Vietas-Parrafo"/>
        <w:numPr>
          <w:ilvl w:val="0"/>
          <w:numId w:val="33"/>
        </w:numPr>
        <w:ind w:left="990"/>
      </w:pPr>
      <w:r w:rsidRPr="00084D33">
        <w:t>Reconstrucción Camino Vecinal Las Matas de Santa Cruz, conectando Las Comunidades de Los Ciruelos- Sabana al Medio- Sangre Linda- La Gorra-Partido, Provincia Monte Cristi, con una longitud de 11.60 km, un valor presupuestado de RD$1,178,563,616.37 (Un Mil Ciento Setenta y Ocho Millones Quinientos Sesenta y Tres Mil Seiscientos Dieciséis Pesos con 37/100). Condición actual: Ejecución;</w:t>
      </w:r>
    </w:p>
    <w:p w14:paraId="0F525DEB" w14:textId="5AAAC7A5" w:rsidR="0096018F" w:rsidRPr="00084D33" w:rsidRDefault="0096018F" w:rsidP="005273D6">
      <w:pPr>
        <w:pStyle w:val="Estilo1-Vietas-Parrafo"/>
        <w:spacing w:line="276" w:lineRule="auto"/>
        <w:ind w:left="990"/>
      </w:pPr>
    </w:p>
    <w:p w14:paraId="65E9AB27" w14:textId="77777777" w:rsidR="0096018F" w:rsidRPr="00084D33" w:rsidRDefault="0096018F" w:rsidP="007202A9">
      <w:pPr>
        <w:pStyle w:val="Estilo1-Vietas-Parrafo"/>
        <w:numPr>
          <w:ilvl w:val="0"/>
          <w:numId w:val="33"/>
        </w:numPr>
        <w:ind w:left="990"/>
      </w:pPr>
      <w:r w:rsidRPr="00084D33">
        <w:t>Construcción de Paso a Desnivel Soterrado en la Intersección de la Av. Luperón con Av. 27 de Febrero, Provincia Santo Domingo, con un valor presupuestado de RD$ 2,575,804,290.09 (Dos Mil Quinientos Setenta y Cinco Millones Ochocientos Cuatro Mil Doscientos Noventa Pesos con 09/100). Condición actual: Ejecución;</w:t>
      </w:r>
    </w:p>
    <w:p w14:paraId="5818FBEF" w14:textId="53765F8D" w:rsidR="0096018F" w:rsidRPr="00084D33" w:rsidRDefault="0096018F" w:rsidP="005273D6">
      <w:pPr>
        <w:pStyle w:val="Estilo1-Vietas-Parrafo"/>
        <w:spacing w:line="276" w:lineRule="auto"/>
        <w:ind w:left="990"/>
      </w:pPr>
    </w:p>
    <w:p w14:paraId="10D6830C" w14:textId="6225A886" w:rsidR="005273D6" w:rsidRPr="00084D33" w:rsidRDefault="005273D6" w:rsidP="007202A9">
      <w:pPr>
        <w:pStyle w:val="Estilo1-Vietas-Parrafo"/>
        <w:numPr>
          <w:ilvl w:val="0"/>
          <w:numId w:val="33"/>
        </w:numPr>
        <w:ind w:left="990"/>
      </w:pPr>
      <w:r w:rsidRPr="00084D33">
        <w:t xml:space="preserve">Construcción de Paso a Desnivel Soterrado en la Intersección de la Av. 27 de Febrero con Av. Isabel Aguiar, Municipio Santo Domingo Oeste, Provincia Santo Domingo, con un valor presupuestado de RD$2,630,514,739.11 (Dos Mil Seiscientos </w:t>
      </w:r>
      <w:r w:rsidRPr="00084D33">
        <w:lastRenderedPageBreak/>
        <w:t>Treinta Millones Quinientos Catorce Mil Setecientos Treinta y Nueve Pesos con 11/100). Condición actual: Ejecución;</w:t>
      </w:r>
    </w:p>
    <w:p w14:paraId="59BF04D4" w14:textId="77777777" w:rsidR="005273D6" w:rsidRPr="00084D33" w:rsidRDefault="005273D6" w:rsidP="005273D6">
      <w:pPr>
        <w:pStyle w:val="Estilo1-Vietas-Parrafo"/>
        <w:spacing w:line="276" w:lineRule="auto"/>
        <w:ind w:left="990"/>
      </w:pPr>
    </w:p>
    <w:p w14:paraId="2BF176B7" w14:textId="77777777" w:rsidR="005273D6" w:rsidRPr="00084D33" w:rsidRDefault="005273D6" w:rsidP="007202A9">
      <w:pPr>
        <w:pStyle w:val="Estilo1-Vietas-Parrafo"/>
        <w:numPr>
          <w:ilvl w:val="0"/>
          <w:numId w:val="33"/>
        </w:numPr>
        <w:ind w:left="990"/>
      </w:pPr>
      <w:r w:rsidRPr="00084D33">
        <w:t>Construcción de Infraestructura Vial para el Desarrollo Turístico de Cabo Rojo, Municipio Pedernales, Provincia Pedernales, con un valor presupuestado de RD$ 2,732,257,453.77 (Dos Mil Setecientos Treinta y Dos Millones Doscientos Cincuenta y Tres Mil Cuatrocientos Cincuenta y Tres Pesos con 77/100). Condición actual: Ejecución;</w:t>
      </w:r>
    </w:p>
    <w:p w14:paraId="5EF27FC0" w14:textId="35A0AFBC" w:rsidR="0096018F" w:rsidRPr="00084D33" w:rsidRDefault="0096018F" w:rsidP="005273D6">
      <w:pPr>
        <w:pStyle w:val="Estilo1-Vietas-Parrafo"/>
        <w:spacing w:line="276" w:lineRule="auto"/>
        <w:ind w:left="990"/>
      </w:pPr>
    </w:p>
    <w:p w14:paraId="1B5BAEDC" w14:textId="77777777" w:rsidR="0096018F" w:rsidRPr="00084D33" w:rsidRDefault="0096018F" w:rsidP="007202A9">
      <w:pPr>
        <w:pStyle w:val="Estilo1-Vietas-Parrafo"/>
        <w:numPr>
          <w:ilvl w:val="0"/>
          <w:numId w:val="33"/>
        </w:numPr>
        <w:ind w:left="990"/>
      </w:pPr>
      <w:r w:rsidRPr="00084D33">
        <w:t>Reconstrucción Carretera Jarabacoa (desde C/ Federico Basilis) hasta Junumucú, Municipio Jarabacoa, Provincia La Vega, con una longitud de 38.22 km, un valor presupuestado de RD$2,621,184,311.51 (Dos Mil Seiscientos Veintiún Millones Ciento Ochenta y Cuatro Mil Trescientos Once Pesos con 51/100). Condición actual: Ejecució</w:t>
      </w:r>
    </w:p>
    <w:p w14:paraId="791CD758" w14:textId="25B64C00" w:rsidR="0096018F" w:rsidRPr="00084D33" w:rsidRDefault="0096018F" w:rsidP="00540493">
      <w:pPr>
        <w:ind w:left="900"/>
      </w:pPr>
      <w:r w:rsidRPr="00084D33">
        <w:t xml:space="preserve"> </w:t>
      </w:r>
    </w:p>
    <w:p w14:paraId="627E568F" w14:textId="77777777" w:rsidR="0096018F" w:rsidRPr="00084D33" w:rsidRDefault="0096018F" w:rsidP="007202A9">
      <w:pPr>
        <w:pStyle w:val="Estilo1-Vietas-Parrafo"/>
        <w:numPr>
          <w:ilvl w:val="0"/>
          <w:numId w:val="33"/>
        </w:numPr>
        <w:ind w:left="990"/>
      </w:pPr>
      <w:r w:rsidRPr="00084D33">
        <w:t>Construcción del Camino Vecinal El Cigual - Presa Sabana Yegua - El Corozo - Carretera San Juan, Provincia Azua, con una longitud de 8.00 km, un valor presupuestado de RD$234,611,910.48 (Doscientos Treinta y Cuatro Millones Seiscientos Once Mil Novecientos Diez Pesos con 48/100). Condición actual: Ejecución;</w:t>
      </w:r>
    </w:p>
    <w:p w14:paraId="5422CDAC" w14:textId="7F029409" w:rsidR="0096018F" w:rsidRPr="00084D33" w:rsidRDefault="0096018F" w:rsidP="005273D6">
      <w:pPr>
        <w:pStyle w:val="Estilo1-Vietas-Parrafo"/>
        <w:spacing w:line="276" w:lineRule="auto"/>
        <w:ind w:left="990"/>
      </w:pPr>
    </w:p>
    <w:p w14:paraId="56391C2B" w14:textId="77777777" w:rsidR="0096018F" w:rsidRPr="00084D33" w:rsidRDefault="0096018F" w:rsidP="007202A9">
      <w:pPr>
        <w:pStyle w:val="Estilo1-Vietas-Parrafo"/>
        <w:numPr>
          <w:ilvl w:val="0"/>
          <w:numId w:val="33"/>
        </w:numPr>
        <w:ind w:left="990"/>
      </w:pPr>
      <w:r w:rsidRPr="00084D33">
        <w:t>Reconstrucción Puente Sobre El Rio Jayaco, en Bonao Provincia Monseñor Nouel, con una longitud de 0.04 km, un valor presupuestado de RD$32,000,000.00 (Treinta y Dos Millones de Pesos con 00/100). Condición actual: Ejecución;</w:t>
      </w:r>
    </w:p>
    <w:p w14:paraId="12BC6DE4" w14:textId="77777777" w:rsidR="0096018F" w:rsidRPr="00084D33" w:rsidRDefault="0096018F" w:rsidP="005273D6">
      <w:pPr>
        <w:pStyle w:val="Estilo1-Vietas-Parrafo"/>
        <w:spacing w:line="276" w:lineRule="auto"/>
        <w:ind w:left="990"/>
      </w:pPr>
    </w:p>
    <w:p w14:paraId="61D079ED" w14:textId="40952FF6" w:rsidR="0096018F" w:rsidRPr="00084D33" w:rsidRDefault="0096018F" w:rsidP="007202A9">
      <w:pPr>
        <w:pStyle w:val="Estilo1-Vietas-Parrafo"/>
        <w:numPr>
          <w:ilvl w:val="0"/>
          <w:numId w:val="33"/>
        </w:numPr>
        <w:ind w:left="990"/>
      </w:pPr>
      <w:r w:rsidRPr="00084D33">
        <w:t>Protección de Talud en la Carretera-Cruce de Ocoa-Ocoa Prov. San Jose de Ocoa, longitud 29.0 km, un valor presupuestado de RD$564,446,248.54 (Quinientos Sesenta y Cuatro Millones Cuatrocientos Cuarenta y Seis Mil Doscientos Cuarenta y Ocho Pesos con 54/100). Condición actual: Ejecución;</w:t>
      </w:r>
    </w:p>
    <w:p w14:paraId="365DCD95" w14:textId="4FCFC6AA" w:rsidR="0096018F" w:rsidRPr="00084D33" w:rsidRDefault="0096018F" w:rsidP="00540493">
      <w:pPr>
        <w:ind w:left="900"/>
      </w:pPr>
    </w:p>
    <w:p w14:paraId="15E2587C" w14:textId="77777777" w:rsidR="0096018F" w:rsidRPr="00084D33" w:rsidRDefault="0096018F" w:rsidP="007202A9">
      <w:pPr>
        <w:pStyle w:val="Estilo1-Vietas-Parrafo"/>
        <w:numPr>
          <w:ilvl w:val="0"/>
          <w:numId w:val="33"/>
        </w:numPr>
        <w:ind w:left="990"/>
      </w:pPr>
      <w:r w:rsidRPr="00084D33">
        <w:t>Reconstrucción Camino Vecinal Mata Bonita - Los Memisos, Provincia María Trinidad Sánchez, con un valor total presupuestado de RD$291,021,142.00 (Doscientos Noventa y Un Millones Veintiún Mil Ciento Cuarenta y Dos Pesos con 00/100). Condición actual: Ejecución;</w:t>
      </w:r>
    </w:p>
    <w:p w14:paraId="2769494B" w14:textId="77777777" w:rsidR="0096018F" w:rsidRPr="00084D33" w:rsidRDefault="0096018F" w:rsidP="005273D6">
      <w:pPr>
        <w:pStyle w:val="Estilo1-Vietas-Parrafo"/>
        <w:spacing w:line="276" w:lineRule="auto"/>
        <w:ind w:left="990"/>
      </w:pPr>
    </w:p>
    <w:p w14:paraId="0D2D7739" w14:textId="77777777" w:rsidR="0096018F" w:rsidRPr="00084D33" w:rsidRDefault="0096018F" w:rsidP="007202A9">
      <w:pPr>
        <w:pStyle w:val="Estilo1-Vietas-Parrafo"/>
        <w:numPr>
          <w:ilvl w:val="0"/>
          <w:numId w:val="33"/>
        </w:numPr>
        <w:ind w:left="990"/>
      </w:pPr>
      <w:r w:rsidRPr="00084D33">
        <w:t xml:space="preserve">Reconstrucción de la carretera Chacuey-El Tope, Provincia Sánchez Ramirez, longitud 29.0 km, un valor presupuestado de RD$80,685,797.63 (Ochenta Millones Seiscientos Ochenta y Cinco Mil Doscientos Cuarenta y Ocho Pesos con 54/100). Condición actual: Ejecución; </w:t>
      </w:r>
    </w:p>
    <w:p w14:paraId="5A791751" w14:textId="78EC9DE7" w:rsidR="000E449B" w:rsidRPr="00084D33" w:rsidRDefault="000E449B" w:rsidP="00312E51">
      <w:pPr>
        <w:pStyle w:val="Estilo1-Vietas-Parrafo"/>
        <w:ind w:left="630"/>
        <w:rPr>
          <w:rFonts w:eastAsia="Calibri"/>
          <w:noProof/>
          <w:spacing w:val="20"/>
          <w:szCs w:val="24"/>
          <w:highlight w:val="yellow"/>
        </w:rPr>
      </w:pPr>
      <w:r w:rsidRPr="00084D33">
        <w:rPr>
          <w:highlight w:val="lightGray"/>
        </w:rPr>
        <w:t xml:space="preserve"> </w:t>
      </w:r>
    </w:p>
    <w:p w14:paraId="6EF07BEC" w14:textId="5E7E6ACD" w:rsidR="0096018F" w:rsidRPr="00084D33" w:rsidRDefault="0096018F" w:rsidP="0096018F">
      <w:pPr>
        <w:spacing w:before="240" w:after="160"/>
        <w:rPr>
          <w:rFonts w:eastAsia="Calibri" w:cs="Times New Roman"/>
          <w:noProof/>
          <w:spacing w:val="20"/>
          <w:szCs w:val="24"/>
        </w:rPr>
      </w:pPr>
      <w:r w:rsidRPr="00084D33">
        <w:rPr>
          <w:rFonts w:eastAsia="Calibri" w:cs="Times New Roman"/>
          <w:noProof/>
          <w:spacing w:val="20"/>
          <w:szCs w:val="24"/>
        </w:rPr>
        <w:t>Ad</w:t>
      </w:r>
      <w:r w:rsidRPr="00084D33">
        <w:rPr>
          <w:rFonts w:cs="Times New Roman"/>
        </w:rPr>
        <w:t>e</w:t>
      </w:r>
      <w:r w:rsidRPr="00084D33">
        <w:rPr>
          <w:rFonts w:eastAsia="Calibri" w:cs="Times New Roman"/>
          <w:noProof/>
          <w:spacing w:val="20"/>
          <w:szCs w:val="24"/>
        </w:rPr>
        <w:t xml:space="preserve">más, </w:t>
      </w:r>
      <w:r w:rsidR="005273D6" w:rsidRPr="00084D33">
        <w:rPr>
          <w:rFonts w:eastAsia="Calibri" w:cs="Times New Roman"/>
          <w:noProof/>
          <w:spacing w:val="20"/>
          <w:szCs w:val="24"/>
        </w:rPr>
        <w:t>durante el periodo enero – diciembre del año 2024, el Ministerio de Obras Públicas y Comunicaciones (MOPC), continuó la ejecución de importantes proyectos de infraestructura vial urbana, abarcando  casi la totalidad de los municipios a nivel nacional, entre los que se destacan los siguientes</w:t>
      </w:r>
      <w:r w:rsidRPr="00084D33">
        <w:rPr>
          <w:rFonts w:eastAsia="Calibri" w:cs="Times New Roman"/>
          <w:noProof/>
          <w:spacing w:val="20"/>
          <w:szCs w:val="24"/>
        </w:rPr>
        <w:t>:</w:t>
      </w:r>
    </w:p>
    <w:p w14:paraId="1ACEFDA7" w14:textId="77777777" w:rsidR="0096018F" w:rsidRPr="00084D33" w:rsidRDefault="0096018F" w:rsidP="0096018F">
      <w:pPr>
        <w:pStyle w:val="Estilo1-Vietas-Parrafo"/>
        <w:ind w:left="990"/>
      </w:pPr>
    </w:p>
    <w:p w14:paraId="11E5BF52" w14:textId="77777777" w:rsidR="0096018F" w:rsidRPr="00084D33" w:rsidRDefault="0096018F" w:rsidP="007202A9">
      <w:pPr>
        <w:pStyle w:val="Estilo1-Vietas-Parrafo"/>
        <w:numPr>
          <w:ilvl w:val="0"/>
          <w:numId w:val="33"/>
        </w:numPr>
        <w:ind w:left="990"/>
      </w:pPr>
      <w:r w:rsidRPr="00084D33">
        <w:t xml:space="preserve">Reconstrucción de la Infraestructura Vial Urbana del Municipio Santo Domingo Norte, Provincia Santo Domingo, con un valor total presupuestado de RD$2,563,295,703.46 (Dos Mil Quinientos </w:t>
      </w:r>
      <w:r w:rsidRPr="00084D33">
        <w:lastRenderedPageBreak/>
        <w:t>Setenta y Tres Millones Doscientos Noventa y Cinco Mil Setecientos Tres Pesos con 46/100), incluye la ejecución de varias obras viales en el municipio. Condición actual: Ejecución;</w:t>
      </w:r>
    </w:p>
    <w:p w14:paraId="35E9637D" w14:textId="77777777" w:rsidR="0096018F" w:rsidRPr="00084D33" w:rsidRDefault="0096018F" w:rsidP="0096018F">
      <w:pPr>
        <w:pStyle w:val="Estilo1-Vietas-Parrafo"/>
        <w:ind w:left="990"/>
      </w:pPr>
    </w:p>
    <w:p w14:paraId="559A7CD0" w14:textId="77777777" w:rsidR="0096018F" w:rsidRPr="00084D33" w:rsidRDefault="0096018F" w:rsidP="007202A9">
      <w:pPr>
        <w:pStyle w:val="Estilo1-Vietas-Parrafo"/>
        <w:numPr>
          <w:ilvl w:val="0"/>
          <w:numId w:val="33"/>
        </w:numPr>
        <w:ind w:left="990"/>
      </w:pPr>
      <w:r w:rsidRPr="00084D33">
        <w:t>Reconstrucción de la Infraestructura Vial Urbana del Municipio Santiago de los Caballeros, Provincia Santiago, con un valor total presupuestado de RD$2,307,044,497.41 (Dos Mil Trescientos Siete Millones Cuarenta y Cuatro Mil Cuatrocientos Noventa y Siete Pesos con 41/100), incluye la ejecución de varias obras viales en el municipio. Condición actual: Ejecución;</w:t>
      </w:r>
    </w:p>
    <w:p w14:paraId="4CCEB5A6" w14:textId="1DA4E6D3" w:rsidR="0096018F" w:rsidRPr="00084D33" w:rsidRDefault="0096018F" w:rsidP="0096018F">
      <w:pPr>
        <w:pStyle w:val="Estilo1-Vietas-Parrafo"/>
        <w:ind w:left="990"/>
      </w:pPr>
    </w:p>
    <w:p w14:paraId="311B6F15" w14:textId="77777777" w:rsidR="0096018F" w:rsidRPr="00084D33" w:rsidRDefault="0096018F" w:rsidP="007202A9">
      <w:pPr>
        <w:pStyle w:val="Estilo1-Vietas-Parrafo"/>
        <w:numPr>
          <w:ilvl w:val="0"/>
          <w:numId w:val="33"/>
        </w:numPr>
        <w:ind w:left="990"/>
      </w:pPr>
      <w:r w:rsidRPr="00084D33">
        <w:t>Reconstrucción de la Infraestructura Vial Urbana del Municipio Santo Domingo Este, Provincia Santo Domingo, con un valor total presupuestado de RD$8,404,622,931.47 (Ocho Mil Cuatrocientos Cuatro Millones Trescientos Veinticuatro Mil Setecientos Cincuenta y Ocho Pesos con 83/100), incluye la ejecución de varias obras viales en el municipio. Condición actual: Ejecución;</w:t>
      </w:r>
    </w:p>
    <w:p w14:paraId="048140F0" w14:textId="77777777" w:rsidR="0096018F" w:rsidRPr="00084D33" w:rsidRDefault="0096018F" w:rsidP="0096018F">
      <w:pPr>
        <w:pStyle w:val="Estilo1-Vietas-Parrafo"/>
        <w:ind w:left="990"/>
      </w:pPr>
    </w:p>
    <w:p w14:paraId="6DA4F586" w14:textId="77777777" w:rsidR="0096018F" w:rsidRPr="00084D33" w:rsidRDefault="0096018F" w:rsidP="007202A9">
      <w:pPr>
        <w:pStyle w:val="Estilo1-Vietas-Parrafo"/>
        <w:numPr>
          <w:ilvl w:val="0"/>
          <w:numId w:val="33"/>
        </w:numPr>
        <w:ind w:left="990"/>
      </w:pPr>
      <w:r w:rsidRPr="00084D33">
        <w:t>Reconstrucción de la Infraestructura Vial Urbana del Municipio de Baní, Provincia Peravia, con un valor total presupuestado de RD$2,550,649,673.00 (Dos Mil Quinientos Cincuenta Millones Seiscientos Cuarenta y Nueve Mil Seiscientos Setenta y Tres Pesos con 00/100), incluye la ejecución de varias obras viales en el municipio. Condición actual: Ejecución;</w:t>
      </w:r>
    </w:p>
    <w:p w14:paraId="5284D7B7" w14:textId="2CCA901F" w:rsidR="000E449B" w:rsidRPr="00084D33" w:rsidRDefault="000E449B" w:rsidP="004666B5">
      <w:pPr>
        <w:ind w:left="1125"/>
        <w:rPr>
          <w:rFonts w:eastAsia="Calibri" w:cs="Times New Roman"/>
          <w:highlight w:val="cyan"/>
        </w:rPr>
      </w:pPr>
    </w:p>
    <w:p w14:paraId="0AFB92C6" w14:textId="77777777" w:rsidR="005273D6" w:rsidRPr="00084D33" w:rsidRDefault="005273D6" w:rsidP="007202A9">
      <w:pPr>
        <w:pStyle w:val="Estilo1-Vietas-Parrafo"/>
        <w:numPr>
          <w:ilvl w:val="0"/>
          <w:numId w:val="33"/>
        </w:numPr>
        <w:ind w:left="990"/>
      </w:pPr>
      <w:r w:rsidRPr="00084D33">
        <w:t xml:space="preserve">Reconstrucción de la Infraestructura Vial Urbana del Municipio Santa Cruz de Barahona, Provincia Barahona, con un valor total presupuestado de RD$601,017,688.00 (Seiscientos Un Millones </w:t>
      </w:r>
      <w:r w:rsidRPr="00084D33">
        <w:lastRenderedPageBreak/>
        <w:t>Diecisieter Mil Seiscientos Ochenta y Ocho Pesos con 00/100), incluye la ejecución de varias obras viales en el municipio. Condición actual: Ejecución;</w:t>
      </w:r>
    </w:p>
    <w:p w14:paraId="703A6907" w14:textId="77777777" w:rsidR="005273D6" w:rsidRPr="00084D33" w:rsidRDefault="005273D6" w:rsidP="005273D6">
      <w:pPr>
        <w:rPr>
          <w:rFonts w:eastAsia="Calibri" w:cs="Times New Roman"/>
          <w:noProof/>
          <w:highlight w:val="yellow"/>
        </w:rPr>
      </w:pPr>
    </w:p>
    <w:p w14:paraId="0BDC2D1A" w14:textId="77777777" w:rsidR="005273D6" w:rsidRPr="00084D33" w:rsidRDefault="005273D6" w:rsidP="007202A9">
      <w:pPr>
        <w:pStyle w:val="Estilo1-Vietas-Parrafo"/>
        <w:numPr>
          <w:ilvl w:val="0"/>
          <w:numId w:val="33"/>
        </w:numPr>
        <w:ind w:left="990"/>
      </w:pPr>
      <w:r w:rsidRPr="00084D33">
        <w:t>Reconstrucción de la Infraestructura Vial Urbana de la Circunscripción #3 del Distrito Nacional, con un valor total presupuestado de RD$1,501,816,472.29 (Un Mil Quinientos  Un Millones Ochocientos Dieciséis Mil Cuatrocientos Setenta y Dos Pesos con 29/100), incluye la ejecución de varias obras viales en el municipio. Condición actual: Ejecución;</w:t>
      </w:r>
    </w:p>
    <w:p w14:paraId="59E7D97D" w14:textId="77777777" w:rsidR="005273D6" w:rsidRPr="00084D33" w:rsidRDefault="005273D6" w:rsidP="005273D6">
      <w:pPr>
        <w:rPr>
          <w:rFonts w:eastAsia="Calibri" w:cs="Times New Roman"/>
          <w:noProof/>
        </w:rPr>
      </w:pPr>
    </w:p>
    <w:p w14:paraId="2E8F69A7" w14:textId="77777777" w:rsidR="005273D6" w:rsidRPr="00084D33" w:rsidRDefault="005273D6" w:rsidP="007202A9">
      <w:pPr>
        <w:pStyle w:val="Estilo1-Vietas-Parrafo"/>
        <w:numPr>
          <w:ilvl w:val="0"/>
          <w:numId w:val="33"/>
        </w:numPr>
        <w:ind w:left="990"/>
      </w:pPr>
      <w:r w:rsidRPr="00084D33">
        <w:t>Reconstrucción de la Infraestructura Vial Urbana de la Circunscripción #2 del Distrito Nacional, con un valor total presupuestado de RD$2,078,865,961.00 (Dos Mil Setenta y Ocho Millones Ochocientos Sesenta y Cinco Mil Novecientos Sesenta y Un Pesos con 00/100), incluye la ejecución de varias obras viales en el municipio. Condición actual: Ejecución;</w:t>
      </w:r>
    </w:p>
    <w:p w14:paraId="4ED4EBF5" w14:textId="77777777" w:rsidR="005273D6" w:rsidRPr="00084D33" w:rsidRDefault="005273D6" w:rsidP="005273D6">
      <w:pPr>
        <w:spacing w:before="120"/>
        <w:ind w:left="720"/>
        <w:rPr>
          <w:rFonts w:eastAsia="Calibri" w:cs="Times New Roman"/>
          <w:noProof/>
          <w:spacing w:val="20"/>
          <w:szCs w:val="24"/>
        </w:rPr>
      </w:pPr>
    </w:p>
    <w:p w14:paraId="596CE9FF" w14:textId="77777777" w:rsidR="005273D6" w:rsidRPr="00084D33" w:rsidRDefault="005273D6" w:rsidP="007202A9">
      <w:pPr>
        <w:pStyle w:val="Estilo1-Vietas-Parrafo"/>
        <w:numPr>
          <w:ilvl w:val="0"/>
          <w:numId w:val="33"/>
        </w:numPr>
        <w:ind w:left="990"/>
      </w:pPr>
      <w:r w:rsidRPr="00084D33">
        <w:t>Reconstrucción de la Infraestructura Vial Urbana de la Circunscripción #1 del Distrito Nacional, con un valor total presupuestado de RD$1,058,907,165.00 (Un Mil Cincuenta y Ocho Millones Novecientos Siete Mil Ciento Sesenta y Cinco Pesos con 00/100), incluye la ejecución de varias obras viales en el municipio. Condición actual: Ejecución;</w:t>
      </w:r>
    </w:p>
    <w:p w14:paraId="4259CD3A" w14:textId="77777777" w:rsidR="005273D6" w:rsidRPr="00084D33" w:rsidRDefault="005273D6" w:rsidP="005273D6">
      <w:pPr>
        <w:spacing w:before="240"/>
        <w:ind w:left="720"/>
        <w:rPr>
          <w:rFonts w:eastAsia="Calibri" w:cs="Times New Roman"/>
          <w:noProof/>
          <w:spacing w:val="20"/>
          <w:szCs w:val="24"/>
        </w:rPr>
      </w:pPr>
    </w:p>
    <w:p w14:paraId="0A231200" w14:textId="77777777" w:rsidR="005273D6" w:rsidRPr="00084D33" w:rsidRDefault="005273D6" w:rsidP="007202A9">
      <w:pPr>
        <w:pStyle w:val="Estilo1-Vietas-Parrafo"/>
        <w:numPr>
          <w:ilvl w:val="0"/>
          <w:numId w:val="33"/>
        </w:numPr>
        <w:ind w:left="990"/>
      </w:pPr>
      <w:r w:rsidRPr="00084D33">
        <w:t xml:space="preserve">Reconstrucción de la Infraestructura Vial Urbana del Municipio de San Cristóbal, Provincia San Cristóbal, con un valor total presupuestado de RD$464,378,762.00 (Cuatrocientos Sesenta y Cuatro Millones Trescientos Setenta y Ocho Mil Setecientos </w:t>
      </w:r>
      <w:r w:rsidRPr="00084D33">
        <w:lastRenderedPageBreak/>
        <w:t>Sesenta y Dos Pesos con 00/100), incluye la ejecución de varias obras viales en el municipio. Condición actual: Ejecución;</w:t>
      </w:r>
    </w:p>
    <w:p w14:paraId="7E763B00" w14:textId="77777777" w:rsidR="005273D6" w:rsidRPr="00084D33" w:rsidRDefault="005273D6" w:rsidP="005273D6">
      <w:pPr>
        <w:spacing w:before="240"/>
        <w:ind w:left="720"/>
        <w:rPr>
          <w:rFonts w:eastAsia="Calibri" w:cs="Times New Roman"/>
          <w:noProof/>
          <w:spacing w:val="20"/>
          <w:szCs w:val="24"/>
        </w:rPr>
      </w:pPr>
    </w:p>
    <w:p w14:paraId="18C26743" w14:textId="77777777" w:rsidR="005273D6" w:rsidRPr="00084D33" w:rsidRDefault="005273D6" w:rsidP="007202A9">
      <w:pPr>
        <w:pStyle w:val="Estilo1-Vietas-Parrafo"/>
        <w:numPr>
          <w:ilvl w:val="0"/>
          <w:numId w:val="33"/>
        </w:numPr>
        <w:ind w:left="990"/>
      </w:pPr>
      <w:r w:rsidRPr="00084D33">
        <w:t>Reconstrucción de la Infraestructura Vial Urbana del Municipio La Romana, Provincia La Romana, con un valor total presupuestado de RD$595,150,497.00 (Quinientos Noventa y Cinco Millones Ciento Cincuenta Mil Cuatrocientos Noventa y Siete Pesos con 00/100), incluye la ejecución de varias obras viales en el municipio. Condición actual: Ejecución;</w:t>
      </w:r>
    </w:p>
    <w:p w14:paraId="75003D58" w14:textId="77777777" w:rsidR="005273D6" w:rsidRPr="00084D33" w:rsidRDefault="005273D6" w:rsidP="005273D6">
      <w:pPr>
        <w:spacing w:before="240"/>
        <w:ind w:left="720"/>
        <w:rPr>
          <w:rFonts w:eastAsia="Calibri" w:cs="Times New Roman"/>
          <w:noProof/>
          <w:spacing w:val="20"/>
          <w:szCs w:val="24"/>
        </w:rPr>
      </w:pPr>
    </w:p>
    <w:p w14:paraId="253E482A" w14:textId="4C23BA37" w:rsidR="005273D6" w:rsidRPr="00084D33" w:rsidRDefault="005273D6" w:rsidP="007202A9">
      <w:pPr>
        <w:pStyle w:val="Estilo1-Vietas-Parrafo"/>
        <w:numPr>
          <w:ilvl w:val="0"/>
          <w:numId w:val="33"/>
        </w:numPr>
        <w:ind w:left="990"/>
      </w:pPr>
      <w:r w:rsidRPr="00084D33">
        <w:t xml:space="preserve">Reconstrucción de la Infraestructura Vial Urbana del Municipio </w:t>
      </w:r>
      <w:r w:rsidR="00C3480E" w:rsidRPr="00084D33">
        <w:t>Higüey</w:t>
      </w:r>
      <w:r w:rsidRPr="00084D33">
        <w:t>, Provincia La Altagracia, con un valor total presupuestado de RD$585,973,896.00 (Quinientos Ochenta y Cinco Millones Novecientos Setenta y Tres Mil Ochocientos Noventa y Seis Pesos con 00/100), incluye la ejecución de varias obras viales en el municipio. Condición actual: Ejecución;</w:t>
      </w:r>
    </w:p>
    <w:p w14:paraId="61633C03" w14:textId="77777777" w:rsidR="005273D6" w:rsidRPr="00084D33" w:rsidRDefault="005273D6" w:rsidP="005273D6">
      <w:pPr>
        <w:spacing w:before="240"/>
        <w:ind w:left="720"/>
        <w:rPr>
          <w:rFonts w:eastAsia="Calibri" w:cs="Times New Roman"/>
          <w:noProof/>
          <w:spacing w:val="20"/>
          <w:szCs w:val="24"/>
        </w:rPr>
      </w:pPr>
    </w:p>
    <w:p w14:paraId="3702273E" w14:textId="77777777" w:rsidR="005273D6" w:rsidRPr="00084D33" w:rsidRDefault="005273D6" w:rsidP="007202A9">
      <w:pPr>
        <w:pStyle w:val="Estilo1-Vietas-Parrafo"/>
        <w:numPr>
          <w:ilvl w:val="0"/>
          <w:numId w:val="33"/>
        </w:numPr>
        <w:ind w:left="990"/>
      </w:pPr>
      <w:r w:rsidRPr="00084D33">
        <w:t>Reconstrucción de la Infraestructura Vial Urbana del Municipio Esperanza, Provincia Valverde, con un valor total presupuestado de RD$739,394,859.00 (Setecientos Treinta y Nueve Millones Trescientos Noventa y Cuatro  Mil Ochocientos Cincuenta y Nueve Pesos con 00/100), incluye la ejecución de varias obras viales en el municipio. Condición actual: Ejecución;</w:t>
      </w:r>
    </w:p>
    <w:p w14:paraId="68A83B6E" w14:textId="77777777" w:rsidR="005273D6" w:rsidRPr="00084D33" w:rsidRDefault="005273D6" w:rsidP="005273D6">
      <w:pPr>
        <w:pStyle w:val="Estilo1-Vietas-Parrafo"/>
        <w:spacing w:line="276" w:lineRule="auto"/>
        <w:ind w:left="630"/>
      </w:pPr>
    </w:p>
    <w:p w14:paraId="18FCD6DC" w14:textId="77777777" w:rsidR="005273D6" w:rsidRPr="00084D33" w:rsidRDefault="005273D6" w:rsidP="007202A9">
      <w:pPr>
        <w:pStyle w:val="Estilo1-Vietas-Parrafo"/>
        <w:numPr>
          <w:ilvl w:val="0"/>
          <w:numId w:val="33"/>
        </w:numPr>
        <w:ind w:left="990"/>
      </w:pPr>
      <w:r w:rsidRPr="00084D33">
        <w:t xml:space="preserve">Reconstrucción de la Infraestructura Vial Urbana del Municipio Concepción de La Vega, Provincia La Vega, con un valor total presupuestado de RD$847,305,532.00 (Ochocientos Cuarenta y Siete Millones Trescientos Cinco  Mil Quinientos Treinta y Dos </w:t>
      </w:r>
      <w:r w:rsidRPr="00084D33">
        <w:lastRenderedPageBreak/>
        <w:t>Pesos con 00/100), incluye la ejecución de varias obras viales en el municipio. Condición actual: Ejecución;</w:t>
      </w:r>
    </w:p>
    <w:p w14:paraId="37D31A7B" w14:textId="77777777" w:rsidR="005273D6" w:rsidRPr="00084D33" w:rsidRDefault="005273D6" w:rsidP="005273D6">
      <w:pPr>
        <w:rPr>
          <w:rFonts w:eastAsia="Calibri" w:cs="Times New Roman"/>
          <w:noProof/>
          <w:highlight w:val="yellow"/>
        </w:rPr>
      </w:pPr>
    </w:p>
    <w:p w14:paraId="38ABBC79" w14:textId="77777777" w:rsidR="005273D6" w:rsidRPr="00084D33" w:rsidRDefault="005273D6" w:rsidP="007202A9">
      <w:pPr>
        <w:pStyle w:val="Estilo1-Vietas-Parrafo"/>
        <w:numPr>
          <w:ilvl w:val="0"/>
          <w:numId w:val="33"/>
        </w:numPr>
        <w:ind w:left="990"/>
      </w:pPr>
      <w:r w:rsidRPr="00084D33">
        <w:t>Reconstrucción de la Infraestructura Vial Urbana del Municipio Pedernales, Provincia Pedernales, con un valor total presupuestado de RD$642,587,122.24 (Seiscientos Cuarenta y Dos Millones Quinientos Ochenta y Siete  Mil Ciento Veintidós Pesos con 24/100), incluye la ejecución de varias obras viales en el municipio. Condición actual: Ejecución; entre otros.</w:t>
      </w:r>
    </w:p>
    <w:p w14:paraId="5773F514" w14:textId="77777777" w:rsidR="005273D6" w:rsidRPr="00084D33" w:rsidRDefault="005273D6" w:rsidP="004666B5">
      <w:pPr>
        <w:ind w:left="1125"/>
        <w:rPr>
          <w:rFonts w:eastAsia="Calibri" w:cs="Times New Roman"/>
          <w:highlight w:val="cyan"/>
        </w:rPr>
      </w:pPr>
    </w:p>
    <w:p w14:paraId="4F11C691" w14:textId="58F76409" w:rsidR="00E90D7E" w:rsidRPr="00084D33" w:rsidRDefault="00E90D7E" w:rsidP="004666B5">
      <w:pPr>
        <w:ind w:left="1125"/>
        <w:rPr>
          <w:rFonts w:eastAsia="Calibri" w:cs="Times New Roman"/>
        </w:rPr>
      </w:pPr>
    </w:p>
    <w:p w14:paraId="6379D88A" w14:textId="08FCC60A" w:rsidR="0090312D" w:rsidRPr="00084D33" w:rsidRDefault="0090312D" w:rsidP="0090312D">
      <w:pPr>
        <w:pStyle w:val="Lista"/>
        <w:ind w:left="1418" w:hanging="1134"/>
        <w:jc w:val="center"/>
        <w:rPr>
          <w:rFonts w:cs="Times New Roman"/>
          <w:b/>
        </w:rPr>
      </w:pPr>
      <w:r w:rsidRPr="00084D33">
        <w:rPr>
          <w:rFonts w:cs="Times New Roman"/>
          <w:b/>
        </w:rPr>
        <w:t>4.1.5</w:t>
      </w:r>
      <w:r w:rsidR="0047179D" w:rsidRPr="00084D33">
        <w:rPr>
          <w:rFonts w:cs="Times New Roman"/>
          <w:b/>
        </w:rPr>
        <w:t>.</w:t>
      </w:r>
      <w:r w:rsidRPr="00084D33">
        <w:rPr>
          <w:rFonts w:cs="Times New Roman"/>
          <w:b/>
        </w:rPr>
        <w:t>3</w:t>
      </w:r>
      <w:r w:rsidR="009A41B9" w:rsidRPr="00084D33">
        <w:rPr>
          <w:rFonts w:cs="Times New Roman"/>
        </w:rPr>
        <w:tab/>
      </w:r>
      <w:r w:rsidRPr="00084D33">
        <w:rPr>
          <w:rFonts w:eastAsia="Times New Roman" w:cs="Times New Roman"/>
          <w:b/>
          <w:szCs w:val="32"/>
        </w:rPr>
        <w:t>Construcción, Rehabilitación y Reparación de Edificaciones Públicas</w:t>
      </w:r>
    </w:p>
    <w:p w14:paraId="7885DE42" w14:textId="77777777" w:rsidR="00C91766" w:rsidRPr="00084D33" w:rsidRDefault="00C91766" w:rsidP="00C91766">
      <w:pPr>
        <w:pStyle w:val="Textoindependienteprimerasangra2"/>
        <w:ind w:firstLine="0"/>
        <w:rPr>
          <w:rFonts w:cs="Times New Roman"/>
          <w:b/>
        </w:rPr>
      </w:pPr>
    </w:p>
    <w:p w14:paraId="4C912F99" w14:textId="049B4C90" w:rsidR="0090312D" w:rsidRPr="00084D33" w:rsidRDefault="0090312D" w:rsidP="002F1663">
      <w:pPr>
        <w:pStyle w:val="Continuarlista"/>
        <w:rPr>
          <w:rFonts w:cs="Times New Roman"/>
        </w:rPr>
      </w:pPr>
      <w:r w:rsidRPr="00084D33">
        <w:rPr>
          <w:rFonts w:cs="Times New Roman"/>
        </w:rPr>
        <w:t xml:space="preserve">Las obras de edificaciones públicas a cargo del Ministerio de Obras Públicas y Comunicaciones (MOPC) programadas en el Plan de Inversión correspondiente al año 2024, totalizan 86 proyectos con un con un monto total de inversión de RD$2,334,483,170.07 (Dos Mil Trescientos Treinta y Cuatro Millones Cuatrocientos Ochenta y Tres Mil Ciento </w:t>
      </w:r>
      <w:r w:rsidR="00C3480E" w:rsidRPr="00084D33">
        <w:rPr>
          <w:rFonts w:cs="Times New Roman"/>
        </w:rPr>
        <w:t>Setenta</w:t>
      </w:r>
      <w:r w:rsidRPr="00084D33">
        <w:rPr>
          <w:rFonts w:cs="Times New Roman"/>
        </w:rPr>
        <w:t xml:space="preserve"> Pesos con 07/100), y un monto ejecutado en el periodo </w:t>
      </w:r>
      <w:r w:rsidR="00B5550F" w:rsidRPr="00084D33">
        <w:rPr>
          <w:rFonts w:cs="Times New Roman"/>
        </w:rPr>
        <w:t>enero – diciembre</w:t>
      </w:r>
      <w:r w:rsidRPr="00084D33">
        <w:rPr>
          <w:rFonts w:cs="Times New Roman"/>
        </w:rPr>
        <w:t xml:space="preserve"> del 2024 de RD$1,848,674,803.10 (Un Mil Ochocientos Cuarenta y Ocho Millones Seiscientos Setenta y Cuatro Mil Ochocientos Tres Pesos con 10/100), las cuales continuaron su ejecución durante el citado periodo del año 2024 y se describen a continuación: </w:t>
      </w:r>
    </w:p>
    <w:p w14:paraId="78DBE2BC" w14:textId="77777777" w:rsidR="0090312D" w:rsidRPr="00084D33" w:rsidRDefault="0090312D" w:rsidP="005273D6">
      <w:pPr>
        <w:pStyle w:val="Estilo1-Vietas-Parrafo"/>
        <w:spacing w:line="276" w:lineRule="auto"/>
        <w:ind w:left="720"/>
        <w:rPr>
          <w:highlight w:val="green"/>
        </w:rPr>
      </w:pPr>
    </w:p>
    <w:p w14:paraId="3B467BB9" w14:textId="77777777" w:rsidR="00540493" w:rsidRPr="00084D33" w:rsidRDefault="00540493" w:rsidP="007202A9">
      <w:pPr>
        <w:pStyle w:val="Estilo1-Vietas-Parrafo"/>
        <w:numPr>
          <w:ilvl w:val="0"/>
          <w:numId w:val="33"/>
        </w:numPr>
        <w:ind w:left="990"/>
      </w:pPr>
      <w:r w:rsidRPr="00084D33">
        <w:t xml:space="preserve">Construcción del Mercado Municipal de Higüey, Provincia La Altagracia, con un área de construcción de 285.0 m², un valor presupuestado de RD$259,869,415.57 (Doscientos Cincuenta y </w:t>
      </w:r>
      <w:r w:rsidRPr="00084D33">
        <w:lastRenderedPageBreak/>
        <w:t>Nueve Millones Ochocientos Sesenta y Nueve Mil Cuatrocientos Quince Pesos con 57/100). Condición actual: Ejecución.</w:t>
      </w:r>
    </w:p>
    <w:p w14:paraId="1A0528CC" w14:textId="77777777" w:rsidR="00540493" w:rsidRPr="00084D33" w:rsidRDefault="00540493" w:rsidP="005273D6">
      <w:pPr>
        <w:pStyle w:val="Estilo1-Vietas-Parrafo"/>
        <w:spacing w:line="276" w:lineRule="auto"/>
        <w:ind w:left="990"/>
      </w:pPr>
    </w:p>
    <w:p w14:paraId="52FAE39D" w14:textId="77777777" w:rsidR="00540493" w:rsidRPr="00084D33" w:rsidRDefault="00540493" w:rsidP="007202A9">
      <w:pPr>
        <w:pStyle w:val="Estilo1-Vietas-Parrafo"/>
        <w:numPr>
          <w:ilvl w:val="0"/>
          <w:numId w:val="33"/>
        </w:numPr>
        <w:ind w:left="990"/>
      </w:pPr>
      <w:r w:rsidRPr="00084D33">
        <w:t>Construcción del Mercado Municipal de Barahona, Provincia Barahona, con un área de construcción de 3,198 m², un valor presupuestado de RD$187,583,422.40 (Ciento Ochenta y Siete Millones Quinientos Ochenta y Tres Mil Cuatrocientos Veintidós Pesos con 40/100). Condición actual: Ejecución.</w:t>
      </w:r>
    </w:p>
    <w:p w14:paraId="7DFADF24" w14:textId="77777777" w:rsidR="00540493" w:rsidRPr="00084D33" w:rsidRDefault="00540493" w:rsidP="005273D6">
      <w:pPr>
        <w:pStyle w:val="Estilo1-Vietas-Parrafo"/>
        <w:spacing w:line="276" w:lineRule="auto"/>
        <w:ind w:left="990"/>
      </w:pPr>
    </w:p>
    <w:p w14:paraId="1C4F5181" w14:textId="77777777" w:rsidR="00540493" w:rsidRPr="00084D33" w:rsidRDefault="00540493" w:rsidP="007202A9">
      <w:pPr>
        <w:pStyle w:val="Estilo1-Vietas-Parrafo"/>
        <w:numPr>
          <w:ilvl w:val="0"/>
          <w:numId w:val="33"/>
        </w:numPr>
        <w:ind w:left="990"/>
      </w:pPr>
      <w:r w:rsidRPr="00084D33">
        <w:t xml:space="preserve">Construcción Palacio de Justicia, Municipio Santo Domingo Este, con un área de construcción de 28,400 m², un valor presupuestado de RD$2,338,263,330.44 (Dos Mil Trescientos Treinta y Ocho Millones Doscientos Sesenta y Tres Mil Trescientos Treinta Pesos con 44/100). Condición actual: Ejecución. </w:t>
      </w:r>
    </w:p>
    <w:p w14:paraId="29F68B38" w14:textId="77777777" w:rsidR="00540493" w:rsidRPr="00084D33" w:rsidRDefault="00540493" w:rsidP="005273D6">
      <w:pPr>
        <w:pStyle w:val="Estilo1-Vietas-Parrafo"/>
        <w:spacing w:line="276" w:lineRule="auto"/>
        <w:ind w:left="990"/>
      </w:pPr>
    </w:p>
    <w:p w14:paraId="7247B683" w14:textId="77777777" w:rsidR="00540493" w:rsidRPr="00084D33" w:rsidRDefault="00540493" w:rsidP="007202A9">
      <w:pPr>
        <w:pStyle w:val="Estilo1-Vietas-Parrafo"/>
        <w:numPr>
          <w:ilvl w:val="0"/>
          <w:numId w:val="33"/>
        </w:numPr>
        <w:ind w:left="990"/>
      </w:pPr>
      <w:r w:rsidRPr="00084D33">
        <w:t>Construcción y Reparación de las Oficinas del Tribunal Constitucional en el Distrito Nacional, con un área de construcción de 19,542 m², un valor presupuestado de RD$892,285,053.48 (Ochocientos Noventa y Dos Millones Doscientos Ochenta y Cinco Mil Cincuenta y Tres Pesos con 48/100). Condición actual: Ejecución.</w:t>
      </w:r>
    </w:p>
    <w:p w14:paraId="4431B142" w14:textId="77777777" w:rsidR="00540493" w:rsidRPr="00084D33" w:rsidRDefault="00540493" w:rsidP="005273D6">
      <w:pPr>
        <w:pStyle w:val="Estilo1-Vietas-Parrafo"/>
        <w:spacing w:line="276" w:lineRule="auto"/>
        <w:ind w:left="990"/>
      </w:pPr>
    </w:p>
    <w:p w14:paraId="4169F995" w14:textId="77777777" w:rsidR="00540493" w:rsidRPr="00084D33" w:rsidRDefault="00540493" w:rsidP="007202A9">
      <w:pPr>
        <w:pStyle w:val="Estilo1-Vietas-Parrafo"/>
        <w:numPr>
          <w:ilvl w:val="0"/>
          <w:numId w:val="33"/>
        </w:numPr>
        <w:ind w:left="990"/>
      </w:pPr>
      <w:r w:rsidRPr="00084D33">
        <w:t xml:space="preserve">Terminación Construcción del Centro de Atención Integral para la Discapacidad (CAID), Obras Complementarias, Módulos A y E, Edificios 2 y 3, Municipio Santo Domingo Este, Provincia Santo Domingo, con un valor presupuestado de RD$298,058,488.41 (Doscientos Noventa y Ocho Millones Cincuenta y Ocho Mil </w:t>
      </w:r>
      <w:r w:rsidRPr="00084D33">
        <w:lastRenderedPageBreak/>
        <w:t>Cuatrocientos Ochenta y Ocho Pesos con 41/100). Condición actual: Ejecución.</w:t>
      </w:r>
    </w:p>
    <w:p w14:paraId="1998A358" w14:textId="77777777" w:rsidR="00540493" w:rsidRPr="00084D33" w:rsidRDefault="00540493" w:rsidP="005273D6">
      <w:pPr>
        <w:pStyle w:val="Estilo1-Vietas-Parrafo"/>
        <w:spacing w:line="276" w:lineRule="auto"/>
        <w:ind w:left="990"/>
      </w:pPr>
    </w:p>
    <w:p w14:paraId="622CFD8C" w14:textId="1870DDF7" w:rsidR="0090312D" w:rsidRPr="00084D33" w:rsidRDefault="00540493" w:rsidP="007202A9">
      <w:pPr>
        <w:pStyle w:val="Estilo1-Vietas-Parrafo"/>
        <w:numPr>
          <w:ilvl w:val="0"/>
          <w:numId w:val="33"/>
        </w:numPr>
        <w:ind w:left="990"/>
      </w:pPr>
      <w:r w:rsidRPr="00084D33">
        <w:t xml:space="preserve">Continuación de la ejecución del Plan Nacional de Parqueos de Uso Público (PARQUEAT_RD), destacándose durante el periodo </w:t>
      </w:r>
      <w:r w:rsidR="000A17C8" w:rsidRPr="00084D33">
        <w:t>enero-diciembre</w:t>
      </w:r>
      <w:r w:rsidRPr="00084D33">
        <w:t xml:space="preserve"> del 2024 las acciones siguientes: a) avance de la ejecución del parqueo denominado Centro de los Héroes I en el Distrito Nacional, ubicado en las proximidades de las antiguas instalaciones del INDRHI; b) inicio de la ejecución del parqueo denominado Centro de los Héroes II en el Distrito Nacional ubicado en las proximidades de las instalaciones del Palacio de Justicia en la Avenida George Washington; y, c) inicio de la ejecución del parqueo en el centro urbano de San Cristóbal, Condición actual: Ejecución, entre otras</w:t>
      </w:r>
      <w:r w:rsidR="0090312D" w:rsidRPr="00084D33">
        <w:t>.</w:t>
      </w:r>
    </w:p>
    <w:p w14:paraId="57B2B433" w14:textId="18F0BD25" w:rsidR="007B44F8" w:rsidRPr="00084D33" w:rsidRDefault="007B44F8" w:rsidP="005273D6">
      <w:pPr>
        <w:spacing w:line="276" w:lineRule="auto"/>
        <w:ind w:left="480"/>
        <w:rPr>
          <w:rFonts w:cs="Times New Roman"/>
          <w:highlight w:val="yellow"/>
        </w:rPr>
      </w:pPr>
      <w:bookmarkStart w:id="72" w:name="_Toc78583646"/>
    </w:p>
    <w:p w14:paraId="7F4C8AA4" w14:textId="77777777" w:rsidR="005273D6" w:rsidRPr="00084D33" w:rsidRDefault="005273D6" w:rsidP="007202A9">
      <w:pPr>
        <w:pStyle w:val="Estilo1-Vietas-Parrafo"/>
        <w:numPr>
          <w:ilvl w:val="0"/>
          <w:numId w:val="33"/>
        </w:numPr>
        <w:ind w:left="990"/>
      </w:pPr>
      <w:r w:rsidRPr="00084D33">
        <w:t>Remodelación  de Edificio Sede Central del Ministerio de Obras Públicas y Comunicaciones (MOPC), Distrito Nacional, con un valor presupuestado de RD$576,095,123.48 (Quinientos Setenta y Seis Millones Noventa y Cinco Mil Ciento Veintitrés Pesos con 48/100). Condición actual: Ejecución.</w:t>
      </w:r>
    </w:p>
    <w:p w14:paraId="0CC919BA" w14:textId="77777777" w:rsidR="005273D6" w:rsidRPr="00084D33" w:rsidRDefault="005273D6" w:rsidP="00816A4E">
      <w:pPr>
        <w:ind w:left="480"/>
        <w:rPr>
          <w:rFonts w:cs="Times New Roman"/>
          <w:highlight w:val="yellow"/>
        </w:rPr>
      </w:pPr>
    </w:p>
    <w:p w14:paraId="31312016" w14:textId="4B0D3F16" w:rsidR="00540493" w:rsidRPr="00084D33" w:rsidRDefault="00540493">
      <w:pPr>
        <w:spacing w:after="160" w:line="259" w:lineRule="auto"/>
        <w:jc w:val="left"/>
        <w:rPr>
          <w:rFonts w:cs="Times New Roman"/>
          <w:b/>
        </w:rPr>
      </w:pPr>
      <w:bookmarkStart w:id="73" w:name="_Toc59361451"/>
      <w:bookmarkEnd w:id="72"/>
    </w:p>
    <w:p w14:paraId="661C576C" w14:textId="450A24C3" w:rsidR="00495B5D" w:rsidRPr="00EE790D" w:rsidRDefault="00540493" w:rsidP="00EE790D">
      <w:pPr>
        <w:pStyle w:val="Ttulo1"/>
        <w:numPr>
          <w:ilvl w:val="0"/>
          <w:numId w:val="0"/>
        </w:numPr>
        <w:ind w:left="710"/>
        <w:rPr>
          <w:rFonts w:cs="Times New Roman"/>
          <w:b/>
          <w:sz w:val="24"/>
        </w:rPr>
      </w:pPr>
      <w:bookmarkStart w:id="74" w:name="_Toc186924357"/>
      <w:r w:rsidRPr="00EE790D">
        <w:rPr>
          <w:rFonts w:cs="Times New Roman"/>
          <w:b/>
          <w:sz w:val="24"/>
        </w:rPr>
        <w:t>4.1.6</w:t>
      </w:r>
      <w:r w:rsidRPr="00EE790D">
        <w:rPr>
          <w:rFonts w:cs="Times New Roman"/>
          <w:b/>
          <w:sz w:val="24"/>
        </w:rPr>
        <w:tab/>
      </w:r>
      <w:r w:rsidR="00495B5D" w:rsidRPr="00EE790D">
        <w:rPr>
          <w:rFonts w:cs="Times New Roman"/>
          <w:b/>
          <w:sz w:val="24"/>
        </w:rPr>
        <w:t>Avances en el PNPSP y en la END</w:t>
      </w:r>
      <w:bookmarkEnd w:id="73"/>
      <w:bookmarkEnd w:id="74"/>
    </w:p>
    <w:p w14:paraId="6852B00F" w14:textId="77777777" w:rsidR="00495B5D" w:rsidRPr="00084D33" w:rsidRDefault="00495B5D" w:rsidP="00495B5D">
      <w:pPr>
        <w:spacing w:after="160"/>
        <w:rPr>
          <w:rFonts w:cs="Times New Roman"/>
          <w:szCs w:val="24"/>
        </w:rPr>
      </w:pPr>
    </w:p>
    <w:p w14:paraId="4A12D464" w14:textId="77777777" w:rsidR="00540493" w:rsidRPr="00084D33" w:rsidRDefault="00540493" w:rsidP="00312E51">
      <w:pPr>
        <w:pStyle w:val="Continuarlista"/>
        <w:ind w:left="270"/>
        <w:rPr>
          <w:rFonts w:cs="Times New Roman"/>
        </w:rPr>
      </w:pPr>
      <w:r w:rsidRPr="00084D33">
        <w:rPr>
          <w:rFonts w:cs="Times New Roman"/>
        </w:rPr>
        <w:t xml:space="preserve">El Plan Nacional Plurianual del Sector Público correspondiente al periodo 2020-2024, integra todas las instituciones del sector público, alineadas a las metas presidenciales, la visión y propósitos de la Estrategia Nacional de Desarrollo (END) 2030, instrumento que </w:t>
      </w:r>
      <w:r w:rsidRPr="00084D33">
        <w:rPr>
          <w:rFonts w:cs="Times New Roman"/>
        </w:rPr>
        <w:lastRenderedPageBreak/>
        <w:t>establece el horizonte de desarrollo como país y traza acciones generales para alcanzar las metas programadas en un corto y largo plazo.</w:t>
      </w:r>
    </w:p>
    <w:p w14:paraId="4F6ACF01" w14:textId="77777777" w:rsidR="00540493" w:rsidRPr="00084D33" w:rsidRDefault="00540493" w:rsidP="00312E51">
      <w:pPr>
        <w:pStyle w:val="Continuarlista"/>
        <w:ind w:left="270"/>
        <w:rPr>
          <w:rFonts w:cs="Times New Roman"/>
        </w:rPr>
      </w:pPr>
    </w:p>
    <w:p w14:paraId="6894C3E8" w14:textId="552D394C" w:rsidR="00540493" w:rsidRPr="00084D33" w:rsidRDefault="00540493" w:rsidP="00312E51">
      <w:pPr>
        <w:pStyle w:val="Continuarlista"/>
        <w:ind w:left="270"/>
        <w:rPr>
          <w:rFonts w:cs="Times New Roman"/>
        </w:rPr>
      </w:pPr>
      <w:r w:rsidRPr="00084D33">
        <w:rPr>
          <w:rFonts w:cs="Times New Roman"/>
        </w:rPr>
        <w:t xml:space="preserve">Las principales acciones desarrolladas por el MOPC en el periodo </w:t>
      </w:r>
      <w:r w:rsidR="000A17C8" w:rsidRPr="00084D33">
        <w:rPr>
          <w:rFonts w:cs="Times New Roman"/>
        </w:rPr>
        <w:t>enero-diciembre</w:t>
      </w:r>
      <w:r w:rsidRPr="00084D33">
        <w:rPr>
          <w:rFonts w:cs="Times New Roman"/>
        </w:rPr>
        <w:t xml:space="preserve"> del año 2024, se vinculan con el logro de los objetivos de los cuatro (4) ejes estratégicos de la Estrategia Nacional de Desarrollo (END) 2030, destacándose el mayor porcentaje de los proyectos priorizados en el Eje Estratégico No. 3, el cual registra las ejecutorias de </w:t>
      </w:r>
      <w:r w:rsidR="00C3480E" w:rsidRPr="00084D33">
        <w:rPr>
          <w:rFonts w:cs="Times New Roman"/>
        </w:rPr>
        <w:t>los</w:t>
      </w:r>
      <w:r w:rsidRPr="00084D33">
        <w:rPr>
          <w:rFonts w:cs="Times New Roman"/>
        </w:rPr>
        <w:t xml:space="preserve"> Mejoramientos de la red vial urbana por municipios en todo el territorio nacional, la Reconstrucción y Asfaltado de Carreteras, Avenidas, Calles y Caminos Vecinales, incluidos en el Plan Nacional Plurianual del Sector Público para el cuatrienio 2020-2024, de acuerdo a la línea base establecida con resultados tangibles de los logros alcanzados</w:t>
      </w:r>
      <w:r w:rsidR="0090312D" w:rsidRPr="00084D33">
        <w:rPr>
          <w:rFonts w:cs="Times New Roman"/>
        </w:rPr>
        <w:t>.</w:t>
      </w:r>
    </w:p>
    <w:p w14:paraId="657D8B23" w14:textId="77777777" w:rsidR="00540493" w:rsidRPr="00084D33" w:rsidRDefault="00540493" w:rsidP="00540493">
      <w:pPr>
        <w:pStyle w:val="Continuarlista"/>
        <w:rPr>
          <w:rFonts w:cs="Times New Roman"/>
        </w:rPr>
      </w:pPr>
    </w:p>
    <w:p w14:paraId="2FF0BCE9" w14:textId="6D40AEC4" w:rsidR="0090312D" w:rsidRPr="00084D33" w:rsidRDefault="0090312D" w:rsidP="00540493">
      <w:pPr>
        <w:pStyle w:val="Continuarlista"/>
        <w:rPr>
          <w:rFonts w:cs="Times New Roman"/>
        </w:rPr>
      </w:pPr>
      <w:r w:rsidRPr="00084D33">
        <w:rPr>
          <w:rFonts w:cs="Times New Roman"/>
        </w:rPr>
        <w:t xml:space="preserve"> </w:t>
      </w:r>
    </w:p>
    <w:p w14:paraId="418BF236" w14:textId="77777777" w:rsidR="0090312D" w:rsidRPr="00084D33" w:rsidRDefault="0090312D" w:rsidP="0090312D">
      <w:pPr>
        <w:pStyle w:val="Textoindependiente"/>
        <w:rPr>
          <w:color w:val="767171"/>
        </w:rPr>
      </w:pPr>
    </w:p>
    <w:p w14:paraId="30D7EAF8" w14:textId="7747DC03" w:rsidR="0090312D" w:rsidRPr="00084D33" w:rsidRDefault="00312E51" w:rsidP="00540493">
      <w:pPr>
        <w:pStyle w:val="Lista"/>
        <w:ind w:left="1418" w:hanging="1134"/>
        <w:jc w:val="center"/>
        <w:rPr>
          <w:rFonts w:cs="Times New Roman"/>
          <w:b/>
        </w:rPr>
      </w:pPr>
      <w:bookmarkStart w:id="75" w:name="_Toc78583647"/>
      <w:r w:rsidRPr="00EE790D">
        <w:rPr>
          <w:rFonts w:eastAsiaTheme="majorEastAsia" w:cs="Times New Roman"/>
          <w:b/>
          <w:spacing w:val="30"/>
          <w:kern w:val="38"/>
          <w:szCs w:val="32"/>
        </w:rPr>
        <w:t>4.1.7</w:t>
      </w:r>
      <w:r w:rsidRPr="00EE790D">
        <w:rPr>
          <w:rFonts w:eastAsiaTheme="majorEastAsia" w:cs="Times New Roman"/>
          <w:b/>
          <w:spacing w:val="30"/>
          <w:kern w:val="38"/>
          <w:szCs w:val="32"/>
        </w:rPr>
        <w:tab/>
      </w:r>
      <w:r w:rsidR="0090312D" w:rsidRPr="00EE790D">
        <w:rPr>
          <w:rFonts w:eastAsiaTheme="majorEastAsia" w:cs="Times New Roman"/>
          <w:b/>
          <w:spacing w:val="30"/>
          <w:kern w:val="38"/>
          <w:szCs w:val="32"/>
        </w:rPr>
        <w:t>Ejecutorias No Contempladas en el Plan de Inversión</w:t>
      </w:r>
      <w:r w:rsidR="0090312D" w:rsidRPr="00084D33">
        <w:rPr>
          <w:rFonts w:cs="Times New Roman"/>
          <w:b/>
        </w:rPr>
        <w:t xml:space="preserve"> MOPC </w:t>
      </w:r>
      <w:bookmarkEnd w:id="75"/>
      <w:r w:rsidR="0090312D" w:rsidRPr="00084D33">
        <w:rPr>
          <w:rFonts w:cs="Times New Roman"/>
          <w:b/>
        </w:rPr>
        <w:t>para el año 2024</w:t>
      </w:r>
    </w:p>
    <w:p w14:paraId="665DEE67" w14:textId="77777777" w:rsidR="0090312D" w:rsidRPr="00084D33" w:rsidRDefault="0090312D" w:rsidP="0090312D">
      <w:pPr>
        <w:pStyle w:val="Ttulo3RdeC"/>
        <w:numPr>
          <w:ilvl w:val="0"/>
          <w:numId w:val="0"/>
        </w:numPr>
        <w:ind w:left="709" w:firstLine="709"/>
        <w:rPr>
          <w:color w:val="767171"/>
        </w:rPr>
      </w:pPr>
    </w:p>
    <w:p w14:paraId="1EDE1D1F" w14:textId="7D16F2D6" w:rsidR="008653BD" w:rsidRPr="00084D33" w:rsidRDefault="00312E51" w:rsidP="008653BD">
      <w:pPr>
        <w:pStyle w:val="Continuarlista"/>
        <w:ind w:left="270"/>
        <w:rPr>
          <w:rFonts w:cs="Times New Roman"/>
        </w:rPr>
      </w:pPr>
      <w:r w:rsidRPr="00084D33">
        <w:rPr>
          <w:rFonts w:cs="Times New Roman"/>
        </w:rPr>
        <w:t xml:space="preserve">El </w:t>
      </w:r>
      <w:r w:rsidR="008653BD" w:rsidRPr="00084D33">
        <w:rPr>
          <w:rFonts w:cs="Times New Roman"/>
        </w:rPr>
        <w:t xml:space="preserve">Ministerio de Obras Públicas y Comunicaciones (MOPC), continuó durante el periodo enero - diciembre del año 2024, las ejecutorias de varios Planes y Programas no contemplados en el Plan de Inversión Anual del presente año, los cuales requieren una producción continua y sostenible para la mejora del sistema vial rural y urbano, con el objetivo de continuar proporcionando a la ciudadanía los beneficios de los programas vigentes en la institución, detallados a continuación: a) Programa de Seguridad Vial en Corredores urbanos y rurales (Carreteras Principales); b) Programa Comunitario de Acción Vial (Peón Caminero); c) Programa de Mantenimiento Rutinario en la red vial urbana y rural a nivel nacional; d) Programa Bacheo 24/7; e) Plan Nacional de </w:t>
      </w:r>
      <w:r w:rsidR="008653BD" w:rsidRPr="00084D33">
        <w:rPr>
          <w:rFonts w:cs="Times New Roman"/>
        </w:rPr>
        <w:lastRenderedPageBreak/>
        <w:t>Señalización Vial a nivel nacional; f) Plan de Mantenimiento de Túneles y Elevados; g) Programa Obras Públicas con la Gente; y h) Programa Obras Públicas en mi barrio, contribuyendo las citadas ejecutorias a satisfacer necesidades inmediatas de la población en toda la geografía nacional.</w:t>
      </w:r>
    </w:p>
    <w:p w14:paraId="4A0FEC74" w14:textId="77777777" w:rsidR="008653BD" w:rsidRPr="00084D33" w:rsidRDefault="008653BD" w:rsidP="008653BD">
      <w:pPr>
        <w:pStyle w:val="Continuarlista"/>
        <w:ind w:left="270"/>
        <w:rPr>
          <w:rFonts w:cs="Times New Roman"/>
        </w:rPr>
      </w:pPr>
    </w:p>
    <w:p w14:paraId="18CCA663" w14:textId="06DB74D0" w:rsidR="0090312D" w:rsidRPr="00084D33" w:rsidRDefault="008653BD" w:rsidP="008653BD">
      <w:pPr>
        <w:pStyle w:val="Continuarlista"/>
        <w:ind w:left="270"/>
        <w:rPr>
          <w:rFonts w:eastAsia="Calibri" w:cs="Times New Roman"/>
          <w:szCs w:val="24"/>
          <w:lang w:val="es-ES"/>
        </w:rPr>
      </w:pPr>
      <w:r w:rsidRPr="00084D33">
        <w:rPr>
          <w:rFonts w:cs="Times New Roman"/>
        </w:rPr>
        <w:t>Entre las principales obras y servicios ejecutados por la institución a través de los Planes y Programas citados durante el periodo enero-diciembre del año en curso, los cuales se desarrollaron con recursos de captación propia, se incluyen importantes obras de</w:t>
      </w:r>
      <w:r w:rsidR="00C3480E">
        <w:rPr>
          <w:rFonts w:cs="Times New Roman"/>
        </w:rPr>
        <w:t xml:space="preserve"> </w:t>
      </w:r>
      <w:r w:rsidRPr="00084D33">
        <w:rPr>
          <w:rFonts w:cs="Times New Roman"/>
        </w:rPr>
        <w:t>mejora de la infraestructura  vial, operativos sociales, asistencia y seguridad vial en los corredores urbanos e interurbanos del país, entre otras, las cuales citamos a continuación</w:t>
      </w:r>
      <w:r w:rsidR="00312E51" w:rsidRPr="00084D33">
        <w:rPr>
          <w:rFonts w:cs="Times New Roman"/>
        </w:rPr>
        <w:t xml:space="preserve">:   </w:t>
      </w:r>
    </w:p>
    <w:p w14:paraId="12E3E9F7" w14:textId="6983F7ED" w:rsidR="0090312D" w:rsidRPr="00084D33" w:rsidRDefault="0090312D">
      <w:pPr>
        <w:spacing w:after="160" w:line="259" w:lineRule="auto"/>
        <w:jc w:val="left"/>
        <w:rPr>
          <w:rFonts w:cs="Times New Roman"/>
          <w:b/>
        </w:rPr>
      </w:pPr>
      <w:bookmarkStart w:id="76" w:name="_Toc78583648"/>
    </w:p>
    <w:p w14:paraId="06CB36E9" w14:textId="77777777" w:rsidR="00312E51" w:rsidRPr="00084D33" w:rsidRDefault="00312E51">
      <w:pPr>
        <w:spacing w:after="160" w:line="259" w:lineRule="auto"/>
        <w:jc w:val="left"/>
        <w:rPr>
          <w:rFonts w:cs="Times New Roman"/>
          <w:b/>
        </w:rPr>
      </w:pPr>
    </w:p>
    <w:p w14:paraId="7E17EFDD" w14:textId="0900A855" w:rsidR="0090312D" w:rsidRPr="00084D33" w:rsidRDefault="008653BD" w:rsidP="0090312D">
      <w:pPr>
        <w:pStyle w:val="Ttulo3RdeC"/>
        <w:numPr>
          <w:ilvl w:val="0"/>
          <w:numId w:val="0"/>
        </w:numPr>
        <w:ind w:left="709" w:firstLine="709"/>
        <w:jc w:val="center"/>
        <w:rPr>
          <w:color w:val="767171"/>
        </w:rPr>
      </w:pPr>
      <w:r w:rsidRPr="00084D33">
        <w:rPr>
          <w:color w:val="767171"/>
        </w:rPr>
        <w:t>4.1.7</w:t>
      </w:r>
      <w:r w:rsidR="0090312D" w:rsidRPr="00084D33">
        <w:rPr>
          <w:color w:val="767171"/>
        </w:rPr>
        <w:t>.1</w:t>
      </w:r>
      <w:r w:rsidR="0090312D" w:rsidRPr="00084D33">
        <w:rPr>
          <w:color w:val="767171"/>
        </w:rPr>
        <w:tab/>
        <w:t>Man</w:t>
      </w:r>
      <w:r w:rsidR="000F7B77">
        <w:rPr>
          <w:color w:val="767171"/>
        </w:rPr>
        <w:t>t</w:t>
      </w:r>
      <w:r w:rsidR="0090312D" w:rsidRPr="00084D33">
        <w:rPr>
          <w:color w:val="767171"/>
        </w:rPr>
        <w:t>enimiento Vial a nivel nacional</w:t>
      </w:r>
      <w:bookmarkEnd w:id="76"/>
    </w:p>
    <w:p w14:paraId="5094F9F4" w14:textId="77777777" w:rsidR="0090312D" w:rsidRPr="00084D33" w:rsidRDefault="0090312D" w:rsidP="0090312D">
      <w:pPr>
        <w:pStyle w:val="Textoindependiente"/>
        <w:spacing w:line="360" w:lineRule="auto"/>
        <w:rPr>
          <w:color w:val="767171"/>
          <w:lang w:val="es-DO"/>
        </w:rPr>
      </w:pPr>
    </w:p>
    <w:p w14:paraId="50DBA6A8" w14:textId="77777777" w:rsidR="00312E51" w:rsidRPr="00084D33" w:rsidRDefault="00312E51" w:rsidP="00312E51">
      <w:pPr>
        <w:pStyle w:val="Continuarlista"/>
      </w:pPr>
    </w:p>
    <w:p w14:paraId="56BE36F4" w14:textId="7DC2F0B3" w:rsidR="008653BD" w:rsidRPr="00084D33" w:rsidRDefault="008653BD" w:rsidP="00312E51">
      <w:pPr>
        <w:pStyle w:val="Continuarlista"/>
        <w:ind w:left="270"/>
      </w:pPr>
      <w:r w:rsidRPr="00084D33">
        <w:t>Durante el periodo enero – diciembre del 2024, la institución continuó ejecutando las acciones recurrentes del componente mantenimiento vial (rutinario) a nivel nacional</w:t>
      </w:r>
      <w:r w:rsidR="00312E51" w:rsidRPr="00084D33">
        <w:t>, desarrollando operativos en la red vial rural, de actividades de mantenimiento rutinario, entre los cuales se destacan:</w:t>
      </w:r>
    </w:p>
    <w:p w14:paraId="34CB16D3" w14:textId="5A4F02B5" w:rsidR="00312E51" w:rsidRPr="00084D33" w:rsidRDefault="00312E51" w:rsidP="00312E51">
      <w:pPr>
        <w:pStyle w:val="Continuarlista"/>
        <w:ind w:left="270"/>
      </w:pPr>
      <w:r w:rsidRPr="00084D33">
        <w:t xml:space="preserve"> </w:t>
      </w:r>
    </w:p>
    <w:p w14:paraId="6395F5C6" w14:textId="77777777" w:rsidR="008653BD" w:rsidRPr="00084D33" w:rsidRDefault="00312E51" w:rsidP="008653BD">
      <w:pPr>
        <w:pStyle w:val="Continuarlista"/>
        <w:ind w:left="270"/>
      </w:pPr>
      <w:r w:rsidRPr="00084D33">
        <w:t xml:space="preserve">a) </w:t>
      </w:r>
      <w:r w:rsidR="008653BD" w:rsidRPr="00084D33">
        <w:t xml:space="preserve">Programa Bacheo 24/7, se realizaron intervenciones de bacheo técnico a través de la aplicación de 5,057.47 (M²) en las Circunscripciones Nos. 1, 2 y 3 del Distrito Nacional y en otros puntos de los Municipios de Santo Domingo Este, Santo Domingo Oeste, Santo Domingo Norte, Los Alcarrizos, Pedro Brand y Boca Chica, además, en algunos puntos en el Municipio Bajos de Haina de la Provincia San Cristóbal, con la </w:t>
      </w:r>
      <w:r w:rsidR="008653BD" w:rsidRPr="00084D33">
        <w:lastRenderedPageBreak/>
        <w:t xml:space="preserve">aplicación de  343.50 (M³) de Volumen de Asfalto colocado, se realizaron 2,616 baches, utilizando 28,781 fundas de asfalto para bacheo. </w:t>
      </w:r>
    </w:p>
    <w:p w14:paraId="0B02A1AC" w14:textId="77777777" w:rsidR="008653BD" w:rsidRPr="00084D33" w:rsidRDefault="008653BD" w:rsidP="008653BD">
      <w:pPr>
        <w:pStyle w:val="Continuarlista"/>
        <w:ind w:left="270"/>
      </w:pPr>
    </w:p>
    <w:p w14:paraId="7F00F6CF" w14:textId="59C33D14" w:rsidR="008653BD" w:rsidRPr="00084D33" w:rsidRDefault="008653BD" w:rsidP="008653BD">
      <w:pPr>
        <w:pStyle w:val="Continuarlista"/>
        <w:ind w:left="270"/>
      </w:pPr>
      <w:r w:rsidRPr="00084D33">
        <w:t xml:space="preserve">También, se realizaron trabajos de Mantenimiento de Obras de Drenaje Pluvial, durante el periodo enero-diciembre del año 2024, abarcando varios sectores del Gran Santo Domingo y el Distrito Nacional, con la </w:t>
      </w:r>
      <w:r w:rsidR="00C3480E" w:rsidRPr="00084D33">
        <w:t>finalidad</w:t>
      </w:r>
      <w:r w:rsidRPr="00084D33">
        <w:t xml:space="preserve"> de contribuir con la optimización del sistema de drenaje existente para evitar que la acumulación del agua provoque daños materiales o humanos, con la ejecución de las siguientes actividades: a) Construcción de 984 unidades de imbornales; b) colocación de 19,456.00 parrillas de imbornales; c) colocación de 34.0 metros lineales de alcantarillado; d)  traslado de 3,040 M³ de material residual (Bote), e) colocación de 37 parrillas, 131 tapas; f) colocación de 77.41 M² de losas de imbornales; g) reparación de 50.76 M² de aceras; h) co</w:t>
      </w:r>
      <w:r w:rsidR="00C3480E">
        <w:t>nstrucción de 6,186 ml de cunete</w:t>
      </w:r>
      <w:r w:rsidRPr="00084D33">
        <w:t>o; construcción de 67.39 metro lineales de contenes, entre otras. La inversión total realizada durante el citado periodo en obras de mantenimiento de drenaje, ascendió a un monto ascendente a RD$14,443,447.96 (Catorce Millones Cuatrocientos Cuarenta y Tres Mil Cuatrocientos Cuarenta y Siete Pesos con 96/100).</w:t>
      </w:r>
    </w:p>
    <w:p w14:paraId="63094D4C" w14:textId="77777777" w:rsidR="008653BD" w:rsidRPr="00084D33" w:rsidRDefault="008653BD" w:rsidP="008653BD">
      <w:pPr>
        <w:pStyle w:val="Continuarlista"/>
        <w:ind w:left="270"/>
        <w:rPr>
          <w:rFonts w:cs="Times New Roman"/>
        </w:rPr>
      </w:pPr>
    </w:p>
    <w:p w14:paraId="59AD8382" w14:textId="76E73E3D" w:rsidR="00312E51" w:rsidRPr="00084D33" w:rsidRDefault="008653BD" w:rsidP="008653BD">
      <w:pPr>
        <w:pStyle w:val="Continuarlista"/>
        <w:ind w:left="270"/>
      </w:pPr>
      <w:r w:rsidRPr="00084D33">
        <w:t xml:space="preserve">Durante el año 2024, dentro de las actividades realizadas por la Dirección de Mantenimiento de Pasos a Desnivel, cabe destacar la intervención en el mantenimiento de: 69 Pasos a Desnivel, 2 Túneles, 3 Elevados, 4 Puentes Vehiculares, 5 Puentes Peatonales y 6 Tramos viales; llevadas a cabo en el Gran Santo Domingo y el Distrito Nacional, así como en las provincias de Puerto Plata y Sánchez Ramírez. Dichas intervenciones consistieron en:   Limpieza de estructura, Sellos en Grietas de concreto Reforzado y Fisuras, Limpieza de Calzada, Limpieza del Sistema de drenaje, Limpieza de Juntas, Limpieza de Muros de Contención, Limpieza Integral de Muros Tipo New Jersey, Limpieza de Placas Reflectivas, Control de Maleza en el Entorno, Mantenimiento preventivo </w:t>
      </w:r>
      <w:r w:rsidRPr="00084D33">
        <w:lastRenderedPageBreak/>
        <w:t>del sistema eléctrico, Pintura de Componentes, entre otras. Estas actividades se realizaron con una erogación de fondos ascendente a RD$ 59,757,281.60</w:t>
      </w:r>
      <w:r w:rsidR="00312E51" w:rsidRPr="00084D33">
        <w:t>.</w:t>
      </w:r>
    </w:p>
    <w:p w14:paraId="709AF547" w14:textId="77777777" w:rsidR="00312E51" w:rsidRPr="00084D33" w:rsidRDefault="00312E51" w:rsidP="00312E51">
      <w:pPr>
        <w:spacing w:after="160" w:line="259" w:lineRule="auto"/>
        <w:rPr>
          <w:rFonts w:cs="Times New Roman"/>
          <w:spacing w:val="0"/>
          <w:szCs w:val="24"/>
        </w:rPr>
      </w:pPr>
    </w:p>
    <w:p w14:paraId="03C0A9F2" w14:textId="77777777" w:rsidR="00312E51" w:rsidRPr="00084D33" w:rsidRDefault="00312E51" w:rsidP="00312E51">
      <w:pPr>
        <w:pStyle w:val="Continuarlista"/>
        <w:rPr>
          <w:rFonts w:cs="Times New Roman"/>
        </w:rPr>
      </w:pPr>
    </w:p>
    <w:p w14:paraId="114453DA" w14:textId="0FF938F3" w:rsidR="00312E51" w:rsidRPr="00084D33" w:rsidRDefault="008653BD" w:rsidP="00C1227A">
      <w:pPr>
        <w:pStyle w:val="Ttulo3RdeC"/>
        <w:numPr>
          <w:ilvl w:val="0"/>
          <w:numId w:val="0"/>
        </w:numPr>
        <w:ind w:left="2828" w:hanging="1410"/>
        <w:jc w:val="center"/>
        <w:rPr>
          <w:color w:val="767171"/>
        </w:rPr>
      </w:pPr>
      <w:bookmarkStart w:id="77" w:name="_Toc78583649"/>
      <w:r w:rsidRPr="00084D33">
        <w:rPr>
          <w:color w:val="767171"/>
        </w:rPr>
        <w:t>4.1.7</w:t>
      </w:r>
      <w:r w:rsidR="00312E51" w:rsidRPr="00084D33">
        <w:rPr>
          <w:color w:val="767171"/>
        </w:rPr>
        <w:t>.2</w:t>
      </w:r>
      <w:r w:rsidR="00312E51" w:rsidRPr="00084D33">
        <w:rPr>
          <w:color w:val="767171"/>
        </w:rPr>
        <w:tab/>
        <w:t>Programa Comunitario de Mantenimiento de Acción Vial (Peón Caminero)</w:t>
      </w:r>
      <w:bookmarkEnd w:id="77"/>
    </w:p>
    <w:p w14:paraId="055188BF" w14:textId="77777777" w:rsidR="00312E51" w:rsidRPr="00084D33" w:rsidRDefault="00312E51" w:rsidP="00312E51">
      <w:pPr>
        <w:pStyle w:val="Ttulo3RdeC"/>
        <w:numPr>
          <w:ilvl w:val="0"/>
          <w:numId w:val="0"/>
        </w:numPr>
        <w:spacing w:after="120"/>
        <w:ind w:left="706" w:firstLine="706"/>
        <w:rPr>
          <w:color w:val="767171"/>
        </w:rPr>
      </w:pPr>
    </w:p>
    <w:p w14:paraId="23F7C3DB" w14:textId="20138848" w:rsidR="00312E51" w:rsidRPr="00084D33" w:rsidRDefault="00312E51" w:rsidP="00312E51">
      <w:pPr>
        <w:pStyle w:val="Estilo1-Vietas-Parrafo"/>
        <w:ind w:left="270"/>
        <w:rPr>
          <w:rFonts w:cstheme="minorBidi"/>
        </w:rPr>
      </w:pPr>
      <w:bookmarkStart w:id="78" w:name="_Toc78583650"/>
      <w:r w:rsidRPr="00084D33">
        <w:t xml:space="preserve">Mediante </w:t>
      </w:r>
      <w:r w:rsidR="008653BD" w:rsidRPr="00084D33">
        <w:t xml:space="preserve">el Programa Comunitario Vial denominado “Peón Caminero”, la institución continuó durante el período enero – diciembre del año 2024, abarcando operativos en la infraestructura vial de setenta y ocho (78) Caminos Vecinales en diez (10) provincias durante el periodo enero - diciembre del año 2024, en los cuales se intervinieron unos 488.69 km, con una inversión aproximada de RD$61,644,000.00 (Sesenta y Un Millones Seiscientos Cuatrocientos Cuarenta y Cuatro Mil Pesos con 00/100), implementados para beneficiar los residentes en las provincias donde se efectuan los operativos y beneficiando con empleos informales unos cuatrocientos sesenta y siete (467) jornaleros residentes en las provincias donde se efectúan los trabajos, entre los que se destacan: a) 2,102,435 m² de corte de maleza; b) 496,119 ml de limpieza de cunetas; c) 262 uds. de limpieza de alcantarillas, entre otras, </w:t>
      </w:r>
      <w:r w:rsidR="008653BD" w:rsidRPr="00084D33">
        <w:rPr>
          <w:rFonts w:cstheme="minorBidi"/>
        </w:rPr>
        <w:t xml:space="preserve">siendo las provincias con mayores intervenciones las siguientes: San José de Ocoa, Azua, Hato Mayor, El Seibo, Dajabón, Pedernales, María Trinidad Sánchez, Sánchez Ramírez y Santo Domingo, </w:t>
      </w:r>
      <w:r w:rsidR="008653BD" w:rsidRPr="00084D33">
        <w:t>contribuyendo al Eje 3 de la END 2030</w:t>
      </w:r>
      <w:r w:rsidRPr="00084D33">
        <w:rPr>
          <w:rFonts w:cstheme="minorBidi"/>
        </w:rPr>
        <w:t>.</w:t>
      </w:r>
    </w:p>
    <w:p w14:paraId="7FED2252" w14:textId="1244BD76" w:rsidR="00312E51" w:rsidRPr="00084D33" w:rsidRDefault="00312E51" w:rsidP="00312E51">
      <w:pPr>
        <w:pStyle w:val="Estilo1-Vietas-Parrafo"/>
        <w:ind w:left="270"/>
      </w:pPr>
    </w:p>
    <w:p w14:paraId="722522F1" w14:textId="77777777" w:rsidR="00312E51" w:rsidRPr="00084D33" w:rsidRDefault="00312E51" w:rsidP="00312E51">
      <w:pPr>
        <w:pStyle w:val="Estilo1-Vietas-Parrafo"/>
        <w:ind w:left="270"/>
        <w:rPr>
          <w:lang w:val="es-ES"/>
        </w:rPr>
      </w:pPr>
    </w:p>
    <w:p w14:paraId="1CA3EF9A" w14:textId="77777777" w:rsidR="006345A9" w:rsidRPr="00084D33" w:rsidRDefault="006345A9">
      <w:pPr>
        <w:spacing w:after="160" w:line="259" w:lineRule="auto"/>
        <w:jc w:val="left"/>
        <w:rPr>
          <w:rFonts w:cs="Times New Roman"/>
          <w:b/>
        </w:rPr>
      </w:pPr>
      <w:r w:rsidRPr="00084D33">
        <w:br w:type="page"/>
      </w:r>
    </w:p>
    <w:p w14:paraId="474A9C46" w14:textId="51166B27" w:rsidR="00312E51" w:rsidRPr="00084D33" w:rsidRDefault="007E5A63" w:rsidP="00C1227A">
      <w:pPr>
        <w:pStyle w:val="Ttulo3RdeC"/>
        <w:numPr>
          <w:ilvl w:val="0"/>
          <w:numId w:val="0"/>
        </w:numPr>
        <w:ind w:left="2430" w:hanging="1012"/>
        <w:jc w:val="center"/>
        <w:rPr>
          <w:color w:val="767171"/>
        </w:rPr>
      </w:pPr>
      <w:r w:rsidRPr="00084D33">
        <w:rPr>
          <w:color w:val="767171"/>
        </w:rPr>
        <w:lastRenderedPageBreak/>
        <w:t>4.1.7</w:t>
      </w:r>
      <w:r w:rsidR="00312E51" w:rsidRPr="00084D33">
        <w:rPr>
          <w:color w:val="767171"/>
        </w:rPr>
        <w:t>.3 Programas Sociales y Comunitarios (Obras Públicas en mi barrio)</w:t>
      </w:r>
    </w:p>
    <w:p w14:paraId="145A0645" w14:textId="77777777" w:rsidR="00312E51" w:rsidRPr="00084D33" w:rsidRDefault="00312E51" w:rsidP="00312E51">
      <w:pPr>
        <w:ind w:left="720"/>
      </w:pPr>
    </w:p>
    <w:p w14:paraId="5CAF3A90" w14:textId="2FC69639" w:rsidR="00312E51" w:rsidRPr="00084D33" w:rsidRDefault="00312E51" w:rsidP="00312E51">
      <w:pPr>
        <w:pStyle w:val="Textoindependiente"/>
        <w:spacing w:line="360" w:lineRule="auto"/>
        <w:ind w:left="360"/>
        <w:jc w:val="both"/>
        <w:rPr>
          <w:rFonts w:eastAsia="Calibri"/>
          <w:color w:val="767171"/>
        </w:rPr>
      </w:pPr>
      <w:r w:rsidRPr="00084D33">
        <w:rPr>
          <w:rFonts w:eastAsia="Calibri"/>
          <w:color w:val="767171"/>
        </w:rPr>
        <w:t xml:space="preserve">El </w:t>
      </w:r>
      <w:r w:rsidR="007E5A63" w:rsidRPr="00084D33">
        <w:rPr>
          <w:rFonts w:eastAsia="Calibri"/>
          <w:color w:val="767171"/>
        </w:rPr>
        <w:t xml:space="preserve">Ministerio de Obras </w:t>
      </w:r>
      <w:r w:rsidR="00C3480E" w:rsidRPr="00084D33">
        <w:rPr>
          <w:rFonts w:eastAsia="Calibri"/>
          <w:color w:val="767171"/>
        </w:rPr>
        <w:t>Públicas</w:t>
      </w:r>
      <w:r w:rsidR="007E5A63" w:rsidRPr="00084D33">
        <w:rPr>
          <w:rFonts w:eastAsia="Calibri"/>
          <w:color w:val="767171"/>
        </w:rPr>
        <w:t xml:space="preserve"> y Comunicaciones (MOPC) a través de los programas sociales y comunitarios que ejecuta en todo el </w:t>
      </w:r>
      <w:r w:rsidR="00C3480E" w:rsidRPr="00084D33">
        <w:rPr>
          <w:rFonts w:eastAsia="Calibri"/>
          <w:color w:val="767171"/>
        </w:rPr>
        <w:t>territorio</w:t>
      </w:r>
      <w:r w:rsidR="007E5A63" w:rsidRPr="00084D33">
        <w:rPr>
          <w:rFonts w:eastAsia="Calibri"/>
          <w:color w:val="767171"/>
        </w:rPr>
        <w:t xml:space="preserve"> nacional,  proporcionó importantes servicios sociales a la población dominicana durante el año 2024, efectuando operativos a nivel nacional que beneficiaron aproximadamente 621,245 personas residentes en las comunidades que presentan mayores niveles de pobreza del país, entre los que se destacan: a) Remozamiento de Techo con Zinc Nuevo de varias viviendas; b) Construcción Completa de las Viviendas; c) Remozamiento con pintura de las viviendas; d) Remozamiento de Parques Completos con Canchas, Asientos, Aceras, etc., e) operativos de distribución de agua potable; f) Operativos de fumigación y desinfección en barrios de diferentes provincias; y, g) limpieza general (caminos vecinales, carreteras, imbornales, cañadas, puentes peatonales, centro de asistencias, clubes deportivos, etc.), prestando servicios que permitirán solucionar de forma inmediata varias necesidades de la población que vive en condiciones de pobreza extrema, contribuyendo al Eje 2 de la END 2030</w:t>
      </w:r>
      <w:r w:rsidRPr="00084D33">
        <w:rPr>
          <w:rFonts w:eastAsia="Calibri"/>
          <w:color w:val="767171"/>
        </w:rPr>
        <w:t>.</w:t>
      </w:r>
    </w:p>
    <w:p w14:paraId="49669AAD" w14:textId="77777777" w:rsidR="00312E51" w:rsidRPr="00084D33" w:rsidRDefault="00312E51" w:rsidP="00312E51">
      <w:pPr>
        <w:pStyle w:val="Textoindependiente"/>
        <w:spacing w:line="360" w:lineRule="auto"/>
        <w:jc w:val="both"/>
        <w:rPr>
          <w:rFonts w:eastAsia="Calibri"/>
          <w:color w:val="767171"/>
        </w:rPr>
      </w:pPr>
    </w:p>
    <w:p w14:paraId="0048BC10" w14:textId="1DA86EEF" w:rsidR="00312E51" w:rsidRPr="00084D33" w:rsidRDefault="00312E51">
      <w:pPr>
        <w:spacing w:after="160" w:line="259" w:lineRule="auto"/>
        <w:jc w:val="left"/>
        <w:rPr>
          <w:rFonts w:eastAsia="Calibri" w:cs="Times New Roman"/>
          <w:szCs w:val="24"/>
          <w:lang w:val="es-ES" w:eastAsia="es-ES" w:bidi="es-ES"/>
        </w:rPr>
      </w:pPr>
      <w:r w:rsidRPr="00084D33">
        <w:rPr>
          <w:rFonts w:eastAsia="Calibri"/>
        </w:rPr>
        <w:br w:type="page"/>
      </w:r>
    </w:p>
    <w:p w14:paraId="016363CB" w14:textId="42785B6F" w:rsidR="00312E51" w:rsidRPr="00084D33" w:rsidRDefault="007E5A63" w:rsidP="00C1227A">
      <w:pPr>
        <w:pStyle w:val="Ttulo3RdeC"/>
        <w:numPr>
          <w:ilvl w:val="0"/>
          <w:numId w:val="0"/>
        </w:numPr>
        <w:ind w:left="2828" w:hanging="1410"/>
        <w:jc w:val="center"/>
        <w:rPr>
          <w:color w:val="767171"/>
        </w:rPr>
      </w:pPr>
      <w:r w:rsidRPr="00084D33">
        <w:rPr>
          <w:color w:val="767171"/>
        </w:rPr>
        <w:lastRenderedPageBreak/>
        <w:t>4.1.7</w:t>
      </w:r>
      <w:r w:rsidR="00312E51" w:rsidRPr="00084D33">
        <w:rPr>
          <w:color w:val="767171"/>
        </w:rPr>
        <w:t>.4</w:t>
      </w:r>
      <w:r w:rsidR="00312E51" w:rsidRPr="00084D33">
        <w:rPr>
          <w:color w:val="767171"/>
        </w:rPr>
        <w:tab/>
        <w:t>Programa de Patrullaje y Protección de Asistencia Vial</w:t>
      </w:r>
      <w:bookmarkEnd w:id="78"/>
    </w:p>
    <w:p w14:paraId="355C7E89" w14:textId="77777777" w:rsidR="00312E51" w:rsidRPr="00084D33" w:rsidRDefault="00312E51" w:rsidP="00312E51">
      <w:pPr>
        <w:rPr>
          <w:rFonts w:cs="Times New Roman"/>
          <w:lang w:eastAsia="es-ES" w:bidi="es-ES"/>
        </w:rPr>
      </w:pPr>
    </w:p>
    <w:p w14:paraId="386F2AAE" w14:textId="26272087" w:rsidR="00312E51" w:rsidRPr="00084D33" w:rsidRDefault="00312E51" w:rsidP="00312E51">
      <w:pPr>
        <w:pStyle w:val="Estilo1-Vietas-Parrafo"/>
        <w:ind w:left="270"/>
        <w:rPr>
          <w:rFonts w:cstheme="minorBidi"/>
        </w:rPr>
      </w:pPr>
      <w:r w:rsidRPr="00084D33">
        <w:rPr>
          <w:rFonts w:eastAsia="Calibri"/>
        </w:rPr>
        <w:t xml:space="preserve">El Ministerio de Obras Públicas y Comunicaciones (MOPC), continuó desarrollando durante el período </w:t>
      </w:r>
      <w:r w:rsidR="000A17C8" w:rsidRPr="00084D33">
        <w:rPr>
          <w:rFonts w:eastAsia="Calibri"/>
        </w:rPr>
        <w:t>enero-diciembre</w:t>
      </w:r>
      <w:r w:rsidRPr="00084D33">
        <w:rPr>
          <w:rFonts w:eastAsia="Calibri"/>
        </w:rPr>
        <w:t xml:space="preserve"> del año 2024, el Programa de Patrullaje y Protección de Asistencia Vial que integran los miembros de la Comisión Militar y Policial del MOPC (COMIPOL) proporcionando a los usuarios de la red vial urbana y rural donde se ha implementado el programa, un total de 2</w:t>
      </w:r>
      <w:r w:rsidR="00F31E60" w:rsidRPr="00084D33">
        <w:rPr>
          <w:rFonts w:eastAsia="Calibri"/>
        </w:rPr>
        <w:t>6</w:t>
      </w:r>
      <w:r w:rsidRPr="00084D33">
        <w:rPr>
          <w:rFonts w:eastAsia="Calibri"/>
        </w:rPr>
        <w:t>9,</w:t>
      </w:r>
      <w:r w:rsidR="00F31E60" w:rsidRPr="00084D33">
        <w:rPr>
          <w:rFonts w:eastAsia="Calibri"/>
        </w:rPr>
        <w:t>771</w:t>
      </w:r>
      <w:r w:rsidRPr="00084D33">
        <w:rPr>
          <w:rFonts w:eastAsia="Calibri"/>
        </w:rPr>
        <w:t xml:space="preserve"> asistencias viales, </w:t>
      </w:r>
      <w:r w:rsidRPr="00084D33">
        <w:rPr>
          <w:rFonts w:cstheme="minorBidi"/>
        </w:rPr>
        <w:t>desplegando actividades de patrullaje, vigilancia, protección y asistencia vial a los usuarios que transitan por los principales corredores urbanos e interurbanos del país, siendo las más demandadas por tipo las siguientes: 8</w:t>
      </w:r>
      <w:r w:rsidR="00346D43" w:rsidRPr="00084D33">
        <w:rPr>
          <w:rFonts w:cstheme="minorBidi"/>
        </w:rPr>
        <w:t xml:space="preserve">9,206 </w:t>
      </w:r>
      <w:r w:rsidRPr="00084D33">
        <w:rPr>
          <w:rFonts w:cstheme="minorBidi"/>
        </w:rPr>
        <w:t>asistencias por neumáticos; 8</w:t>
      </w:r>
      <w:r w:rsidR="00346D43" w:rsidRPr="00084D33">
        <w:rPr>
          <w:rFonts w:cstheme="minorBidi"/>
        </w:rPr>
        <w:t>6</w:t>
      </w:r>
      <w:r w:rsidRPr="00084D33">
        <w:rPr>
          <w:rFonts w:cstheme="minorBidi"/>
        </w:rPr>
        <w:t>,</w:t>
      </w:r>
      <w:r w:rsidR="00346D43" w:rsidRPr="00084D33">
        <w:rPr>
          <w:rFonts w:cstheme="minorBidi"/>
        </w:rPr>
        <w:t>533 por mecánica; 31</w:t>
      </w:r>
      <w:r w:rsidRPr="00084D33">
        <w:rPr>
          <w:rFonts w:cstheme="minorBidi"/>
        </w:rPr>
        <w:t>,</w:t>
      </w:r>
      <w:r w:rsidR="00346D43" w:rsidRPr="00084D33">
        <w:rPr>
          <w:rFonts w:cstheme="minorBidi"/>
        </w:rPr>
        <w:t>360</w:t>
      </w:r>
      <w:r w:rsidRPr="00084D33">
        <w:rPr>
          <w:rFonts w:cstheme="minorBidi"/>
        </w:rPr>
        <w:t xml:space="preserve"> por seguridad; 2</w:t>
      </w:r>
      <w:r w:rsidR="00346D43" w:rsidRPr="00084D33">
        <w:rPr>
          <w:rFonts w:cstheme="minorBidi"/>
        </w:rPr>
        <w:t>5</w:t>
      </w:r>
      <w:r w:rsidRPr="00084D33">
        <w:rPr>
          <w:rFonts w:cstheme="minorBidi"/>
        </w:rPr>
        <w:t>,</w:t>
      </w:r>
      <w:r w:rsidR="00346D43" w:rsidRPr="00084D33">
        <w:rPr>
          <w:rFonts w:cstheme="minorBidi"/>
        </w:rPr>
        <w:t>354</w:t>
      </w:r>
      <w:r w:rsidRPr="00084D33">
        <w:rPr>
          <w:rFonts w:cstheme="minorBidi"/>
        </w:rPr>
        <w:t xml:space="preserve"> por combustible; 12,</w:t>
      </w:r>
      <w:r w:rsidR="00346D43" w:rsidRPr="00084D33">
        <w:rPr>
          <w:rFonts w:cstheme="minorBidi"/>
        </w:rPr>
        <w:t>800</w:t>
      </w:r>
      <w:r w:rsidRPr="00084D33">
        <w:rPr>
          <w:rFonts w:cstheme="minorBidi"/>
        </w:rPr>
        <w:t xml:space="preserve"> por calentamiento; 8,</w:t>
      </w:r>
      <w:r w:rsidR="00346D43" w:rsidRPr="00084D33">
        <w:rPr>
          <w:rFonts w:cstheme="minorBidi"/>
        </w:rPr>
        <w:t>3</w:t>
      </w:r>
      <w:r w:rsidRPr="00084D33">
        <w:rPr>
          <w:rFonts w:cstheme="minorBidi"/>
        </w:rPr>
        <w:t>6</w:t>
      </w:r>
      <w:r w:rsidR="00346D43" w:rsidRPr="00084D33">
        <w:rPr>
          <w:rFonts w:cstheme="minorBidi"/>
        </w:rPr>
        <w:t>9</w:t>
      </w:r>
      <w:r w:rsidRPr="00084D33">
        <w:rPr>
          <w:rFonts w:cstheme="minorBidi"/>
        </w:rPr>
        <w:t xml:space="preserve"> por problemas eléctricos; 5,</w:t>
      </w:r>
      <w:r w:rsidR="00346D43" w:rsidRPr="00084D33">
        <w:rPr>
          <w:rFonts w:cstheme="minorBidi"/>
        </w:rPr>
        <w:t>629</w:t>
      </w:r>
      <w:r w:rsidRPr="00084D33">
        <w:rPr>
          <w:rFonts w:cstheme="minorBidi"/>
        </w:rPr>
        <w:t xml:space="preserve"> por accidentes; </w:t>
      </w:r>
      <w:r w:rsidR="00346D43" w:rsidRPr="00084D33">
        <w:rPr>
          <w:rFonts w:cstheme="minorBidi"/>
        </w:rPr>
        <w:t>4</w:t>
      </w:r>
      <w:r w:rsidRPr="00084D33">
        <w:rPr>
          <w:rFonts w:cstheme="minorBidi"/>
        </w:rPr>
        <w:t>,</w:t>
      </w:r>
      <w:r w:rsidR="00346D43" w:rsidRPr="00084D33">
        <w:rPr>
          <w:rFonts w:cstheme="minorBidi"/>
        </w:rPr>
        <w:t>374</w:t>
      </w:r>
      <w:r w:rsidRPr="00084D33">
        <w:rPr>
          <w:rFonts w:cstheme="minorBidi"/>
        </w:rPr>
        <w:t xml:space="preserve"> por talleres móviles, entre otras; con el objetivo de </w:t>
      </w:r>
      <w:r w:rsidRPr="00084D33">
        <w:t xml:space="preserve">ofrecer seguridad personal y vial a los usuarios que transitan </w:t>
      </w:r>
      <w:r w:rsidRPr="00084D33">
        <w:rPr>
          <w:rFonts w:cstheme="minorBidi"/>
        </w:rPr>
        <w:t xml:space="preserve">con seguridad </w:t>
      </w:r>
      <w:r w:rsidRPr="00084D33">
        <w:t xml:space="preserve">en los </w:t>
      </w:r>
      <w:r w:rsidR="00C3480E" w:rsidRPr="00084D33">
        <w:t>principales</w:t>
      </w:r>
      <w:r w:rsidRPr="00084D33">
        <w:t xml:space="preserve"> </w:t>
      </w:r>
      <w:r w:rsidRPr="00084D33">
        <w:rPr>
          <w:rFonts w:eastAsia="Calibri"/>
        </w:rPr>
        <w:t xml:space="preserve">corredores urbanos e interurbanos del país, </w:t>
      </w:r>
      <w:r w:rsidRPr="00084D33">
        <w:rPr>
          <w:rFonts w:cstheme="minorBidi"/>
        </w:rPr>
        <w:t xml:space="preserve">contribuyendo estas acciones al Eje 1 de la END 2030.  </w:t>
      </w:r>
    </w:p>
    <w:p w14:paraId="1BC5380B" w14:textId="77777777" w:rsidR="00312E51" w:rsidRPr="00084D33" w:rsidRDefault="00312E51" w:rsidP="00312E51">
      <w:pPr>
        <w:pStyle w:val="Continuarlista"/>
        <w:rPr>
          <w:rFonts w:cs="Times New Roman"/>
        </w:rPr>
      </w:pPr>
    </w:p>
    <w:p w14:paraId="2BFF9644" w14:textId="1F55947C" w:rsidR="009112E7" w:rsidRPr="00084D33" w:rsidRDefault="00312E51" w:rsidP="00312E51">
      <w:pPr>
        <w:pStyle w:val="Continuarlista"/>
        <w:ind w:left="270"/>
        <w:rPr>
          <w:rFonts w:cs="Times New Roman"/>
        </w:rPr>
      </w:pPr>
      <w:r w:rsidRPr="00084D33">
        <w:rPr>
          <w:rFonts w:cs="Times New Roman"/>
          <w:lang w:val="es-ES"/>
        </w:rPr>
        <w:t xml:space="preserve">El </w:t>
      </w:r>
      <w:r w:rsidR="007E5A63" w:rsidRPr="00084D33">
        <w:rPr>
          <w:rFonts w:cs="Times New Roman"/>
          <w:lang w:val="es-ES"/>
        </w:rPr>
        <w:t>resumen de asistencias ofrecidas por servicios de mecánica, neumáticos, seguridad, ambulancia, combustible, accidentes, ambulancias, etc., durante el periodo enero - diciembre del año 2024, se registra en el cuadro siguiente</w:t>
      </w:r>
      <w:r w:rsidRPr="00084D33">
        <w:t xml:space="preserve">:  </w:t>
      </w:r>
      <w:r w:rsidR="009112E7" w:rsidRPr="00084D33">
        <w:rPr>
          <w:rFonts w:cs="Times New Roman"/>
        </w:rPr>
        <w:t xml:space="preserve"> </w:t>
      </w:r>
    </w:p>
    <w:p w14:paraId="6ADAD0FC" w14:textId="77777777" w:rsidR="00A078F4" w:rsidRPr="00084D33" w:rsidRDefault="00A078F4" w:rsidP="00A078F4">
      <w:pPr>
        <w:pStyle w:val="Continuarlista"/>
        <w:ind w:left="0"/>
        <w:rPr>
          <w:rFonts w:cs="Times New Roman"/>
        </w:rPr>
      </w:pPr>
    </w:p>
    <w:p w14:paraId="25B4E891" w14:textId="1AE51227" w:rsidR="002A3FD5" w:rsidRPr="00084D33" w:rsidRDefault="00310517" w:rsidP="002A3FD5">
      <w:pPr>
        <w:pStyle w:val="Continuarlista"/>
        <w:jc w:val="center"/>
        <w:rPr>
          <w:rFonts w:cs="Times New Roman"/>
          <w:lang w:val="es-ES"/>
        </w:rPr>
      </w:pPr>
      <w:r w:rsidRPr="00084D33">
        <w:rPr>
          <w:noProof/>
          <w:lang w:eastAsia="es-DO"/>
        </w:rPr>
        <w:lastRenderedPageBreak/>
        <w:drawing>
          <wp:inline distT="0" distB="0" distL="0" distR="0" wp14:anchorId="010F6391" wp14:editId="0999B9E9">
            <wp:extent cx="2433955" cy="5002530"/>
            <wp:effectExtent l="0" t="0" r="4445" b="762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3955" cy="5002530"/>
                    </a:xfrm>
                    <a:prstGeom prst="rect">
                      <a:avLst/>
                    </a:prstGeom>
                    <a:noFill/>
                    <a:ln>
                      <a:noFill/>
                    </a:ln>
                  </pic:spPr>
                </pic:pic>
              </a:graphicData>
            </a:graphic>
          </wp:inline>
        </w:drawing>
      </w:r>
    </w:p>
    <w:p w14:paraId="284AD819" w14:textId="77777777" w:rsidR="002A3FD5" w:rsidRPr="00084D33" w:rsidRDefault="002A3FD5" w:rsidP="002A3FD5">
      <w:pPr>
        <w:pStyle w:val="Continuarlista"/>
        <w:jc w:val="center"/>
        <w:rPr>
          <w:rFonts w:cs="Times New Roman"/>
          <w:lang w:val="es-ES"/>
        </w:rPr>
      </w:pPr>
    </w:p>
    <w:p w14:paraId="5A50ED41" w14:textId="2B7D5ED8" w:rsidR="002A3FD5" w:rsidRPr="00084D33" w:rsidRDefault="00310517" w:rsidP="002A3FD5">
      <w:pPr>
        <w:spacing w:after="160"/>
        <w:ind w:left="-450"/>
        <w:jc w:val="center"/>
        <w:rPr>
          <w:rFonts w:eastAsia="Calibri" w:cs="Times New Roman"/>
          <w:b/>
          <w:spacing w:val="20"/>
          <w:szCs w:val="24"/>
        </w:rPr>
      </w:pPr>
      <w:r w:rsidRPr="00084D33">
        <w:rPr>
          <w:rFonts w:eastAsia="Calibri" w:cs="Times New Roman"/>
          <w:b/>
          <w:noProof/>
          <w:spacing w:val="20"/>
          <w:szCs w:val="24"/>
          <w:lang w:eastAsia="es-DO"/>
        </w:rPr>
        <w:drawing>
          <wp:inline distT="0" distB="0" distL="0" distR="0" wp14:anchorId="40491253" wp14:editId="76063695">
            <wp:extent cx="5647764" cy="212407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a:extLst>
                        <a:ext uri="{28A0092B-C50C-407E-A947-70E740481C1C}">
                          <a14:useLocalDpi xmlns:a14="http://schemas.microsoft.com/office/drawing/2010/main" val="0"/>
                        </a:ext>
                      </a:extLst>
                    </a:blip>
                    <a:srcRect l="1680" t="2" r="8" b="7"/>
                    <a:stretch/>
                  </pic:blipFill>
                  <pic:spPr bwMode="auto">
                    <a:xfrm>
                      <a:off x="0" y="0"/>
                      <a:ext cx="5713338" cy="2148737"/>
                    </a:xfrm>
                    <a:prstGeom prst="rect">
                      <a:avLst/>
                    </a:prstGeom>
                    <a:noFill/>
                    <a:ln>
                      <a:noFill/>
                    </a:ln>
                    <a:extLst>
                      <a:ext uri="{53640926-AAD7-44D8-BBD7-CCE9431645EC}">
                        <a14:shadowObscured xmlns:a14="http://schemas.microsoft.com/office/drawing/2010/main"/>
                      </a:ext>
                    </a:extLst>
                  </pic:spPr>
                </pic:pic>
              </a:graphicData>
            </a:graphic>
          </wp:inline>
        </w:drawing>
      </w:r>
    </w:p>
    <w:p w14:paraId="6D2D3B37" w14:textId="493CF858" w:rsidR="00B715E5" w:rsidRPr="00084D33" w:rsidRDefault="00B715E5" w:rsidP="00B715E5">
      <w:pPr>
        <w:spacing w:after="160"/>
        <w:jc w:val="center"/>
        <w:rPr>
          <w:rFonts w:eastAsia="Calibri" w:cs="Times New Roman"/>
          <w:b/>
          <w:noProof/>
          <w:spacing w:val="20"/>
          <w:szCs w:val="24"/>
          <w:lang w:eastAsia="es-DO"/>
        </w:rPr>
      </w:pPr>
    </w:p>
    <w:p w14:paraId="2BE74626" w14:textId="47A5C77F" w:rsidR="00BA07B2" w:rsidRPr="00084D33" w:rsidRDefault="00A078F4" w:rsidP="00C1227A">
      <w:pPr>
        <w:pStyle w:val="Ttulo3RdeC"/>
        <w:numPr>
          <w:ilvl w:val="0"/>
          <w:numId w:val="0"/>
        </w:numPr>
        <w:ind w:left="709" w:firstLine="709"/>
        <w:jc w:val="center"/>
        <w:rPr>
          <w:color w:val="767171"/>
        </w:rPr>
      </w:pPr>
      <w:bookmarkStart w:id="79" w:name="_Toc78583651"/>
      <w:r w:rsidRPr="00084D33">
        <w:rPr>
          <w:color w:val="767171"/>
        </w:rPr>
        <w:lastRenderedPageBreak/>
        <w:t>4.1.</w:t>
      </w:r>
      <w:r w:rsidR="007E5A63" w:rsidRPr="00084D33">
        <w:rPr>
          <w:color w:val="767171"/>
        </w:rPr>
        <w:t>7</w:t>
      </w:r>
      <w:r w:rsidRPr="00084D33">
        <w:rPr>
          <w:color w:val="767171"/>
        </w:rPr>
        <w:t>.</w:t>
      </w:r>
      <w:r w:rsidR="00F13667" w:rsidRPr="00084D33">
        <w:rPr>
          <w:color w:val="767171"/>
        </w:rPr>
        <w:t>5</w:t>
      </w:r>
      <w:r w:rsidRPr="00084D33">
        <w:rPr>
          <w:color w:val="767171"/>
        </w:rPr>
        <w:tab/>
      </w:r>
      <w:r w:rsidR="00BA07B2" w:rsidRPr="00084D33">
        <w:rPr>
          <w:color w:val="767171"/>
        </w:rPr>
        <w:t xml:space="preserve"> Plan Nacional de Señalización Vial</w:t>
      </w:r>
      <w:bookmarkEnd w:id="79"/>
    </w:p>
    <w:p w14:paraId="0E795371" w14:textId="5A7FE56A" w:rsidR="00942273" w:rsidRPr="00084D33" w:rsidRDefault="00942273" w:rsidP="00942273">
      <w:pPr>
        <w:pStyle w:val="Ttulo3RdeC"/>
        <w:numPr>
          <w:ilvl w:val="0"/>
          <w:numId w:val="0"/>
        </w:numPr>
        <w:ind w:left="709" w:firstLine="709"/>
        <w:rPr>
          <w:color w:val="767171"/>
        </w:rPr>
      </w:pPr>
    </w:p>
    <w:p w14:paraId="34F85C95" w14:textId="141BEF74" w:rsidR="007E5A63" w:rsidRPr="00084D33" w:rsidRDefault="007E5A63" w:rsidP="007E5A63">
      <w:pPr>
        <w:pStyle w:val="Estilo1-Vietas-Parrafo"/>
        <w:ind w:left="360"/>
        <w:rPr>
          <w:lang w:val="es-ES"/>
        </w:rPr>
      </w:pPr>
      <w:r w:rsidRPr="00084D33">
        <w:rPr>
          <w:lang w:val="es-ES"/>
        </w:rPr>
        <w:t xml:space="preserve">El Ministerio de Obras Públicas y </w:t>
      </w:r>
      <w:r w:rsidR="00C3480E" w:rsidRPr="00084D33">
        <w:rPr>
          <w:lang w:val="es-ES"/>
        </w:rPr>
        <w:t>Comunicaciones</w:t>
      </w:r>
      <w:r w:rsidRPr="00084D33">
        <w:rPr>
          <w:lang w:val="es-ES"/>
        </w:rPr>
        <w:t xml:space="preserve"> (MOPC) realizó mediante el Programa de Señalización Vial, acciones de señalización vial durante el período enero-diciembre del año 2024, que abarcaron la red vial urbana y rural intervenida, estimándose una longitud de 6,174 kilómetros-carriles de señalización horizontal colocada en Carreteras, Calles, Avenidas, Caminos Vecinales y Puentes; además, aproximadamente un total de 1,112 unidades de señales verticales de No Estacione, No Pasajeros, No Doble en “U”, No Camiones, etc. en toda la geografía nacional, las cuales se complementan con la colocación de unidades de las denominadas vialetas reflectivas (ojos de gato) que bordean las isletas canalizadoras del tráfico colocadas para guiar la circulación en horas nocturnas o en días de lluvia y colocación de señales informativas en los orígenes de los tramos, indicando a los usuarios la dirección a seguir para los destinos que pueden conducir las vías; mejorando la visibilidad de los usuarios en la red vial rehabilitada, contribuyendo al Eje 3 de la END 2030. A continuación, se resumen las obras intervenidas por el MOPC en el periodo enero-diciembre del 2024, contempladas en el amplio programa de señalización vial ejecutado. </w:t>
      </w:r>
    </w:p>
    <w:p w14:paraId="370481C4" w14:textId="77777777" w:rsidR="007E5A63" w:rsidRPr="00084D33" w:rsidRDefault="007E5A63" w:rsidP="007E5A63">
      <w:pPr>
        <w:pStyle w:val="Estilo1-Vietas-Parrafo"/>
        <w:ind w:left="360"/>
      </w:pPr>
    </w:p>
    <w:p w14:paraId="42F31A8A" w14:textId="77777777" w:rsidR="007E5A63" w:rsidRPr="00084D33" w:rsidRDefault="007E5A63" w:rsidP="007202A9">
      <w:pPr>
        <w:pStyle w:val="Estilo1-Vietas-Parrafo"/>
        <w:numPr>
          <w:ilvl w:val="0"/>
          <w:numId w:val="35"/>
        </w:numPr>
        <w:ind w:left="1440"/>
        <w:rPr>
          <w:lang w:val="es-ES"/>
        </w:rPr>
      </w:pPr>
      <w:r w:rsidRPr="00084D33">
        <w:rPr>
          <w:lang w:val="es-ES"/>
        </w:rPr>
        <w:t>Señalización horizontal de lomos en varios puntos en los sectores (Miraflores, La Fe, Don Bosco y Villa Juana)</w:t>
      </w:r>
    </w:p>
    <w:p w14:paraId="034DEDEA" w14:textId="77777777" w:rsidR="007E5A63" w:rsidRPr="00084D33" w:rsidRDefault="007E5A63" w:rsidP="007202A9">
      <w:pPr>
        <w:pStyle w:val="Estilo1-Vietas-Parrafo"/>
        <w:numPr>
          <w:ilvl w:val="0"/>
          <w:numId w:val="35"/>
        </w:numPr>
        <w:ind w:left="1440"/>
        <w:rPr>
          <w:lang w:val="es-ES"/>
        </w:rPr>
      </w:pPr>
      <w:r w:rsidRPr="00084D33">
        <w:rPr>
          <w:lang w:val="es-ES"/>
        </w:rPr>
        <w:t>Trabajos de Señalización horizontal en pintura termoplástica blanca en Av. Núñez de Cáceres</w:t>
      </w:r>
    </w:p>
    <w:p w14:paraId="5FACCBF3" w14:textId="77777777" w:rsidR="007E5A63" w:rsidRPr="00084D33" w:rsidRDefault="007E5A63" w:rsidP="007202A9">
      <w:pPr>
        <w:pStyle w:val="Estilo1-Vietas-Parrafo"/>
        <w:numPr>
          <w:ilvl w:val="0"/>
          <w:numId w:val="35"/>
        </w:numPr>
        <w:ind w:left="1440"/>
        <w:rPr>
          <w:lang w:val="es-ES"/>
        </w:rPr>
      </w:pPr>
      <w:r w:rsidRPr="00084D33">
        <w:rPr>
          <w:lang w:val="es-ES"/>
        </w:rPr>
        <w:t>Señalización Horizontal área de parqueos Palacio de la Policía Nacional</w:t>
      </w:r>
    </w:p>
    <w:p w14:paraId="03190DFD" w14:textId="77777777" w:rsidR="007E5A63" w:rsidRPr="00084D33" w:rsidRDefault="007E5A63" w:rsidP="007202A9">
      <w:pPr>
        <w:pStyle w:val="Estilo1-Vietas-Parrafo"/>
        <w:numPr>
          <w:ilvl w:val="0"/>
          <w:numId w:val="35"/>
        </w:numPr>
        <w:ind w:left="1440"/>
        <w:rPr>
          <w:lang w:val="es-ES"/>
        </w:rPr>
      </w:pPr>
      <w:r w:rsidRPr="00084D33">
        <w:rPr>
          <w:lang w:val="es-ES"/>
        </w:rPr>
        <w:t>Señalización horizontal Av. Simón Bolívar</w:t>
      </w:r>
    </w:p>
    <w:p w14:paraId="733A4BD1" w14:textId="77777777" w:rsidR="007E5A63" w:rsidRPr="00084D33" w:rsidRDefault="007E5A63" w:rsidP="007202A9">
      <w:pPr>
        <w:pStyle w:val="Estilo1-Vietas-Parrafo"/>
        <w:numPr>
          <w:ilvl w:val="0"/>
          <w:numId w:val="35"/>
        </w:numPr>
        <w:ind w:left="1440"/>
        <w:rPr>
          <w:lang w:val="es-ES"/>
        </w:rPr>
      </w:pPr>
      <w:r w:rsidRPr="00084D33">
        <w:rPr>
          <w:lang w:val="es-ES"/>
        </w:rPr>
        <w:lastRenderedPageBreak/>
        <w:t>Señalización horizontal autopista 30 de mayo</w:t>
      </w:r>
    </w:p>
    <w:p w14:paraId="1E7B97E0" w14:textId="77777777" w:rsidR="007E5A63" w:rsidRPr="00084D33" w:rsidRDefault="007E5A63" w:rsidP="007202A9">
      <w:pPr>
        <w:pStyle w:val="Estilo1-Vietas-Parrafo"/>
        <w:numPr>
          <w:ilvl w:val="0"/>
          <w:numId w:val="35"/>
        </w:numPr>
        <w:ind w:left="1440"/>
        <w:rPr>
          <w:lang w:val="es-ES"/>
        </w:rPr>
      </w:pPr>
      <w:r w:rsidRPr="00084D33">
        <w:rPr>
          <w:lang w:val="es-ES"/>
        </w:rPr>
        <w:t>Trabajos de Señalización horizontal en pintura termoplástica blanca en Av. Máximo Gómez</w:t>
      </w:r>
    </w:p>
    <w:p w14:paraId="067E3C07" w14:textId="77777777" w:rsidR="007E5A63" w:rsidRPr="00084D33" w:rsidRDefault="007E5A63" w:rsidP="007202A9">
      <w:pPr>
        <w:pStyle w:val="Estilo1-Vietas-Parrafo"/>
        <w:numPr>
          <w:ilvl w:val="0"/>
          <w:numId w:val="35"/>
        </w:numPr>
        <w:ind w:left="1440"/>
        <w:rPr>
          <w:lang w:val="es-ES"/>
        </w:rPr>
      </w:pPr>
      <w:r w:rsidRPr="00084D33">
        <w:rPr>
          <w:lang w:val="es-ES"/>
        </w:rPr>
        <w:t>Trabajos de Señalización horizontal en pintura termoplástica blanca en Av. Luperón</w:t>
      </w:r>
    </w:p>
    <w:p w14:paraId="33D18F3E" w14:textId="77777777" w:rsidR="007E5A63" w:rsidRPr="00084D33" w:rsidRDefault="007E5A63" w:rsidP="007202A9">
      <w:pPr>
        <w:pStyle w:val="Estilo1-Vietas-Parrafo"/>
        <w:numPr>
          <w:ilvl w:val="0"/>
          <w:numId w:val="35"/>
        </w:numPr>
        <w:ind w:left="1440"/>
        <w:rPr>
          <w:lang w:val="es-ES"/>
        </w:rPr>
      </w:pPr>
      <w:r w:rsidRPr="00084D33">
        <w:rPr>
          <w:lang w:val="es-ES"/>
        </w:rPr>
        <w:t>Colocación de señales verticales de marca de obstáculo en la intercesión de la Av. Jacobo Majluta con República de Colombia</w:t>
      </w:r>
    </w:p>
    <w:p w14:paraId="097107EE" w14:textId="77777777" w:rsidR="007E5A63" w:rsidRPr="00084D33" w:rsidRDefault="007E5A63" w:rsidP="007202A9">
      <w:pPr>
        <w:pStyle w:val="Estilo1-Vietas-Parrafo"/>
        <w:numPr>
          <w:ilvl w:val="0"/>
          <w:numId w:val="35"/>
        </w:numPr>
        <w:ind w:left="1440"/>
        <w:rPr>
          <w:lang w:val="es-ES"/>
        </w:rPr>
      </w:pPr>
      <w:r w:rsidRPr="00084D33">
        <w:rPr>
          <w:lang w:val="es-ES"/>
        </w:rPr>
        <w:t>Señalización horizontal parqueos Jardín Botánico Nacional</w:t>
      </w:r>
    </w:p>
    <w:p w14:paraId="5049F719" w14:textId="77777777" w:rsidR="007E5A63" w:rsidRPr="00084D33" w:rsidRDefault="007E5A63" w:rsidP="007202A9">
      <w:pPr>
        <w:pStyle w:val="Estilo1-Vietas-Parrafo"/>
        <w:numPr>
          <w:ilvl w:val="0"/>
          <w:numId w:val="35"/>
        </w:numPr>
        <w:ind w:left="1440"/>
        <w:rPr>
          <w:lang w:val="es-ES"/>
        </w:rPr>
      </w:pPr>
      <w:r w:rsidRPr="00084D33">
        <w:rPr>
          <w:lang w:val="es-ES"/>
        </w:rPr>
        <w:t>Señalización Horizontal Av. Lope de Vega</w:t>
      </w:r>
    </w:p>
    <w:p w14:paraId="4099586B" w14:textId="266F48A0" w:rsidR="007E5A63" w:rsidRPr="00084D33" w:rsidRDefault="007E5A63" w:rsidP="007202A9">
      <w:pPr>
        <w:pStyle w:val="Estilo1-Vietas-Parrafo"/>
        <w:numPr>
          <w:ilvl w:val="0"/>
          <w:numId w:val="35"/>
        </w:numPr>
        <w:ind w:left="1440"/>
        <w:rPr>
          <w:lang w:val="es-ES"/>
        </w:rPr>
      </w:pPr>
      <w:r w:rsidRPr="00084D33">
        <w:rPr>
          <w:lang w:val="es-ES"/>
        </w:rPr>
        <w:t xml:space="preserve">Señalización Horizontal </w:t>
      </w:r>
      <w:r w:rsidR="00C3480E" w:rsidRPr="00084D33">
        <w:rPr>
          <w:lang w:val="es-ES"/>
        </w:rPr>
        <w:t>área</w:t>
      </w:r>
      <w:r w:rsidRPr="00084D33">
        <w:rPr>
          <w:lang w:val="es-ES"/>
        </w:rPr>
        <w:t xml:space="preserve"> de parqueos Palacio de la Policía Nacional</w:t>
      </w:r>
    </w:p>
    <w:p w14:paraId="55E1CEA5" w14:textId="78447440" w:rsidR="007E5A63" w:rsidRPr="00084D33" w:rsidRDefault="007E5A63" w:rsidP="007202A9">
      <w:pPr>
        <w:pStyle w:val="Estilo1-Vietas-Parrafo"/>
        <w:numPr>
          <w:ilvl w:val="0"/>
          <w:numId w:val="35"/>
        </w:numPr>
        <w:ind w:left="1440"/>
        <w:rPr>
          <w:lang w:val="es-ES"/>
        </w:rPr>
      </w:pPr>
      <w:r w:rsidRPr="00084D33">
        <w:rPr>
          <w:lang w:val="es-ES"/>
        </w:rPr>
        <w:t xml:space="preserve">señalización horizontal Av. </w:t>
      </w:r>
      <w:r w:rsidR="00C3480E" w:rsidRPr="00084D33">
        <w:rPr>
          <w:lang w:val="es-ES"/>
        </w:rPr>
        <w:t>Simón</w:t>
      </w:r>
      <w:r w:rsidRPr="00084D33">
        <w:rPr>
          <w:lang w:val="es-ES"/>
        </w:rPr>
        <w:t xml:space="preserve"> Bolívar</w:t>
      </w:r>
    </w:p>
    <w:p w14:paraId="52C17E9C" w14:textId="77777777" w:rsidR="007E5A63" w:rsidRPr="00084D33" w:rsidRDefault="007E5A63" w:rsidP="007202A9">
      <w:pPr>
        <w:pStyle w:val="Estilo1-Vietas-Parrafo"/>
        <w:numPr>
          <w:ilvl w:val="0"/>
          <w:numId w:val="35"/>
        </w:numPr>
        <w:ind w:left="1440"/>
        <w:rPr>
          <w:lang w:val="es-ES"/>
        </w:rPr>
      </w:pPr>
      <w:r w:rsidRPr="00084D33">
        <w:rPr>
          <w:lang w:val="es-ES"/>
        </w:rPr>
        <w:t>Señalización horizontal Autopista 30 de mayo</w:t>
      </w:r>
    </w:p>
    <w:p w14:paraId="64230B60" w14:textId="77777777" w:rsidR="007E5A63" w:rsidRPr="00084D33" w:rsidRDefault="007E5A63" w:rsidP="007202A9">
      <w:pPr>
        <w:pStyle w:val="Estilo1-Vietas-Parrafo"/>
        <w:numPr>
          <w:ilvl w:val="0"/>
          <w:numId w:val="35"/>
        </w:numPr>
        <w:ind w:left="1440"/>
      </w:pPr>
      <w:r w:rsidRPr="00084D33">
        <w:rPr>
          <w:lang w:val="es-ES"/>
        </w:rPr>
        <w:t>Señalización horizontal Centro de los Héroes</w:t>
      </w:r>
    </w:p>
    <w:p w14:paraId="19113D9B" w14:textId="77777777" w:rsidR="007E5A63" w:rsidRPr="00084D33" w:rsidRDefault="007E5A63" w:rsidP="000244E8">
      <w:pPr>
        <w:pStyle w:val="Estilo1-Vietas-Parrafo"/>
        <w:ind w:left="360"/>
      </w:pPr>
    </w:p>
    <w:p w14:paraId="3B211C51" w14:textId="0B0997A2" w:rsidR="00942273" w:rsidRPr="00084D33" w:rsidRDefault="00942273" w:rsidP="007E5A63">
      <w:pPr>
        <w:pStyle w:val="Estilo1-Vietas-Parrafo"/>
      </w:pPr>
    </w:p>
    <w:p w14:paraId="74D983B0" w14:textId="4F584375" w:rsidR="00942273" w:rsidRPr="00084D33" w:rsidRDefault="00A078F4" w:rsidP="00C1227A">
      <w:pPr>
        <w:pStyle w:val="Ttulo3RdeC"/>
        <w:numPr>
          <w:ilvl w:val="0"/>
          <w:numId w:val="0"/>
        </w:numPr>
        <w:ind w:left="1710" w:hanging="900"/>
        <w:jc w:val="center"/>
        <w:rPr>
          <w:color w:val="767171"/>
        </w:rPr>
      </w:pPr>
      <w:r w:rsidRPr="00084D33">
        <w:rPr>
          <w:color w:val="767171"/>
        </w:rPr>
        <w:t>4.1.</w:t>
      </w:r>
      <w:r w:rsidR="007E5A63" w:rsidRPr="00084D33">
        <w:rPr>
          <w:color w:val="767171"/>
        </w:rPr>
        <w:t>7</w:t>
      </w:r>
      <w:r w:rsidRPr="00084D33">
        <w:rPr>
          <w:color w:val="767171"/>
        </w:rPr>
        <w:t>.</w:t>
      </w:r>
      <w:r w:rsidR="00C75825" w:rsidRPr="00084D33">
        <w:rPr>
          <w:color w:val="767171"/>
        </w:rPr>
        <w:t>6</w:t>
      </w:r>
      <w:r w:rsidRPr="00084D33">
        <w:rPr>
          <w:color w:val="767171"/>
        </w:rPr>
        <w:t xml:space="preserve"> </w:t>
      </w:r>
      <w:r w:rsidR="00942273" w:rsidRPr="00084D33">
        <w:rPr>
          <w:color w:val="767171"/>
        </w:rPr>
        <w:t>Actividades Ejecutadas por la Unidad Ejecutora de</w:t>
      </w:r>
      <w:r w:rsidR="00BC577E" w:rsidRPr="00084D33">
        <w:rPr>
          <w:color w:val="767171"/>
        </w:rPr>
        <w:t xml:space="preserve"> </w:t>
      </w:r>
      <w:r w:rsidR="00C75825" w:rsidRPr="00084D33">
        <w:rPr>
          <w:color w:val="767171"/>
        </w:rPr>
        <w:t xml:space="preserve"> </w:t>
      </w:r>
      <w:r w:rsidR="00942273" w:rsidRPr="00084D33">
        <w:rPr>
          <w:color w:val="767171"/>
        </w:rPr>
        <w:t>Proyectos Financiados con Recursos Externos (UEPFRE)</w:t>
      </w:r>
    </w:p>
    <w:p w14:paraId="579DEB9A" w14:textId="3FB460F6" w:rsidR="00942273" w:rsidRPr="00084D33" w:rsidRDefault="00942273" w:rsidP="00D83684">
      <w:pPr>
        <w:ind w:left="720"/>
      </w:pPr>
    </w:p>
    <w:p w14:paraId="05F89A0F" w14:textId="77777777" w:rsidR="00B14E5C" w:rsidRPr="00084D33" w:rsidRDefault="00B14E5C" w:rsidP="00D83684">
      <w:pPr>
        <w:ind w:left="720"/>
      </w:pPr>
    </w:p>
    <w:p w14:paraId="25B29F97" w14:textId="3B1C4E95" w:rsidR="000244E8" w:rsidRPr="00084D33" w:rsidRDefault="000244E8" w:rsidP="007E5A63">
      <w:pPr>
        <w:pStyle w:val="Estilo1-Vietas-Parrafo"/>
        <w:tabs>
          <w:tab w:val="left" w:pos="2970"/>
        </w:tabs>
        <w:ind w:left="360"/>
        <w:rPr>
          <w:lang w:val="es-ES"/>
        </w:rPr>
      </w:pPr>
      <w:r w:rsidRPr="00084D33">
        <w:rPr>
          <w:lang w:val="es-ES"/>
        </w:rPr>
        <w:t>Continuaron las ejecutorias programadas por la Unidad Ejecutora de Proyectos Financiados con Recursos Externos (UEPFRE</w:t>
      </w:r>
      <w:r w:rsidR="007E5A63" w:rsidRPr="00084D33">
        <w:rPr>
          <w:lang w:val="es-ES"/>
        </w:rPr>
        <w:t xml:space="preserve">) del Ministerio de Obras Públicas y Comunicaciones (MOPC), realizando durante el la ejecución de los Programas del MOPC financiados con recursos </w:t>
      </w:r>
      <w:r w:rsidR="007E5A63" w:rsidRPr="00084D33">
        <w:rPr>
          <w:lang w:val="es-ES"/>
        </w:rPr>
        <w:lastRenderedPageBreak/>
        <w:t>externos del Banco Interamericano de Desarrollo (BID), entre los que citamos</w:t>
      </w:r>
      <w:r w:rsidRPr="00084D33">
        <w:rPr>
          <w:lang w:val="es-ES"/>
        </w:rPr>
        <w:t>:</w:t>
      </w:r>
    </w:p>
    <w:p w14:paraId="4EB72452" w14:textId="77777777" w:rsidR="007E5A63" w:rsidRPr="00084D33" w:rsidRDefault="007E5A63" w:rsidP="007202A9">
      <w:pPr>
        <w:pStyle w:val="Estilo1-Vietas-Parrafo"/>
        <w:numPr>
          <w:ilvl w:val="0"/>
          <w:numId w:val="36"/>
        </w:numPr>
        <w:tabs>
          <w:tab w:val="left" w:pos="2970"/>
        </w:tabs>
        <w:rPr>
          <w:lang w:val="es-ES"/>
        </w:rPr>
      </w:pPr>
      <w:r w:rsidRPr="00084D33">
        <w:rPr>
          <w:lang w:val="es-ES"/>
        </w:rPr>
        <w:t>Programa de Rehabilitación y Mantenimiento de Carreteras (117 km) y Caminos Vecinales (884 km) a nivel nacional, con una inversión total de RD$16,800,000,000.00, de los cuales se intervinieron aproximadamente 229.84 km, con un monto ejecutado en el año 2024, de RD$443,415,341.43.</w:t>
      </w:r>
    </w:p>
    <w:p w14:paraId="62F94F9A" w14:textId="77777777" w:rsidR="007E5A63" w:rsidRPr="00084D33" w:rsidRDefault="007E5A63" w:rsidP="007E5A63">
      <w:pPr>
        <w:pStyle w:val="Estilo1-Vietas-Parrafo"/>
        <w:tabs>
          <w:tab w:val="left" w:pos="2970"/>
        </w:tabs>
        <w:spacing w:after="0"/>
        <w:ind w:left="720"/>
        <w:rPr>
          <w:lang w:val="es-ES"/>
        </w:rPr>
      </w:pPr>
    </w:p>
    <w:p w14:paraId="116FC3C7" w14:textId="4E99347A" w:rsidR="007E5A63" w:rsidRPr="00084D33" w:rsidRDefault="007E5A63" w:rsidP="007E5A63">
      <w:pPr>
        <w:pStyle w:val="Estilo1-Vietas-Parrafo"/>
        <w:tabs>
          <w:tab w:val="left" w:pos="2970"/>
        </w:tabs>
        <w:ind w:left="1440" w:hanging="360"/>
        <w:rPr>
          <w:lang w:val="es-ES"/>
        </w:rPr>
      </w:pPr>
      <w:r w:rsidRPr="00084D33">
        <w:rPr>
          <w:lang w:val="es-ES"/>
        </w:rPr>
        <w:t xml:space="preserve">b) </w:t>
      </w:r>
      <w:r w:rsidRPr="00084D33">
        <w:rPr>
          <w:lang w:val="es-ES"/>
        </w:rPr>
        <w:tab/>
        <w:t xml:space="preserve">Programa de Mejoramiento del Puerto de Manzanillo, con una longitud del muelle de 1.0 km, un costo total de RD$6,230,000,000.00, una </w:t>
      </w:r>
      <w:r w:rsidR="00C3480E" w:rsidRPr="00084D33">
        <w:rPr>
          <w:lang w:val="es-ES"/>
        </w:rPr>
        <w:t>ejecución</w:t>
      </w:r>
      <w:r w:rsidRPr="00084D33">
        <w:rPr>
          <w:lang w:val="es-ES"/>
        </w:rPr>
        <w:t xml:space="preserve"> durante el periodo enero-diciembre del año 2024 de RD$1,105,365,717.44, destacándose en las ejecutorias del año 2024, los proyectos siguientes:</w:t>
      </w:r>
    </w:p>
    <w:p w14:paraId="07B6744D" w14:textId="77777777" w:rsidR="007E5A63" w:rsidRPr="00084D33" w:rsidRDefault="007E5A63" w:rsidP="007E5A63">
      <w:pPr>
        <w:pStyle w:val="Estilo1-Vietas-Parrafo"/>
        <w:tabs>
          <w:tab w:val="left" w:pos="2970"/>
        </w:tabs>
        <w:spacing w:after="0"/>
        <w:ind w:left="720"/>
        <w:rPr>
          <w:lang w:val="es-ES"/>
        </w:rPr>
      </w:pPr>
    </w:p>
    <w:p w14:paraId="7D985AA0" w14:textId="30DA330D" w:rsidR="007E5A63" w:rsidRPr="00084D33" w:rsidRDefault="007E5A63" w:rsidP="007E5A63">
      <w:pPr>
        <w:pStyle w:val="Estilo1-Vietas-Parrafo"/>
        <w:tabs>
          <w:tab w:val="left" w:pos="2970"/>
        </w:tabs>
        <w:ind w:left="1440" w:hanging="360"/>
        <w:rPr>
          <w:lang w:val="es-ES"/>
        </w:rPr>
      </w:pPr>
      <w:r w:rsidRPr="00084D33">
        <w:rPr>
          <w:lang w:val="es-ES"/>
        </w:rPr>
        <w:t xml:space="preserve">b.1 Rehabilitación Carretera Duarte  (Navarrete - Jaibón) Lote 1,  trabajos realizados en la provincia Santiago, con una longitud 29.48 km, una inversión total ascendente a RD$525,495,144.68 y un  porcentaje de </w:t>
      </w:r>
      <w:r w:rsidR="00C3480E" w:rsidRPr="00084D33">
        <w:rPr>
          <w:lang w:val="es-ES"/>
        </w:rPr>
        <w:t>ejecución</w:t>
      </w:r>
      <w:r w:rsidRPr="00084D33">
        <w:rPr>
          <w:lang w:val="es-ES"/>
        </w:rPr>
        <w:t xml:space="preserve"> de un 95.68%.</w:t>
      </w:r>
    </w:p>
    <w:p w14:paraId="58D9B637" w14:textId="77777777" w:rsidR="007E5A63" w:rsidRPr="00084D33" w:rsidRDefault="007E5A63" w:rsidP="007E5A63">
      <w:pPr>
        <w:pStyle w:val="Estilo1-Vietas-Parrafo"/>
        <w:tabs>
          <w:tab w:val="left" w:pos="2970"/>
        </w:tabs>
        <w:spacing w:after="0"/>
        <w:ind w:left="720"/>
        <w:rPr>
          <w:lang w:val="es-ES"/>
        </w:rPr>
      </w:pPr>
    </w:p>
    <w:p w14:paraId="33305331" w14:textId="21E04BB1" w:rsidR="007E5A63" w:rsidRPr="00084D33" w:rsidRDefault="007E5A63" w:rsidP="007E5A63">
      <w:pPr>
        <w:pStyle w:val="Estilo1-Vietas-Parrafo"/>
        <w:tabs>
          <w:tab w:val="left" w:pos="2970"/>
        </w:tabs>
        <w:ind w:left="1440" w:hanging="360"/>
        <w:rPr>
          <w:lang w:val="es-ES"/>
        </w:rPr>
      </w:pPr>
      <w:r w:rsidRPr="00084D33">
        <w:rPr>
          <w:lang w:val="es-ES"/>
        </w:rPr>
        <w:t xml:space="preserve">b.2 Rehabilitación Carretera Duarte  (Jaibón - Botoncillo) Lote 2,  trabajos realizados en la provincia Montecristi, con una longitud 34.50 km,  una inversión total ascendente a RD$ 502, 986,031.71 y un  porcentaje de </w:t>
      </w:r>
      <w:r w:rsidR="00C3480E" w:rsidRPr="00084D33">
        <w:rPr>
          <w:lang w:val="es-ES"/>
        </w:rPr>
        <w:t>ejecución</w:t>
      </w:r>
      <w:r w:rsidRPr="00084D33">
        <w:rPr>
          <w:lang w:val="es-ES"/>
        </w:rPr>
        <w:t xml:space="preserve"> de un 84.26%.</w:t>
      </w:r>
    </w:p>
    <w:p w14:paraId="5FF45843" w14:textId="77777777" w:rsidR="007E5A63" w:rsidRPr="00084D33" w:rsidRDefault="007E5A63" w:rsidP="007E5A63">
      <w:pPr>
        <w:pStyle w:val="Estilo1-Vietas-Parrafo"/>
        <w:tabs>
          <w:tab w:val="left" w:pos="2970"/>
        </w:tabs>
        <w:spacing w:after="0"/>
        <w:ind w:left="720"/>
        <w:rPr>
          <w:lang w:val="es-ES"/>
        </w:rPr>
      </w:pPr>
    </w:p>
    <w:p w14:paraId="3BEAFDE6" w14:textId="759B7F70" w:rsidR="007E5A63" w:rsidRPr="00084D33" w:rsidRDefault="007E5A63" w:rsidP="007E5A63">
      <w:pPr>
        <w:pStyle w:val="Estilo1-Vietas-Parrafo"/>
        <w:tabs>
          <w:tab w:val="left" w:pos="2970"/>
        </w:tabs>
        <w:ind w:left="1440" w:hanging="360"/>
        <w:rPr>
          <w:lang w:val="es-ES"/>
        </w:rPr>
      </w:pPr>
      <w:r w:rsidRPr="00084D33">
        <w:rPr>
          <w:lang w:val="es-ES"/>
        </w:rPr>
        <w:t xml:space="preserve">b.3 Rehabilitación Carretera Duarte  (Botoncillo - Montecristi) Lote 3, trabajos realizados en la provincia Montecristi, con una longitud 28.50 km, una inversión total ascendente a </w:t>
      </w:r>
      <w:r w:rsidRPr="00084D33">
        <w:rPr>
          <w:lang w:val="es-ES"/>
        </w:rPr>
        <w:lastRenderedPageBreak/>
        <w:t xml:space="preserve">RD$438, 886,312.53 y un  porcentaje de </w:t>
      </w:r>
      <w:r w:rsidR="00C3480E" w:rsidRPr="00084D33">
        <w:rPr>
          <w:lang w:val="es-ES"/>
        </w:rPr>
        <w:t>ejecución</w:t>
      </w:r>
      <w:r w:rsidRPr="00084D33">
        <w:rPr>
          <w:lang w:val="es-ES"/>
        </w:rPr>
        <w:t xml:space="preserve"> de un 90.29%.</w:t>
      </w:r>
    </w:p>
    <w:p w14:paraId="411B2830" w14:textId="77777777" w:rsidR="007E5A63" w:rsidRPr="00084D33" w:rsidRDefault="007E5A63" w:rsidP="007E5A63">
      <w:pPr>
        <w:pStyle w:val="Estilo1-Vietas-Parrafo"/>
        <w:tabs>
          <w:tab w:val="left" w:pos="2970"/>
        </w:tabs>
        <w:spacing w:after="0"/>
        <w:ind w:left="720"/>
        <w:rPr>
          <w:lang w:val="es-ES"/>
        </w:rPr>
      </w:pPr>
    </w:p>
    <w:p w14:paraId="49E185CA" w14:textId="77777777" w:rsidR="007E5A63" w:rsidRPr="00084D33" w:rsidRDefault="007E5A63" w:rsidP="007E5A63">
      <w:pPr>
        <w:pStyle w:val="Estilo1-Vietas-Parrafo"/>
        <w:tabs>
          <w:tab w:val="left" w:pos="2970"/>
        </w:tabs>
        <w:ind w:left="1440" w:hanging="360"/>
        <w:rPr>
          <w:lang w:val="es-ES"/>
        </w:rPr>
      </w:pPr>
      <w:r w:rsidRPr="00084D33">
        <w:rPr>
          <w:lang w:val="es-ES"/>
        </w:rPr>
        <w:t>c) Programa de Mejoramiento de Obras Públicas para reducir riesgos de desastres en el contexto del cambio climático a nivel nacional, con un costo total de RD$3,325,000,000.00, y no registra ejecución durante el periodo enero-diciembre del año 2024.</w:t>
      </w:r>
    </w:p>
    <w:p w14:paraId="6BD673BE" w14:textId="77777777" w:rsidR="007E5A63" w:rsidRPr="00084D33" w:rsidRDefault="007E5A63" w:rsidP="007E5A63">
      <w:pPr>
        <w:pStyle w:val="Estilo1-Vietas-Parrafo"/>
        <w:tabs>
          <w:tab w:val="left" w:pos="2970"/>
        </w:tabs>
        <w:spacing w:after="0"/>
        <w:ind w:left="720"/>
        <w:rPr>
          <w:lang w:val="es-ES"/>
        </w:rPr>
      </w:pPr>
    </w:p>
    <w:p w14:paraId="1D23264E" w14:textId="77777777" w:rsidR="007E5A63" w:rsidRPr="00084D33" w:rsidRDefault="007E5A63" w:rsidP="007E5A63">
      <w:pPr>
        <w:pStyle w:val="Estilo1-Vietas-Parrafo"/>
        <w:tabs>
          <w:tab w:val="left" w:pos="2970"/>
        </w:tabs>
        <w:ind w:left="1440" w:hanging="360"/>
        <w:rPr>
          <w:lang w:val="es-ES"/>
        </w:rPr>
      </w:pPr>
      <w:r w:rsidRPr="00084D33">
        <w:rPr>
          <w:lang w:val="es-ES"/>
        </w:rPr>
        <w:t xml:space="preserve">d) </w:t>
      </w:r>
      <w:r w:rsidRPr="00084D33">
        <w:rPr>
          <w:lang w:val="es-ES"/>
        </w:rPr>
        <w:tab/>
        <w:t>Programa de Desarrollo Agroforestal Sostenible con un costo total de RD$3,182,871,359.00 y una ejecución en el 2024 de RD$224,110,487.71.</w:t>
      </w:r>
    </w:p>
    <w:p w14:paraId="3A22734E" w14:textId="7CA14363" w:rsidR="00942273" w:rsidRPr="00084D33" w:rsidRDefault="00942273" w:rsidP="007E5A63">
      <w:pPr>
        <w:pStyle w:val="Estilo1-Vietas-Parrafo"/>
        <w:tabs>
          <w:tab w:val="left" w:pos="2970"/>
        </w:tabs>
        <w:rPr>
          <w:lang w:val="es-ES"/>
        </w:rPr>
      </w:pPr>
    </w:p>
    <w:p w14:paraId="68812F90" w14:textId="77777777" w:rsidR="007E5A63" w:rsidRPr="00084D33" w:rsidRDefault="007E5A63" w:rsidP="007E5A63">
      <w:pPr>
        <w:pStyle w:val="Estilo1-Vietas-Parrafo"/>
        <w:tabs>
          <w:tab w:val="left" w:pos="2970"/>
        </w:tabs>
      </w:pPr>
    </w:p>
    <w:p w14:paraId="37FC8056" w14:textId="32BA9B83" w:rsidR="00F31EB9" w:rsidRPr="00EE790D" w:rsidRDefault="00942273" w:rsidP="00EE790D">
      <w:pPr>
        <w:pStyle w:val="Ttulo1"/>
        <w:numPr>
          <w:ilvl w:val="0"/>
          <w:numId w:val="0"/>
        </w:numPr>
        <w:ind w:left="710"/>
        <w:rPr>
          <w:rFonts w:cs="Times New Roman"/>
          <w:b/>
          <w:sz w:val="24"/>
        </w:rPr>
      </w:pPr>
      <w:bookmarkStart w:id="80" w:name="_Toc186924358"/>
      <w:r w:rsidRPr="00EE790D">
        <w:rPr>
          <w:rFonts w:cs="Times New Roman"/>
          <w:b/>
          <w:sz w:val="24"/>
        </w:rPr>
        <w:t>4.2</w:t>
      </w:r>
      <w:r w:rsidR="00BE43DE" w:rsidRPr="00EE790D">
        <w:rPr>
          <w:rFonts w:cs="Times New Roman"/>
          <w:b/>
          <w:sz w:val="24"/>
        </w:rPr>
        <w:t xml:space="preserve"> </w:t>
      </w:r>
      <w:r w:rsidR="00BE43DE" w:rsidRPr="00EE790D">
        <w:rPr>
          <w:rFonts w:cs="Times New Roman"/>
          <w:b/>
          <w:sz w:val="24"/>
        </w:rPr>
        <w:tab/>
      </w:r>
      <w:r w:rsidR="00F31EB9" w:rsidRPr="00EE790D">
        <w:rPr>
          <w:rFonts w:cs="Times New Roman"/>
          <w:b/>
          <w:sz w:val="24"/>
        </w:rPr>
        <w:t>Desempeño de los Recursos Humanos</w:t>
      </w:r>
      <w:bookmarkEnd w:id="80"/>
    </w:p>
    <w:p w14:paraId="7236C682" w14:textId="77777777" w:rsidR="00E73C52" w:rsidRPr="00084D33" w:rsidRDefault="00E73C52" w:rsidP="00E73C52">
      <w:pPr>
        <w:spacing w:after="160"/>
        <w:rPr>
          <w:rFonts w:cs="Times New Roman"/>
          <w:szCs w:val="24"/>
        </w:rPr>
      </w:pPr>
    </w:p>
    <w:p w14:paraId="3A6A5679" w14:textId="43E6AE75" w:rsidR="00E73C52" w:rsidRPr="00084D33" w:rsidRDefault="000244E8" w:rsidP="000244E8">
      <w:pPr>
        <w:pStyle w:val="Continuarlista"/>
        <w:ind w:left="0"/>
        <w:rPr>
          <w:rFonts w:cs="Times New Roman"/>
        </w:rPr>
      </w:pPr>
      <w:r w:rsidRPr="00084D33">
        <w:rPr>
          <w:rFonts w:eastAsia="Times New Roman" w:cs="Times New Roman"/>
          <w:szCs w:val="24"/>
          <w:lang w:val="es-ES" w:eastAsia="es-ES" w:bidi="es-ES"/>
        </w:rPr>
        <w:t xml:space="preserve">La Dirección de Recursos Humanos del MOPC, continuó durante el periodo </w:t>
      </w:r>
      <w:r w:rsidR="000A17C8" w:rsidRPr="00084D33">
        <w:rPr>
          <w:rFonts w:eastAsia="Times New Roman" w:cs="Times New Roman"/>
          <w:szCs w:val="24"/>
          <w:lang w:val="es-ES" w:eastAsia="es-ES" w:bidi="es-ES"/>
        </w:rPr>
        <w:t>enero-diciembre</w:t>
      </w:r>
      <w:r w:rsidRPr="00084D33">
        <w:rPr>
          <w:rFonts w:eastAsia="Times New Roman" w:cs="Times New Roman"/>
          <w:szCs w:val="24"/>
          <w:lang w:val="es-ES" w:eastAsia="es-ES" w:bidi="es-ES"/>
        </w:rPr>
        <w:t xml:space="preserve"> del año 2024, la ejecución de las actividades propias de sus funciones de administrar políticas de gestión del capital humano adscrito a la institución, realizando la organización y planificación de los recursos humanos, a través del proceso de reclutamiento y selección de las personas requeridas para los puestos estratégicos, el seguimiento del desempeño de los empleados, acorde a las evaluaciones periódicas por resultados, el registro y control del personal, las relaciones y los riesgos laborales, la implementación de planes y programas de capacitación, </w:t>
      </w:r>
      <w:r w:rsidR="00C3480E" w:rsidRPr="00084D33">
        <w:rPr>
          <w:rFonts w:eastAsia="Times New Roman" w:cs="Times New Roman"/>
          <w:szCs w:val="24"/>
          <w:lang w:val="es-ES" w:eastAsia="es-ES" w:bidi="es-ES"/>
        </w:rPr>
        <w:t>así</w:t>
      </w:r>
      <w:r w:rsidRPr="00084D33">
        <w:rPr>
          <w:rFonts w:eastAsia="Times New Roman" w:cs="Times New Roman"/>
          <w:szCs w:val="24"/>
          <w:lang w:val="es-ES" w:eastAsia="es-ES" w:bidi="es-ES"/>
        </w:rPr>
        <w:t xml:space="preserve"> como también, las actividades de Seguridad Social, en cumplimiento de la Ley de Función Pública 41-08, destacándose las siguientes: a) elaboración de los Acuerdos de Desempeño de todos los colaboradores activos del </w:t>
      </w:r>
      <w:r w:rsidRPr="00084D33">
        <w:rPr>
          <w:rFonts w:eastAsia="Times New Roman" w:cs="Times New Roman"/>
          <w:szCs w:val="24"/>
          <w:lang w:val="es-ES" w:eastAsia="es-ES" w:bidi="es-ES"/>
        </w:rPr>
        <w:lastRenderedPageBreak/>
        <w:t>ministerio; b) captura de datos biométricos y reconocimiento facial de todos los colaboradores, c) ejecución del Plan de Capacitación; d) Planificación de Recursos Humanos para el año 2025; e) actualización del Manual de Cargos;  f), seguimiento a las ejecuciones del POA, en coordinación con la Dirección de Planificación y Desarrollo, entre otras.</w:t>
      </w:r>
    </w:p>
    <w:p w14:paraId="388D5A87" w14:textId="35C88020" w:rsidR="00BE43DE" w:rsidRPr="00084D33" w:rsidRDefault="00BE43DE" w:rsidP="009A41B9">
      <w:pPr>
        <w:pStyle w:val="Continuarlista"/>
        <w:rPr>
          <w:rFonts w:cs="Times New Roman"/>
        </w:rPr>
      </w:pPr>
    </w:p>
    <w:p w14:paraId="67E81CFF" w14:textId="77777777" w:rsidR="000244E8" w:rsidRPr="00084D33" w:rsidRDefault="000244E8" w:rsidP="009A41B9">
      <w:pPr>
        <w:pStyle w:val="Continuarlista"/>
        <w:rPr>
          <w:rFonts w:cs="Times New Roman"/>
        </w:rPr>
      </w:pPr>
    </w:p>
    <w:p w14:paraId="16B8A3A6" w14:textId="490E23CE" w:rsidR="00E73C52" w:rsidRPr="00EE790D" w:rsidRDefault="00942273" w:rsidP="00EE790D">
      <w:pPr>
        <w:pStyle w:val="Ttulo1"/>
        <w:numPr>
          <w:ilvl w:val="0"/>
          <w:numId w:val="0"/>
        </w:numPr>
        <w:ind w:left="710"/>
        <w:rPr>
          <w:rFonts w:cs="Times New Roman"/>
          <w:b/>
          <w:sz w:val="24"/>
        </w:rPr>
      </w:pPr>
      <w:bookmarkStart w:id="81" w:name="_Toc78583653"/>
      <w:bookmarkStart w:id="82" w:name="_Toc186924359"/>
      <w:r w:rsidRPr="00EE790D">
        <w:rPr>
          <w:rFonts w:cs="Times New Roman"/>
          <w:b/>
          <w:sz w:val="24"/>
        </w:rPr>
        <w:t>4.2.1</w:t>
      </w:r>
      <w:r w:rsidR="000103C2" w:rsidRPr="00EE790D">
        <w:rPr>
          <w:rFonts w:cs="Times New Roman"/>
          <w:b/>
          <w:sz w:val="24"/>
        </w:rPr>
        <w:t xml:space="preserve"> </w:t>
      </w:r>
      <w:r w:rsidR="00E73C52" w:rsidRPr="00EE790D">
        <w:rPr>
          <w:rFonts w:cs="Times New Roman"/>
          <w:b/>
          <w:sz w:val="24"/>
        </w:rPr>
        <w:t>Organización de la Función de Recursos Humanos</w:t>
      </w:r>
      <w:bookmarkEnd w:id="81"/>
      <w:bookmarkEnd w:id="82"/>
    </w:p>
    <w:p w14:paraId="446ACB3B" w14:textId="77777777" w:rsidR="00E73C52" w:rsidRPr="00084D33" w:rsidRDefault="00E73C52" w:rsidP="0017234F">
      <w:pPr>
        <w:spacing w:after="160"/>
        <w:rPr>
          <w:rFonts w:cs="Times New Roman"/>
          <w:szCs w:val="24"/>
        </w:rPr>
      </w:pPr>
    </w:p>
    <w:p w14:paraId="3A80D420" w14:textId="77777777" w:rsidR="00236D59" w:rsidRPr="00084D33" w:rsidRDefault="00236D59" w:rsidP="000244E8">
      <w:pPr>
        <w:spacing w:after="160"/>
        <w:rPr>
          <w:rFonts w:eastAsia="Times New Roman" w:cs="Times New Roman"/>
          <w:szCs w:val="24"/>
          <w:lang w:val="es-ES" w:eastAsia="es-ES" w:bidi="es-ES"/>
        </w:rPr>
      </w:pPr>
      <w:bookmarkStart w:id="83" w:name="_Toc78583654"/>
      <w:r w:rsidRPr="00084D33">
        <w:rPr>
          <w:rFonts w:eastAsia="Times New Roman" w:cs="Times New Roman"/>
          <w:szCs w:val="24"/>
          <w:lang w:val="es-ES" w:eastAsia="es-ES" w:bidi="es-ES"/>
        </w:rPr>
        <w:t xml:space="preserve">La Dirección de Recursos Humanos del MOPC, está organizada en Departamentos, Divisiones y Secciones, los cuales se detallan a continuación: </w:t>
      </w:r>
    </w:p>
    <w:p w14:paraId="7B569FF2" w14:textId="77777777" w:rsidR="00236D59" w:rsidRPr="00084D33" w:rsidRDefault="00236D59" w:rsidP="00236D59">
      <w:pPr>
        <w:spacing w:after="160" w:line="240" w:lineRule="auto"/>
        <w:rPr>
          <w:rFonts w:ascii="Artifex CF Extra Light" w:eastAsia="Calibri" w:hAnsi="Artifex CF Extra Light" w:cs="Times New Roman"/>
          <w:spacing w:val="0"/>
          <w:sz w:val="18"/>
          <w:lang w:val="es-ES"/>
        </w:rPr>
      </w:pPr>
    </w:p>
    <w:p w14:paraId="4542FC54" w14:textId="77777777" w:rsidR="00236D59" w:rsidRPr="00084D33" w:rsidRDefault="00236D59" w:rsidP="00D131A1">
      <w:pPr>
        <w:numPr>
          <w:ilvl w:val="0"/>
          <w:numId w:val="9"/>
        </w:numPr>
        <w:spacing w:after="160" w:line="259" w:lineRule="auto"/>
        <w:rPr>
          <w:rFonts w:eastAsia="Times New Roman" w:cs="Times New Roman"/>
          <w:b/>
          <w:szCs w:val="24"/>
          <w:lang w:val="es-ES" w:eastAsia="es-ES" w:bidi="es-ES"/>
        </w:rPr>
      </w:pPr>
      <w:r w:rsidRPr="00084D33">
        <w:rPr>
          <w:rFonts w:eastAsia="Times New Roman" w:cs="Times New Roman"/>
          <w:b/>
          <w:szCs w:val="24"/>
          <w:lang w:val="es-ES" w:eastAsia="es-ES" w:bidi="es-ES"/>
        </w:rPr>
        <w:t>Departamento de Registro, Proceso y Control</w:t>
      </w:r>
    </w:p>
    <w:p w14:paraId="35D6EE45"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 xml:space="preserve">Sección de Expedientes </w:t>
      </w:r>
    </w:p>
    <w:p w14:paraId="117F990C" w14:textId="77777777" w:rsidR="00236D59" w:rsidRPr="00084D33" w:rsidRDefault="00236D59" w:rsidP="00236D59">
      <w:pPr>
        <w:spacing w:after="160" w:line="259" w:lineRule="auto"/>
        <w:ind w:left="1068"/>
        <w:rPr>
          <w:rFonts w:eastAsia="Times New Roman" w:cs="Times New Roman"/>
          <w:szCs w:val="24"/>
          <w:lang w:val="es-ES" w:eastAsia="es-ES" w:bidi="es-ES"/>
        </w:rPr>
      </w:pPr>
    </w:p>
    <w:p w14:paraId="671F1BE0" w14:textId="77777777" w:rsidR="00236D59" w:rsidRPr="00084D33" w:rsidRDefault="00236D59" w:rsidP="00D131A1">
      <w:pPr>
        <w:numPr>
          <w:ilvl w:val="0"/>
          <w:numId w:val="9"/>
        </w:numPr>
        <w:spacing w:after="160" w:line="259" w:lineRule="auto"/>
        <w:rPr>
          <w:rFonts w:eastAsia="Times New Roman" w:cs="Times New Roman"/>
          <w:b/>
          <w:szCs w:val="24"/>
          <w:lang w:val="es-ES" w:eastAsia="es-ES" w:bidi="es-ES"/>
        </w:rPr>
      </w:pPr>
      <w:r w:rsidRPr="00084D33">
        <w:rPr>
          <w:rFonts w:eastAsia="Times New Roman" w:cs="Times New Roman"/>
          <w:b/>
          <w:szCs w:val="24"/>
          <w:lang w:val="es-ES" w:eastAsia="es-ES" w:bidi="es-ES"/>
        </w:rPr>
        <w:t xml:space="preserve">Departamento de Reclutamiento y Selección </w:t>
      </w:r>
    </w:p>
    <w:p w14:paraId="2F7D5B42"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Sección de Pasantes</w:t>
      </w:r>
    </w:p>
    <w:p w14:paraId="7722C89E" w14:textId="77777777" w:rsidR="00236D59" w:rsidRPr="00084D33" w:rsidRDefault="00236D59" w:rsidP="00236D59">
      <w:pPr>
        <w:spacing w:after="160" w:line="259" w:lineRule="auto"/>
        <w:ind w:left="1068"/>
        <w:rPr>
          <w:rFonts w:eastAsia="Times New Roman" w:cs="Times New Roman"/>
          <w:szCs w:val="24"/>
          <w:lang w:val="es-ES" w:eastAsia="es-ES" w:bidi="es-ES"/>
        </w:rPr>
      </w:pPr>
    </w:p>
    <w:p w14:paraId="0C7746D8" w14:textId="77777777" w:rsidR="00236D59" w:rsidRPr="00084D33" w:rsidRDefault="00236D59" w:rsidP="00D131A1">
      <w:pPr>
        <w:numPr>
          <w:ilvl w:val="0"/>
          <w:numId w:val="9"/>
        </w:numPr>
        <w:spacing w:after="160" w:line="259" w:lineRule="auto"/>
        <w:rPr>
          <w:rFonts w:eastAsia="Times New Roman" w:cs="Times New Roman"/>
          <w:b/>
          <w:szCs w:val="24"/>
          <w:lang w:val="es-ES" w:eastAsia="es-ES" w:bidi="es-ES"/>
        </w:rPr>
      </w:pPr>
      <w:r w:rsidRPr="00084D33">
        <w:rPr>
          <w:rFonts w:eastAsia="Times New Roman" w:cs="Times New Roman"/>
          <w:b/>
          <w:szCs w:val="24"/>
          <w:lang w:val="es-ES" w:eastAsia="es-ES" w:bidi="es-ES"/>
        </w:rPr>
        <w:t xml:space="preserve">Departamento de Compensación y Beneficios </w:t>
      </w:r>
    </w:p>
    <w:p w14:paraId="56E5803E"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División de Compensación</w:t>
      </w:r>
    </w:p>
    <w:p w14:paraId="3D75B812" w14:textId="77777777" w:rsidR="00236D59" w:rsidRPr="00084D33" w:rsidRDefault="00236D59" w:rsidP="00236D59">
      <w:pPr>
        <w:spacing w:after="160" w:line="259" w:lineRule="auto"/>
        <w:ind w:left="1068"/>
        <w:rPr>
          <w:rFonts w:eastAsia="Times New Roman" w:cs="Times New Roman"/>
          <w:szCs w:val="24"/>
          <w:lang w:val="es-ES" w:eastAsia="es-ES" w:bidi="es-ES"/>
        </w:rPr>
      </w:pPr>
    </w:p>
    <w:p w14:paraId="68235371" w14:textId="77777777" w:rsidR="00236D59" w:rsidRPr="00084D33" w:rsidRDefault="00236D59" w:rsidP="00D131A1">
      <w:pPr>
        <w:numPr>
          <w:ilvl w:val="0"/>
          <w:numId w:val="9"/>
        </w:numPr>
        <w:spacing w:after="160" w:line="259" w:lineRule="auto"/>
        <w:rPr>
          <w:rFonts w:eastAsia="Times New Roman" w:cs="Times New Roman"/>
          <w:szCs w:val="24"/>
          <w:lang w:val="es-ES" w:eastAsia="es-ES" w:bidi="es-ES"/>
        </w:rPr>
      </w:pPr>
      <w:r w:rsidRPr="00084D33">
        <w:rPr>
          <w:rFonts w:eastAsia="Times New Roman" w:cs="Times New Roman"/>
          <w:b/>
          <w:szCs w:val="24"/>
          <w:lang w:val="es-ES" w:eastAsia="es-ES" w:bidi="es-ES"/>
        </w:rPr>
        <w:t>Departamento de Evaluación y Capacitación</w:t>
      </w:r>
      <w:r w:rsidRPr="00084D33">
        <w:rPr>
          <w:rFonts w:eastAsia="Times New Roman" w:cs="Times New Roman"/>
          <w:szCs w:val="24"/>
          <w:lang w:val="es-ES" w:eastAsia="es-ES" w:bidi="es-ES"/>
        </w:rPr>
        <w:t xml:space="preserve"> </w:t>
      </w:r>
    </w:p>
    <w:p w14:paraId="2E450C24"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División Evaluación de Desempeño</w:t>
      </w:r>
    </w:p>
    <w:p w14:paraId="29EF7EBF"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División de Capacitación y Desarrollo</w:t>
      </w:r>
    </w:p>
    <w:p w14:paraId="63DE2BAB" w14:textId="77777777" w:rsidR="00236D59" w:rsidRPr="00084D33" w:rsidRDefault="00236D59" w:rsidP="00236D59">
      <w:pPr>
        <w:spacing w:after="160" w:line="259" w:lineRule="auto"/>
        <w:ind w:left="1068"/>
        <w:rPr>
          <w:rFonts w:eastAsia="Times New Roman" w:cs="Times New Roman"/>
          <w:szCs w:val="24"/>
          <w:lang w:val="es-ES" w:eastAsia="es-ES" w:bidi="es-ES"/>
        </w:rPr>
      </w:pPr>
    </w:p>
    <w:p w14:paraId="5D3E277F" w14:textId="77777777" w:rsidR="00236D59" w:rsidRPr="00084D33" w:rsidRDefault="00236D59" w:rsidP="00D131A1">
      <w:pPr>
        <w:numPr>
          <w:ilvl w:val="0"/>
          <w:numId w:val="9"/>
        </w:numPr>
        <w:spacing w:after="160" w:line="259" w:lineRule="auto"/>
        <w:rPr>
          <w:rFonts w:eastAsia="Times New Roman" w:cs="Times New Roman"/>
          <w:b/>
          <w:szCs w:val="24"/>
          <w:lang w:val="es-ES" w:eastAsia="es-ES" w:bidi="es-ES"/>
        </w:rPr>
      </w:pPr>
      <w:r w:rsidRPr="00084D33">
        <w:rPr>
          <w:rFonts w:eastAsia="Times New Roman" w:cs="Times New Roman"/>
          <w:b/>
          <w:szCs w:val="24"/>
          <w:lang w:val="es-ES" w:eastAsia="es-ES" w:bidi="es-ES"/>
        </w:rPr>
        <w:lastRenderedPageBreak/>
        <w:t>Departamento de Relaciones Laborales y Sociales</w:t>
      </w:r>
    </w:p>
    <w:p w14:paraId="347E0DF3"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División Bienestar Social</w:t>
      </w:r>
    </w:p>
    <w:p w14:paraId="62EA02CF"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División de Salud Ocupacional</w:t>
      </w:r>
    </w:p>
    <w:p w14:paraId="467AAFBE"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División de Dispensario Médico</w:t>
      </w:r>
    </w:p>
    <w:p w14:paraId="6BB4DF1E"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División de Relaciones Laborales</w:t>
      </w:r>
    </w:p>
    <w:p w14:paraId="14E06C99"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División de Clima Laboral</w:t>
      </w:r>
    </w:p>
    <w:p w14:paraId="00B2F63D" w14:textId="77777777" w:rsidR="00236D59" w:rsidRPr="00084D33" w:rsidRDefault="00236D59" w:rsidP="00236D59">
      <w:pPr>
        <w:spacing w:after="160" w:line="259" w:lineRule="auto"/>
        <w:ind w:left="1068"/>
        <w:rPr>
          <w:rFonts w:eastAsia="Times New Roman" w:cs="Times New Roman"/>
          <w:szCs w:val="24"/>
          <w:lang w:val="es-ES" w:eastAsia="es-ES" w:bidi="es-ES"/>
        </w:rPr>
      </w:pPr>
    </w:p>
    <w:p w14:paraId="6C9D2EAA" w14:textId="77777777" w:rsidR="00236D59" w:rsidRPr="00084D33" w:rsidRDefault="00236D59" w:rsidP="00D131A1">
      <w:pPr>
        <w:numPr>
          <w:ilvl w:val="0"/>
          <w:numId w:val="9"/>
        </w:numPr>
        <w:spacing w:after="160" w:line="259" w:lineRule="auto"/>
        <w:rPr>
          <w:rFonts w:eastAsia="Times New Roman" w:cs="Times New Roman"/>
          <w:b/>
          <w:szCs w:val="24"/>
          <w:lang w:val="es-ES" w:eastAsia="es-ES" w:bidi="es-ES"/>
        </w:rPr>
      </w:pPr>
      <w:r w:rsidRPr="00084D33">
        <w:rPr>
          <w:rFonts w:eastAsia="Times New Roman" w:cs="Times New Roman"/>
          <w:b/>
          <w:szCs w:val="24"/>
          <w:lang w:val="es-ES" w:eastAsia="es-ES" w:bidi="es-ES"/>
        </w:rPr>
        <w:t xml:space="preserve">Dispensario Médico </w:t>
      </w:r>
    </w:p>
    <w:p w14:paraId="65142BEA"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Unidad Odontológica</w:t>
      </w:r>
    </w:p>
    <w:p w14:paraId="51E594A3" w14:textId="6F113049" w:rsidR="00236D59" w:rsidRPr="00084D33" w:rsidRDefault="00236D59" w:rsidP="00236D59">
      <w:pPr>
        <w:spacing w:after="160" w:line="259" w:lineRule="auto"/>
        <w:rPr>
          <w:rFonts w:ascii="Artifex CF Extra Light" w:eastAsia="Calibri" w:hAnsi="Artifex CF Extra Light" w:cs="Times New Roman"/>
          <w:spacing w:val="0"/>
          <w:sz w:val="18"/>
          <w:highlight w:val="yellow"/>
          <w:lang w:val="es-ES"/>
        </w:rPr>
      </w:pPr>
    </w:p>
    <w:p w14:paraId="017648D3" w14:textId="77777777" w:rsidR="007D3CB6" w:rsidRPr="00084D33" w:rsidRDefault="007D3CB6" w:rsidP="00236D59">
      <w:pPr>
        <w:spacing w:after="160" w:line="259" w:lineRule="auto"/>
        <w:rPr>
          <w:rFonts w:ascii="Artifex CF Extra Light" w:eastAsia="Calibri" w:hAnsi="Artifex CF Extra Light" w:cs="Times New Roman"/>
          <w:spacing w:val="0"/>
          <w:sz w:val="18"/>
          <w:highlight w:val="yellow"/>
          <w:lang w:val="es-ES"/>
        </w:rPr>
      </w:pPr>
    </w:p>
    <w:p w14:paraId="6F8408E1" w14:textId="6A2315A1" w:rsidR="00236D59" w:rsidRPr="00EE790D" w:rsidRDefault="007D3CB6" w:rsidP="00EE790D">
      <w:pPr>
        <w:pStyle w:val="Ttulo1"/>
        <w:numPr>
          <w:ilvl w:val="0"/>
          <w:numId w:val="0"/>
        </w:numPr>
        <w:ind w:left="710"/>
        <w:rPr>
          <w:rFonts w:cs="Times New Roman"/>
          <w:b/>
          <w:sz w:val="24"/>
        </w:rPr>
      </w:pPr>
      <w:bookmarkStart w:id="84" w:name="_Toc186924080"/>
      <w:bookmarkStart w:id="85" w:name="_Toc186924360"/>
      <w:r w:rsidRPr="00EE790D">
        <w:rPr>
          <w:rFonts w:cs="Times New Roman"/>
          <w:b/>
          <w:sz w:val="24"/>
        </w:rPr>
        <w:t>4.2.1.1 Actividades realizadas por el Dispensario Médico</w:t>
      </w:r>
      <w:bookmarkEnd w:id="84"/>
      <w:bookmarkEnd w:id="85"/>
    </w:p>
    <w:p w14:paraId="35C5638F" w14:textId="77777777" w:rsidR="007D3CB6" w:rsidRPr="00084D33" w:rsidRDefault="007D3CB6" w:rsidP="001F52A0">
      <w:pPr>
        <w:rPr>
          <w:rFonts w:eastAsia="Times New Roman" w:cs="Times New Roman"/>
          <w:szCs w:val="24"/>
          <w:highlight w:val="lightGray"/>
          <w:lang w:val="es-ES" w:eastAsia="es-ES" w:bidi="es-ES"/>
        </w:rPr>
      </w:pPr>
    </w:p>
    <w:p w14:paraId="37558D82" w14:textId="5C02E316" w:rsidR="00236D59" w:rsidRPr="00084D33" w:rsidRDefault="00236D59" w:rsidP="00236D59">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Durante el período enero - </w:t>
      </w:r>
      <w:r w:rsidR="00B5550F" w:rsidRPr="00084D33">
        <w:rPr>
          <w:rFonts w:eastAsia="Times New Roman" w:cs="Times New Roman"/>
          <w:szCs w:val="24"/>
          <w:lang w:val="es-ES" w:eastAsia="es-ES" w:bidi="es-ES"/>
        </w:rPr>
        <w:t>diciembre</w:t>
      </w:r>
      <w:r w:rsidRPr="00084D33">
        <w:rPr>
          <w:rFonts w:eastAsia="Times New Roman" w:cs="Times New Roman"/>
          <w:szCs w:val="24"/>
          <w:lang w:val="es-ES" w:eastAsia="es-ES" w:bidi="es-ES"/>
        </w:rPr>
        <w:t xml:space="preserve"> del 2024, el Dispensario Médico del Ministerio, ofreció asistencia a empleados, sus dependientes y residentes en zonas aledañas, alcanzando un total de 15,691 atenciones en el área médica, desglosadas por especializadas, como se detalla a continuación:</w:t>
      </w:r>
    </w:p>
    <w:p w14:paraId="6822921C" w14:textId="77777777" w:rsidR="00236D59" w:rsidRPr="00084D33" w:rsidRDefault="00236D59" w:rsidP="00236D59">
      <w:pPr>
        <w:spacing w:after="160"/>
        <w:rPr>
          <w:rFonts w:eastAsia="Times New Roman" w:cs="Times New Roman"/>
          <w:szCs w:val="24"/>
          <w:lang w:val="es-ES" w:eastAsia="es-ES" w:bidi="es-ES"/>
        </w:rPr>
      </w:pPr>
    </w:p>
    <w:p w14:paraId="114C2CDE"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Medicina General………………………………..7,010</w:t>
      </w:r>
    </w:p>
    <w:p w14:paraId="3261FB52"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Enfermería ……………………………………....4,010</w:t>
      </w:r>
    </w:p>
    <w:p w14:paraId="73F334E1"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Lactancia …………………………………………..915</w:t>
      </w:r>
    </w:p>
    <w:p w14:paraId="54408F80"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Cardiología……………………………………….2,406</w:t>
      </w:r>
    </w:p>
    <w:p w14:paraId="4BCE13C4"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Ortopedia……………………………………….......920</w:t>
      </w:r>
    </w:p>
    <w:p w14:paraId="3BD9201E"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Gastroenterología…………………………………..130</w:t>
      </w:r>
    </w:p>
    <w:p w14:paraId="13B1F78B"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Psicología………………… …………………….….190</w:t>
      </w:r>
    </w:p>
    <w:p w14:paraId="2D723E67"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Ginecología………………………………………....110</w:t>
      </w:r>
    </w:p>
    <w:p w14:paraId="12D0C405" w14:textId="77777777" w:rsidR="00236D59" w:rsidRPr="00084D33" w:rsidRDefault="00236D59" w:rsidP="00236D59">
      <w:pPr>
        <w:spacing w:after="160" w:line="240" w:lineRule="auto"/>
        <w:rPr>
          <w:rFonts w:eastAsia="Calibri" w:cs="Times New Roman"/>
          <w:spacing w:val="20"/>
          <w:szCs w:val="24"/>
        </w:rPr>
      </w:pPr>
    </w:p>
    <w:p w14:paraId="6DFCBC0B" w14:textId="4DC31C2B" w:rsidR="00236D59" w:rsidRPr="00084D33" w:rsidRDefault="00236D59" w:rsidP="00236D59">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El Área de Odontología, realizó un total de 4,900 procedimientos, </w:t>
      </w:r>
      <w:r w:rsidR="00C3480E" w:rsidRPr="00084D33">
        <w:rPr>
          <w:rFonts w:eastAsia="Times New Roman" w:cs="Times New Roman"/>
          <w:szCs w:val="24"/>
          <w:lang w:val="es-ES" w:eastAsia="es-ES" w:bidi="es-ES"/>
        </w:rPr>
        <w:t>distribuidos</w:t>
      </w:r>
      <w:r w:rsidR="00C3480E">
        <w:rPr>
          <w:rFonts w:eastAsia="Times New Roman" w:cs="Times New Roman"/>
          <w:szCs w:val="24"/>
          <w:lang w:val="es-ES" w:eastAsia="es-ES" w:bidi="es-ES"/>
        </w:rPr>
        <w:t xml:space="preserve"> </w:t>
      </w:r>
      <w:r w:rsidRPr="00084D33">
        <w:rPr>
          <w:rFonts w:eastAsia="Times New Roman" w:cs="Times New Roman"/>
          <w:szCs w:val="24"/>
          <w:lang w:val="es-ES" w:eastAsia="es-ES" w:bidi="es-ES"/>
        </w:rPr>
        <w:t xml:space="preserve">de la manera siguiente: </w:t>
      </w:r>
    </w:p>
    <w:p w14:paraId="13C6F619"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Diagnóstico……………………………..……….1,395</w:t>
      </w:r>
    </w:p>
    <w:p w14:paraId="52DBD98C"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Profilaxis…………………………………….…..1,057</w:t>
      </w:r>
    </w:p>
    <w:p w14:paraId="5735C01A"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Operatorias……………………………………....1,500</w:t>
      </w:r>
    </w:p>
    <w:p w14:paraId="44178308"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Cirugías…………………………………………....300</w:t>
      </w:r>
    </w:p>
    <w:p w14:paraId="550A9EB9"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Prótesis…………………………………………….239</w:t>
      </w:r>
    </w:p>
    <w:p w14:paraId="137810BA"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Endodoncias…………………………………….....119</w:t>
      </w:r>
    </w:p>
    <w:p w14:paraId="00266A2B"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Retiros Suturas…………………………...………..250</w:t>
      </w:r>
    </w:p>
    <w:p w14:paraId="5CC3A8BE" w14:textId="77777777" w:rsidR="00236D59" w:rsidRPr="00084D33" w:rsidRDefault="00236D59" w:rsidP="00D131A1">
      <w:pPr>
        <w:numPr>
          <w:ilvl w:val="0"/>
          <w:numId w:val="10"/>
        </w:numPr>
        <w:spacing w:after="160" w:line="259" w:lineRule="auto"/>
        <w:ind w:left="1068"/>
        <w:rPr>
          <w:rFonts w:eastAsia="Times New Roman" w:cs="Times New Roman"/>
          <w:szCs w:val="24"/>
          <w:lang w:val="es-ES" w:eastAsia="es-ES" w:bidi="es-ES"/>
        </w:rPr>
      </w:pPr>
      <w:r w:rsidRPr="00084D33">
        <w:rPr>
          <w:rFonts w:eastAsia="Times New Roman" w:cs="Times New Roman"/>
          <w:szCs w:val="24"/>
          <w:lang w:val="es-ES" w:eastAsia="es-ES" w:bidi="es-ES"/>
        </w:rPr>
        <w:t>Emergencias…………………………………………40</w:t>
      </w:r>
    </w:p>
    <w:p w14:paraId="592D78E9" w14:textId="77777777" w:rsidR="00236D59" w:rsidRPr="00084D33" w:rsidRDefault="00236D59" w:rsidP="00236D59">
      <w:pPr>
        <w:spacing w:after="160"/>
        <w:rPr>
          <w:rFonts w:eastAsia="Calibri" w:cs="Times New Roman"/>
          <w:spacing w:val="20"/>
          <w:szCs w:val="24"/>
        </w:rPr>
      </w:pPr>
    </w:p>
    <w:p w14:paraId="40845C7C" w14:textId="05080806" w:rsidR="00236D59" w:rsidRPr="00084D33" w:rsidRDefault="00236D59" w:rsidP="00236D59">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Se realizaron campañas de vacunación como prevención contra la Influenza (virus gripal), Hepatitis B y DPT (Difteria, Tétanos y Tosferina), con un total de 720 personas vacunadas durante el periodo </w:t>
      </w:r>
      <w:r w:rsidR="000A17C8" w:rsidRPr="00084D33">
        <w:rPr>
          <w:rFonts w:eastAsia="Times New Roman" w:cs="Times New Roman"/>
          <w:szCs w:val="24"/>
          <w:lang w:val="es-ES" w:eastAsia="es-ES" w:bidi="es-ES"/>
        </w:rPr>
        <w:t>enero-diciembre</w:t>
      </w:r>
      <w:r w:rsidRPr="00084D33">
        <w:rPr>
          <w:rFonts w:eastAsia="Times New Roman" w:cs="Times New Roman"/>
          <w:szCs w:val="24"/>
          <w:lang w:val="es-ES" w:eastAsia="es-ES" w:bidi="es-ES"/>
        </w:rPr>
        <w:t xml:space="preserve"> del 2024.</w:t>
      </w:r>
    </w:p>
    <w:p w14:paraId="30DCD2B8" w14:textId="77777777" w:rsidR="00236D59" w:rsidRPr="00084D33" w:rsidRDefault="00236D59" w:rsidP="00236D59">
      <w:pPr>
        <w:spacing w:after="160"/>
        <w:rPr>
          <w:rFonts w:eastAsia="Times New Roman" w:cs="Times New Roman"/>
          <w:szCs w:val="24"/>
          <w:lang w:val="es-ES" w:eastAsia="es-ES" w:bidi="es-ES"/>
        </w:rPr>
      </w:pPr>
    </w:p>
    <w:p w14:paraId="228CB63C" w14:textId="77777777" w:rsidR="00236D59" w:rsidRPr="00084D33" w:rsidRDefault="00236D59" w:rsidP="00236D59">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Además, el personal del Dispensario Médico del MOPC, participó en los Operativos Médicos - Odontológicos “Obras Públicas con mi Barrio”, realizados en el Distrito Nacional, en la Provincia Santo Domingo, municipios Santo Domingo  Norte, Santo Domingo Este, Villa Altagracia y Boca Chica, alcanzando un total de 4,403 atenciones médicas; 1,431 procedimientos odontológicos en los cuales se efectuaron 4,175 extracciones.  </w:t>
      </w:r>
    </w:p>
    <w:p w14:paraId="0B37EA07" w14:textId="77777777" w:rsidR="00236D59" w:rsidRPr="00084D33" w:rsidRDefault="00236D59" w:rsidP="00236D59">
      <w:pPr>
        <w:spacing w:after="160"/>
        <w:rPr>
          <w:rFonts w:eastAsia="Times New Roman" w:cs="Times New Roman"/>
          <w:szCs w:val="24"/>
          <w:lang w:val="es-ES" w:eastAsia="es-ES" w:bidi="es-ES"/>
        </w:rPr>
      </w:pPr>
    </w:p>
    <w:p w14:paraId="7B19B3EE" w14:textId="77777777" w:rsidR="00236D59" w:rsidRPr="00084D33" w:rsidRDefault="00236D59" w:rsidP="00236D59">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Se realizó una Jornada de Mamografía y Sonomamografia en coordinación con el Servicio Nacional de Salud (SENASA), en la cual se efectuaron 71 </w:t>
      </w:r>
      <w:r w:rsidRPr="00084D33">
        <w:rPr>
          <w:rFonts w:eastAsia="Times New Roman" w:cs="Times New Roman"/>
          <w:szCs w:val="24"/>
          <w:lang w:val="es-ES" w:eastAsia="es-ES" w:bidi="es-ES"/>
        </w:rPr>
        <w:lastRenderedPageBreak/>
        <w:t>exámenes de próstatas a hombres y 100 procedimientos de mamas a colaboradoras de la institución con edades sobre los 40 años.</w:t>
      </w:r>
    </w:p>
    <w:p w14:paraId="2418A3CE" w14:textId="17026F3E" w:rsidR="00236D59" w:rsidRPr="00084D33" w:rsidRDefault="00236D59" w:rsidP="00236D59">
      <w:pPr>
        <w:spacing w:after="160"/>
        <w:rPr>
          <w:rFonts w:eastAsia="Times New Roman" w:cs="Times New Roman"/>
          <w:szCs w:val="24"/>
          <w:highlight w:val="lightGray"/>
          <w:lang w:val="es-ES" w:eastAsia="es-ES" w:bidi="es-ES"/>
        </w:rPr>
      </w:pPr>
    </w:p>
    <w:p w14:paraId="7DB25C48" w14:textId="77777777" w:rsidR="007D3CB6" w:rsidRPr="00084D33" w:rsidRDefault="007D3CB6" w:rsidP="007D3CB6">
      <w:pPr>
        <w:pStyle w:val="Lista2"/>
        <w:jc w:val="center"/>
        <w:rPr>
          <w:rFonts w:cs="Times New Roman"/>
          <w:b/>
        </w:rPr>
      </w:pPr>
      <w:r w:rsidRPr="00084D33">
        <w:rPr>
          <w:rFonts w:cs="Times New Roman"/>
          <w:b/>
        </w:rPr>
        <w:t>4.2.1.2</w:t>
      </w:r>
      <w:r w:rsidRPr="00084D33">
        <w:rPr>
          <w:rFonts w:cs="Times New Roman"/>
          <w:b/>
        </w:rPr>
        <w:tab/>
        <w:t>Actividades realizadas para el control de asistencia</w:t>
      </w:r>
    </w:p>
    <w:p w14:paraId="3E8B3BC1" w14:textId="77777777" w:rsidR="007D3CB6" w:rsidRPr="00084D33" w:rsidRDefault="007D3CB6" w:rsidP="007D3CB6">
      <w:pPr>
        <w:pStyle w:val="Textoindependiente"/>
        <w:spacing w:line="360" w:lineRule="auto"/>
        <w:jc w:val="both"/>
        <w:rPr>
          <w:rFonts w:eastAsia="Calibri"/>
          <w:color w:val="767171"/>
        </w:rPr>
      </w:pPr>
    </w:p>
    <w:p w14:paraId="6050D081" w14:textId="77777777" w:rsidR="00236D59" w:rsidRPr="00084D33" w:rsidRDefault="00236D59" w:rsidP="00236D59">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Se continuó con el proceso de captura de los datos biométricos y de reconocimiento facial para todos los empleados del MOPC, con el objetivo de registrar el horario de entrada y salida de los colaboradores. </w:t>
      </w:r>
    </w:p>
    <w:p w14:paraId="175BC752" w14:textId="77777777" w:rsidR="00236D59" w:rsidRPr="00084D33" w:rsidRDefault="00236D59" w:rsidP="00236D59">
      <w:pPr>
        <w:spacing w:after="160"/>
        <w:rPr>
          <w:rFonts w:eastAsia="Times New Roman" w:cs="Times New Roman"/>
          <w:szCs w:val="24"/>
          <w:lang w:val="es-ES" w:eastAsia="es-ES" w:bidi="es-ES"/>
        </w:rPr>
      </w:pPr>
    </w:p>
    <w:p w14:paraId="1EBFD5A4" w14:textId="77777777" w:rsidR="007D3CB6" w:rsidRPr="00084D33" w:rsidRDefault="007D3CB6" w:rsidP="007D3CB6">
      <w:pPr>
        <w:pStyle w:val="Lista2"/>
        <w:jc w:val="center"/>
        <w:rPr>
          <w:rFonts w:cs="Times New Roman"/>
          <w:b/>
        </w:rPr>
      </w:pPr>
      <w:r w:rsidRPr="00084D33">
        <w:rPr>
          <w:rFonts w:cs="Times New Roman"/>
          <w:b/>
        </w:rPr>
        <w:t>4.2.1.3</w:t>
      </w:r>
      <w:r w:rsidRPr="00084D33">
        <w:rPr>
          <w:rFonts w:cs="Times New Roman"/>
          <w:b/>
        </w:rPr>
        <w:tab/>
        <w:t>Actividades realizadas por la Sección Rectoría de Pasantes</w:t>
      </w:r>
    </w:p>
    <w:p w14:paraId="211B6640" w14:textId="77777777" w:rsidR="007D3CB6" w:rsidRPr="00084D33" w:rsidRDefault="007D3CB6" w:rsidP="00236D59">
      <w:pPr>
        <w:spacing w:after="160"/>
        <w:rPr>
          <w:rFonts w:eastAsia="Times New Roman" w:cs="Times New Roman"/>
          <w:szCs w:val="24"/>
          <w:lang w:eastAsia="es-ES" w:bidi="es-ES"/>
        </w:rPr>
      </w:pPr>
    </w:p>
    <w:p w14:paraId="4DB9A11B" w14:textId="4BEBFDDE" w:rsidR="00236D59" w:rsidRPr="00084D33" w:rsidRDefault="00236D59" w:rsidP="00236D59">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La Sección Rectoría de Pasantes del MOPC durante el periodo </w:t>
      </w:r>
      <w:r w:rsidR="000A17C8" w:rsidRPr="00084D33">
        <w:rPr>
          <w:rFonts w:eastAsia="Times New Roman" w:cs="Times New Roman"/>
          <w:szCs w:val="24"/>
          <w:lang w:val="es-ES" w:eastAsia="es-ES" w:bidi="es-ES"/>
        </w:rPr>
        <w:t>enero-diciembre</w:t>
      </w:r>
      <w:r w:rsidRPr="00084D33">
        <w:rPr>
          <w:rFonts w:eastAsia="Times New Roman" w:cs="Times New Roman"/>
          <w:szCs w:val="24"/>
          <w:lang w:val="es-ES" w:eastAsia="es-ES" w:bidi="es-ES"/>
        </w:rPr>
        <w:t xml:space="preserve"> del año 2024, recibió ochenta (80) solicitudes de pasantías, de las cuales se aprobaron cuarenta y nueve (49), otorgadas a los profesionales de la Arquitectura, Ingeniería, Agrimensura y ramas afines que cumplieron con los requerimientos establecidos para la aprobación de la Certificación de Pasantía. </w:t>
      </w:r>
      <w:r w:rsidR="00C3480E" w:rsidRPr="00084D33">
        <w:rPr>
          <w:rFonts w:eastAsia="Times New Roman" w:cs="Times New Roman"/>
          <w:szCs w:val="24"/>
          <w:lang w:val="es-ES" w:eastAsia="es-ES" w:bidi="es-ES"/>
        </w:rPr>
        <w:t>Además</w:t>
      </w:r>
      <w:r w:rsidRPr="00084D33">
        <w:rPr>
          <w:rFonts w:eastAsia="Times New Roman" w:cs="Times New Roman"/>
          <w:szCs w:val="24"/>
          <w:lang w:val="es-ES" w:eastAsia="es-ES" w:bidi="es-ES"/>
        </w:rPr>
        <w:t>, se formalizaron  un total de Mil Cuatrocientos Veinte y Dos (1,422) Exenciones de Pasantías, para fines de solicitud de Exequátur al Poder Ejecutivo de los profesionales que cumplieron con el proceso. Actualmente tenemos cuarenta y nueve (49) profesionales realizando sus pasantías en nuestras instalaciones.</w:t>
      </w:r>
    </w:p>
    <w:p w14:paraId="3F0A8E1D" w14:textId="77777777" w:rsidR="007E5A63" w:rsidRPr="00084D33" w:rsidRDefault="007E5A63" w:rsidP="00C1227A">
      <w:pPr>
        <w:pStyle w:val="Lista4"/>
        <w:jc w:val="center"/>
        <w:rPr>
          <w:rFonts w:cs="Times New Roman"/>
          <w:b/>
        </w:rPr>
      </w:pPr>
    </w:p>
    <w:p w14:paraId="12FAD078" w14:textId="77777777" w:rsidR="007E5A63" w:rsidRPr="00084D33" w:rsidRDefault="007E5A63" w:rsidP="00C1227A">
      <w:pPr>
        <w:pStyle w:val="Lista4"/>
        <w:jc w:val="center"/>
        <w:rPr>
          <w:rFonts w:cs="Times New Roman"/>
          <w:b/>
        </w:rPr>
      </w:pPr>
    </w:p>
    <w:p w14:paraId="16B7B3A8" w14:textId="3E656EE5" w:rsidR="009F03BF" w:rsidRPr="00084D33" w:rsidRDefault="009F03BF" w:rsidP="00C1227A">
      <w:pPr>
        <w:pStyle w:val="Lista4"/>
        <w:jc w:val="center"/>
        <w:rPr>
          <w:rFonts w:cs="Times New Roman"/>
          <w:b/>
        </w:rPr>
      </w:pPr>
      <w:r w:rsidRPr="00084D33">
        <w:rPr>
          <w:rFonts w:cs="Times New Roman"/>
          <w:b/>
        </w:rPr>
        <w:t>4.2.1.</w:t>
      </w:r>
      <w:r w:rsidR="007E5A63" w:rsidRPr="00084D33">
        <w:rPr>
          <w:rFonts w:cs="Times New Roman"/>
          <w:b/>
        </w:rPr>
        <w:t>4</w:t>
      </w:r>
      <w:r w:rsidR="009A41B9" w:rsidRPr="00084D33">
        <w:rPr>
          <w:rFonts w:cs="Times New Roman"/>
          <w:b/>
        </w:rPr>
        <w:tab/>
      </w:r>
      <w:r w:rsidR="007D3CB6" w:rsidRPr="00084D33">
        <w:rPr>
          <w:rFonts w:eastAsia="Times New Roman" w:cs="Times New Roman"/>
          <w:b/>
          <w:szCs w:val="24"/>
          <w:lang w:val="es-ES" w:eastAsia="es-ES" w:bidi="es-ES"/>
        </w:rPr>
        <w:t>Sistema de Monitoreo de la Administración Pública, (SISMAP)</w:t>
      </w:r>
    </w:p>
    <w:p w14:paraId="2073FC44" w14:textId="77777777" w:rsidR="009F03BF" w:rsidRPr="00084D33" w:rsidRDefault="009F03BF" w:rsidP="0017234F">
      <w:pPr>
        <w:spacing w:after="160"/>
        <w:rPr>
          <w:rFonts w:eastAsia="Calibri" w:cs="Times New Roman"/>
          <w:spacing w:val="20"/>
          <w:szCs w:val="24"/>
        </w:rPr>
      </w:pPr>
    </w:p>
    <w:p w14:paraId="1D11AA12" w14:textId="6BF41D41"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lastRenderedPageBreak/>
        <w:t xml:space="preserve">Con respecto, al Sistema de Monitoreo de la Administración Pública, (SISMAP), orientado a monitorear la gestión de los entes y órganos del Poder Ejecutivo, a través de nueve (9) Indicadores Básicos de Organización y Gestión (IBOG) y veintisiete (27) Sub-Indicadores Vinculados (SIV), relacionados principalmente a la Ley de Función Pública y otras normativas complementarias, en términos de Profesionalización del Empleo Público, Fortalecimiento Institucional y Calidad, cuyo cumplimiento es medido en una escala de colores similar al semáforo, con rangos de valores que oscilan desde O hasta 100. La calificación obtenida en la </w:t>
      </w:r>
      <w:r w:rsidR="00C3480E" w:rsidRPr="00084D33">
        <w:rPr>
          <w:rFonts w:eastAsia="Times New Roman" w:cs="Times New Roman"/>
          <w:szCs w:val="24"/>
          <w:lang w:val="es-ES" w:eastAsia="es-ES" w:bidi="es-ES"/>
        </w:rPr>
        <w:t>evaluación</w:t>
      </w:r>
      <w:r w:rsidRPr="00084D33">
        <w:rPr>
          <w:rFonts w:eastAsia="Times New Roman" w:cs="Times New Roman"/>
          <w:szCs w:val="24"/>
          <w:lang w:val="es-ES" w:eastAsia="es-ES" w:bidi="es-ES"/>
        </w:rPr>
        <w:t xml:space="preserve"> del SISMAP  de acuerdo al corte realizado por el Ministerio de Administración Pública (MAP) al 30 de septiembre fue de 83.52 puntos, cuya valoración permitió efectuar el pago del bono por cumplimiento de los Indicadores del SISMAP a los colaboradores del ministerio.</w:t>
      </w:r>
    </w:p>
    <w:p w14:paraId="12823EDF" w14:textId="0CE90EA9" w:rsidR="001F52A0" w:rsidRPr="00084D33" w:rsidRDefault="001F52A0" w:rsidP="007D3CB6">
      <w:pPr>
        <w:spacing w:after="160"/>
        <w:rPr>
          <w:rFonts w:eastAsia="Times New Roman" w:cs="Times New Roman"/>
          <w:szCs w:val="24"/>
          <w:highlight w:val="yellow"/>
          <w:lang w:val="es-ES" w:eastAsia="es-ES" w:bidi="es-ES"/>
        </w:rPr>
      </w:pPr>
    </w:p>
    <w:p w14:paraId="3A5619A2" w14:textId="1E650523" w:rsidR="00E73C52" w:rsidRPr="00EE790D" w:rsidRDefault="00EE790D" w:rsidP="00EE790D">
      <w:pPr>
        <w:pStyle w:val="Ttulo1"/>
        <w:numPr>
          <w:ilvl w:val="0"/>
          <w:numId w:val="0"/>
        </w:numPr>
        <w:ind w:left="710"/>
        <w:rPr>
          <w:rFonts w:cs="Times New Roman"/>
          <w:b/>
          <w:sz w:val="24"/>
        </w:rPr>
      </w:pPr>
      <w:bookmarkStart w:id="86" w:name="_Toc186924361"/>
      <w:r>
        <w:rPr>
          <w:rFonts w:cs="Times New Roman"/>
          <w:b/>
          <w:sz w:val="24"/>
        </w:rPr>
        <w:t>4.2.2</w:t>
      </w:r>
      <w:r>
        <w:rPr>
          <w:rFonts w:cs="Times New Roman"/>
          <w:b/>
          <w:sz w:val="24"/>
        </w:rPr>
        <w:tab/>
      </w:r>
      <w:r w:rsidR="007D07C6" w:rsidRPr="00EE790D">
        <w:rPr>
          <w:rFonts w:cs="Times New Roman"/>
          <w:b/>
          <w:sz w:val="24"/>
        </w:rPr>
        <w:t>P</w:t>
      </w:r>
      <w:r w:rsidR="00E73C52" w:rsidRPr="00EE790D">
        <w:rPr>
          <w:rFonts w:cs="Times New Roman"/>
          <w:b/>
          <w:sz w:val="24"/>
        </w:rPr>
        <w:t>lanificación de R</w:t>
      </w:r>
      <w:bookmarkEnd w:id="83"/>
      <w:r w:rsidR="00E73C52" w:rsidRPr="00EE790D">
        <w:rPr>
          <w:rFonts w:cs="Times New Roman"/>
          <w:b/>
          <w:sz w:val="24"/>
        </w:rPr>
        <w:t>ecursos Humanos</w:t>
      </w:r>
      <w:bookmarkEnd w:id="86"/>
    </w:p>
    <w:p w14:paraId="142239AA" w14:textId="297D7C3F" w:rsidR="00E73C52" w:rsidRPr="00084D33" w:rsidRDefault="00E73C52" w:rsidP="0017234F">
      <w:pPr>
        <w:spacing w:after="160"/>
        <w:rPr>
          <w:rFonts w:cs="Times New Roman"/>
          <w:szCs w:val="24"/>
        </w:rPr>
      </w:pPr>
    </w:p>
    <w:p w14:paraId="3EC2D255"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La Dirección de Recursos Humanos del Ministerio de Obras Públicas y Comunicaciones (MOPC), tiene la función de administrar políticas en</w:t>
      </w:r>
      <w:r w:rsidRPr="00084D33">
        <w:rPr>
          <w:rFonts w:eastAsia="Calibri" w:cs="Times New Roman"/>
          <w:spacing w:val="20"/>
          <w:szCs w:val="24"/>
        </w:rPr>
        <w:t xml:space="preserve"> </w:t>
      </w:r>
      <w:r w:rsidRPr="00084D33">
        <w:rPr>
          <w:rFonts w:eastAsia="Times New Roman" w:cs="Times New Roman"/>
          <w:szCs w:val="24"/>
          <w:lang w:val="es-ES" w:eastAsia="es-ES" w:bidi="es-ES"/>
        </w:rPr>
        <w:t>materia de gestión del capital humano de la organización, considerando el potencial y las competencias de las personas que la Institución requiere en los lugares estratégicos. A su vez realizando la Organización y Planificación del Personal, llevando a cabo el proceso de Reclutamiento y Selección, la implementación de Planes y Programas de Capacitación, Programas de Compensaciones y Beneficios, Evaluación del Desempeño por Resultados, el Registro y Control del Personal, las Relaciones y los Riesgos Laborales; así como las actividades de Seguridad Social, de acuerdo a las disposiciones establecidas en la Ley de Función Pública 41-08.</w:t>
      </w:r>
    </w:p>
    <w:p w14:paraId="4CA5C562" w14:textId="7C4CD5FC" w:rsidR="00BE43DE" w:rsidRPr="00084D33" w:rsidRDefault="00BE43DE">
      <w:pPr>
        <w:spacing w:after="160" w:line="259" w:lineRule="auto"/>
        <w:jc w:val="left"/>
        <w:rPr>
          <w:rFonts w:eastAsia="Calibri" w:cs="Times New Roman"/>
          <w:szCs w:val="24"/>
          <w:lang w:val="es-ES" w:eastAsia="es-ES" w:bidi="es-ES"/>
        </w:rPr>
      </w:pPr>
    </w:p>
    <w:p w14:paraId="2051080A" w14:textId="4A51D3C2" w:rsidR="001C5B22" w:rsidRPr="00EE790D" w:rsidRDefault="00EE790D" w:rsidP="00EE790D">
      <w:pPr>
        <w:pStyle w:val="Ttulo1"/>
        <w:numPr>
          <w:ilvl w:val="0"/>
          <w:numId w:val="0"/>
        </w:numPr>
        <w:ind w:left="710"/>
        <w:rPr>
          <w:rFonts w:cs="Times New Roman"/>
          <w:b/>
          <w:sz w:val="24"/>
        </w:rPr>
      </w:pPr>
      <w:bookmarkStart w:id="87" w:name="_Toc78583655"/>
      <w:bookmarkStart w:id="88" w:name="_Toc186924362"/>
      <w:r>
        <w:rPr>
          <w:rFonts w:cs="Times New Roman"/>
          <w:b/>
          <w:sz w:val="24"/>
        </w:rPr>
        <w:lastRenderedPageBreak/>
        <w:t>4.2.3</w:t>
      </w:r>
      <w:r>
        <w:rPr>
          <w:rFonts w:cs="Times New Roman"/>
          <w:b/>
          <w:sz w:val="24"/>
        </w:rPr>
        <w:tab/>
      </w:r>
      <w:r w:rsidR="001C5B22" w:rsidRPr="00EE790D">
        <w:rPr>
          <w:rFonts w:cs="Times New Roman"/>
          <w:b/>
          <w:sz w:val="24"/>
        </w:rPr>
        <w:t>Organización del Trabajo</w:t>
      </w:r>
      <w:bookmarkEnd w:id="87"/>
      <w:bookmarkEnd w:id="88"/>
    </w:p>
    <w:p w14:paraId="5FAE37CE" w14:textId="77777777" w:rsidR="001C5B22" w:rsidRPr="00084D33" w:rsidRDefault="001C5B22" w:rsidP="0017234F">
      <w:pPr>
        <w:spacing w:after="160"/>
        <w:rPr>
          <w:rFonts w:eastAsia="Calibri" w:cs="Times New Roman"/>
          <w:spacing w:val="0"/>
          <w:sz w:val="18"/>
          <w:lang w:val="es-ES"/>
        </w:rPr>
      </w:pPr>
    </w:p>
    <w:p w14:paraId="4CDD9EE7"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Para lograr una buena Organización del Trabajo en el Ministerio, nos regimos por el Manual de Funciones y el Manual de Cargos, identificando las necesidades y los objetivos de las diferentes áreas trabajo, así como, definiendo las funciones y responsabilidades de cada posición, seleccionando el personal con el perfil requerido, respetando los niveles jerárquicos, cumpliendo y difundiendo las disposiciones de la Ley de Función Pública No.41-08 y sus Reglamentos, establecidos por el Ministerio de Administración Pública (MAP).</w:t>
      </w:r>
    </w:p>
    <w:p w14:paraId="5501F857" w14:textId="087EE756" w:rsidR="00BE43DE" w:rsidRPr="00084D33" w:rsidRDefault="00BE43DE" w:rsidP="0017234F">
      <w:pPr>
        <w:pStyle w:val="Textoindependiente"/>
        <w:spacing w:line="360" w:lineRule="auto"/>
        <w:jc w:val="both"/>
        <w:rPr>
          <w:rFonts w:eastAsia="Calibri"/>
          <w:color w:val="767171"/>
        </w:rPr>
      </w:pPr>
    </w:p>
    <w:p w14:paraId="657FF3F3" w14:textId="77777777" w:rsidR="007D3CB6" w:rsidRPr="00084D33" w:rsidRDefault="007D3CB6" w:rsidP="007D3CB6">
      <w:pPr>
        <w:pStyle w:val="Textoindependiente"/>
        <w:spacing w:line="360" w:lineRule="auto"/>
        <w:jc w:val="both"/>
        <w:rPr>
          <w:rFonts w:eastAsia="Calibri"/>
          <w:color w:val="767171"/>
        </w:rPr>
      </w:pPr>
    </w:p>
    <w:p w14:paraId="78BE9ED2" w14:textId="4035890D" w:rsidR="007D3CB6" w:rsidRPr="00EE790D" w:rsidRDefault="00EE790D" w:rsidP="00EE790D">
      <w:pPr>
        <w:pStyle w:val="Ttulo1"/>
        <w:numPr>
          <w:ilvl w:val="0"/>
          <w:numId w:val="0"/>
        </w:numPr>
        <w:ind w:left="710"/>
        <w:rPr>
          <w:rFonts w:cs="Times New Roman"/>
          <w:b/>
          <w:sz w:val="24"/>
        </w:rPr>
      </w:pPr>
      <w:bookmarkStart w:id="89" w:name="_Toc186924363"/>
      <w:r>
        <w:rPr>
          <w:rFonts w:cs="Times New Roman"/>
          <w:b/>
          <w:sz w:val="24"/>
        </w:rPr>
        <w:t xml:space="preserve">4.2.4 </w:t>
      </w:r>
      <w:r w:rsidR="007D3CB6" w:rsidRPr="00EE790D">
        <w:rPr>
          <w:rFonts w:cs="Times New Roman"/>
          <w:b/>
          <w:sz w:val="24"/>
        </w:rPr>
        <w:t>Gestión del Empleo</w:t>
      </w:r>
      <w:bookmarkEnd w:id="89"/>
    </w:p>
    <w:p w14:paraId="43DFCD8F" w14:textId="77777777" w:rsidR="007D3CB6" w:rsidRPr="00084D33" w:rsidRDefault="007D3CB6" w:rsidP="007D3CB6">
      <w:pPr>
        <w:spacing w:after="160"/>
        <w:rPr>
          <w:rFonts w:eastAsia="Calibri" w:cs="Times New Roman"/>
          <w:spacing w:val="0"/>
          <w:sz w:val="18"/>
          <w:lang w:val="es-ES"/>
        </w:rPr>
      </w:pPr>
    </w:p>
    <w:p w14:paraId="7BDDB6BF"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La Gestión del Empleo en el Ministerio, se lleva a cabo cumpliendo con las políticas y procedimientos de selección, movilidad y desvinculación de los Servidores Públicos. Para el proceso de selección y contratación contamos con un procedimiento establecido, para la captura de personal, evaluación psicológica, de personalidad y de conocimientos, selección de acuerdo a las evaluaciones, las entrevistas general y técnicas, según el área.</w:t>
      </w:r>
    </w:p>
    <w:p w14:paraId="03B8A863" w14:textId="77777777" w:rsidR="007D3CB6" w:rsidRPr="00084D33" w:rsidRDefault="007D3CB6" w:rsidP="007D3CB6">
      <w:pPr>
        <w:spacing w:after="160"/>
        <w:rPr>
          <w:rFonts w:eastAsia="Times New Roman" w:cs="Times New Roman"/>
          <w:szCs w:val="24"/>
          <w:lang w:val="es-ES" w:eastAsia="es-ES" w:bidi="es-ES"/>
        </w:rPr>
      </w:pPr>
    </w:p>
    <w:p w14:paraId="5E20A020" w14:textId="78D5CC1B"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Las evaluaciones se realizan de acuerdo a los perfiles de candidatos, siempre aplicando los criterios de equidad, igualdad de oportunidades y la calidad en el servicio, durante el periodo </w:t>
      </w:r>
      <w:r w:rsidR="00B5550F" w:rsidRPr="00084D33">
        <w:rPr>
          <w:rFonts w:eastAsia="Times New Roman" w:cs="Times New Roman"/>
          <w:szCs w:val="24"/>
          <w:lang w:val="es-ES" w:eastAsia="es-ES" w:bidi="es-ES"/>
        </w:rPr>
        <w:t>enero – diciembre</w:t>
      </w:r>
      <w:r w:rsidRPr="00084D33">
        <w:rPr>
          <w:rFonts w:eastAsia="Times New Roman" w:cs="Times New Roman"/>
          <w:szCs w:val="24"/>
          <w:lang w:val="es-ES" w:eastAsia="es-ES" w:bidi="es-ES"/>
        </w:rPr>
        <w:t xml:space="preserve"> de 2024 se evaluaron 810 personas, de las cuales se seleccionaron 591, que cumplían con los requisitos exigidos por los cargos, lo que representa el 73% de los evaluados.</w:t>
      </w:r>
    </w:p>
    <w:p w14:paraId="24ABD460" w14:textId="77777777" w:rsidR="007D3CB6" w:rsidRPr="00084D33" w:rsidRDefault="007D3CB6" w:rsidP="007D3CB6">
      <w:pPr>
        <w:spacing w:after="160"/>
        <w:rPr>
          <w:rFonts w:eastAsia="Times New Roman" w:cs="Times New Roman"/>
          <w:szCs w:val="24"/>
          <w:lang w:val="es-ES" w:eastAsia="es-ES" w:bidi="es-ES"/>
        </w:rPr>
      </w:pPr>
    </w:p>
    <w:p w14:paraId="6EFF3E2A"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lastRenderedPageBreak/>
        <w:t xml:space="preserve">El proceso de Incorporación a la Carrera Administrativa, se rige conforme a las normativas vigentes, mediante el cual el colaborador debe participar  en un proceso  de Concurso Público  para su ingreso a la Institución y ocupar un cargo de Carrera Administrativa, este proceso es responsabilidad compartida del personal técnico del Ministerio de Administración Pública (MAP) y el Ministerio de Obras Públicas y Comunicaciones (MOPC), consistente en la revisión, análisis  y evaluación de los candidatos. Actualmente hay un total de 680 colaboradores incorporados a la Carrera Administrativa y un total de 2,116 plaza concursables, es decir, aquellos colaboradores hábiles para concursar por la condición de empleado de carrera administrativa.  </w:t>
      </w:r>
    </w:p>
    <w:p w14:paraId="5100C28C" w14:textId="77777777" w:rsidR="007D3CB6" w:rsidRPr="00084D33" w:rsidRDefault="007D3CB6" w:rsidP="007D3CB6">
      <w:pPr>
        <w:spacing w:after="160"/>
        <w:rPr>
          <w:rFonts w:eastAsia="Times New Roman" w:cs="Times New Roman"/>
          <w:szCs w:val="24"/>
          <w:lang w:val="es-ES" w:eastAsia="es-ES" w:bidi="es-ES"/>
        </w:rPr>
      </w:pPr>
    </w:p>
    <w:p w14:paraId="25346747" w14:textId="30D388C9" w:rsidR="007D3CB6" w:rsidRPr="00084D33" w:rsidRDefault="007D3CB6" w:rsidP="007D3CB6">
      <w:pPr>
        <w:pStyle w:val="Textoindependiente"/>
        <w:spacing w:line="360" w:lineRule="auto"/>
        <w:jc w:val="both"/>
        <w:rPr>
          <w:rFonts w:eastAsia="Calibri"/>
          <w:color w:val="767171"/>
        </w:rPr>
      </w:pPr>
      <w:r w:rsidRPr="00084D33">
        <w:rPr>
          <w:color w:val="767171"/>
        </w:rPr>
        <w:t>En el periodo comprendido durante el período enero –</w:t>
      </w:r>
      <w:r w:rsidR="00B5550F" w:rsidRPr="00084D33">
        <w:rPr>
          <w:color w:val="767171"/>
        </w:rPr>
        <w:t>diciembre</w:t>
      </w:r>
      <w:r w:rsidRPr="00084D33">
        <w:rPr>
          <w:color w:val="767171"/>
        </w:rPr>
        <w:t xml:space="preserve"> del 2024, en el MOPC continuamos con el proceso de Evaluación del Desempeño por Resultados establecido por el MAP, mediante la calificación de Acuerdos de Desempeño para cada uno de los colaboradores del MOPC.</w:t>
      </w:r>
    </w:p>
    <w:p w14:paraId="077D7283" w14:textId="3D31778B" w:rsidR="001F52A0" w:rsidRPr="00084D33" w:rsidRDefault="001F52A0">
      <w:pPr>
        <w:spacing w:after="160" w:line="259" w:lineRule="auto"/>
        <w:jc w:val="left"/>
        <w:rPr>
          <w:rFonts w:eastAsia="Calibri" w:cs="Times New Roman"/>
          <w:szCs w:val="24"/>
          <w:lang w:val="es-ES" w:eastAsia="es-ES" w:bidi="es-ES"/>
        </w:rPr>
      </w:pPr>
    </w:p>
    <w:p w14:paraId="2DC3ECA2" w14:textId="77777777" w:rsidR="007E5A63" w:rsidRPr="00084D33" w:rsidRDefault="007E5A63">
      <w:pPr>
        <w:spacing w:after="160" w:line="259" w:lineRule="auto"/>
        <w:jc w:val="left"/>
        <w:rPr>
          <w:rFonts w:eastAsia="Calibri" w:cs="Times New Roman"/>
          <w:szCs w:val="24"/>
          <w:lang w:val="es-ES" w:eastAsia="es-ES" w:bidi="es-ES"/>
        </w:rPr>
      </w:pPr>
    </w:p>
    <w:p w14:paraId="76E20BC4" w14:textId="54912B34" w:rsidR="005517CA" w:rsidRPr="00EE790D" w:rsidRDefault="00A903E4" w:rsidP="00EE790D">
      <w:pPr>
        <w:pStyle w:val="Ttulo1"/>
        <w:numPr>
          <w:ilvl w:val="0"/>
          <w:numId w:val="0"/>
        </w:numPr>
        <w:ind w:left="710"/>
        <w:rPr>
          <w:rFonts w:cs="Times New Roman"/>
          <w:b/>
          <w:sz w:val="24"/>
        </w:rPr>
      </w:pPr>
      <w:bookmarkStart w:id="90" w:name="_Toc78583657"/>
      <w:bookmarkStart w:id="91" w:name="_Toc186924364"/>
      <w:bookmarkStart w:id="92" w:name="_Toc78583656"/>
      <w:r>
        <w:rPr>
          <w:rFonts w:cs="Times New Roman"/>
          <w:b/>
          <w:sz w:val="24"/>
        </w:rPr>
        <w:t>4.2.5</w:t>
      </w:r>
      <w:r>
        <w:rPr>
          <w:rFonts w:cs="Times New Roman"/>
          <w:b/>
          <w:sz w:val="24"/>
        </w:rPr>
        <w:tab/>
      </w:r>
      <w:r w:rsidR="005517CA" w:rsidRPr="00EE790D">
        <w:rPr>
          <w:rFonts w:cs="Times New Roman"/>
          <w:b/>
          <w:sz w:val="24"/>
        </w:rPr>
        <w:t>Gestión de las Compensaci</w:t>
      </w:r>
      <w:bookmarkEnd w:id="90"/>
      <w:r w:rsidR="005517CA" w:rsidRPr="00EE790D">
        <w:rPr>
          <w:rFonts w:cs="Times New Roman"/>
          <w:b/>
          <w:sz w:val="24"/>
        </w:rPr>
        <w:t>ones y Beneficios</w:t>
      </w:r>
      <w:bookmarkEnd w:id="91"/>
    </w:p>
    <w:p w14:paraId="58EA4AA0" w14:textId="77777777" w:rsidR="005517CA" w:rsidRPr="00084D33" w:rsidRDefault="005517CA" w:rsidP="005517CA">
      <w:pPr>
        <w:spacing w:after="160"/>
        <w:rPr>
          <w:rFonts w:eastAsia="Calibri" w:cs="Times New Roman"/>
          <w:spacing w:val="0"/>
          <w:sz w:val="18"/>
          <w:lang w:val="es-ES"/>
        </w:rPr>
      </w:pPr>
    </w:p>
    <w:p w14:paraId="63B3D72B"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En cuanto a la gestión de compensación nos regimos conforme a la Escala Salarial, aprobada por el MAP, segregada por grupo ocupacional en función de las responsabilidades y complejidades del cargo que desempeña el colaborador, para los aumentos salariales se toma en consideración, escala salarial, el resultado de la evaluación de desempeño, la participación en el cumplimiento a los objetivos de la Institución, así como también la disponibilidad presupuestaria del Ministerio y por supuesto la aprobación de la máxima autoridad.</w:t>
      </w:r>
    </w:p>
    <w:p w14:paraId="05526BB6" w14:textId="77777777" w:rsidR="007D3CB6" w:rsidRPr="00084D33" w:rsidRDefault="007D3CB6" w:rsidP="007D3CB6">
      <w:pPr>
        <w:spacing w:after="160"/>
        <w:rPr>
          <w:rFonts w:eastAsia="Times New Roman" w:cs="Times New Roman"/>
          <w:szCs w:val="24"/>
          <w:lang w:val="es-ES" w:eastAsia="es-ES" w:bidi="es-ES"/>
        </w:rPr>
      </w:pPr>
    </w:p>
    <w:p w14:paraId="45FAC57C"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lastRenderedPageBreak/>
        <w:t xml:space="preserve">Se otorgó un Bono de Incentivo por rendimiento individual al personal que obtuvo una calificación igual o mayor de 85 puntos en el proceso de Evaluación del Desempeño por un monto total de RD$180,472,540.43 (Ciento Ochenta Millones Cuatrocientos Setenta y Dos Mil Quinientos Cuarenta Pesos con 43/100), devengado para los colaboradores que cumplían con los requisitos. </w:t>
      </w:r>
    </w:p>
    <w:p w14:paraId="407711DE" w14:textId="77777777" w:rsidR="007D3CB6" w:rsidRPr="00084D33" w:rsidRDefault="007D3CB6" w:rsidP="007D3CB6">
      <w:pPr>
        <w:spacing w:after="160"/>
        <w:rPr>
          <w:rFonts w:eastAsia="Times New Roman" w:cs="Times New Roman"/>
          <w:szCs w:val="24"/>
          <w:lang w:val="es-ES" w:eastAsia="es-ES" w:bidi="es-ES"/>
        </w:rPr>
      </w:pPr>
    </w:p>
    <w:p w14:paraId="32F55A19"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Además, se otorgó un Bono por Desempeño a los Servidores de Carrera Administrativa, que obtuvieron una calificación igual o mayor de 85 puntos en el proceso de Evaluación del Desempeño por un monto total de RD$23,757,947.71 (Veintitrés Millones Setecientos Cincuenta y Siete Mil Novecientos Cuarenta y Siete Pesos con 71/100), proporcionado  a los colaboradores que cumplían con los requisitos. </w:t>
      </w:r>
    </w:p>
    <w:p w14:paraId="098E52DE" w14:textId="77777777" w:rsidR="007D3CB6" w:rsidRPr="00084D33" w:rsidRDefault="007D3CB6" w:rsidP="007D3CB6">
      <w:pPr>
        <w:spacing w:after="160"/>
        <w:rPr>
          <w:rFonts w:eastAsia="Times New Roman" w:cs="Times New Roman"/>
          <w:szCs w:val="24"/>
          <w:lang w:val="es-ES" w:eastAsia="es-ES" w:bidi="es-ES"/>
        </w:rPr>
      </w:pPr>
    </w:p>
    <w:p w14:paraId="340DC3B3"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También, la Dirección de Recursos Humanos del MOPC, realizó el pago de RD$18,975,009.90 (Dieciocho Millones Novecientos Setenta y Cinco Mil Nueve Pesos con 90/100) por concepto de “Indemnización Laboral” a 155 ex colaboradores y por el pago de “Vacaciones No Disfrutadas” un monto de RD$9,428,183.51 (Nueve Millones Cuatrocientos Veintiocho Mil Ciento Ochenta y Tres Pesos con 51/100), para un monto total erogado de RD$28,403,193.40 (Veintiocho Millones Cuatrocientos Tres Mil Ciento Noventa y Tres Pesos con 40/100).</w:t>
      </w:r>
    </w:p>
    <w:p w14:paraId="0F197496" w14:textId="77777777" w:rsidR="007D3CB6" w:rsidRPr="00084D33" w:rsidRDefault="007D3CB6" w:rsidP="007D3CB6">
      <w:pPr>
        <w:spacing w:after="160"/>
        <w:rPr>
          <w:rFonts w:eastAsia="Times New Roman" w:cs="Times New Roman"/>
          <w:szCs w:val="24"/>
          <w:lang w:val="es-ES" w:eastAsia="es-ES" w:bidi="es-ES"/>
        </w:rPr>
      </w:pPr>
    </w:p>
    <w:p w14:paraId="6A82C098" w14:textId="5E9A47B4" w:rsidR="005517CA" w:rsidRPr="00084D33" w:rsidRDefault="007D3CB6" w:rsidP="007D3CB6">
      <w:pPr>
        <w:pStyle w:val="Textoindependiente"/>
        <w:spacing w:line="360" w:lineRule="auto"/>
        <w:jc w:val="both"/>
        <w:rPr>
          <w:rFonts w:eastAsia="Calibri"/>
          <w:color w:val="767171"/>
        </w:rPr>
      </w:pPr>
      <w:r w:rsidRPr="00084D33">
        <w:rPr>
          <w:color w:val="767171"/>
        </w:rPr>
        <w:t>Se continuó con el servicio de transporte a colaboradores, con seis (6) rutas que cubren las principales vías del Gran Santo Domingo, facilitando la llegada y regreso de los empleados de manera segura, y a la vez, constituyendo al ahorro de tiempo y dinero</w:t>
      </w:r>
      <w:r w:rsidR="005517CA" w:rsidRPr="00084D33">
        <w:rPr>
          <w:rFonts w:eastAsia="Calibri"/>
          <w:color w:val="767171"/>
        </w:rPr>
        <w:t>.</w:t>
      </w:r>
    </w:p>
    <w:p w14:paraId="35236DA6" w14:textId="77777777" w:rsidR="005517CA" w:rsidRPr="00084D33" w:rsidRDefault="005517CA" w:rsidP="005517CA">
      <w:pPr>
        <w:pStyle w:val="Textoindependiente"/>
        <w:spacing w:line="360" w:lineRule="auto"/>
        <w:jc w:val="both"/>
        <w:rPr>
          <w:rFonts w:eastAsia="Calibri"/>
          <w:color w:val="767171"/>
        </w:rPr>
      </w:pPr>
    </w:p>
    <w:p w14:paraId="201B34CB" w14:textId="2A722655" w:rsidR="001C5B22" w:rsidRPr="00EE790D" w:rsidRDefault="00A903E4" w:rsidP="00EE790D">
      <w:pPr>
        <w:pStyle w:val="Ttulo1"/>
        <w:numPr>
          <w:ilvl w:val="0"/>
          <w:numId w:val="0"/>
        </w:numPr>
        <w:ind w:left="710"/>
        <w:rPr>
          <w:rFonts w:cs="Times New Roman"/>
          <w:b/>
          <w:sz w:val="24"/>
        </w:rPr>
      </w:pPr>
      <w:bookmarkStart w:id="93" w:name="_Toc78583658"/>
      <w:bookmarkStart w:id="94" w:name="_Toc186924365"/>
      <w:bookmarkEnd w:id="92"/>
      <w:r>
        <w:rPr>
          <w:rFonts w:cs="Times New Roman"/>
          <w:b/>
          <w:sz w:val="24"/>
        </w:rPr>
        <w:lastRenderedPageBreak/>
        <w:t>4.2.6</w:t>
      </w:r>
      <w:r>
        <w:rPr>
          <w:rFonts w:cs="Times New Roman"/>
          <w:b/>
          <w:sz w:val="24"/>
        </w:rPr>
        <w:tab/>
      </w:r>
      <w:r w:rsidR="00837291" w:rsidRPr="00EE790D">
        <w:rPr>
          <w:rFonts w:cs="Times New Roman"/>
          <w:b/>
          <w:sz w:val="24"/>
        </w:rPr>
        <w:t>Gestión del Rendimiento</w:t>
      </w:r>
      <w:bookmarkEnd w:id="93"/>
      <w:bookmarkEnd w:id="94"/>
    </w:p>
    <w:p w14:paraId="4EC51401" w14:textId="77777777" w:rsidR="001C5B22" w:rsidRPr="00084D33" w:rsidRDefault="001C5B22" w:rsidP="0017234F">
      <w:pPr>
        <w:spacing w:after="160"/>
        <w:rPr>
          <w:rFonts w:eastAsia="Calibri" w:cs="Times New Roman"/>
          <w:spacing w:val="0"/>
          <w:sz w:val="18"/>
          <w:lang w:val="es-ES"/>
        </w:rPr>
      </w:pPr>
    </w:p>
    <w:p w14:paraId="16890703"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El Departamento de Capacitación y Evaluación, de la Dirección de Recursos Humanos, estableció la metodología de evaluación del desempeño por resultados y competencias para su personal a través de la elaboración de Acuerdos de Desempeño. Los Acuerdos de Desempeño, son herramienta dinámica y objetiva para la evaluación de los colaboradores, ya que facilitan la toma de decisión para los niveles directivos de la Institución, pues se elaboran en base al cumplimiento de las metas establecidas en los Planes Operativos Anuales y el Plan Estratégico Institucional, esta metodología fue establecida por el MAP, como Órgano Rector de la Gestión Pública.</w:t>
      </w:r>
    </w:p>
    <w:p w14:paraId="42BC7E04" w14:textId="77777777" w:rsidR="001F52A0" w:rsidRPr="00084D33" w:rsidRDefault="001F52A0" w:rsidP="007D3CB6">
      <w:pPr>
        <w:spacing w:after="160"/>
        <w:rPr>
          <w:rFonts w:eastAsia="Times New Roman" w:cs="Times New Roman"/>
          <w:szCs w:val="24"/>
          <w:lang w:val="es-ES" w:eastAsia="es-ES" w:bidi="es-ES"/>
        </w:rPr>
      </w:pPr>
    </w:p>
    <w:p w14:paraId="21DEC81F" w14:textId="3242AB90"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Durante este semestre se otorgó el Bono por cumplimiento de Indicadores del SISMAP a todos los colaboradores activos de Institución con una inversión total de RD$ 230,524,085.96.</w:t>
      </w:r>
    </w:p>
    <w:p w14:paraId="2408D123" w14:textId="55CC37E4" w:rsidR="001C5B22" w:rsidRPr="00084D33" w:rsidRDefault="001C5B22" w:rsidP="0017234F">
      <w:pPr>
        <w:pStyle w:val="Textoindependiente"/>
        <w:spacing w:line="360" w:lineRule="auto"/>
        <w:jc w:val="both"/>
        <w:rPr>
          <w:rFonts w:eastAsia="Calibri"/>
          <w:color w:val="767171"/>
        </w:rPr>
      </w:pPr>
    </w:p>
    <w:p w14:paraId="5BD731C2" w14:textId="783542B3" w:rsidR="001C5B22" w:rsidRPr="00EE790D" w:rsidRDefault="00A903E4" w:rsidP="00EE790D">
      <w:pPr>
        <w:pStyle w:val="Ttulo1"/>
        <w:numPr>
          <w:ilvl w:val="0"/>
          <w:numId w:val="0"/>
        </w:numPr>
        <w:ind w:left="710"/>
        <w:rPr>
          <w:rFonts w:cs="Times New Roman"/>
          <w:b/>
          <w:sz w:val="24"/>
        </w:rPr>
      </w:pPr>
      <w:bookmarkStart w:id="95" w:name="_Toc78583659"/>
      <w:bookmarkStart w:id="96" w:name="_Toc186924366"/>
      <w:r>
        <w:rPr>
          <w:rFonts w:cs="Times New Roman"/>
          <w:b/>
          <w:sz w:val="24"/>
        </w:rPr>
        <w:t>4.2.7</w:t>
      </w:r>
      <w:r>
        <w:rPr>
          <w:rFonts w:cs="Times New Roman"/>
          <w:b/>
          <w:sz w:val="24"/>
        </w:rPr>
        <w:tab/>
      </w:r>
      <w:r w:rsidR="00ED6F56" w:rsidRPr="00EE790D">
        <w:rPr>
          <w:rFonts w:cs="Times New Roman"/>
          <w:b/>
          <w:sz w:val="24"/>
        </w:rPr>
        <w:t>Gestión del Desarrollo</w:t>
      </w:r>
      <w:bookmarkEnd w:id="95"/>
      <w:bookmarkEnd w:id="96"/>
    </w:p>
    <w:p w14:paraId="699CC1B5" w14:textId="77777777" w:rsidR="001C5B22" w:rsidRPr="00084D33" w:rsidRDefault="001C5B22" w:rsidP="0017234F">
      <w:pPr>
        <w:spacing w:after="160"/>
        <w:rPr>
          <w:rFonts w:eastAsia="Calibri" w:cs="Times New Roman"/>
          <w:spacing w:val="0"/>
          <w:sz w:val="18"/>
          <w:lang w:val="es-ES"/>
        </w:rPr>
      </w:pPr>
    </w:p>
    <w:p w14:paraId="596D9698"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La Dirección de Recursos Humanos del MOPC, continuó con la responsabilidad del desarrollo del capital humano, a través de la ejecución de planes y programas de capacitación, la promoción del colaborador, la incorporación a la Carrera Administrativa y el proceso de Evaluación del Desempeño.</w:t>
      </w:r>
    </w:p>
    <w:p w14:paraId="5C3729EC" w14:textId="77777777" w:rsidR="007D3CB6" w:rsidRPr="00084D33" w:rsidRDefault="007D3CB6" w:rsidP="007D3CB6">
      <w:pPr>
        <w:spacing w:after="160"/>
        <w:rPr>
          <w:rFonts w:eastAsia="Times New Roman" w:cs="Times New Roman"/>
          <w:szCs w:val="24"/>
          <w:lang w:val="es-ES" w:eastAsia="es-ES" w:bidi="es-ES"/>
        </w:rPr>
      </w:pPr>
    </w:p>
    <w:p w14:paraId="4B50215E"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 Para definir la capacitación anual, se realiza una Detección de Necesidades de Capacitación por área, conforme al cumplimiento de los objetivos de la Institución establecidos en el Plan Estratégico de Institucional (PEI), los </w:t>
      </w:r>
      <w:r w:rsidRPr="00084D33">
        <w:rPr>
          <w:rFonts w:eastAsia="Times New Roman" w:cs="Times New Roman"/>
          <w:szCs w:val="24"/>
          <w:lang w:val="es-ES" w:eastAsia="es-ES" w:bidi="es-ES"/>
        </w:rPr>
        <w:lastRenderedPageBreak/>
        <w:t xml:space="preserve">resultados en la evaluación de desempeño; la cual debe establecer el tipo de capacitación y la cantidad de empleados que lo requiera. </w:t>
      </w:r>
    </w:p>
    <w:p w14:paraId="5C1CFCCC" w14:textId="77777777" w:rsidR="007D3CB6" w:rsidRPr="00084D33" w:rsidRDefault="007D3CB6" w:rsidP="007D3CB6">
      <w:pPr>
        <w:spacing w:after="160"/>
        <w:rPr>
          <w:rFonts w:eastAsia="Times New Roman" w:cs="Times New Roman"/>
          <w:szCs w:val="24"/>
          <w:lang w:val="es-ES" w:eastAsia="es-ES" w:bidi="es-ES"/>
        </w:rPr>
      </w:pPr>
    </w:p>
    <w:p w14:paraId="3171592E" w14:textId="3EB84A5A" w:rsidR="001C5B22" w:rsidRPr="00084D33" w:rsidRDefault="007D3CB6" w:rsidP="007D3CB6">
      <w:pPr>
        <w:pStyle w:val="Textoindependiente"/>
        <w:spacing w:line="360" w:lineRule="auto"/>
        <w:jc w:val="both"/>
        <w:rPr>
          <w:rFonts w:eastAsia="Calibri"/>
          <w:color w:val="767171"/>
        </w:rPr>
      </w:pPr>
      <w:r w:rsidRPr="00084D33">
        <w:rPr>
          <w:color w:val="767171"/>
        </w:rPr>
        <w:t xml:space="preserve">La Dirección de Recursos Humanos continuó durante el periodo </w:t>
      </w:r>
      <w:r w:rsidR="000A17C8" w:rsidRPr="00084D33">
        <w:rPr>
          <w:color w:val="767171"/>
        </w:rPr>
        <w:t>enero-diciembre</w:t>
      </w:r>
      <w:r w:rsidRPr="00084D33">
        <w:rPr>
          <w:color w:val="767171"/>
        </w:rPr>
        <w:t xml:space="preserve"> del año 2024, con la capacitación de los colaboradores del MOPC con la realización de Seminarios, Talleres, Charlas, Cursos, Diplomados , Post -Grados y Maestrías, bajo la modalidad Online, para facilidad de los colaboradores, evitando el desplazamiento a las entidades educativas y la gran mayoría de manera presencial, dirigidos a todos los colaboradores, segregados por grupo ocupacional, en total se realizaron setenta y una (71) actividades de capacitación, lo que representa el 100% de las actividades contempladas en el Plan Anual de Capacitación.</w:t>
      </w:r>
    </w:p>
    <w:p w14:paraId="7F4A34E6" w14:textId="77777777" w:rsidR="00F13A4D" w:rsidRPr="00084D33" w:rsidRDefault="00F13A4D">
      <w:pPr>
        <w:spacing w:after="160" w:line="259" w:lineRule="auto"/>
        <w:jc w:val="left"/>
        <w:rPr>
          <w:rFonts w:eastAsia="Calibri"/>
        </w:rPr>
      </w:pPr>
    </w:p>
    <w:p w14:paraId="5CDC5E61" w14:textId="77777777" w:rsidR="00F13A4D" w:rsidRPr="00084D33" w:rsidRDefault="00F13A4D">
      <w:pPr>
        <w:spacing w:after="160" w:line="259" w:lineRule="auto"/>
        <w:jc w:val="left"/>
        <w:rPr>
          <w:rFonts w:eastAsia="Calibri"/>
        </w:rPr>
      </w:pPr>
    </w:p>
    <w:p w14:paraId="75BF557B" w14:textId="4F84AEFB" w:rsidR="001C5B22" w:rsidRPr="00EE790D" w:rsidRDefault="00A903E4" w:rsidP="00EE790D">
      <w:pPr>
        <w:pStyle w:val="Ttulo1"/>
        <w:numPr>
          <w:ilvl w:val="0"/>
          <w:numId w:val="0"/>
        </w:numPr>
        <w:ind w:left="710"/>
        <w:rPr>
          <w:rFonts w:cs="Times New Roman"/>
          <w:b/>
          <w:sz w:val="24"/>
        </w:rPr>
      </w:pPr>
      <w:bookmarkStart w:id="97" w:name="_Toc78583660"/>
      <w:bookmarkStart w:id="98" w:name="_Toc186924367"/>
      <w:r>
        <w:rPr>
          <w:rFonts w:cs="Times New Roman"/>
          <w:b/>
          <w:sz w:val="24"/>
        </w:rPr>
        <w:t>4.2.8</w:t>
      </w:r>
      <w:r>
        <w:rPr>
          <w:rFonts w:cs="Times New Roman"/>
          <w:b/>
          <w:sz w:val="24"/>
        </w:rPr>
        <w:tab/>
      </w:r>
      <w:r w:rsidR="009E74D8" w:rsidRPr="00EE790D">
        <w:rPr>
          <w:rFonts w:cs="Times New Roman"/>
          <w:b/>
          <w:sz w:val="24"/>
        </w:rPr>
        <w:t>Gestión de las Relaciones Laborales y Sociales</w:t>
      </w:r>
      <w:bookmarkEnd w:id="97"/>
      <w:bookmarkEnd w:id="98"/>
    </w:p>
    <w:p w14:paraId="483F5488" w14:textId="77777777" w:rsidR="001C5B22" w:rsidRPr="00084D33" w:rsidRDefault="001C5B22" w:rsidP="0017234F">
      <w:pPr>
        <w:spacing w:after="160"/>
        <w:rPr>
          <w:rFonts w:eastAsia="Calibri" w:cs="Times New Roman"/>
          <w:spacing w:val="0"/>
          <w:sz w:val="18"/>
          <w:lang w:val="es-ES"/>
        </w:rPr>
      </w:pPr>
    </w:p>
    <w:p w14:paraId="44D61C45" w14:textId="77777777" w:rsidR="007D3CB6" w:rsidRPr="00084D33" w:rsidRDefault="007D3CB6" w:rsidP="007D3CB6">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La calidad de las relaciones humanas y sociales dentro del Ministerio está regida por la Ley de Función Pública No.41-08 y sus Reglamentos de aplicación. Contamos con la Comisión de Ética Pública y Asociación de Servidores Públicos, como enlaces entre el Ministerio y sus Colaboradores, realizando acciones dirigidas hacia el bienestar de los mismos.</w:t>
      </w:r>
    </w:p>
    <w:p w14:paraId="65076C57" w14:textId="77777777" w:rsidR="007D3CB6" w:rsidRPr="00084D33" w:rsidRDefault="007D3CB6" w:rsidP="007D3CB6">
      <w:pPr>
        <w:spacing w:after="160"/>
        <w:rPr>
          <w:rFonts w:eastAsia="Times New Roman" w:cs="Times New Roman"/>
          <w:szCs w:val="24"/>
          <w:lang w:val="es-ES" w:eastAsia="es-ES" w:bidi="es-ES"/>
        </w:rPr>
      </w:pPr>
    </w:p>
    <w:p w14:paraId="409AC132" w14:textId="50B0D02C" w:rsidR="001C5B22" w:rsidRPr="00084D33" w:rsidRDefault="007D3CB6" w:rsidP="001F52A0">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Los empleados de la institución agrupados por grupo ocupacional, tipo de personal y cantidad por género, alcanzan un total de 6,912 empleados; además, la cantidad por tipo de empleos y género, registrados en el MOPC hasta </w:t>
      </w:r>
      <w:r w:rsidR="00B5550F" w:rsidRPr="00084D33">
        <w:rPr>
          <w:rFonts w:eastAsia="Times New Roman" w:cs="Times New Roman"/>
          <w:szCs w:val="24"/>
          <w:lang w:val="es-ES" w:eastAsia="es-ES" w:bidi="es-ES"/>
        </w:rPr>
        <w:t>dic</w:t>
      </w:r>
      <w:r w:rsidRPr="00084D33">
        <w:rPr>
          <w:rFonts w:eastAsia="Times New Roman" w:cs="Times New Roman"/>
          <w:szCs w:val="24"/>
          <w:lang w:val="es-ES" w:eastAsia="es-ES" w:bidi="es-ES"/>
        </w:rPr>
        <w:t>iembre del año 2024, con un total de 7,719 empleados (incluyendo los militares), se presentan a continuación</w:t>
      </w:r>
      <w:r w:rsidR="001F52A0" w:rsidRPr="00084D33">
        <w:rPr>
          <w:rFonts w:eastAsia="Times New Roman" w:cs="Times New Roman"/>
          <w:szCs w:val="24"/>
          <w:lang w:val="es-ES" w:eastAsia="es-ES" w:bidi="es-ES"/>
        </w:rPr>
        <w:t>:</w:t>
      </w:r>
    </w:p>
    <w:p w14:paraId="1DCD95D4" w14:textId="655AADBF" w:rsidR="00A078F4" w:rsidRPr="00084D33" w:rsidRDefault="00A078F4" w:rsidP="0017234F">
      <w:pPr>
        <w:pStyle w:val="Textoindependiente"/>
        <w:spacing w:line="360" w:lineRule="auto"/>
        <w:jc w:val="both"/>
        <w:rPr>
          <w:rFonts w:eastAsia="Calibri"/>
          <w:color w:val="767171"/>
          <w:lang w:val="es-DO"/>
        </w:rPr>
      </w:pPr>
    </w:p>
    <w:p w14:paraId="62C8554C" w14:textId="5454BED1" w:rsidR="007D3CB6" w:rsidRPr="00084D33" w:rsidRDefault="007D3CB6" w:rsidP="0017234F">
      <w:pPr>
        <w:pStyle w:val="Textoindependiente"/>
        <w:spacing w:line="360" w:lineRule="auto"/>
        <w:jc w:val="both"/>
        <w:rPr>
          <w:rFonts w:eastAsia="Calibri"/>
          <w:color w:val="767171"/>
          <w:lang w:val="es-DO"/>
        </w:rPr>
      </w:pPr>
    </w:p>
    <w:p w14:paraId="522931B0" w14:textId="6FDA4F3A" w:rsidR="007D3CB6" w:rsidRPr="00084D33" w:rsidRDefault="005C68B7" w:rsidP="0017234F">
      <w:pPr>
        <w:pStyle w:val="Textoindependiente"/>
        <w:spacing w:line="360" w:lineRule="auto"/>
        <w:jc w:val="both"/>
        <w:rPr>
          <w:rFonts w:eastAsia="Calibri"/>
          <w:color w:val="767171"/>
        </w:rPr>
      </w:pPr>
      <w:r w:rsidRPr="00084D33">
        <w:rPr>
          <w:rFonts w:eastAsia="Calibri"/>
          <w:noProof/>
          <w:color w:val="767171"/>
          <w:lang w:val="es-DO" w:eastAsia="es-DO" w:bidi="ar-SA"/>
        </w:rPr>
        <w:drawing>
          <wp:inline distT="0" distB="0" distL="0" distR="0" wp14:anchorId="032B336E" wp14:editId="3EBF153B">
            <wp:extent cx="5029200" cy="688360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9200" cy="6883605"/>
                    </a:xfrm>
                    <a:prstGeom prst="rect">
                      <a:avLst/>
                    </a:prstGeom>
                    <a:noFill/>
                    <a:ln>
                      <a:noFill/>
                    </a:ln>
                  </pic:spPr>
                </pic:pic>
              </a:graphicData>
            </a:graphic>
          </wp:inline>
        </w:drawing>
      </w:r>
    </w:p>
    <w:p w14:paraId="251E4AE0" w14:textId="376C3AC3" w:rsidR="005C68B7" w:rsidRPr="00084D33" w:rsidRDefault="005C68B7" w:rsidP="0017234F">
      <w:pPr>
        <w:pStyle w:val="Textoindependiente"/>
        <w:spacing w:line="360" w:lineRule="auto"/>
        <w:jc w:val="both"/>
        <w:rPr>
          <w:rFonts w:eastAsia="Calibri"/>
          <w:color w:val="767171"/>
        </w:rPr>
      </w:pPr>
    </w:p>
    <w:p w14:paraId="4E1715EB" w14:textId="5F7D14EE" w:rsidR="005C68B7" w:rsidRPr="00084D33" w:rsidRDefault="005C68B7" w:rsidP="005C68B7">
      <w:pPr>
        <w:pStyle w:val="Textoindependiente"/>
        <w:spacing w:line="360" w:lineRule="auto"/>
        <w:jc w:val="both"/>
        <w:rPr>
          <w:color w:val="767171"/>
        </w:rPr>
      </w:pPr>
      <w:r w:rsidRPr="00084D33">
        <w:rPr>
          <w:color w:val="767171"/>
        </w:rPr>
        <w:t xml:space="preserve">A continuación, se presenta a modo de resumen los logros alcanzados por la Dirección General de Recursos Humanos del MOPC durante el periodo </w:t>
      </w:r>
      <w:r w:rsidR="000A17C8" w:rsidRPr="00084D33">
        <w:rPr>
          <w:color w:val="767171"/>
        </w:rPr>
        <w:lastRenderedPageBreak/>
        <w:t>enero-diciembre</w:t>
      </w:r>
      <w:r w:rsidRPr="00084D33">
        <w:rPr>
          <w:color w:val="767171"/>
        </w:rPr>
        <w:t xml:space="preserve"> del año 2024 y los impactos a los que se vincula la producción acorde a los Ejes, Objetivos y Líneas de Acción de la Estrategia Nacional de Desarrollo (END) 2030.</w:t>
      </w:r>
    </w:p>
    <w:p w14:paraId="527F8657" w14:textId="4F686844" w:rsidR="005C68B7" w:rsidRPr="00084D33" w:rsidRDefault="005C68B7" w:rsidP="005C68B7">
      <w:pPr>
        <w:pStyle w:val="Textoindependiente"/>
        <w:spacing w:line="360" w:lineRule="auto"/>
        <w:jc w:val="both"/>
        <w:rPr>
          <w:color w:val="767171"/>
        </w:rPr>
      </w:pPr>
    </w:p>
    <w:p w14:paraId="7374D23D" w14:textId="77777777" w:rsidR="005C68B7" w:rsidRPr="00084D33" w:rsidRDefault="005C68B7" w:rsidP="005C68B7">
      <w:pPr>
        <w:pStyle w:val="Textoindependiente"/>
        <w:spacing w:line="360" w:lineRule="auto"/>
        <w:jc w:val="both"/>
        <w:rPr>
          <w:color w:val="767171"/>
        </w:rPr>
      </w:pPr>
    </w:p>
    <w:tbl>
      <w:tblPr>
        <w:tblStyle w:val="Tablaconcuadrcula1"/>
        <w:tblW w:w="5563" w:type="pct"/>
        <w:tblInd w:w="-436" w:type="dxa"/>
        <w:tblLayout w:type="fixed"/>
        <w:tblLook w:val="04A0" w:firstRow="1" w:lastRow="0" w:firstColumn="1" w:lastColumn="0" w:noHBand="0" w:noVBand="1"/>
      </w:tblPr>
      <w:tblGrid>
        <w:gridCol w:w="1119"/>
        <w:gridCol w:w="623"/>
        <w:gridCol w:w="257"/>
        <w:gridCol w:w="216"/>
        <w:gridCol w:w="252"/>
        <w:gridCol w:w="130"/>
        <w:gridCol w:w="283"/>
        <w:gridCol w:w="431"/>
        <w:gridCol w:w="449"/>
        <w:gridCol w:w="271"/>
        <w:gridCol w:w="44"/>
        <w:gridCol w:w="316"/>
        <w:gridCol w:w="250"/>
        <w:gridCol w:w="180"/>
        <w:gridCol w:w="701"/>
        <w:gridCol w:w="32"/>
        <w:gridCol w:w="54"/>
        <w:gridCol w:w="122"/>
        <w:gridCol w:w="371"/>
        <w:gridCol w:w="475"/>
        <w:gridCol w:w="61"/>
        <w:gridCol w:w="268"/>
        <w:gridCol w:w="127"/>
        <w:gridCol w:w="419"/>
        <w:gridCol w:w="92"/>
        <w:gridCol w:w="1258"/>
      </w:tblGrid>
      <w:tr w:rsidR="005C68B7" w:rsidRPr="00084D33" w14:paraId="49CFFF67" w14:textId="77777777" w:rsidTr="00CA4840">
        <w:trPr>
          <w:trHeight w:val="333"/>
        </w:trPr>
        <w:tc>
          <w:tcPr>
            <w:tcW w:w="8801" w:type="dxa"/>
            <w:gridSpan w:val="26"/>
            <w:tcBorders>
              <w:top w:val="single" w:sz="4" w:space="0" w:color="003876"/>
              <w:left w:val="single" w:sz="4" w:space="0" w:color="003876"/>
              <w:bottom w:val="single" w:sz="4" w:space="0" w:color="003876"/>
              <w:right w:val="single" w:sz="4" w:space="0" w:color="003876"/>
            </w:tcBorders>
            <w:shd w:val="clear" w:color="auto" w:fill="142F62"/>
            <w:vAlign w:val="center"/>
          </w:tcPr>
          <w:p w14:paraId="6E8D9D14" w14:textId="77777777" w:rsidR="005C68B7" w:rsidRPr="00084D33" w:rsidRDefault="005C68B7" w:rsidP="00D131A1">
            <w:pPr>
              <w:numPr>
                <w:ilvl w:val="0"/>
                <w:numId w:val="13"/>
              </w:numPr>
              <w:spacing w:after="160" w:line="276" w:lineRule="auto"/>
              <w:ind w:left="313" w:hanging="295"/>
              <w:contextualSpacing/>
              <w:jc w:val="center"/>
              <w:rPr>
                <w:rFonts w:eastAsia="Calibri" w:cs="Times New Roman"/>
                <w:b/>
                <w:spacing w:val="0"/>
                <w:szCs w:val="20"/>
              </w:rPr>
            </w:pPr>
            <w:r w:rsidRPr="00084D33">
              <w:rPr>
                <w:rFonts w:eastAsia="Calibri" w:cs="Times New Roman"/>
                <w:b/>
                <w:spacing w:val="0"/>
                <w:szCs w:val="20"/>
              </w:rPr>
              <w:t>Datos generales de la institución.</w:t>
            </w:r>
          </w:p>
        </w:tc>
      </w:tr>
      <w:tr w:rsidR="005C68B7" w:rsidRPr="00084D33" w14:paraId="0A5EABDE" w14:textId="77777777" w:rsidTr="00CA4840">
        <w:trPr>
          <w:trHeight w:val="359"/>
        </w:trPr>
        <w:tc>
          <w:tcPr>
            <w:tcW w:w="1119" w:type="dxa"/>
            <w:tcBorders>
              <w:top w:val="single" w:sz="4" w:space="0" w:color="003876"/>
              <w:left w:val="single" w:sz="4" w:space="0" w:color="003876"/>
              <w:bottom w:val="single" w:sz="4" w:space="0" w:color="003876"/>
              <w:right w:val="single" w:sz="4" w:space="0" w:color="003876"/>
            </w:tcBorders>
            <w:shd w:val="clear" w:color="auto" w:fill="DEEAF6"/>
            <w:vAlign w:val="center"/>
          </w:tcPr>
          <w:p w14:paraId="4B85E510" w14:textId="77777777" w:rsidR="005C68B7" w:rsidRPr="00084D33" w:rsidRDefault="005C68B7" w:rsidP="00CA4840">
            <w:pPr>
              <w:spacing w:line="276" w:lineRule="auto"/>
              <w:jc w:val="center"/>
              <w:rPr>
                <w:rFonts w:eastAsia="Calibri" w:cs="Times New Roman"/>
                <w:spacing w:val="-2"/>
                <w:sz w:val="20"/>
                <w:szCs w:val="20"/>
              </w:rPr>
            </w:pPr>
            <w:r w:rsidRPr="00084D33">
              <w:rPr>
                <w:rFonts w:eastAsia="Calibri" w:cs="Times New Roman"/>
                <w:spacing w:val="-2"/>
                <w:sz w:val="20"/>
                <w:szCs w:val="20"/>
              </w:rPr>
              <w:t>Institución:</w:t>
            </w:r>
          </w:p>
        </w:tc>
        <w:tc>
          <w:tcPr>
            <w:tcW w:w="1348"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6AB17E10" w14:textId="77777777" w:rsidR="005C68B7" w:rsidRPr="00084D33" w:rsidRDefault="005C68B7" w:rsidP="00CA4840">
            <w:pPr>
              <w:spacing w:line="276" w:lineRule="auto"/>
              <w:jc w:val="center"/>
              <w:rPr>
                <w:rFonts w:eastAsia="Calibri" w:cs="Times New Roman"/>
                <w:b/>
                <w:spacing w:val="0"/>
                <w:sz w:val="20"/>
                <w:szCs w:val="20"/>
              </w:rPr>
            </w:pPr>
          </w:p>
        </w:tc>
        <w:tc>
          <w:tcPr>
            <w:tcW w:w="2354" w:type="dxa"/>
            <w:gridSpan w:val="9"/>
            <w:tcBorders>
              <w:top w:val="single" w:sz="4" w:space="0" w:color="003876"/>
              <w:left w:val="single" w:sz="4" w:space="0" w:color="003876"/>
              <w:bottom w:val="single" w:sz="4" w:space="0" w:color="003876"/>
              <w:right w:val="single" w:sz="4" w:space="0" w:color="003876"/>
            </w:tcBorders>
            <w:shd w:val="clear" w:color="auto" w:fill="DEEAF6"/>
            <w:vAlign w:val="center"/>
          </w:tcPr>
          <w:p w14:paraId="363E1131" w14:textId="77777777" w:rsidR="005C68B7" w:rsidRPr="00084D33" w:rsidRDefault="005C68B7" w:rsidP="00CA4840">
            <w:pPr>
              <w:spacing w:line="276" w:lineRule="auto"/>
              <w:jc w:val="center"/>
              <w:rPr>
                <w:rFonts w:eastAsia="Calibri" w:cs="Times New Roman"/>
                <w:spacing w:val="0"/>
                <w:sz w:val="20"/>
                <w:szCs w:val="20"/>
              </w:rPr>
            </w:pPr>
            <w:r w:rsidRPr="00084D33">
              <w:rPr>
                <w:rFonts w:eastAsia="Calibri" w:cs="Times New Roman"/>
                <w:spacing w:val="0"/>
                <w:sz w:val="20"/>
                <w:szCs w:val="20"/>
              </w:rPr>
              <w:t>Dependencia:</w:t>
            </w:r>
          </w:p>
        </w:tc>
        <w:tc>
          <w:tcPr>
            <w:tcW w:w="909"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0626556D" w14:textId="77777777" w:rsidR="005C68B7" w:rsidRPr="00084D33" w:rsidRDefault="005C68B7" w:rsidP="00CA4840">
            <w:pPr>
              <w:spacing w:line="276" w:lineRule="auto"/>
              <w:jc w:val="left"/>
              <w:rPr>
                <w:rFonts w:eastAsia="Calibri" w:cs="Times New Roman"/>
                <w:b/>
                <w:spacing w:val="0"/>
                <w:sz w:val="20"/>
                <w:szCs w:val="20"/>
              </w:rPr>
            </w:pPr>
          </w:p>
        </w:tc>
        <w:tc>
          <w:tcPr>
            <w:tcW w:w="907" w:type="dxa"/>
            <w:gridSpan w:val="3"/>
            <w:tcBorders>
              <w:top w:val="single" w:sz="4" w:space="0" w:color="003876"/>
              <w:left w:val="single" w:sz="4" w:space="0" w:color="003876"/>
              <w:bottom w:val="single" w:sz="4" w:space="0" w:color="003876"/>
              <w:right w:val="single" w:sz="4" w:space="0" w:color="003876"/>
            </w:tcBorders>
            <w:shd w:val="clear" w:color="auto" w:fill="DEEAF6"/>
            <w:vAlign w:val="center"/>
          </w:tcPr>
          <w:p w14:paraId="07A7FB29" w14:textId="77777777" w:rsidR="005C68B7" w:rsidRPr="00084D33" w:rsidRDefault="005C68B7" w:rsidP="00CA4840">
            <w:pPr>
              <w:spacing w:line="276" w:lineRule="auto"/>
              <w:jc w:val="center"/>
              <w:rPr>
                <w:rFonts w:eastAsia="Calibri" w:cs="Times New Roman"/>
                <w:spacing w:val="0"/>
                <w:sz w:val="20"/>
                <w:szCs w:val="20"/>
              </w:rPr>
            </w:pPr>
            <w:r w:rsidRPr="00084D33">
              <w:rPr>
                <w:rFonts w:eastAsia="Calibri" w:cs="Times New Roman"/>
                <w:spacing w:val="0"/>
                <w:sz w:val="20"/>
                <w:szCs w:val="20"/>
              </w:rPr>
              <w:t>Sector:</w:t>
            </w:r>
          </w:p>
        </w:tc>
        <w:tc>
          <w:tcPr>
            <w:tcW w:w="2164" w:type="dxa"/>
            <w:gridSpan w:val="5"/>
            <w:tcBorders>
              <w:top w:val="single" w:sz="4" w:space="0" w:color="003876"/>
              <w:left w:val="single" w:sz="4" w:space="0" w:color="003876"/>
              <w:bottom w:val="single" w:sz="4" w:space="0" w:color="003876"/>
              <w:right w:val="single" w:sz="4" w:space="0" w:color="003876"/>
            </w:tcBorders>
            <w:shd w:val="clear" w:color="auto" w:fill="auto"/>
            <w:vAlign w:val="center"/>
          </w:tcPr>
          <w:p w14:paraId="525B0F16" w14:textId="77777777" w:rsidR="005C68B7" w:rsidRPr="00084D33" w:rsidRDefault="005C68B7" w:rsidP="00CA4840">
            <w:pPr>
              <w:spacing w:line="276" w:lineRule="auto"/>
              <w:jc w:val="center"/>
              <w:rPr>
                <w:rFonts w:eastAsia="Calibri" w:cs="Times New Roman"/>
                <w:b/>
                <w:spacing w:val="0"/>
                <w:sz w:val="20"/>
                <w:szCs w:val="20"/>
              </w:rPr>
            </w:pPr>
          </w:p>
        </w:tc>
      </w:tr>
      <w:tr w:rsidR="005C68B7" w:rsidRPr="00084D33" w14:paraId="6AB7DD57" w14:textId="77777777" w:rsidTr="00CA4840">
        <w:trPr>
          <w:trHeight w:val="284"/>
        </w:trPr>
        <w:tc>
          <w:tcPr>
            <w:tcW w:w="8801" w:type="dxa"/>
            <w:gridSpan w:val="26"/>
            <w:tcBorders>
              <w:top w:val="single" w:sz="4" w:space="0" w:color="003876"/>
              <w:left w:val="single" w:sz="4" w:space="0" w:color="003876"/>
              <w:bottom w:val="single" w:sz="4" w:space="0" w:color="003876"/>
              <w:right w:val="single" w:sz="4" w:space="0" w:color="003876"/>
            </w:tcBorders>
            <w:shd w:val="clear" w:color="auto" w:fill="142F62"/>
            <w:vAlign w:val="center"/>
          </w:tcPr>
          <w:p w14:paraId="6CF41433" w14:textId="77777777" w:rsidR="005C68B7" w:rsidRPr="00084D33" w:rsidRDefault="005C68B7" w:rsidP="00D131A1">
            <w:pPr>
              <w:numPr>
                <w:ilvl w:val="0"/>
                <w:numId w:val="13"/>
              </w:numPr>
              <w:spacing w:after="160" w:line="276" w:lineRule="auto"/>
              <w:ind w:left="313" w:hanging="313"/>
              <w:contextualSpacing/>
              <w:jc w:val="center"/>
              <w:rPr>
                <w:rFonts w:eastAsia="Calibri" w:cs="Times New Roman"/>
                <w:b/>
                <w:spacing w:val="0"/>
                <w:szCs w:val="20"/>
              </w:rPr>
            </w:pPr>
            <w:r w:rsidRPr="00084D33">
              <w:rPr>
                <w:rFonts w:eastAsia="Calibri" w:cs="Times New Roman"/>
                <w:b/>
                <w:spacing w:val="0"/>
                <w:szCs w:val="20"/>
              </w:rPr>
              <w:t>Servidores de carrera y cargos concursables</w:t>
            </w:r>
          </w:p>
        </w:tc>
      </w:tr>
      <w:tr w:rsidR="005C68B7" w:rsidRPr="00084D33" w14:paraId="161E0DBE" w14:textId="77777777" w:rsidTr="00CA4840">
        <w:trPr>
          <w:trHeight w:val="307"/>
        </w:trPr>
        <w:tc>
          <w:tcPr>
            <w:tcW w:w="1119" w:type="dxa"/>
            <w:vMerge w:val="restart"/>
            <w:tcBorders>
              <w:top w:val="single" w:sz="4" w:space="0" w:color="003876"/>
              <w:left w:val="single" w:sz="4" w:space="0" w:color="003876"/>
              <w:bottom w:val="single" w:sz="4" w:space="0" w:color="003876"/>
              <w:right w:val="single" w:sz="4" w:space="0" w:color="003876"/>
            </w:tcBorders>
            <w:shd w:val="clear" w:color="auto" w:fill="E0E6ED"/>
            <w:vAlign w:val="center"/>
          </w:tcPr>
          <w:p w14:paraId="2AB33357" w14:textId="77777777" w:rsidR="005C68B7" w:rsidRPr="00084D33" w:rsidRDefault="005C68B7" w:rsidP="00CA4840">
            <w:pPr>
              <w:spacing w:line="276" w:lineRule="auto"/>
              <w:ind w:left="-37" w:right="-49"/>
              <w:jc w:val="center"/>
              <w:rPr>
                <w:rFonts w:eastAsia="Calibri" w:cs="Times New Roman"/>
                <w:b/>
                <w:spacing w:val="0"/>
                <w:sz w:val="20"/>
                <w:szCs w:val="20"/>
              </w:rPr>
            </w:pPr>
            <w:r w:rsidRPr="00084D33">
              <w:rPr>
                <w:rFonts w:eastAsia="Calibri" w:cs="Times New Roman"/>
                <w:spacing w:val="0"/>
                <w:sz w:val="20"/>
                <w:szCs w:val="20"/>
              </w:rPr>
              <w:t xml:space="preserve">Total de servidores, según nómina al </w:t>
            </w:r>
            <w:r w:rsidRPr="00084D33">
              <w:rPr>
                <w:rFonts w:eastAsia="Calibri" w:cs="Times New Roman"/>
                <w:b/>
                <w:spacing w:val="0"/>
                <w:sz w:val="20"/>
                <w:szCs w:val="20"/>
              </w:rPr>
              <w:t>30/11/2024</w:t>
            </w:r>
          </w:p>
        </w:tc>
        <w:tc>
          <w:tcPr>
            <w:tcW w:w="880" w:type="dxa"/>
            <w:gridSpan w:val="2"/>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37C55730" w14:textId="77777777" w:rsidR="005C68B7" w:rsidRPr="00084D33" w:rsidRDefault="005C68B7" w:rsidP="00CA4840">
            <w:pPr>
              <w:spacing w:line="276" w:lineRule="auto"/>
              <w:ind w:right="-16"/>
              <w:jc w:val="center"/>
              <w:rPr>
                <w:rFonts w:eastAsia="Calibri" w:cs="Times New Roman"/>
                <w:spacing w:val="-8"/>
                <w:sz w:val="18"/>
                <w:szCs w:val="19"/>
              </w:rPr>
            </w:pPr>
            <w:r w:rsidRPr="00084D33">
              <w:rPr>
                <w:rFonts w:eastAsia="Calibri" w:cs="Times New Roman"/>
                <w:spacing w:val="-8"/>
                <w:sz w:val="18"/>
                <w:szCs w:val="19"/>
              </w:rPr>
              <w:t>Cantidad de Funcionarios de libre nombramiento</w:t>
            </w:r>
          </w:p>
        </w:tc>
        <w:tc>
          <w:tcPr>
            <w:tcW w:w="881" w:type="dxa"/>
            <w:gridSpan w:val="4"/>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28AEAA53" w14:textId="77777777" w:rsidR="005C68B7" w:rsidRPr="00084D33" w:rsidRDefault="005C68B7" w:rsidP="00CA4840">
            <w:pPr>
              <w:spacing w:line="276" w:lineRule="auto"/>
              <w:jc w:val="center"/>
              <w:rPr>
                <w:rFonts w:eastAsia="Calibri" w:cs="Times New Roman"/>
                <w:spacing w:val="-8"/>
                <w:sz w:val="18"/>
                <w:szCs w:val="19"/>
              </w:rPr>
            </w:pPr>
            <w:r w:rsidRPr="00084D33">
              <w:rPr>
                <w:rFonts w:eastAsia="Calibri" w:cs="Times New Roman"/>
                <w:spacing w:val="-8"/>
                <w:sz w:val="18"/>
                <w:szCs w:val="19"/>
              </w:rPr>
              <w:t>Funcionarios de confianza</w:t>
            </w:r>
          </w:p>
        </w:tc>
        <w:tc>
          <w:tcPr>
            <w:tcW w:w="880" w:type="dxa"/>
            <w:gridSpan w:val="2"/>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4FC8FC7B" w14:textId="77777777" w:rsidR="005C68B7" w:rsidRPr="00084D33" w:rsidRDefault="005C68B7" w:rsidP="00CA4840">
            <w:pPr>
              <w:spacing w:line="276" w:lineRule="auto"/>
              <w:jc w:val="center"/>
              <w:rPr>
                <w:rFonts w:eastAsia="Calibri" w:cs="Times New Roman"/>
                <w:spacing w:val="-8"/>
                <w:sz w:val="18"/>
                <w:szCs w:val="19"/>
              </w:rPr>
            </w:pPr>
            <w:r w:rsidRPr="00084D33">
              <w:rPr>
                <w:rFonts w:eastAsia="Calibri" w:cs="Times New Roman"/>
                <w:spacing w:val="-8"/>
                <w:sz w:val="18"/>
                <w:szCs w:val="19"/>
              </w:rPr>
              <w:t>Servidores Estatuto Simplificado (incl. G. O. 3)</w:t>
            </w:r>
          </w:p>
        </w:tc>
        <w:tc>
          <w:tcPr>
            <w:tcW w:w="881" w:type="dxa"/>
            <w:gridSpan w:val="4"/>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6C8ADBB7" w14:textId="77777777" w:rsidR="005C68B7" w:rsidRPr="00084D33" w:rsidRDefault="005C68B7" w:rsidP="00CA4840">
            <w:pPr>
              <w:spacing w:line="276" w:lineRule="auto"/>
              <w:jc w:val="center"/>
              <w:rPr>
                <w:rFonts w:eastAsia="Calibri" w:cs="Times New Roman"/>
                <w:spacing w:val="-8"/>
                <w:sz w:val="18"/>
                <w:szCs w:val="19"/>
              </w:rPr>
            </w:pPr>
            <w:r w:rsidRPr="00084D33">
              <w:rPr>
                <w:rFonts w:eastAsia="Calibri" w:cs="Times New Roman"/>
                <w:spacing w:val="-8"/>
                <w:sz w:val="18"/>
                <w:szCs w:val="19"/>
              </w:rPr>
              <w:t>Servidores Grupo Ocupacional 2</w:t>
            </w:r>
          </w:p>
        </w:tc>
        <w:tc>
          <w:tcPr>
            <w:tcW w:w="4160" w:type="dxa"/>
            <w:gridSpan w:val="13"/>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261BDDF0" w14:textId="77777777" w:rsidR="005C68B7" w:rsidRPr="00084D33" w:rsidRDefault="005C68B7" w:rsidP="00CA4840">
            <w:pPr>
              <w:spacing w:line="276" w:lineRule="auto"/>
              <w:jc w:val="center"/>
              <w:rPr>
                <w:rFonts w:eastAsia="Calibri" w:cs="Times New Roman"/>
                <w:b/>
                <w:spacing w:val="-8"/>
                <w:sz w:val="19"/>
                <w:szCs w:val="19"/>
              </w:rPr>
            </w:pPr>
            <w:r w:rsidRPr="00084D33">
              <w:rPr>
                <w:rFonts w:eastAsia="Calibri" w:cs="Times New Roman"/>
                <w:b/>
                <w:spacing w:val="-8"/>
                <w:sz w:val="19"/>
                <w:szCs w:val="19"/>
              </w:rPr>
              <w:t xml:space="preserve">Servidores identificados en nómina </w:t>
            </w:r>
            <w:r w:rsidRPr="00084D33">
              <w:rPr>
                <w:rFonts w:eastAsia="Calibri" w:cs="Times New Roman"/>
                <w:b/>
                <w:spacing w:val="-8"/>
                <w:sz w:val="19"/>
                <w:szCs w:val="19"/>
              </w:rPr>
              <w:br/>
              <w:t>en los G.O. 3, 4 y 5</w:t>
            </w:r>
          </w:p>
        </w:tc>
      </w:tr>
      <w:tr w:rsidR="005C68B7" w:rsidRPr="00084D33" w14:paraId="28FD91EC" w14:textId="77777777" w:rsidTr="005C68B7">
        <w:trPr>
          <w:trHeight w:val="1349"/>
        </w:trPr>
        <w:tc>
          <w:tcPr>
            <w:tcW w:w="1119" w:type="dxa"/>
            <w:vMerge/>
            <w:tcBorders>
              <w:top w:val="single" w:sz="4" w:space="0" w:color="003876"/>
              <w:left w:val="single" w:sz="4" w:space="0" w:color="003876"/>
              <w:bottom w:val="single" w:sz="4" w:space="0" w:color="003876"/>
              <w:right w:val="single" w:sz="4" w:space="0" w:color="003876"/>
            </w:tcBorders>
            <w:shd w:val="clear" w:color="auto" w:fill="E0E6ED"/>
            <w:vAlign w:val="center"/>
          </w:tcPr>
          <w:p w14:paraId="1A01E56D" w14:textId="77777777" w:rsidR="005C68B7" w:rsidRPr="00084D33" w:rsidRDefault="005C68B7" w:rsidP="00CA4840">
            <w:pPr>
              <w:spacing w:line="276" w:lineRule="auto"/>
              <w:jc w:val="center"/>
              <w:rPr>
                <w:rFonts w:eastAsia="Calibri" w:cs="Times New Roman"/>
                <w:spacing w:val="0"/>
                <w:sz w:val="20"/>
                <w:szCs w:val="20"/>
              </w:rPr>
            </w:pPr>
          </w:p>
        </w:tc>
        <w:tc>
          <w:tcPr>
            <w:tcW w:w="880" w:type="dxa"/>
            <w:gridSpan w:val="2"/>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55CB514D" w14:textId="77777777" w:rsidR="005C68B7" w:rsidRPr="00084D33" w:rsidRDefault="005C68B7" w:rsidP="00CA4840">
            <w:pPr>
              <w:spacing w:line="276" w:lineRule="auto"/>
              <w:jc w:val="center"/>
              <w:rPr>
                <w:rFonts w:eastAsia="Calibri" w:cs="Times New Roman"/>
                <w:spacing w:val="-8"/>
                <w:sz w:val="19"/>
                <w:szCs w:val="19"/>
              </w:rPr>
            </w:pPr>
          </w:p>
        </w:tc>
        <w:tc>
          <w:tcPr>
            <w:tcW w:w="881" w:type="dxa"/>
            <w:gridSpan w:val="4"/>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73FAD47B" w14:textId="77777777" w:rsidR="005C68B7" w:rsidRPr="00084D33" w:rsidRDefault="005C68B7" w:rsidP="00CA4840">
            <w:pPr>
              <w:spacing w:line="276" w:lineRule="auto"/>
              <w:jc w:val="center"/>
              <w:rPr>
                <w:rFonts w:eastAsia="Calibri" w:cs="Times New Roman"/>
                <w:spacing w:val="-8"/>
                <w:sz w:val="19"/>
                <w:szCs w:val="19"/>
              </w:rPr>
            </w:pPr>
          </w:p>
        </w:tc>
        <w:tc>
          <w:tcPr>
            <w:tcW w:w="880" w:type="dxa"/>
            <w:gridSpan w:val="2"/>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78B666E5" w14:textId="77777777" w:rsidR="005C68B7" w:rsidRPr="00084D33" w:rsidRDefault="005C68B7" w:rsidP="00CA4840">
            <w:pPr>
              <w:spacing w:line="276" w:lineRule="auto"/>
              <w:jc w:val="center"/>
              <w:rPr>
                <w:rFonts w:eastAsia="Calibri" w:cs="Times New Roman"/>
                <w:spacing w:val="-8"/>
                <w:sz w:val="19"/>
                <w:szCs w:val="19"/>
              </w:rPr>
            </w:pPr>
          </w:p>
        </w:tc>
        <w:tc>
          <w:tcPr>
            <w:tcW w:w="881" w:type="dxa"/>
            <w:gridSpan w:val="4"/>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089654E8" w14:textId="77777777" w:rsidR="005C68B7" w:rsidRPr="00084D33" w:rsidRDefault="005C68B7" w:rsidP="00CA4840">
            <w:pPr>
              <w:spacing w:line="276" w:lineRule="auto"/>
              <w:jc w:val="center"/>
              <w:rPr>
                <w:rFonts w:eastAsia="Calibri" w:cs="Times New Roman"/>
                <w:spacing w:val="-8"/>
                <w:sz w:val="19"/>
                <w:szCs w:val="19"/>
              </w:rPr>
            </w:pPr>
          </w:p>
        </w:tc>
        <w:tc>
          <w:tcPr>
            <w:tcW w:w="967" w:type="dxa"/>
            <w:gridSpan w:val="4"/>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0A44098C" w14:textId="77777777" w:rsidR="005C68B7" w:rsidRPr="00084D33" w:rsidRDefault="005C68B7" w:rsidP="00CA4840">
            <w:pPr>
              <w:spacing w:line="276" w:lineRule="auto"/>
              <w:jc w:val="center"/>
              <w:rPr>
                <w:rFonts w:eastAsia="Calibri" w:cs="Times New Roman"/>
                <w:spacing w:val="-8"/>
                <w:sz w:val="18"/>
                <w:szCs w:val="19"/>
              </w:rPr>
            </w:pPr>
            <w:r w:rsidRPr="00084D33">
              <w:rPr>
                <w:rFonts w:eastAsia="Calibri" w:cs="Times New Roman"/>
                <w:spacing w:val="-8"/>
                <w:sz w:val="18"/>
                <w:szCs w:val="19"/>
              </w:rPr>
              <w:t xml:space="preserve">Servidores Grupo Ocupacional </w:t>
            </w:r>
            <w:r w:rsidRPr="00084D33">
              <w:rPr>
                <w:rFonts w:eastAsia="Calibri" w:cs="Times New Roman"/>
                <w:spacing w:val="-8"/>
                <w:sz w:val="18"/>
                <w:szCs w:val="19"/>
              </w:rPr>
              <w:br/>
              <w:t>3</w:t>
            </w:r>
          </w:p>
        </w:tc>
        <w:tc>
          <w:tcPr>
            <w:tcW w:w="968" w:type="dxa"/>
            <w:gridSpan w:val="3"/>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6F2EFB5A" w14:textId="77777777" w:rsidR="005C68B7" w:rsidRPr="00084D33" w:rsidRDefault="005C68B7" w:rsidP="00CA4840">
            <w:pPr>
              <w:spacing w:line="276" w:lineRule="auto"/>
              <w:jc w:val="center"/>
              <w:rPr>
                <w:rFonts w:eastAsia="Calibri" w:cs="Times New Roman"/>
                <w:spacing w:val="-8"/>
                <w:sz w:val="18"/>
                <w:szCs w:val="19"/>
              </w:rPr>
            </w:pPr>
            <w:r w:rsidRPr="00084D33">
              <w:rPr>
                <w:rFonts w:eastAsia="Calibri" w:cs="Times New Roman"/>
                <w:spacing w:val="-8"/>
                <w:sz w:val="18"/>
                <w:szCs w:val="19"/>
              </w:rPr>
              <w:t xml:space="preserve">Servidores Grupo Ocupacional </w:t>
            </w:r>
            <w:r w:rsidRPr="00084D33">
              <w:rPr>
                <w:rFonts w:eastAsia="Calibri" w:cs="Times New Roman"/>
                <w:spacing w:val="-8"/>
                <w:sz w:val="18"/>
                <w:szCs w:val="19"/>
              </w:rPr>
              <w:br/>
              <w:t>4</w:t>
            </w:r>
          </w:p>
        </w:tc>
        <w:tc>
          <w:tcPr>
            <w:tcW w:w="967" w:type="dxa"/>
            <w:gridSpan w:val="5"/>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786D8E13" w14:textId="77777777" w:rsidR="005C68B7" w:rsidRPr="00084D33" w:rsidRDefault="005C68B7" w:rsidP="00CA4840">
            <w:pPr>
              <w:spacing w:line="276" w:lineRule="auto"/>
              <w:ind w:left="-66" w:right="-74"/>
              <w:jc w:val="center"/>
              <w:rPr>
                <w:rFonts w:eastAsia="Calibri" w:cs="Times New Roman"/>
                <w:spacing w:val="-8"/>
                <w:sz w:val="18"/>
                <w:szCs w:val="19"/>
              </w:rPr>
            </w:pPr>
            <w:r w:rsidRPr="00084D33">
              <w:rPr>
                <w:rFonts w:eastAsia="Calibri" w:cs="Times New Roman"/>
                <w:spacing w:val="-8"/>
                <w:sz w:val="18"/>
                <w:szCs w:val="19"/>
              </w:rPr>
              <w:t xml:space="preserve">Servidores Grupo Ocupacional </w:t>
            </w:r>
            <w:r w:rsidRPr="00084D33">
              <w:rPr>
                <w:rFonts w:eastAsia="Calibri" w:cs="Times New Roman"/>
                <w:spacing w:val="-8"/>
                <w:sz w:val="18"/>
                <w:szCs w:val="19"/>
              </w:rPr>
              <w:br/>
              <w:t>5</w:t>
            </w:r>
          </w:p>
        </w:tc>
        <w:tc>
          <w:tcPr>
            <w:tcW w:w="1258" w:type="dxa"/>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1DF05BC7" w14:textId="77777777" w:rsidR="005C68B7" w:rsidRPr="00084D33" w:rsidRDefault="005C68B7" w:rsidP="00CA4840">
            <w:pPr>
              <w:spacing w:line="276" w:lineRule="auto"/>
              <w:jc w:val="center"/>
              <w:rPr>
                <w:rFonts w:eastAsia="Calibri" w:cs="Times New Roman"/>
                <w:spacing w:val="-8"/>
                <w:sz w:val="18"/>
                <w:szCs w:val="19"/>
              </w:rPr>
            </w:pPr>
            <w:r w:rsidRPr="00084D33">
              <w:rPr>
                <w:rFonts w:eastAsia="Calibri" w:cs="Times New Roman"/>
                <w:spacing w:val="-8"/>
                <w:sz w:val="18"/>
                <w:szCs w:val="19"/>
              </w:rPr>
              <w:t>Servidores de Carrera especial</w:t>
            </w:r>
          </w:p>
        </w:tc>
      </w:tr>
      <w:tr w:rsidR="005C68B7" w:rsidRPr="00084D33" w14:paraId="3A81689B" w14:textId="77777777" w:rsidTr="00CA4840">
        <w:trPr>
          <w:trHeight w:val="404"/>
        </w:trPr>
        <w:tc>
          <w:tcPr>
            <w:tcW w:w="1119" w:type="dxa"/>
            <w:tcBorders>
              <w:top w:val="single" w:sz="4" w:space="0" w:color="003876"/>
              <w:left w:val="single" w:sz="4" w:space="0" w:color="003876"/>
              <w:bottom w:val="single" w:sz="4" w:space="0" w:color="003876"/>
              <w:right w:val="single" w:sz="4" w:space="0" w:color="003876"/>
            </w:tcBorders>
            <w:shd w:val="clear" w:color="auto" w:fill="auto"/>
            <w:vAlign w:val="center"/>
          </w:tcPr>
          <w:p w14:paraId="22D3E028"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6,779</w:t>
            </w:r>
          </w:p>
        </w:tc>
        <w:tc>
          <w:tcPr>
            <w:tcW w:w="880" w:type="dxa"/>
            <w:gridSpan w:val="2"/>
            <w:tcBorders>
              <w:top w:val="single" w:sz="4" w:space="0" w:color="003876"/>
              <w:left w:val="single" w:sz="4" w:space="0" w:color="003876"/>
              <w:bottom w:val="single" w:sz="4" w:space="0" w:color="003876"/>
              <w:right w:val="single" w:sz="4" w:space="0" w:color="003876"/>
            </w:tcBorders>
            <w:shd w:val="clear" w:color="auto" w:fill="auto"/>
            <w:tcMar>
              <w:left w:w="58" w:type="dxa"/>
              <w:right w:w="58" w:type="dxa"/>
            </w:tcMar>
            <w:vAlign w:val="center"/>
          </w:tcPr>
          <w:p w14:paraId="354B14B5"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18</w:t>
            </w:r>
          </w:p>
        </w:tc>
        <w:tc>
          <w:tcPr>
            <w:tcW w:w="881" w:type="dxa"/>
            <w:gridSpan w:val="4"/>
            <w:tcBorders>
              <w:top w:val="single" w:sz="4" w:space="0" w:color="003876"/>
              <w:left w:val="single" w:sz="4" w:space="0" w:color="003876"/>
              <w:bottom w:val="single" w:sz="4" w:space="0" w:color="003876"/>
              <w:right w:val="single" w:sz="4" w:space="0" w:color="003876"/>
            </w:tcBorders>
            <w:shd w:val="clear" w:color="auto" w:fill="auto"/>
            <w:tcMar>
              <w:left w:w="58" w:type="dxa"/>
              <w:right w:w="58" w:type="dxa"/>
            </w:tcMar>
            <w:vAlign w:val="center"/>
          </w:tcPr>
          <w:p w14:paraId="1C6623BF"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75</w:t>
            </w:r>
          </w:p>
        </w:tc>
        <w:tc>
          <w:tcPr>
            <w:tcW w:w="880" w:type="dxa"/>
            <w:gridSpan w:val="2"/>
            <w:tcBorders>
              <w:top w:val="single" w:sz="4" w:space="0" w:color="003876"/>
              <w:left w:val="single" w:sz="4" w:space="0" w:color="003876"/>
              <w:bottom w:val="single" w:sz="4" w:space="0" w:color="003876"/>
              <w:right w:val="single" w:sz="4" w:space="0" w:color="003876"/>
            </w:tcBorders>
            <w:shd w:val="clear" w:color="auto" w:fill="auto"/>
            <w:tcMar>
              <w:left w:w="58" w:type="dxa"/>
              <w:right w:w="58" w:type="dxa"/>
            </w:tcMar>
            <w:vAlign w:val="center"/>
          </w:tcPr>
          <w:p w14:paraId="15760E83"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2666</w:t>
            </w:r>
          </w:p>
        </w:tc>
        <w:tc>
          <w:tcPr>
            <w:tcW w:w="881" w:type="dxa"/>
            <w:gridSpan w:val="4"/>
            <w:tcBorders>
              <w:top w:val="single" w:sz="4" w:space="0" w:color="003876"/>
              <w:left w:val="single" w:sz="4" w:space="0" w:color="003876"/>
              <w:bottom w:val="single" w:sz="4" w:space="0" w:color="003876"/>
              <w:right w:val="single" w:sz="4" w:space="0" w:color="003876"/>
            </w:tcBorders>
            <w:shd w:val="clear" w:color="auto" w:fill="auto"/>
            <w:tcMar>
              <w:left w:w="58" w:type="dxa"/>
              <w:right w:w="58" w:type="dxa"/>
            </w:tcMar>
            <w:vAlign w:val="center"/>
          </w:tcPr>
          <w:p w14:paraId="6D176CF0"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1904</w:t>
            </w:r>
          </w:p>
        </w:tc>
        <w:tc>
          <w:tcPr>
            <w:tcW w:w="967"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36BB199E"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543</w:t>
            </w:r>
          </w:p>
        </w:tc>
        <w:tc>
          <w:tcPr>
            <w:tcW w:w="968" w:type="dxa"/>
            <w:gridSpan w:val="3"/>
            <w:tcBorders>
              <w:top w:val="single" w:sz="4" w:space="0" w:color="003876"/>
              <w:left w:val="single" w:sz="4" w:space="0" w:color="003876"/>
              <w:bottom w:val="single" w:sz="4" w:space="0" w:color="003876"/>
              <w:right w:val="single" w:sz="4" w:space="0" w:color="003876"/>
            </w:tcBorders>
            <w:shd w:val="clear" w:color="auto" w:fill="auto"/>
            <w:vAlign w:val="center"/>
          </w:tcPr>
          <w:p w14:paraId="42D28190"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1319</w:t>
            </w:r>
          </w:p>
        </w:tc>
        <w:tc>
          <w:tcPr>
            <w:tcW w:w="967" w:type="dxa"/>
            <w:gridSpan w:val="5"/>
            <w:tcBorders>
              <w:top w:val="single" w:sz="4" w:space="0" w:color="003876"/>
              <w:left w:val="single" w:sz="4" w:space="0" w:color="003876"/>
              <w:bottom w:val="single" w:sz="4" w:space="0" w:color="003876"/>
              <w:right w:val="single" w:sz="4" w:space="0" w:color="003876"/>
            </w:tcBorders>
            <w:shd w:val="clear" w:color="auto" w:fill="auto"/>
            <w:vAlign w:val="center"/>
          </w:tcPr>
          <w:p w14:paraId="20C14FE0"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254</w:t>
            </w:r>
          </w:p>
        </w:tc>
        <w:tc>
          <w:tcPr>
            <w:tcW w:w="1258" w:type="dxa"/>
            <w:tcBorders>
              <w:top w:val="single" w:sz="4" w:space="0" w:color="003876"/>
              <w:left w:val="single" w:sz="4" w:space="0" w:color="003876"/>
              <w:bottom w:val="single" w:sz="4" w:space="0" w:color="003876"/>
              <w:right w:val="single" w:sz="4" w:space="0" w:color="003876"/>
            </w:tcBorders>
            <w:shd w:val="clear" w:color="auto" w:fill="auto"/>
            <w:vAlign w:val="center"/>
          </w:tcPr>
          <w:p w14:paraId="332200B2"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0</w:t>
            </w:r>
          </w:p>
        </w:tc>
      </w:tr>
      <w:tr w:rsidR="005C68B7" w:rsidRPr="00084D33" w14:paraId="552158C9" w14:textId="77777777" w:rsidTr="005C68B7">
        <w:trPr>
          <w:trHeight w:val="2690"/>
        </w:trPr>
        <w:tc>
          <w:tcPr>
            <w:tcW w:w="1119" w:type="dxa"/>
            <w:tcBorders>
              <w:top w:val="single" w:sz="4" w:space="0" w:color="003876"/>
              <w:left w:val="single" w:sz="4" w:space="0" w:color="003876"/>
              <w:bottom w:val="single" w:sz="4" w:space="0" w:color="003876"/>
              <w:right w:val="single" w:sz="4" w:space="0" w:color="003876"/>
            </w:tcBorders>
            <w:shd w:val="clear" w:color="auto" w:fill="EDEDED"/>
            <w:vAlign w:val="center"/>
          </w:tcPr>
          <w:p w14:paraId="1196E824" w14:textId="77777777" w:rsidR="005C68B7" w:rsidRPr="00084D33" w:rsidRDefault="005C68B7" w:rsidP="00CA4840">
            <w:pPr>
              <w:spacing w:line="240" w:lineRule="auto"/>
              <w:jc w:val="center"/>
              <w:rPr>
                <w:rFonts w:eastAsia="Calibri" w:cs="Times New Roman"/>
                <w:spacing w:val="0"/>
                <w:sz w:val="20"/>
                <w:szCs w:val="20"/>
              </w:rPr>
            </w:pPr>
            <w:r w:rsidRPr="00084D33">
              <w:rPr>
                <w:rFonts w:eastAsia="Calibri" w:cs="Times New Roman"/>
                <w:b/>
                <w:spacing w:val="0"/>
                <w:sz w:val="20"/>
                <w:szCs w:val="20"/>
              </w:rPr>
              <w:t>Total de plazas de carrera</w:t>
            </w:r>
            <w:r w:rsidRPr="00084D33">
              <w:rPr>
                <w:rFonts w:eastAsia="Calibri" w:cs="Times New Roman"/>
                <w:spacing w:val="0"/>
                <w:sz w:val="20"/>
                <w:szCs w:val="20"/>
              </w:rPr>
              <w:t xml:space="preserve"> </w:t>
            </w:r>
            <w:r w:rsidRPr="00084D33">
              <w:rPr>
                <w:rFonts w:eastAsia="Calibri" w:cs="Times New Roman"/>
                <w:spacing w:val="0"/>
                <w:sz w:val="18"/>
                <w:szCs w:val="18"/>
              </w:rPr>
              <w:t>(sumatoria de todos los servidores identificados en nómina en los grupos 3, 4 y 5</w:t>
            </w:r>
            <w:r w:rsidRPr="00084D33">
              <w:rPr>
                <w:rFonts w:eastAsia="Calibri" w:cs="Times New Roman"/>
                <w:spacing w:val="0"/>
                <w:sz w:val="20"/>
                <w:szCs w:val="20"/>
              </w:rPr>
              <w:t>)</w:t>
            </w:r>
          </w:p>
        </w:tc>
        <w:tc>
          <w:tcPr>
            <w:tcW w:w="7682" w:type="dxa"/>
            <w:gridSpan w:val="25"/>
            <w:tcBorders>
              <w:top w:val="single" w:sz="4" w:space="0" w:color="003876"/>
              <w:left w:val="single" w:sz="4" w:space="0" w:color="003876"/>
              <w:bottom w:val="single" w:sz="4" w:space="0" w:color="003876"/>
              <w:right w:val="single" w:sz="4" w:space="0" w:color="003876"/>
            </w:tcBorders>
            <w:shd w:val="clear" w:color="auto" w:fill="47A8EA"/>
            <w:vAlign w:val="center"/>
          </w:tcPr>
          <w:p w14:paraId="65545AC8" w14:textId="77777777" w:rsidR="005C68B7" w:rsidRPr="00084D33" w:rsidRDefault="005C68B7" w:rsidP="00CA4840">
            <w:pPr>
              <w:spacing w:line="240" w:lineRule="auto"/>
              <w:jc w:val="center"/>
              <w:rPr>
                <w:rFonts w:eastAsia="Calibri" w:cs="Times New Roman"/>
                <w:b/>
                <w:spacing w:val="0"/>
                <w:sz w:val="22"/>
              </w:rPr>
            </w:pPr>
            <w:r w:rsidRPr="00084D33">
              <w:rPr>
                <w:rFonts w:eastAsia="Calibri" w:cs="Times New Roman"/>
                <w:b/>
                <w:spacing w:val="0"/>
                <w:sz w:val="22"/>
              </w:rPr>
              <w:t>De los cuales son servidores de carrera:</w:t>
            </w:r>
          </w:p>
          <w:p w14:paraId="702BA337" w14:textId="77777777" w:rsidR="005C68B7" w:rsidRPr="00084D33" w:rsidRDefault="005C68B7" w:rsidP="00CA4840">
            <w:pPr>
              <w:spacing w:line="276" w:lineRule="auto"/>
              <w:jc w:val="center"/>
              <w:rPr>
                <w:rFonts w:eastAsia="Calibri" w:cs="Times New Roman"/>
                <w:spacing w:val="0"/>
                <w:sz w:val="20"/>
                <w:szCs w:val="20"/>
              </w:rPr>
            </w:pPr>
            <w:r w:rsidRPr="00084D33">
              <w:rPr>
                <w:rFonts w:eastAsia="Calibri" w:cs="Times New Roman"/>
                <w:spacing w:val="0"/>
                <w:sz w:val="20"/>
                <w:szCs w:val="20"/>
              </w:rPr>
              <w:t xml:space="preserve">(Introducir debajo la cantidad de servidores incorporados en carrera administrativa, que se desempeñan en cada grupo ocupacional, y de los que ocupan cargos de confianza y de libre nombramiento y remoción según corresponda) y </w:t>
            </w:r>
          </w:p>
        </w:tc>
      </w:tr>
      <w:tr w:rsidR="005C68B7" w:rsidRPr="00084D33" w14:paraId="30C5EC48" w14:textId="77777777" w:rsidTr="00CA4840">
        <w:trPr>
          <w:trHeight w:val="1475"/>
        </w:trPr>
        <w:tc>
          <w:tcPr>
            <w:tcW w:w="1119" w:type="dxa"/>
            <w:vMerge w:val="restart"/>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7B57EEC2"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2,116</w:t>
            </w:r>
          </w:p>
        </w:tc>
        <w:tc>
          <w:tcPr>
            <w:tcW w:w="1096"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776F7D36" w14:textId="77777777" w:rsidR="005C68B7" w:rsidRPr="00084D33" w:rsidRDefault="005C68B7" w:rsidP="00CA4840">
            <w:pPr>
              <w:spacing w:line="276" w:lineRule="auto"/>
              <w:jc w:val="center"/>
              <w:rPr>
                <w:rFonts w:eastAsia="Calibri" w:cs="Times New Roman"/>
                <w:spacing w:val="-12"/>
                <w:sz w:val="18"/>
                <w:szCs w:val="20"/>
              </w:rPr>
            </w:pPr>
            <w:r w:rsidRPr="00084D33">
              <w:rPr>
                <w:rFonts w:eastAsia="Calibri" w:cs="Times New Roman"/>
                <w:spacing w:val="-12"/>
                <w:sz w:val="18"/>
                <w:szCs w:val="20"/>
              </w:rPr>
              <w:t xml:space="preserve">Servidores Grupo Ocupacional </w:t>
            </w:r>
            <w:r w:rsidRPr="00084D33">
              <w:rPr>
                <w:rFonts w:eastAsia="Calibri" w:cs="Times New Roman"/>
                <w:spacing w:val="-12"/>
                <w:sz w:val="18"/>
                <w:szCs w:val="20"/>
              </w:rPr>
              <w:br/>
              <w:t xml:space="preserve">1 </w:t>
            </w: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0B2380D3" w14:textId="77777777" w:rsidR="005C68B7" w:rsidRPr="00084D33" w:rsidRDefault="005C68B7" w:rsidP="00CA4840">
            <w:pPr>
              <w:spacing w:line="276" w:lineRule="auto"/>
              <w:jc w:val="center"/>
              <w:rPr>
                <w:rFonts w:eastAsia="Calibri" w:cs="Times New Roman"/>
                <w:spacing w:val="-12"/>
                <w:sz w:val="18"/>
                <w:szCs w:val="20"/>
              </w:rPr>
            </w:pPr>
            <w:r w:rsidRPr="00084D33">
              <w:rPr>
                <w:rFonts w:eastAsia="Calibri" w:cs="Times New Roman"/>
                <w:spacing w:val="-12"/>
                <w:sz w:val="18"/>
                <w:szCs w:val="20"/>
              </w:rPr>
              <w:t xml:space="preserve">Servidores Grupo Ocupacional </w:t>
            </w:r>
            <w:r w:rsidRPr="00084D33">
              <w:rPr>
                <w:rFonts w:eastAsia="Calibri" w:cs="Times New Roman"/>
                <w:spacing w:val="-12"/>
                <w:sz w:val="18"/>
                <w:szCs w:val="20"/>
              </w:rPr>
              <w:br/>
              <w:t>2</w:t>
            </w:r>
          </w:p>
        </w:tc>
        <w:tc>
          <w:tcPr>
            <w:tcW w:w="108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6C11CA09" w14:textId="77777777" w:rsidR="005C68B7" w:rsidRPr="00084D33" w:rsidRDefault="005C68B7" w:rsidP="00CA4840">
            <w:pPr>
              <w:spacing w:line="276" w:lineRule="auto"/>
              <w:jc w:val="center"/>
              <w:rPr>
                <w:rFonts w:eastAsia="Calibri" w:cs="Times New Roman"/>
                <w:spacing w:val="-12"/>
                <w:sz w:val="18"/>
                <w:szCs w:val="20"/>
              </w:rPr>
            </w:pPr>
            <w:r w:rsidRPr="00084D33">
              <w:rPr>
                <w:rFonts w:eastAsia="Calibri" w:cs="Times New Roman"/>
                <w:spacing w:val="-12"/>
                <w:sz w:val="18"/>
                <w:szCs w:val="20"/>
              </w:rPr>
              <w:t xml:space="preserve">Servidores Grupo Ocupacional </w:t>
            </w:r>
            <w:r w:rsidRPr="00084D33">
              <w:rPr>
                <w:rFonts w:eastAsia="Calibri" w:cs="Times New Roman"/>
                <w:spacing w:val="-12"/>
                <w:sz w:val="18"/>
                <w:szCs w:val="20"/>
              </w:rPr>
              <w:br/>
              <w:t>III</w:t>
            </w:r>
          </w:p>
        </w:tc>
        <w:tc>
          <w:tcPr>
            <w:tcW w:w="1131"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01809BA2" w14:textId="77777777" w:rsidR="005C68B7" w:rsidRPr="00084D33" w:rsidRDefault="005C68B7" w:rsidP="00CA4840">
            <w:pPr>
              <w:spacing w:line="276" w:lineRule="auto"/>
              <w:jc w:val="center"/>
              <w:rPr>
                <w:rFonts w:eastAsia="Calibri" w:cs="Times New Roman"/>
                <w:spacing w:val="-10"/>
                <w:sz w:val="20"/>
                <w:szCs w:val="20"/>
              </w:rPr>
            </w:pPr>
            <w:r w:rsidRPr="00084D33">
              <w:rPr>
                <w:rFonts w:eastAsia="Calibri" w:cs="Times New Roman"/>
                <w:spacing w:val="-10"/>
                <w:sz w:val="20"/>
                <w:szCs w:val="20"/>
              </w:rPr>
              <w:t xml:space="preserve">Servidores Grupo Ocupacional </w:t>
            </w:r>
            <w:r w:rsidRPr="00084D33">
              <w:rPr>
                <w:rFonts w:eastAsia="Calibri" w:cs="Times New Roman"/>
                <w:spacing w:val="-10"/>
                <w:sz w:val="20"/>
                <w:szCs w:val="20"/>
              </w:rPr>
              <w:br/>
              <w:t>IV</w:t>
            </w:r>
          </w:p>
        </w:tc>
        <w:tc>
          <w:tcPr>
            <w:tcW w:w="1115" w:type="dxa"/>
            <w:gridSpan w:val="6"/>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3DDF39BE" w14:textId="77777777" w:rsidR="005C68B7" w:rsidRPr="00084D33" w:rsidRDefault="005C68B7" w:rsidP="00CA4840">
            <w:pPr>
              <w:spacing w:line="276" w:lineRule="auto"/>
              <w:jc w:val="center"/>
              <w:rPr>
                <w:rFonts w:eastAsia="Calibri" w:cs="Times New Roman"/>
                <w:b/>
                <w:spacing w:val="-10"/>
                <w:sz w:val="20"/>
                <w:szCs w:val="20"/>
              </w:rPr>
            </w:pPr>
            <w:r w:rsidRPr="00084D33">
              <w:rPr>
                <w:rFonts w:eastAsia="Calibri" w:cs="Times New Roman"/>
                <w:spacing w:val="-10"/>
                <w:sz w:val="20"/>
                <w:szCs w:val="20"/>
              </w:rPr>
              <w:t>Servidores Grupo Ocupacional V</w:t>
            </w:r>
          </w:p>
        </w:tc>
        <w:tc>
          <w:tcPr>
            <w:tcW w:w="2164"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7B70817" w14:textId="77777777" w:rsidR="005C68B7" w:rsidRPr="00084D33" w:rsidRDefault="005C68B7" w:rsidP="00CA4840">
            <w:pPr>
              <w:spacing w:line="276" w:lineRule="auto"/>
              <w:ind w:right="-44"/>
              <w:rPr>
                <w:rFonts w:eastAsia="Calibri" w:cs="Times New Roman"/>
                <w:b/>
                <w:spacing w:val="0"/>
                <w:sz w:val="20"/>
                <w:szCs w:val="20"/>
              </w:rPr>
            </w:pPr>
            <w:r w:rsidRPr="00084D33">
              <w:rPr>
                <w:rFonts w:eastAsia="Calibri" w:cs="Times New Roman"/>
                <w:b/>
                <w:spacing w:val="0"/>
                <w:sz w:val="20"/>
                <w:szCs w:val="20"/>
              </w:rPr>
              <w:t>Total, de plazas</w:t>
            </w:r>
          </w:p>
          <w:p w14:paraId="03BE2609" w14:textId="77777777" w:rsidR="005C68B7" w:rsidRPr="00084D33" w:rsidRDefault="005C68B7" w:rsidP="00CA4840">
            <w:pPr>
              <w:spacing w:line="276" w:lineRule="auto"/>
              <w:ind w:right="-44"/>
              <w:rPr>
                <w:rFonts w:eastAsia="Calibri" w:cs="Times New Roman"/>
                <w:b/>
                <w:spacing w:val="0"/>
                <w:sz w:val="20"/>
                <w:szCs w:val="20"/>
              </w:rPr>
            </w:pPr>
            <w:r w:rsidRPr="00084D33">
              <w:rPr>
                <w:rFonts w:eastAsia="Calibri" w:cs="Times New Roman"/>
                <w:b/>
                <w:spacing w:val="0"/>
                <w:sz w:val="20"/>
                <w:szCs w:val="20"/>
              </w:rPr>
              <w:t xml:space="preserve"> concursables </w:t>
            </w:r>
            <w:r w:rsidRPr="00084D33">
              <w:rPr>
                <w:rFonts w:eastAsia="Calibri" w:cs="Times New Roman"/>
                <w:spacing w:val="0"/>
                <w:sz w:val="16"/>
                <w:szCs w:val="16"/>
              </w:rPr>
              <w:t xml:space="preserve">(sumatoria de los servidores incorporados en carrera que se desempeñan en los grupos ocupacionales 3, 4 y 5) </w:t>
            </w:r>
          </w:p>
        </w:tc>
      </w:tr>
      <w:tr w:rsidR="005C68B7" w:rsidRPr="00084D33" w14:paraId="0A9D39FB" w14:textId="77777777" w:rsidTr="00CA4840">
        <w:trPr>
          <w:trHeight w:val="540"/>
        </w:trPr>
        <w:tc>
          <w:tcPr>
            <w:tcW w:w="1119" w:type="dxa"/>
            <w:vMerge/>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40644CC" w14:textId="77777777" w:rsidR="005C68B7" w:rsidRPr="00084D33" w:rsidRDefault="005C68B7" w:rsidP="00CA4840">
            <w:pPr>
              <w:spacing w:line="276" w:lineRule="auto"/>
              <w:jc w:val="left"/>
              <w:rPr>
                <w:rFonts w:eastAsia="Calibri" w:cs="Times New Roman"/>
                <w:b/>
                <w:spacing w:val="0"/>
                <w:sz w:val="20"/>
                <w:szCs w:val="20"/>
              </w:rPr>
            </w:pPr>
          </w:p>
        </w:tc>
        <w:tc>
          <w:tcPr>
            <w:tcW w:w="1096"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6F8A1A40"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85</w:t>
            </w: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201E08C8" w14:textId="77777777" w:rsidR="005C68B7" w:rsidRPr="00084D33" w:rsidRDefault="005C68B7" w:rsidP="00CA4840">
            <w:pPr>
              <w:spacing w:line="276" w:lineRule="auto"/>
              <w:ind w:left="-108" w:right="-113"/>
              <w:jc w:val="center"/>
              <w:rPr>
                <w:rFonts w:eastAsia="Calibri" w:cs="Times New Roman"/>
                <w:b/>
                <w:spacing w:val="0"/>
                <w:sz w:val="20"/>
                <w:szCs w:val="20"/>
              </w:rPr>
            </w:pPr>
            <w:r w:rsidRPr="00084D33">
              <w:rPr>
                <w:rFonts w:eastAsia="Calibri" w:cs="Times New Roman"/>
                <w:b/>
                <w:spacing w:val="0"/>
                <w:sz w:val="20"/>
                <w:szCs w:val="20"/>
              </w:rPr>
              <w:t>257</w:t>
            </w:r>
          </w:p>
        </w:tc>
        <w:tc>
          <w:tcPr>
            <w:tcW w:w="108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B439A20" w14:textId="77777777" w:rsidR="005C68B7" w:rsidRPr="00084D33" w:rsidRDefault="005C68B7" w:rsidP="00CA4840">
            <w:pPr>
              <w:spacing w:line="276" w:lineRule="auto"/>
              <w:ind w:left="-20" w:right="-21"/>
              <w:jc w:val="center"/>
              <w:rPr>
                <w:rFonts w:eastAsia="Calibri" w:cs="Times New Roman"/>
                <w:b/>
                <w:spacing w:val="0"/>
                <w:sz w:val="20"/>
                <w:szCs w:val="20"/>
              </w:rPr>
            </w:pPr>
            <w:r w:rsidRPr="00084D33">
              <w:rPr>
                <w:rFonts w:eastAsia="Calibri" w:cs="Times New Roman"/>
                <w:b/>
                <w:spacing w:val="0"/>
                <w:sz w:val="20"/>
                <w:szCs w:val="20"/>
              </w:rPr>
              <w:t>76</w:t>
            </w:r>
          </w:p>
        </w:tc>
        <w:tc>
          <w:tcPr>
            <w:tcW w:w="1131"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2B7CA3AE" w14:textId="77777777" w:rsidR="005C68B7" w:rsidRPr="00084D33" w:rsidRDefault="005C68B7" w:rsidP="00CA4840">
            <w:pPr>
              <w:spacing w:line="276" w:lineRule="auto"/>
              <w:jc w:val="center"/>
              <w:rPr>
                <w:rFonts w:eastAsia="Calibri" w:cs="Times New Roman"/>
                <w:b/>
                <w:spacing w:val="0"/>
                <w:sz w:val="18"/>
                <w:szCs w:val="18"/>
              </w:rPr>
            </w:pPr>
            <w:r w:rsidRPr="00084D33">
              <w:rPr>
                <w:rFonts w:eastAsia="Calibri" w:cs="Times New Roman"/>
                <w:b/>
                <w:spacing w:val="0"/>
                <w:sz w:val="18"/>
                <w:szCs w:val="18"/>
              </w:rPr>
              <w:t>210</w:t>
            </w:r>
          </w:p>
        </w:tc>
        <w:tc>
          <w:tcPr>
            <w:tcW w:w="1115" w:type="dxa"/>
            <w:gridSpan w:val="6"/>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67A00CD2"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52</w:t>
            </w:r>
          </w:p>
        </w:tc>
        <w:tc>
          <w:tcPr>
            <w:tcW w:w="2164"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0218C07D" w14:textId="77777777" w:rsidR="005C68B7" w:rsidRPr="00084D33" w:rsidRDefault="005C68B7" w:rsidP="00CA4840">
            <w:pPr>
              <w:spacing w:line="276" w:lineRule="auto"/>
              <w:ind w:left="-140" w:right="-102"/>
              <w:jc w:val="center"/>
              <w:rPr>
                <w:rFonts w:eastAsia="Calibri" w:cs="Times New Roman"/>
                <w:b/>
                <w:spacing w:val="0"/>
                <w:sz w:val="20"/>
                <w:szCs w:val="20"/>
              </w:rPr>
            </w:pPr>
            <w:r w:rsidRPr="00084D33">
              <w:rPr>
                <w:rFonts w:eastAsia="Calibri" w:cs="Times New Roman"/>
                <w:b/>
                <w:spacing w:val="0"/>
                <w:sz w:val="20"/>
                <w:szCs w:val="20"/>
              </w:rPr>
              <w:t>338</w:t>
            </w:r>
          </w:p>
        </w:tc>
      </w:tr>
      <w:tr w:rsidR="005C68B7" w:rsidRPr="00084D33" w14:paraId="696E21A6" w14:textId="77777777" w:rsidTr="00CA4840">
        <w:trPr>
          <w:trHeight w:val="2051"/>
        </w:trPr>
        <w:tc>
          <w:tcPr>
            <w:tcW w:w="1119" w:type="dxa"/>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4CC5F900" w14:textId="77777777" w:rsidR="005C68B7" w:rsidRPr="00084D33" w:rsidRDefault="005C68B7" w:rsidP="00CA4840">
            <w:pPr>
              <w:spacing w:line="240" w:lineRule="auto"/>
              <w:ind w:right="-37"/>
              <w:jc w:val="left"/>
              <w:rPr>
                <w:rFonts w:eastAsia="Calibri" w:cs="Times New Roman"/>
                <w:spacing w:val="-4"/>
                <w:sz w:val="18"/>
                <w:szCs w:val="18"/>
              </w:rPr>
            </w:pPr>
            <w:r w:rsidRPr="00084D33">
              <w:rPr>
                <w:rFonts w:eastAsia="Calibri" w:cs="Times New Roman"/>
                <w:spacing w:val="-4"/>
                <w:sz w:val="18"/>
                <w:szCs w:val="18"/>
              </w:rPr>
              <w:t>Cantidad de Servidores de carrera incorporados por evaluación interna hasta enero 2016</w:t>
            </w:r>
          </w:p>
        </w:tc>
        <w:tc>
          <w:tcPr>
            <w:tcW w:w="1096"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tcMar>
              <w:left w:w="58" w:type="dxa"/>
              <w:right w:w="58" w:type="dxa"/>
            </w:tcMar>
            <w:vAlign w:val="center"/>
          </w:tcPr>
          <w:p w14:paraId="61EE42EA" w14:textId="77777777" w:rsidR="005C68B7" w:rsidRPr="00084D33" w:rsidRDefault="005C68B7" w:rsidP="00CA4840">
            <w:pPr>
              <w:spacing w:line="240" w:lineRule="auto"/>
              <w:ind w:left="-26" w:right="-16"/>
              <w:jc w:val="center"/>
              <w:rPr>
                <w:rFonts w:eastAsia="Calibri" w:cs="Times New Roman"/>
                <w:spacing w:val="-4"/>
                <w:sz w:val="18"/>
                <w:szCs w:val="18"/>
              </w:rPr>
            </w:pPr>
            <w:r w:rsidRPr="00084D33">
              <w:rPr>
                <w:rFonts w:eastAsia="Calibri" w:cs="Times New Roman"/>
                <w:spacing w:val="-4"/>
                <w:sz w:val="18"/>
                <w:szCs w:val="18"/>
              </w:rPr>
              <w:t>Cantidad de Servidores de carrera incorporados por concurso hasta la fecha</w:t>
            </w:r>
          </w:p>
          <w:p w14:paraId="0C89F855" w14:textId="77777777" w:rsidR="005C68B7" w:rsidRPr="00084D33" w:rsidRDefault="005C68B7" w:rsidP="00CA4840">
            <w:pPr>
              <w:spacing w:line="240" w:lineRule="auto"/>
              <w:jc w:val="center"/>
              <w:rPr>
                <w:rFonts w:eastAsia="Calibri" w:cs="Times New Roman"/>
                <w:spacing w:val="-4"/>
                <w:sz w:val="18"/>
                <w:szCs w:val="18"/>
              </w:rPr>
            </w:pP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58" w:type="dxa"/>
              <w:right w:w="58" w:type="dxa"/>
            </w:tcMar>
            <w:vAlign w:val="center"/>
          </w:tcPr>
          <w:p w14:paraId="240888E2" w14:textId="77777777" w:rsidR="005C68B7" w:rsidRPr="00084D33" w:rsidRDefault="005C68B7" w:rsidP="00CA4840">
            <w:pPr>
              <w:spacing w:line="240" w:lineRule="auto"/>
              <w:ind w:left="-52" w:right="-53"/>
              <w:jc w:val="center"/>
              <w:rPr>
                <w:rFonts w:eastAsia="Calibri" w:cs="Times New Roman"/>
                <w:spacing w:val="-4"/>
                <w:sz w:val="18"/>
                <w:szCs w:val="18"/>
              </w:rPr>
            </w:pPr>
            <w:r w:rsidRPr="00084D33">
              <w:rPr>
                <w:rFonts w:eastAsia="Calibri" w:cs="Times New Roman"/>
                <w:spacing w:val="-4"/>
                <w:sz w:val="18"/>
                <w:szCs w:val="18"/>
              </w:rPr>
              <w:t>Total, histórico de incorporados por concurso y por evaluación interna en la institución</w:t>
            </w:r>
          </w:p>
        </w:tc>
        <w:tc>
          <w:tcPr>
            <w:tcW w:w="108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58" w:type="dxa"/>
              <w:right w:w="58" w:type="dxa"/>
            </w:tcMar>
            <w:vAlign w:val="center"/>
          </w:tcPr>
          <w:p w14:paraId="7677FBD2" w14:textId="77777777" w:rsidR="005C68B7" w:rsidRPr="00084D33" w:rsidRDefault="005C68B7" w:rsidP="00CA4840">
            <w:pPr>
              <w:spacing w:line="240" w:lineRule="auto"/>
              <w:ind w:left="-15" w:right="-16"/>
              <w:jc w:val="center"/>
              <w:rPr>
                <w:rFonts w:eastAsia="Calibri" w:cs="Times New Roman"/>
                <w:spacing w:val="-4"/>
                <w:sz w:val="18"/>
                <w:szCs w:val="18"/>
              </w:rPr>
            </w:pPr>
            <w:r w:rsidRPr="00084D33">
              <w:rPr>
                <w:rFonts w:eastAsia="Calibri" w:cs="Times New Roman"/>
                <w:spacing w:val="-4"/>
                <w:sz w:val="18"/>
                <w:szCs w:val="18"/>
              </w:rPr>
              <w:t>Total de servidores de carrera activos en la institución.</w:t>
            </w:r>
          </w:p>
        </w:tc>
        <w:tc>
          <w:tcPr>
            <w:tcW w:w="2246" w:type="dxa"/>
            <w:gridSpan w:val="9"/>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7404B08E" w14:textId="77777777" w:rsidR="005C68B7" w:rsidRPr="00084D33" w:rsidRDefault="005C68B7" w:rsidP="00CA4840">
            <w:pPr>
              <w:spacing w:line="240" w:lineRule="auto"/>
              <w:ind w:left="-20" w:right="-108"/>
              <w:jc w:val="center"/>
              <w:rPr>
                <w:rFonts w:eastAsia="Calibri" w:cs="Times New Roman"/>
                <w:spacing w:val="-4"/>
                <w:sz w:val="18"/>
                <w:szCs w:val="18"/>
              </w:rPr>
            </w:pPr>
            <w:r w:rsidRPr="00084D33">
              <w:rPr>
                <w:rFonts w:eastAsia="Calibri" w:cs="Times New Roman"/>
                <w:spacing w:val="-4"/>
                <w:sz w:val="18"/>
                <w:szCs w:val="18"/>
              </w:rPr>
              <w:t>Total, de servidores de Carreras Inactivos en la Institución a la fecha.</w:t>
            </w:r>
          </w:p>
        </w:tc>
        <w:tc>
          <w:tcPr>
            <w:tcW w:w="2164"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72F62ECB" w14:textId="77777777" w:rsidR="005C68B7" w:rsidRPr="00084D33" w:rsidRDefault="005C68B7" w:rsidP="00CA4840">
            <w:pPr>
              <w:spacing w:line="240" w:lineRule="auto"/>
              <w:jc w:val="center"/>
              <w:rPr>
                <w:rFonts w:eastAsia="Calibri" w:cs="Times New Roman"/>
                <w:spacing w:val="-4"/>
                <w:sz w:val="18"/>
                <w:szCs w:val="18"/>
              </w:rPr>
            </w:pPr>
            <w:r w:rsidRPr="00084D33">
              <w:rPr>
                <w:rFonts w:eastAsia="Calibri" w:cs="Times New Roman"/>
                <w:spacing w:val="-4"/>
                <w:sz w:val="18"/>
                <w:szCs w:val="18"/>
              </w:rPr>
              <w:t>Total de servidores incorporados a carrera administrativa por concursos durante el intervalo de un año.</w:t>
            </w:r>
          </w:p>
        </w:tc>
      </w:tr>
      <w:tr w:rsidR="005C68B7" w:rsidRPr="00084D33" w14:paraId="2FCBDFAC" w14:textId="77777777" w:rsidTr="00CA4840">
        <w:trPr>
          <w:trHeight w:val="79"/>
        </w:trPr>
        <w:tc>
          <w:tcPr>
            <w:tcW w:w="1119" w:type="dxa"/>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410DB98B" w14:textId="77777777" w:rsidR="005C68B7" w:rsidRPr="00084D33" w:rsidRDefault="005C68B7" w:rsidP="00CA4840">
            <w:pPr>
              <w:spacing w:line="276" w:lineRule="auto"/>
              <w:jc w:val="center"/>
              <w:rPr>
                <w:rFonts w:eastAsia="Calibri" w:cs="Times New Roman"/>
                <w:b/>
                <w:spacing w:val="0"/>
                <w:sz w:val="18"/>
                <w:szCs w:val="18"/>
              </w:rPr>
            </w:pPr>
            <w:r w:rsidRPr="00084D33">
              <w:rPr>
                <w:rFonts w:eastAsia="Calibri" w:cs="Times New Roman"/>
                <w:b/>
                <w:spacing w:val="0"/>
                <w:sz w:val="18"/>
                <w:szCs w:val="18"/>
              </w:rPr>
              <w:t>1,614</w:t>
            </w:r>
          </w:p>
        </w:tc>
        <w:tc>
          <w:tcPr>
            <w:tcW w:w="1096"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4693D3FA" w14:textId="77777777" w:rsidR="005C68B7" w:rsidRPr="00084D33" w:rsidRDefault="005C68B7" w:rsidP="00CA4840">
            <w:pPr>
              <w:spacing w:line="276" w:lineRule="auto"/>
              <w:jc w:val="center"/>
              <w:rPr>
                <w:rFonts w:eastAsia="Calibri" w:cs="Times New Roman"/>
                <w:b/>
                <w:spacing w:val="0"/>
                <w:sz w:val="18"/>
                <w:szCs w:val="18"/>
              </w:rPr>
            </w:pPr>
            <w:r w:rsidRPr="00084D33">
              <w:rPr>
                <w:rFonts w:eastAsia="Calibri" w:cs="Times New Roman"/>
                <w:b/>
                <w:spacing w:val="0"/>
                <w:sz w:val="18"/>
                <w:szCs w:val="18"/>
              </w:rPr>
              <w:t>04</w:t>
            </w: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037E66D" w14:textId="77777777" w:rsidR="005C68B7" w:rsidRPr="00084D33" w:rsidRDefault="005C68B7" w:rsidP="00CA4840">
            <w:pPr>
              <w:spacing w:line="276" w:lineRule="auto"/>
              <w:ind w:left="-108" w:right="-106"/>
              <w:jc w:val="center"/>
              <w:rPr>
                <w:rFonts w:eastAsia="Calibri" w:cs="Times New Roman"/>
                <w:b/>
                <w:spacing w:val="0"/>
                <w:sz w:val="18"/>
                <w:szCs w:val="18"/>
              </w:rPr>
            </w:pPr>
            <w:r w:rsidRPr="00084D33">
              <w:rPr>
                <w:rFonts w:eastAsia="Calibri" w:cs="Times New Roman"/>
                <w:b/>
                <w:spacing w:val="0"/>
                <w:sz w:val="18"/>
                <w:szCs w:val="18"/>
              </w:rPr>
              <w:t>1,617</w:t>
            </w:r>
          </w:p>
        </w:tc>
        <w:tc>
          <w:tcPr>
            <w:tcW w:w="108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6B8FBDCF" w14:textId="77777777" w:rsidR="005C68B7" w:rsidRPr="00084D33" w:rsidRDefault="005C68B7" w:rsidP="00CA4840">
            <w:pPr>
              <w:spacing w:line="276" w:lineRule="auto"/>
              <w:ind w:left="-108" w:right="-106"/>
              <w:jc w:val="center"/>
              <w:rPr>
                <w:rFonts w:eastAsia="Calibri" w:cs="Times New Roman"/>
                <w:b/>
                <w:spacing w:val="0"/>
                <w:sz w:val="18"/>
                <w:szCs w:val="18"/>
              </w:rPr>
            </w:pPr>
            <w:r w:rsidRPr="00084D33">
              <w:rPr>
                <w:rFonts w:eastAsia="Calibri" w:cs="Times New Roman"/>
                <w:b/>
                <w:spacing w:val="0"/>
                <w:sz w:val="20"/>
                <w:szCs w:val="20"/>
              </w:rPr>
              <w:t>680</w:t>
            </w:r>
          </w:p>
        </w:tc>
        <w:tc>
          <w:tcPr>
            <w:tcW w:w="2246" w:type="dxa"/>
            <w:gridSpan w:val="9"/>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0471A2B7" w14:textId="77777777" w:rsidR="005C68B7" w:rsidRPr="00084D33" w:rsidRDefault="005C68B7" w:rsidP="00CA4840">
            <w:pPr>
              <w:spacing w:line="276" w:lineRule="auto"/>
              <w:ind w:left="-20" w:right="-108"/>
              <w:jc w:val="center"/>
              <w:rPr>
                <w:rFonts w:eastAsia="Calibri" w:cs="Times New Roman"/>
                <w:b/>
                <w:spacing w:val="0"/>
                <w:sz w:val="20"/>
                <w:szCs w:val="20"/>
              </w:rPr>
            </w:pPr>
            <w:r w:rsidRPr="00084D33">
              <w:rPr>
                <w:rFonts w:eastAsia="Calibri" w:cs="Times New Roman"/>
                <w:b/>
                <w:spacing w:val="0"/>
                <w:sz w:val="20"/>
                <w:szCs w:val="20"/>
              </w:rPr>
              <w:t>937</w:t>
            </w:r>
          </w:p>
        </w:tc>
        <w:tc>
          <w:tcPr>
            <w:tcW w:w="2164"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167C0B58"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0</w:t>
            </w:r>
          </w:p>
        </w:tc>
      </w:tr>
      <w:tr w:rsidR="005C68B7" w:rsidRPr="00084D33" w14:paraId="1FF8346E" w14:textId="77777777" w:rsidTr="00CA4840">
        <w:trPr>
          <w:trHeight w:val="323"/>
        </w:trPr>
        <w:tc>
          <w:tcPr>
            <w:tcW w:w="8801" w:type="dxa"/>
            <w:gridSpan w:val="26"/>
            <w:tcBorders>
              <w:top w:val="single" w:sz="4" w:space="0" w:color="003876"/>
              <w:left w:val="single" w:sz="4" w:space="0" w:color="003876"/>
              <w:bottom w:val="single" w:sz="4" w:space="0" w:color="003876"/>
              <w:right w:val="single" w:sz="4" w:space="0" w:color="003876"/>
            </w:tcBorders>
            <w:shd w:val="clear" w:color="auto" w:fill="FFFFFF"/>
            <w:vAlign w:val="center"/>
          </w:tcPr>
          <w:p w14:paraId="3B50A5DF" w14:textId="77777777" w:rsidR="005C68B7" w:rsidRPr="00084D33" w:rsidRDefault="005C68B7" w:rsidP="00CA4840">
            <w:pPr>
              <w:spacing w:line="276" w:lineRule="auto"/>
              <w:jc w:val="left"/>
              <w:rPr>
                <w:rFonts w:eastAsia="Calibri" w:cs="Times New Roman"/>
                <w:spacing w:val="0"/>
                <w:sz w:val="20"/>
                <w:szCs w:val="20"/>
              </w:rPr>
            </w:pPr>
            <w:r w:rsidRPr="00084D33">
              <w:rPr>
                <w:rFonts w:eastAsia="Calibri" w:cs="Times New Roman"/>
                <w:spacing w:val="0"/>
                <w:sz w:val="20"/>
                <w:szCs w:val="20"/>
              </w:rPr>
              <w:lastRenderedPageBreak/>
              <w:t xml:space="preserve">Observaciones: </w:t>
            </w:r>
          </w:p>
        </w:tc>
      </w:tr>
      <w:tr w:rsidR="005C68B7" w:rsidRPr="00084D33" w14:paraId="6FE4EB1D" w14:textId="77777777" w:rsidTr="00CA4840">
        <w:trPr>
          <w:trHeight w:val="191"/>
        </w:trPr>
        <w:tc>
          <w:tcPr>
            <w:tcW w:w="8801" w:type="dxa"/>
            <w:gridSpan w:val="26"/>
            <w:tcBorders>
              <w:top w:val="single" w:sz="4" w:space="0" w:color="003876"/>
              <w:left w:val="single" w:sz="4" w:space="0" w:color="003876"/>
              <w:bottom w:val="single" w:sz="4" w:space="0" w:color="003876"/>
              <w:right w:val="single" w:sz="4" w:space="0" w:color="003876"/>
            </w:tcBorders>
            <w:shd w:val="clear" w:color="auto" w:fill="142F62"/>
            <w:vAlign w:val="center"/>
          </w:tcPr>
          <w:p w14:paraId="10002054" w14:textId="77777777" w:rsidR="005C68B7" w:rsidRPr="00084D33" w:rsidRDefault="005C68B7" w:rsidP="00D131A1">
            <w:pPr>
              <w:numPr>
                <w:ilvl w:val="0"/>
                <w:numId w:val="13"/>
              </w:numPr>
              <w:spacing w:after="160" w:line="276" w:lineRule="auto"/>
              <w:ind w:left="313" w:hanging="313"/>
              <w:contextualSpacing/>
              <w:jc w:val="center"/>
              <w:rPr>
                <w:rFonts w:eastAsia="Calibri" w:cs="Times New Roman"/>
                <w:b/>
                <w:spacing w:val="0"/>
                <w:szCs w:val="20"/>
              </w:rPr>
            </w:pPr>
            <w:r w:rsidRPr="00084D33">
              <w:rPr>
                <w:rFonts w:eastAsia="Calibri" w:cs="Times New Roman"/>
                <w:b/>
                <w:spacing w:val="0"/>
                <w:szCs w:val="20"/>
              </w:rPr>
              <w:t>Incorporación de cargos clave</w:t>
            </w:r>
          </w:p>
        </w:tc>
      </w:tr>
      <w:tr w:rsidR="005C68B7" w:rsidRPr="00084D33" w14:paraId="74CF917D" w14:textId="77777777" w:rsidTr="00CA4840">
        <w:trPr>
          <w:trHeight w:val="280"/>
        </w:trPr>
        <w:tc>
          <w:tcPr>
            <w:tcW w:w="4821" w:type="dxa"/>
            <w:gridSpan w:val="14"/>
            <w:vMerge w:val="restart"/>
            <w:tcBorders>
              <w:top w:val="single" w:sz="4" w:space="0" w:color="003876"/>
              <w:left w:val="single" w:sz="4" w:space="0" w:color="003876"/>
              <w:bottom w:val="single" w:sz="4" w:space="0" w:color="003876"/>
              <w:right w:val="single" w:sz="4" w:space="0" w:color="003876"/>
            </w:tcBorders>
            <w:shd w:val="clear" w:color="auto" w:fill="47A8EA"/>
            <w:vAlign w:val="center"/>
          </w:tcPr>
          <w:p w14:paraId="3C1CA502"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Cargos</w:t>
            </w:r>
          </w:p>
        </w:tc>
        <w:tc>
          <w:tcPr>
            <w:tcW w:w="2084" w:type="dxa"/>
            <w:gridSpan w:val="8"/>
            <w:tcBorders>
              <w:top w:val="single" w:sz="4" w:space="0" w:color="003876"/>
              <w:left w:val="single" w:sz="4" w:space="0" w:color="003876"/>
              <w:bottom w:val="single" w:sz="4" w:space="0" w:color="003876"/>
              <w:right w:val="single" w:sz="4" w:space="0" w:color="003876"/>
            </w:tcBorders>
            <w:shd w:val="clear" w:color="auto" w:fill="47A8EA"/>
            <w:vAlign w:val="center"/>
          </w:tcPr>
          <w:p w14:paraId="31F2FFBD"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 xml:space="preserve">     Incorporado</w:t>
            </w:r>
          </w:p>
        </w:tc>
        <w:tc>
          <w:tcPr>
            <w:tcW w:w="1896" w:type="dxa"/>
            <w:gridSpan w:val="4"/>
            <w:tcBorders>
              <w:top w:val="single" w:sz="4" w:space="0" w:color="003876"/>
              <w:left w:val="single" w:sz="4" w:space="0" w:color="003876"/>
              <w:bottom w:val="single" w:sz="4" w:space="0" w:color="003876"/>
              <w:right w:val="single" w:sz="4" w:space="0" w:color="003876"/>
            </w:tcBorders>
            <w:shd w:val="clear" w:color="auto" w:fill="47A8EA"/>
            <w:vAlign w:val="center"/>
          </w:tcPr>
          <w:p w14:paraId="5249D079"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No incorporado</w:t>
            </w:r>
          </w:p>
        </w:tc>
      </w:tr>
      <w:tr w:rsidR="005C68B7" w:rsidRPr="00084D33" w14:paraId="52D14812" w14:textId="77777777" w:rsidTr="00CA4840">
        <w:trPr>
          <w:trHeight w:val="87"/>
        </w:trPr>
        <w:tc>
          <w:tcPr>
            <w:tcW w:w="4821" w:type="dxa"/>
            <w:gridSpan w:val="14"/>
            <w:vMerge/>
            <w:tcBorders>
              <w:top w:val="single" w:sz="4" w:space="0" w:color="003876"/>
              <w:left w:val="single" w:sz="4" w:space="0" w:color="003876"/>
              <w:bottom w:val="single" w:sz="4" w:space="0" w:color="003876"/>
              <w:right w:val="single" w:sz="4" w:space="0" w:color="003876"/>
            </w:tcBorders>
            <w:shd w:val="clear" w:color="auto" w:fill="DEEAF6"/>
            <w:vAlign w:val="center"/>
          </w:tcPr>
          <w:p w14:paraId="5A0D58F4" w14:textId="77777777" w:rsidR="005C68B7" w:rsidRPr="00084D33" w:rsidRDefault="005C68B7" w:rsidP="00CA4840">
            <w:pPr>
              <w:spacing w:line="276" w:lineRule="auto"/>
              <w:jc w:val="center"/>
              <w:rPr>
                <w:rFonts w:eastAsia="Calibri" w:cs="Times New Roman"/>
                <w:spacing w:val="0"/>
                <w:sz w:val="20"/>
                <w:szCs w:val="20"/>
              </w:rPr>
            </w:pPr>
          </w:p>
        </w:tc>
        <w:tc>
          <w:tcPr>
            <w:tcW w:w="2084" w:type="dxa"/>
            <w:gridSpan w:val="8"/>
            <w:tcBorders>
              <w:top w:val="single" w:sz="4" w:space="0" w:color="003876"/>
              <w:left w:val="single" w:sz="4" w:space="0" w:color="003876"/>
              <w:bottom w:val="single" w:sz="4" w:space="0" w:color="003876"/>
              <w:right w:val="single" w:sz="4" w:space="0" w:color="003876"/>
            </w:tcBorders>
            <w:shd w:val="clear" w:color="auto" w:fill="47A8EA"/>
            <w:vAlign w:val="center"/>
          </w:tcPr>
          <w:p w14:paraId="4D1A5BE3" w14:textId="77777777" w:rsidR="005C68B7" w:rsidRPr="00084D33" w:rsidRDefault="005C68B7" w:rsidP="00CA4840">
            <w:pPr>
              <w:spacing w:line="276" w:lineRule="auto"/>
              <w:jc w:val="left"/>
              <w:rPr>
                <w:rFonts w:eastAsia="Calibri" w:cs="Times New Roman"/>
                <w:b/>
                <w:spacing w:val="0"/>
                <w:sz w:val="20"/>
                <w:szCs w:val="20"/>
              </w:rPr>
            </w:pPr>
          </w:p>
        </w:tc>
        <w:tc>
          <w:tcPr>
            <w:tcW w:w="1896" w:type="dxa"/>
            <w:gridSpan w:val="4"/>
            <w:tcBorders>
              <w:top w:val="single" w:sz="4" w:space="0" w:color="003876"/>
              <w:left w:val="single" w:sz="4" w:space="0" w:color="003876"/>
              <w:bottom w:val="single" w:sz="4" w:space="0" w:color="003876"/>
              <w:right w:val="single" w:sz="4" w:space="0" w:color="003876"/>
            </w:tcBorders>
            <w:shd w:val="clear" w:color="auto" w:fill="47A8EA"/>
            <w:vAlign w:val="center"/>
          </w:tcPr>
          <w:p w14:paraId="0743E5BD" w14:textId="77777777" w:rsidR="005C68B7" w:rsidRPr="00084D33" w:rsidRDefault="005C68B7" w:rsidP="00CA4840">
            <w:pPr>
              <w:spacing w:line="276" w:lineRule="auto"/>
              <w:jc w:val="center"/>
              <w:rPr>
                <w:rFonts w:eastAsia="Calibri" w:cs="Times New Roman"/>
                <w:spacing w:val="0"/>
                <w:sz w:val="20"/>
                <w:szCs w:val="20"/>
              </w:rPr>
            </w:pPr>
          </w:p>
        </w:tc>
      </w:tr>
      <w:tr w:rsidR="005C68B7" w:rsidRPr="00084D33" w14:paraId="022F88D2" w14:textId="77777777" w:rsidTr="005C68B7">
        <w:trPr>
          <w:trHeight w:val="529"/>
        </w:trPr>
        <w:tc>
          <w:tcPr>
            <w:tcW w:w="4821" w:type="dxa"/>
            <w:gridSpan w:val="14"/>
            <w:tcBorders>
              <w:top w:val="single" w:sz="4" w:space="0" w:color="003876"/>
              <w:left w:val="single" w:sz="4" w:space="0" w:color="003876"/>
              <w:bottom w:val="single" w:sz="4" w:space="0" w:color="003876"/>
              <w:right w:val="single" w:sz="4" w:space="0" w:color="003876"/>
            </w:tcBorders>
            <w:shd w:val="clear" w:color="auto" w:fill="E0E6ED"/>
            <w:vAlign w:val="center"/>
          </w:tcPr>
          <w:p w14:paraId="41C6AE29" w14:textId="77777777" w:rsidR="005C68B7" w:rsidRPr="00084D33" w:rsidRDefault="005C68B7" w:rsidP="00CA4840">
            <w:pPr>
              <w:spacing w:line="276" w:lineRule="auto"/>
              <w:jc w:val="left"/>
              <w:rPr>
                <w:rFonts w:eastAsia="Calibri" w:cs="Times New Roman"/>
                <w:spacing w:val="0"/>
                <w:sz w:val="20"/>
                <w:szCs w:val="20"/>
              </w:rPr>
            </w:pPr>
            <w:r w:rsidRPr="00084D33">
              <w:rPr>
                <w:rFonts w:eastAsia="Calibri" w:cs="Times New Roman"/>
                <w:spacing w:val="0"/>
                <w:sz w:val="20"/>
                <w:szCs w:val="20"/>
              </w:rPr>
              <w:t>Director (a) o Encargado (a) de Recursos Humanos</w:t>
            </w:r>
          </w:p>
        </w:tc>
        <w:tc>
          <w:tcPr>
            <w:tcW w:w="2084" w:type="dxa"/>
            <w:gridSpan w:val="8"/>
            <w:tcBorders>
              <w:top w:val="single" w:sz="4" w:space="0" w:color="003876"/>
              <w:left w:val="single" w:sz="4" w:space="0" w:color="003876"/>
              <w:bottom w:val="single" w:sz="4" w:space="0" w:color="003876"/>
              <w:right w:val="single" w:sz="4" w:space="0" w:color="003876"/>
            </w:tcBorders>
            <w:shd w:val="clear" w:color="auto" w:fill="auto"/>
            <w:vAlign w:val="center"/>
          </w:tcPr>
          <w:p w14:paraId="7E1429A4"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N/A</w:t>
            </w:r>
          </w:p>
        </w:tc>
        <w:tc>
          <w:tcPr>
            <w:tcW w:w="1896"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668E751B" w14:textId="77777777" w:rsidR="005C68B7" w:rsidRPr="00084D33" w:rsidRDefault="005C68B7" w:rsidP="00CA4840">
            <w:pPr>
              <w:spacing w:line="276" w:lineRule="auto"/>
              <w:jc w:val="center"/>
              <w:rPr>
                <w:rFonts w:eastAsia="Calibri" w:cs="Times New Roman"/>
                <w:spacing w:val="0"/>
                <w:sz w:val="20"/>
                <w:szCs w:val="20"/>
              </w:rPr>
            </w:pPr>
            <w:r w:rsidRPr="00084D33">
              <w:rPr>
                <w:rFonts w:eastAsia="Calibri" w:cs="Times New Roman"/>
                <w:spacing w:val="0"/>
                <w:sz w:val="20"/>
                <w:szCs w:val="20"/>
              </w:rPr>
              <w:t>0</w:t>
            </w:r>
          </w:p>
        </w:tc>
      </w:tr>
      <w:tr w:rsidR="005C68B7" w:rsidRPr="00084D33" w14:paraId="0505FEC9" w14:textId="77777777" w:rsidTr="005C68B7">
        <w:trPr>
          <w:trHeight w:val="529"/>
        </w:trPr>
        <w:tc>
          <w:tcPr>
            <w:tcW w:w="4821" w:type="dxa"/>
            <w:gridSpan w:val="14"/>
            <w:tcBorders>
              <w:top w:val="single" w:sz="4" w:space="0" w:color="003876"/>
              <w:left w:val="single" w:sz="4" w:space="0" w:color="003876"/>
              <w:bottom w:val="single" w:sz="4" w:space="0" w:color="003876"/>
              <w:right w:val="single" w:sz="4" w:space="0" w:color="003876"/>
            </w:tcBorders>
            <w:shd w:val="clear" w:color="auto" w:fill="E0E6ED"/>
            <w:vAlign w:val="center"/>
          </w:tcPr>
          <w:p w14:paraId="74A08500" w14:textId="77777777" w:rsidR="005C68B7" w:rsidRPr="00084D33" w:rsidRDefault="005C68B7" w:rsidP="00CA4840">
            <w:pPr>
              <w:spacing w:line="276" w:lineRule="auto"/>
              <w:jc w:val="left"/>
              <w:rPr>
                <w:rFonts w:eastAsia="Calibri" w:cs="Times New Roman"/>
                <w:spacing w:val="0"/>
                <w:sz w:val="20"/>
                <w:szCs w:val="20"/>
              </w:rPr>
            </w:pPr>
            <w:r w:rsidRPr="00084D33">
              <w:rPr>
                <w:rFonts w:eastAsia="Calibri" w:cs="Times New Roman"/>
                <w:spacing w:val="0"/>
                <w:sz w:val="20"/>
                <w:szCs w:val="20"/>
              </w:rPr>
              <w:t>Director (a) o Encargado (a) de Tecnologías de la Información y Comunicaciones</w:t>
            </w:r>
          </w:p>
        </w:tc>
        <w:tc>
          <w:tcPr>
            <w:tcW w:w="2084" w:type="dxa"/>
            <w:gridSpan w:val="8"/>
            <w:tcBorders>
              <w:top w:val="single" w:sz="4" w:space="0" w:color="003876"/>
              <w:left w:val="single" w:sz="4" w:space="0" w:color="003876"/>
              <w:bottom w:val="single" w:sz="4" w:space="0" w:color="003876"/>
              <w:right w:val="single" w:sz="4" w:space="0" w:color="003876"/>
            </w:tcBorders>
            <w:shd w:val="clear" w:color="auto" w:fill="auto"/>
            <w:vAlign w:val="center"/>
          </w:tcPr>
          <w:p w14:paraId="4D1B515B" w14:textId="77777777" w:rsidR="005C68B7" w:rsidRPr="00084D33" w:rsidRDefault="005C68B7" w:rsidP="00CA4840">
            <w:pPr>
              <w:spacing w:line="276" w:lineRule="auto"/>
              <w:jc w:val="center"/>
              <w:rPr>
                <w:rFonts w:eastAsia="Calibri" w:cs="Times New Roman"/>
                <w:spacing w:val="0"/>
                <w:sz w:val="20"/>
                <w:szCs w:val="20"/>
              </w:rPr>
            </w:pPr>
            <w:r w:rsidRPr="00084D33">
              <w:rPr>
                <w:rFonts w:eastAsia="Calibri" w:cs="Times New Roman"/>
                <w:b/>
                <w:spacing w:val="0"/>
                <w:sz w:val="20"/>
                <w:szCs w:val="20"/>
              </w:rPr>
              <w:t>N/A</w:t>
            </w:r>
          </w:p>
        </w:tc>
        <w:tc>
          <w:tcPr>
            <w:tcW w:w="1896"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2C0CE04F"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0</w:t>
            </w:r>
          </w:p>
        </w:tc>
      </w:tr>
      <w:tr w:rsidR="005C68B7" w:rsidRPr="00084D33" w14:paraId="4E47F2E9" w14:textId="77777777" w:rsidTr="005C68B7">
        <w:trPr>
          <w:trHeight w:val="529"/>
        </w:trPr>
        <w:tc>
          <w:tcPr>
            <w:tcW w:w="4821" w:type="dxa"/>
            <w:gridSpan w:val="14"/>
            <w:tcBorders>
              <w:top w:val="single" w:sz="4" w:space="0" w:color="003876"/>
              <w:left w:val="single" w:sz="4" w:space="0" w:color="003876"/>
              <w:bottom w:val="single" w:sz="4" w:space="0" w:color="003876"/>
              <w:right w:val="single" w:sz="4" w:space="0" w:color="003876"/>
            </w:tcBorders>
            <w:shd w:val="clear" w:color="auto" w:fill="E0E6ED"/>
            <w:vAlign w:val="center"/>
          </w:tcPr>
          <w:p w14:paraId="520C0E74" w14:textId="77777777" w:rsidR="005C68B7" w:rsidRPr="00084D33" w:rsidRDefault="005C68B7" w:rsidP="00CA4840">
            <w:pPr>
              <w:spacing w:line="276" w:lineRule="auto"/>
              <w:jc w:val="left"/>
              <w:rPr>
                <w:rFonts w:eastAsia="Calibri" w:cs="Times New Roman"/>
                <w:spacing w:val="0"/>
                <w:sz w:val="20"/>
                <w:szCs w:val="20"/>
              </w:rPr>
            </w:pPr>
            <w:r w:rsidRPr="00084D33">
              <w:rPr>
                <w:rFonts w:eastAsia="Calibri" w:cs="Times New Roman"/>
                <w:spacing w:val="0"/>
                <w:sz w:val="20"/>
                <w:szCs w:val="20"/>
              </w:rPr>
              <w:t>Director (a) o Encargado (a) Administrativo-Financiero</w:t>
            </w:r>
          </w:p>
        </w:tc>
        <w:tc>
          <w:tcPr>
            <w:tcW w:w="2084" w:type="dxa"/>
            <w:gridSpan w:val="8"/>
            <w:tcBorders>
              <w:top w:val="single" w:sz="4" w:space="0" w:color="003876"/>
              <w:left w:val="single" w:sz="4" w:space="0" w:color="003876"/>
              <w:bottom w:val="single" w:sz="4" w:space="0" w:color="003876"/>
              <w:right w:val="single" w:sz="4" w:space="0" w:color="003876"/>
            </w:tcBorders>
            <w:shd w:val="clear" w:color="auto" w:fill="auto"/>
            <w:vAlign w:val="center"/>
          </w:tcPr>
          <w:p w14:paraId="33936324" w14:textId="77777777" w:rsidR="005C68B7" w:rsidRPr="00084D33" w:rsidRDefault="005C68B7" w:rsidP="00CA4840">
            <w:pPr>
              <w:spacing w:line="276" w:lineRule="auto"/>
              <w:jc w:val="center"/>
              <w:rPr>
                <w:rFonts w:eastAsia="Calibri" w:cs="Times New Roman"/>
                <w:spacing w:val="0"/>
                <w:sz w:val="20"/>
                <w:szCs w:val="20"/>
              </w:rPr>
            </w:pPr>
            <w:r w:rsidRPr="00084D33">
              <w:rPr>
                <w:rFonts w:eastAsia="Calibri" w:cs="Times New Roman"/>
                <w:b/>
                <w:spacing w:val="0"/>
                <w:sz w:val="20"/>
                <w:szCs w:val="20"/>
              </w:rPr>
              <w:t>N/A</w:t>
            </w:r>
          </w:p>
        </w:tc>
        <w:tc>
          <w:tcPr>
            <w:tcW w:w="1896"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384F1E3E"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0</w:t>
            </w:r>
          </w:p>
        </w:tc>
      </w:tr>
      <w:tr w:rsidR="005C68B7" w:rsidRPr="00084D33" w14:paraId="1CC8DD21" w14:textId="77777777" w:rsidTr="005C68B7">
        <w:trPr>
          <w:trHeight w:val="529"/>
        </w:trPr>
        <w:tc>
          <w:tcPr>
            <w:tcW w:w="4821" w:type="dxa"/>
            <w:gridSpan w:val="14"/>
            <w:tcBorders>
              <w:top w:val="single" w:sz="4" w:space="0" w:color="003876"/>
              <w:left w:val="single" w:sz="4" w:space="0" w:color="003876"/>
              <w:bottom w:val="single" w:sz="4" w:space="0" w:color="003876"/>
              <w:right w:val="single" w:sz="4" w:space="0" w:color="003876"/>
            </w:tcBorders>
            <w:shd w:val="clear" w:color="auto" w:fill="E0E6ED"/>
            <w:vAlign w:val="center"/>
          </w:tcPr>
          <w:p w14:paraId="393EABF0" w14:textId="77777777" w:rsidR="005C68B7" w:rsidRPr="00084D33" w:rsidRDefault="005C68B7" w:rsidP="00CA4840">
            <w:pPr>
              <w:spacing w:line="276" w:lineRule="auto"/>
              <w:jc w:val="left"/>
              <w:rPr>
                <w:rFonts w:eastAsia="Calibri" w:cs="Times New Roman"/>
                <w:spacing w:val="0"/>
                <w:sz w:val="20"/>
                <w:szCs w:val="20"/>
              </w:rPr>
            </w:pPr>
            <w:r w:rsidRPr="00084D33">
              <w:rPr>
                <w:rFonts w:eastAsia="Calibri" w:cs="Times New Roman"/>
                <w:spacing w:val="0"/>
                <w:sz w:val="20"/>
                <w:szCs w:val="20"/>
              </w:rPr>
              <w:t>Encargado (a) de Compras</w:t>
            </w:r>
          </w:p>
        </w:tc>
        <w:tc>
          <w:tcPr>
            <w:tcW w:w="2084" w:type="dxa"/>
            <w:gridSpan w:val="8"/>
            <w:tcBorders>
              <w:top w:val="single" w:sz="4" w:space="0" w:color="003876"/>
              <w:left w:val="single" w:sz="4" w:space="0" w:color="003876"/>
              <w:bottom w:val="single" w:sz="4" w:space="0" w:color="003876"/>
              <w:right w:val="single" w:sz="4" w:space="0" w:color="003876"/>
            </w:tcBorders>
            <w:shd w:val="clear" w:color="auto" w:fill="auto"/>
            <w:vAlign w:val="center"/>
          </w:tcPr>
          <w:p w14:paraId="3456E11E" w14:textId="77777777" w:rsidR="005C68B7" w:rsidRPr="00084D33" w:rsidRDefault="005C68B7" w:rsidP="00CA4840">
            <w:pPr>
              <w:spacing w:line="276" w:lineRule="auto"/>
              <w:jc w:val="center"/>
              <w:rPr>
                <w:rFonts w:eastAsia="Calibri" w:cs="Times New Roman"/>
                <w:spacing w:val="0"/>
                <w:sz w:val="20"/>
                <w:szCs w:val="20"/>
              </w:rPr>
            </w:pPr>
            <w:r w:rsidRPr="00084D33">
              <w:rPr>
                <w:rFonts w:eastAsia="Calibri" w:cs="Times New Roman"/>
                <w:b/>
                <w:spacing w:val="0"/>
                <w:sz w:val="20"/>
                <w:szCs w:val="20"/>
              </w:rPr>
              <w:t>N/A</w:t>
            </w:r>
          </w:p>
        </w:tc>
        <w:tc>
          <w:tcPr>
            <w:tcW w:w="1896" w:type="dxa"/>
            <w:gridSpan w:val="4"/>
            <w:tcBorders>
              <w:top w:val="single" w:sz="4" w:space="0" w:color="003876"/>
              <w:left w:val="single" w:sz="4" w:space="0" w:color="003876"/>
              <w:bottom w:val="single" w:sz="4" w:space="0" w:color="003876"/>
              <w:right w:val="single" w:sz="4" w:space="0" w:color="003876"/>
            </w:tcBorders>
            <w:shd w:val="clear" w:color="auto" w:fill="auto"/>
            <w:vAlign w:val="center"/>
          </w:tcPr>
          <w:p w14:paraId="040707F4" w14:textId="77777777" w:rsidR="005C68B7" w:rsidRPr="00084D33" w:rsidRDefault="005C68B7" w:rsidP="00CA4840">
            <w:pPr>
              <w:spacing w:line="276" w:lineRule="auto"/>
              <w:jc w:val="center"/>
              <w:rPr>
                <w:rFonts w:eastAsia="Calibri" w:cs="Times New Roman"/>
                <w:b/>
                <w:spacing w:val="0"/>
                <w:sz w:val="20"/>
                <w:szCs w:val="20"/>
              </w:rPr>
            </w:pPr>
            <w:r w:rsidRPr="00084D33">
              <w:rPr>
                <w:rFonts w:eastAsia="Calibri" w:cs="Times New Roman"/>
                <w:b/>
                <w:spacing w:val="0"/>
                <w:sz w:val="20"/>
                <w:szCs w:val="20"/>
              </w:rPr>
              <w:t>0</w:t>
            </w:r>
          </w:p>
        </w:tc>
      </w:tr>
      <w:tr w:rsidR="005C68B7" w:rsidRPr="00084D33" w14:paraId="5B39AAFB" w14:textId="77777777" w:rsidTr="00CA4840">
        <w:trPr>
          <w:trHeight w:val="276"/>
        </w:trPr>
        <w:tc>
          <w:tcPr>
            <w:tcW w:w="8801" w:type="dxa"/>
            <w:gridSpan w:val="26"/>
            <w:tcBorders>
              <w:top w:val="single" w:sz="4" w:space="0" w:color="003876"/>
              <w:left w:val="single" w:sz="4" w:space="0" w:color="003876"/>
              <w:bottom w:val="single" w:sz="4" w:space="0" w:color="003876"/>
              <w:right w:val="single" w:sz="4" w:space="0" w:color="003876"/>
            </w:tcBorders>
            <w:shd w:val="clear" w:color="auto" w:fill="auto"/>
            <w:vAlign w:val="center"/>
          </w:tcPr>
          <w:p w14:paraId="60D80B62" w14:textId="77777777" w:rsidR="005C68B7" w:rsidRPr="00084D33" w:rsidRDefault="005C68B7" w:rsidP="00CA4840">
            <w:pPr>
              <w:spacing w:line="276" w:lineRule="auto"/>
              <w:jc w:val="left"/>
              <w:rPr>
                <w:rFonts w:eastAsia="Calibri" w:cs="Times New Roman"/>
                <w:b/>
                <w:spacing w:val="0"/>
                <w:sz w:val="20"/>
                <w:szCs w:val="20"/>
              </w:rPr>
            </w:pPr>
            <w:r w:rsidRPr="00084D33">
              <w:rPr>
                <w:rFonts w:eastAsia="Calibri" w:cs="Times New Roman"/>
                <w:spacing w:val="0"/>
                <w:sz w:val="20"/>
                <w:szCs w:val="20"/>
              </w:rPr>
              <w:t>Observaciones:</w:t>
            </w:r>
          </w:p>
        </w:tc>
      </w:tr>
      <w:tr w:rsidR="005C68B7" w:rsidRPr="00084D33" w14:paraId="05D7CA32" w14:textId="77777777" w:rsidTr="00CA4840">
        <w:trPr>
          <w:trHeight w:val="87"/>
        </w:trPr>
        <w:tc>
          <w:tcPr>
            <w:tcW w:w="8801" w:type="dxa"/>
            <w:gridSpan w:val="26"/>
            <w:tcBorders>
              <w:top w:val="single" w:sz="4" w:space="0" w:color="003876"/>
              <w:bottom w:val="single" w:sz="4" w:space="0" w:color="003876"/>
            </w:tcBorders>
            <w:shd w:val="clear" w:color="auto" w:fill="142F62"/>
            <w:vAlign w:val="center"/>
          </w:tcPr>
          <w:p w14:paraId="4E614D1A" w14:textId="77777777" w:rsidR="005C68B7" w:rsidRPr="00084D33" w:rsidRDefault="005C68B7" w:rsidP="00D131A1">
            <w:pPr>
              <w:numPr>
                <w:ilvl w:val="0"/>
                <w:numId w:val="13"/>
              </w:numPr>
              <w:spacing w:after="160" w:line="276" w:lineRule="auto"/>
              <w:ind w:left="313" w:hanging="313"/>
              <w:contextualSpacing/>
              <w:jc w:val="center"/>
              <w:rPr>
                <w:rFonts w:eastAsia="Calibri" w:cs="Times New Roman"/>
                <w:b/>
                <w:spacing w:val="0"/>
                <w:szCs w:val="20"/>
              </w:rPr>
            </w:pPr>
            <w:r w:rsidRPr="00084D33">
              <w:rPr>
                <w:rFonts w:eastAsia="Calibri" w:cs="Times New Roman"/>
                <w:b/>
                <w:spacing w:val="0"/>
                <w:szCs w:val="20"/>
              </w:rPr>
              <w:t>Movilidad de los servidores de carrera</w:t>
            </w:r>
          </w:p>
        </w:tc>
      </w:tr>
      <w:tr w:rsidR="005C68B7" w:rsidRPr="00084D33" w14:paraId="4FA34304" w14:textId="77777777" w:rsidTr="00CA4840">
        <w:trPr>
          <w:trHeight w:val="786"/>
        </w:trPr>
        <w:tc>
          <w:tcPr>
            <w:tcW w:w="1119" w:type="dxa"/>
            <w:tcBorders>
              <w:top w:val="single" w:sz="4" w:space="0" w:color="003876"/>
              <w:bottom w:val="single" w:sz="4" w:space="0" w:color="003876"/>
            </w:tcBorders>
            <w:shd w:val="clear" w:color="auto" w:fill="47A8EA"/>
            <w:vAlign w:val="center"/>
          </w:tcPr>
          <w:p w14:paraId="42749B48" w14:textId="77777777" w:rsidR="005C68B7" w:rsidRPr="00084D33" w:rsidRDefault="005C68B7" w:rsidP="00CA4840">
            <w:pPr>
              <w:spacing w:line="276" w:lineRule="auto"/>
              <w:ind w:left="-127" w:right="-139"/>
              <w:jc w:val="center"/>
              <w:rPr>
                <w:rFonts w:eastAsia="Calibri" w:cs="Times New Roman"/>
                <w:b/>
                <w:spacing w:val="0"/>
                <w:sz w:val="18"/>
                <w:szCs w:val="18"/>
              </w:rPr>
            </w:pPr>
            <w:r w:rsidRPr="00084D33">
              <w:rPr>
                <w:rFonts w:eastAsia="Calibri" w:cs="Times New Roman"/>
                <w:b/>
                <w:spacing w:val="0"/>
                <w:sz w:val="18"/>
                <w:szCs w:val="18"/>
              </w:rPr>
              <w:t xml:space="preserve">Movimientos </w:t>
            </w:r>
          </w:p>
        </w:tc>
        <w:tc>
          <w:tcPr>
            <w:tcW w:w="1478" w:type="dxa"/>
            <w:gridSpan w:val="5"/>
            <w:tcBorders>
              <w:top w:val="single" w:sz="4" w:space="0" w:color="003876"/>
              <w:bottom w:val="single" w:sz="4" w:space="0" w:color="003876"/>
            </w:tcBorders>
            <w:shd w:val="clear" w:color="auto" w:fill="47A8EA"/>
            <w:vAlign w:val="center"/>
          </w:tcPr>
          <w:p w14:paraId="0E75FF10" w14:textId="77777777" w:rsidR="005C68B7" w:rsidRPr="00084D33" w:rsidRDefault="005C68B7" w:rsidP="00CA4840">
            <w:pPr>
              <w:spacing w:line="276" w:lineRule="auto"/>
              <w:ind w:left="-73" w:right="-12"/>
              <w:jc w:val="center"/>
              <w:rPr>
                <w:rFonts w:eastAsia="Calibri" w:cs="Times New Roman"/>
                <w:b/>
                <w:spacing w:val="0"/>
                <w:sz w:val="18"/>
                <w:szCs w:val="18"/>
              </w:rPr>
            </w:pPr>
            <w:r w:rsidRPr="00084D33">
              <w:rPr>
                <w:rFonts w:eastAsia="Calibri" w:cs="Times New Roman"/>
                <w:b/>
                <w:spacing w:val="0"/>
                <w:sz w:val="18"/>
                <w:szCs w:val="18"/>
              </w:rPr>
              <w:t>Cantidad de Movimientos realizados por la institución a la fecha (intervalo de un año).</w:t>
            </w:r>
          </w:p>
        </w:tc>
        <w:tc>
          <w:tcPr>
            <w:tcW w:w="1478" w:type="dxa"/>
            <w:gridSpan w:val="5"/>
            <w:tcBorders>
              <w:top w:val="single" w:sz="4" w:space="0" w:color="003876"/>
              <w:bottom w:val="single" w:sz="4" w:space="0" w:color="003876"/>
            </w:tcBorders>
            <w:shd w:val="clear" w:color="auto" w:fill="47A8EA"/>
            <w:vAlign w:val="center"/>
          </w:tcPr>
          <w:p w14:paraId="5FC6BD7C" w14:textId="77777777" w:rsidR="005C68B7" w:rsidRPr="00084D33" w:rsidRDefault="005C68B7" w:rsidP="00CA4840">
            <w:pPr>
              <w:spacing w:line="276" w:lineRule="auto"/>
              <w:ind w:left="-110" w:right="-65"/>
              <w:jc w:val="center"/>
              <w:rPr>
                <w:rFonts w:eastAsia="Calibri" w:cs="Times New Roman"/>
                <w:b/>
                <w:spacing w:val="0"/>
                <w:sz w:val="18"/>
                <w:szCs w:val="18"/>
              </w:rPr>
            </w:pPr>
            <w:r w:rsidRPr="00084D33">
              <w:rPr>
                <w:rFonts w:eastAsia="Calibri" w:cs="Times New Roman"/>
                <w:b/>
                <w:spacing w:val="0"/>
                <w:sz w:val="18"/>
                <w:szCs w:val="18"/>
              </w:rPr>
              <w:t>Cantidad de Movimientos a la fecha aprobados por el MAP.</w:t>
            </w:r>
          </w:p>
        </w:tc>
        <w:tc>
          <w:tcPr>
            <w:tcW w:w="1479" w:type="dxa"/>
            <w:gridSpan w:val="5"/>
            <w:tcBorders>
              <w:top w:val="single" w:sz="4" w:space="0" w:color="003876"/>
              <w:bottom w:val="single" w:sz="4" w:space="0" w:color="003876"/>
            </w:tcBorders>
            <w:shd w:val="clear" w:color="auto" w:fill="47A8EA"/>
            <w:vAlign w:val="center"/>
          </w:tcPr>
          <w:p w14:paraId="6660327C" w14:textId="77777777" w:rsidR="005C68B7" w:rsidRPr="00084D33" w:rsidRDefault="005C68B7" w:rsidP="00CA4840">
            <w:pPr>
              <w:spacing w:line="276" w:lineRule="auto"/>
              <w:jc w:val="center"/>
              <w:rPr>
                <w:rFonts w:eastAsia="Calibri" w:cs="Times New Roman"/>
                <w:b/>
                <w:spacing w:val="0"/>
                <w:sz w:val="18"/>
                <w:szCs w:val="18"/>
              </w:rPr>
            </w:pPr>
            <w:r w:rsidRPr="00084D33">
              <w:rPr>
                <w:rFonts w:eastAsia="Calibri" w:cs="Times New Roman"/>
                <w:b/>
                <w:spacing w:val="0"/>
                <w:sz w:val="18"/>
                <w:szCs w:val="18"/>
              </w:rPr>
              <w:t xml:space="preserve">Movimientos </w:t>
            </w:r>
          </w:p>
        </w:tc>
        <w:tc>
          <w:tcPr>
            <w:tcW w:w="1478" w:type="dxa"/>
            <w:gridSpan w:val="7"/>
            <w:tcBorders>
              <w:top w:val="single" w:sz="4" w:space="0" w:color="003876"/>
              <w:bottom w:val="single" w:sz="4" w:space="0" w:color="003876"/>
            </w:tcBorders>
            <w:shd w:val="clear" w:color="auto" w:fill="47A8EA"/>
            <w:vAlign w:val="center"/>
          </w:tcPr>
          <w:p w14:paraId="137DA33B" w14:textId="77777777" w:rsidR="005C68B7" w:rsidRPr="00084D33" w:rsidRDefault="005C68B7" w:rsidP="00CA4840">
            <w:pPr>
              <w:spacing w:line="276" w:lineRule="auto"/>
              <w:ind w:left="-103" w:right="-81"/>
              <w:jc w:val="center"/>
              <w:rPr>
                <w:rFonts w:eastAsia="Calibri" w:cs="Times New Roman"/>
                <w:b/>
                <w:spacing w:val="0"/>
                <w:sz w:val="18"/>
                <w:szCs w:val="18"/>
              </w:rPr>
            </w:pPr>
            <w:r w:rsidRPr="00084D33">
              <w:rPr>
                <w:rFonts w:eastAsia="Calibri" w:cs="Times New Roman"/>
                <w:b/>
                <w:spacing w:val="0"/>
                <w:sz w:val="18"/>
                <w:szCs w:val="18"/>
              </w:rPr>
              <w:t xml:space="preserve">Cantidad de Movimientos realizados por la institución a la fecha (intervalo de un año). </w:t>
            </w:r>
          </w:p>
        </w:tc>
        <w:tc>
          <w:tcPr>
            <w:tcW w:w="1769" w:type="dxa"/>
            <w:gridSpan w:val="3"/>
            <w:tcBorders>
              <w:top w:val="single" w:sz="4" w:space="0" w:color="003876"/>
              <w:bottom w:val="single" w:sz="4" w:space="0" w:color="003876"/>
            </w:tcBorders>
            <w:shd w:val="clear" w:color="auto" w:fill="47A8EA"/>
            <w:vAlign w:val="center"/>
          </w:tcPr>
          <w:p w14:paraId="55EBBC4A" w14:textId="77777777" w:rsidR="005C68B7" w:rsidRPr="00084D33" w:rsidRDefault="005C68B7" w:rsidP="00CA4840">
            <w:pPr>
              <w:spacing w:line="276" w:lineRule="auto"/>
              <w:ind w:left="-50" w:right="-33"/>
              <w:jc w:val="center"/>
              <w:rPr>
                <w:rFonts w:eastAsia="Calibri" w:cs="Times New Roman"/>
                <w:b/>
                <w:spacing w:val="0"/>
                <w:sz w:val="18"/>
                <w:szCs w:val="18"/>
              </w:rPr>
            </w:pPr>
            <w:r w:rsidRPr="00084D33">
              <w:rPr>
                <w:rFonts w:eastAsia="Calibri" w:cs="Times New Roman"/>
                <w:b/>
                <w:spacing w:val="0"/>
                <w:sz w:val="18"/>
                <w:szCs w:val="18"/>
              </w:rPr>
              <w:t>Cantidad de Movimientos a la fecha, aprobados por el MAP.</w:t>
            </w:r>
          </w:p>
        </w:tc>
      </w:tr>
      <w:tr w:rsidR="005C68B7" w:rsidRPr="00084D33" w14:paraId="60B5FD32" w14:textId="77777777" w:rsidTr="00CA4840">
        <w:trPr>
          <w:trHeight w:val="471"/>
        </w:trPr>
        <w:tc>
          <w:tcPr>
            <w:tcW w:w="1119" w:type="dxa"/>
            <w:tcBorders>
              <w:top w:val="single" w:sz="4" w:space="0" w:color="003876"/>
              <w:bottom w:val="single" w:sz="4" w:space="0" w:color="003876"/>
            </w:tcBorders>
            <w:shd w:val="clear" w:color="auto" w:fill="E0E6ED"/>
            <w:vAlign w:val="center"/>
          </w:tcPr>
          <w:p w14:paraId="454ECC04"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Traslado</w:t>
            </w:r>
          </w:p>
        </w:tc>
        <w:tc>
          <w:tcPr>
            <w:tcW w:w="1478" w:type="dxa"/>
            <w:gridSpan w:val="5"/>
            <w:tcBorders>
              <w:top w:val="single" w:sz="4" w:space="0" w:color="003876"/>
              <w:bottom w:val="single" w:sz="4" w:space="0" w:color="003876"/>
            </w:tcBorders>
            <w:shd w:val="clear" w:color="auto" w:fill="auto"/>
            <w:vAlign w:val="center"/>
          </w:tcPr>
          <w:p w14:paraId="7AF58DF1"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27</w:t>
            </w:r>
          </w:p>
        </w:tc>
        <w:tc>
          <w:tcPr>
            <w:tcW w:w="1478" w:type="dxa"/>
            <w:gridSpan w:val="5"/>
            <w:tcBorders>
              <w:top w:val="single" w:sz="4" w:space="0" w:color="003876"/>
              <w:bottom w:val="single" w:sz="4" w:space="0" w:color="003876"/>
            </w:tcBorders>
            <w:shd w:val="clear" w:color="auto" w:fill="auto"/>
            <w:vAlign w:val="center"/>
          </w:tcPr>
          <w:p w14:paraId="3953443F"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27</w:t>
            </w:r>
          </w:p>
        </w:tc>
        <w:tc>
          <w:tcPr>
            <w:tcW w:w="1479" w:type="dxa"/>
            <w:gridSpan w:val="5"/>
            <w:tcBorders>
              <w:top w:val="single" w:sz="4" w:space="0" w:color="003876"/>
              <w:bottom w:val="single" w:sz="4" w:space="0" w:color="003876"/>
            </w:tcBorders>
            <w:shd w:val="clear" w:color="auto" w:fill="E0E6ED"/>
            <w:vAlign w:val="center"/>
          </w:tcPr>
          <w:p w14:paraId="4A6DFBBA" w14:textId="77777777" w:rsidR="005C68B7" w:rsidRPr="00084D33" w:rsidRDefault="005C68B7" w:rsidP="00CA4840">
            <w:pPr>
              <w:spacing w:line="240" w:lineRule="auto"/>
              <w:jc w:val="center"/>
              <w:rPr>
                <w:rFonts w:eastAsia="Calibri" w:cs="Times New Roman"/>
                <w:spacing w:val="0"/>
                <w:sz w:val="20"/>
                <w:szCs w:val="20"/>
              </w:rPr>
            </w:pPr>
            <w:r w:rsidRPr="00084D33">
              <w:rPr>
                <w:rFonts w:eastAsia="Calibri" w:cs="Times New Roman"/>
                <w:spacing w:val="0"/>
                <w:sz w:val="20"/>
                <w:szCs w:val="20"/>
              </w:rPr>
              <w:t>Licencia para estudios</w:t>
            </w:r>
          </w:p>
        </w:tc>
        <w:tc>
          <w:tcPr>
            <w:tcW w:w="1478" w:type="dxa"/>
            <w:gridSpan w:val="7"/>
            <w:tcBorders>
              <w:top w:val="single" w:sz="4" w:space="0" w:color="003876"/>
              <w:bottom w:val="single" w:sz="4" w:space="0" w:color="003876"/>
            </w:tcBorders>
            <w:shd w:val="clear" w:color="auto" w:fill="auto"/>
            <w:vAlign w:val="center"/>
          </w:tcPr>
          <w:p w14:paraId="785EFC69"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0</w:t>
            </w:r>
          </w:p>
        </w:tc>
        <w:tc>
          <w:tcPr>
            <w:tcW w:w="1769" w:type="dxa"/>
            <w:gridSpan w:val="3"/>
            <w:tcBorders>
              <w:top w:val="single" w:sz="4" w:space="0" w:color="003876"/>
              <w:bottom w:val="single" w:sz="4" w:space="0" w:color="003876"/>
            </w:tcBorders>
            <w:shd w:val="clear" w:color="auto" w:fill="auto"/>
            <w:vAlign w:val="center"/>
          </w:tcPr>
          <w:p w14:paraId="6F065349"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0</w:t>
            </w:r>
          </w:p>
        </w:tc>
      </w:tr>
      <w:tr w:rsidR="005C68B7" w:rsidRPr="00084D33" w14:paraId="2719D7F6" w14:textId="77777777" w:rsidTr="00CA4840">
        <w:trPr>
          <w:trHeight w:val="190"/>
        </w:trPr>
        <w:tc>
          <w:tcPr>
            <w:tcW w:w="1119" w:type="dxa"/>
            <w:tcBorders>
              <w:top w:val="single" w:sz="4" w:space="0" w:color="003876"/>
              <w:bottom w:val="single" w:sz="4" w:space="0" w:color="003876"/>
            </w:tcBorders>
            <w:shd w:val="clear" w:color="auto" w:fill="E0E6ED"/>
            <w:vAlign w:val="center"/>
          </w:tcPr>
          <w:p w14:paraId="40BF53BC"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Comisión de servicio</w:t>
            </w:r>
          </w:p>
        </w:tc>
        <w:tc>
          <w:tcPr>
            <w:tcW w:w="1478" w:type="dxa"/>
            <w:gridSpan w:val="5"/>
            <w:tcBorders>
              <w:top w:val="single" w:sz="4" w:space="0" w:color="003876"/>
              <w:bottom w:val="single" w:sz="4" w:space="0" w:color="003876"/>
            </w:tcBorders>
            <w:shd w:val="clear" w:color="auto" w:fill="auto"/>
            <w:vAlign w:val="center"/>
          </w:tcPr>
          <w:p w14:paraId="06FC34B5"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01</w:t>
            </w:r>
          </w:p>
        </w:tc>
        <w:tc>
          <w:tcPr>
            <w:tcW w:w="1478" w:type="dxa"/>
            <w:gridSpan w:val="5"/>
            <w:tcBorders>
              <w:top w:val="single" w:sz="4" w:space="0" w:color="003876"/>
              <w:bottom w:val="single" w:sz="4" w:space="0" w:color="003876"/>
            </w:tcBorders>
            <w:shd w:val="clear" w:color="auto" w:fill="auto"/>
            <w:vAlign w:val="center"/>
          </w:tcPr>
          <w:p w14:paraId="147EBC54"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01</w:t>
            </w:r>
          </w:p>
        </w:tc>
        <w:tc>
          <w:tcPr>
            <w:tcW w:w="1479" w:type="dxa"/>
            <w:gridSpan w:val="5"/>
            <w:tcBorders>
              <w:top w:val="single" w:sz="4" w:space="0" w:color="003876"/>
              <w:bottom w:val="single" w:sz="4" w:space="0" w:color="003876"/>
            </w:tcBorders>
            <w:shd w:val="clear" w:color="auto" w:fill="E0E6ED"/>
            <w:vAlign w:val="center"/>
          </w:tcPr>
          <w:p w14:paraId="5D0B9B4F" w14:textId="77777777" w:rsidR="005C68B7" w:rsidRPr="00084D33" w:rsidRDefault="005C68B7" w:rsidP="00CA4840">
            <w:pPr>
              <w:spacing w:line="240" w:lineRule="auto"/>
              <w:jc w:val="center"/>
              <w:rPr>
                <w:rFonts w:eastAsia="Calibri" w:cs="Times New Roman"/>
                <w:spacing w:val="0"/>
                <w:sz w:val="20"/>
                <w:szCs w:val="20"/>
              </w:rPr>
            </w:pPr>
            <w:r w:rsidRPr="00084D33">
              <w:rPr>
                <w:rFonts w:eastAsia="Calibri" w:cs="Times New Roman"/>
                <w:spacing w:val="0"/>
                <w:sz w:val="20"/>
                <w:szCs w:val="20"/>
              </w:rPr>
              <w:t>Renuncia</w:t>
            </w:r>
          </w:p>
        </w:tc>
        <w:tc>
          <w:tcPr>
            <w:tcW w:w="1478" w:type="dxa"/>
            <w:gridSpan w:val="7"/>
            <w:tcBorders>
              <w:top w:val="single" w:sz="4" w:space="0" w:color="003876"/>
              <w:bottom w:val="single" w:sz="4" w:space="0" w:color="003876"/>
            </w:tcBorders>
            <w:shd w:val="clear" w:color="auto" w:fill="auto"/>
            <w:vAlign w:val="center"/>
          </w:tcPr>
          <w:p w14:paraId="215219C4"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1</w:t>
            </w:r>
          </w:p>
        </w:tc>
        <w:tc>
          <w:tcPr>
            <w:tcW w:w="1769" w:type="dxa"/>
            <w:gridSpan w:val="3"/>
            <w:tcBorders>
              <w:top w:val="single" w:sz="4" w:space="0" w:color="003876"/>
              <w:bottom w:val="single" w:sz="4" w:space="0" w:color="003876"/>
            </w:tcBorders>
            <w:shd w:val="clear" w:color="auto" w:fill="auto"/>
            <w:vAlign w:val="center"/>
          </w:tcPr>
          <w:p w14:paraId="65B3358A"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1</w:t>
            </w:r>
          </w:p>
        </w:tc>
      </w:tr>
      <w:tr w:rsidR="005C68B7" w:rsidRPr="00084D33" w14:paraId="05D19975" w14:textId="77777777" w:rsidTr="00CA4840">
        <w:trPr>
          <w:trHeight w:val="295"/>
        </w:trPr>
        <w:tc>
          <w:tcPr>
            <w:tcW w:w="1119" w:type="dxa"/>
            <w:tcBorders>
              <w:top w:val="single" w:sz="4" w:space="0" w:color="003876"/>
              <w:bottom w:val="single" w:sz="4" w:space="0" w:color="003876"/>
            </w:tcBorders>
            <w:shd w:val="clear" w:color="auto" w:fill="E0E6ED"/>
            <w:vAlign w:val="center"/>
          </w:tcPr>
          <w:p w14:paraId="257EB044"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Ascenso</w:t>
            </w:r>
          </w:p>
        </w:tc>
        <w:tc>
          <w:tcPr>
            <w:tcW w:w="1478" w:type="dxa"/>
            <w:gridSpan w:val="5"/>
            <w:tcBorders>
              <w:top w:val="single" w:sz="4" w:space="0" w:color="003876"/>
              <w:bottom w:val="single" w:sz="4" w:space="0" w:color="003876"/>
            </w:tcBorders>
            <w:shd w:val="clear" w:color="auto" w:fill="auto"/>
            <w:vAlign w:val="center"/>
          </w:tcPr>
          <w:p w14:paraId="083CE784"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0</w:t>
            </w:r>
          </w:p>
        </w:tc>
        <w:tc>
          <w:tcPr>
            <w:tcW w:w="1478" w:type="dxa"/>
            <w:gridSpan w:val="5"/>
            <w:tcBorders>
              <w:top w:val="single" w:sz="4" w:space="0" w:color="003876"/>
              <w:bottom w:val="single" w:sz="4" w:space="0" w:color="003876"/>
            </w:tcBorders>
            <w:shd w:val="clear" w:color="auto" w:fill="auto"/>
            <w:vAlign w:val="center"/>
          </w:tcPr>
          <w:p w14:paraId="238A5905" w14:textId="77777777" w:rsidR="005C68B7" w:rsidRPr="00084D33" w:rsidRDefault="005C68B7" w:rsidP="00CA4840">
            <w:pPr>
              <w:spacing w:line="240" w:lineRule="auto"/>
              <w:jc w:val="center"/>
              <w:rPr>
                <w:rFonts w:eastAsia="Calibri" w:cs="Times New Roman"/>
                <w:b/>
                <w:spacing w:val="0"/>
                <w:sz w:val="20"/>
                <w:szCs w:val="20"/>
              </w:rPr>
            </w:pPr>
          </w:p>
        </w:tc>
        <w:tc>
          <w:tcPr>
            <w:tcW w:w="1479" w:type="dxa"/>
            <w:gridSpan w:val="5"/>
            <w:tcBorders>
              <w:top w:val="single" w:sz="4" w:space="0" w:color="003876"/>
              <w:bottom w:val="single" w:sz="4" w:space="0" w:color="003876"/>
            </w:tcBorders>
            <w:shd w:val="clear" w:color="auto" w:fill="E0E6ED"/>
            <w:vAlign w:val="center"/>
          </w:tcPr>
          <w:p w14:paraId="0D85D2C9" w14:textId="77777777" w:rsidR="005C68B7" w:rsidRPr="00084D33" w:rsidRDefault="005C68B7" w:rsidP="00CA4840">
            <w:pPr>
              <w:spacing w:line="240" w:lineRule="auto"/>
              <w:jc w:val="center"/>
              <w:rPr>
                <w:rFonts w:eastAsia="Calibri" w:cs="Times New Roman"/>
                <w:spacing w:val="0"/>
                <w:sz w:val="20"/>
                <w:szCs w:val="20"/>
              </w:rPr>
            </w:pPr>
            <w:r w:rsidRPr="00084D33">
              <w:rPr>
                <w:rFonts w:eastAsia="Calibri" w:cs="Times New Roman"/>
                <w:spacing w:val="0"/>
                <w:sz w:val="20"/>
                <w:szCs w:val="20"/>
              </w:rPr>
              <w:t>Destitución</w:t>
            </w:r>
          </w:p>
        </w:tc>
        <w:tc>
          <w:tcPr>
            <w:tcW w:w="1478" w:type="dxa"/>
            <w:gridSpan w:val="7"/>
            <w:tcBorders>
              <w:top w:val="single" w:sz="4" w:space="0" w:color="003876"/>
              <w:bottom w:val="single" w:sz="4" w:space="0" w:color="003876"/>
            </w:tcBorders>
            <w:shd w:val="clear" w:color="auto" w:fill="auto"/>
            <w:vAlign w:val="center"/>
          </w:tcPr>
          <w:p w14:paraId="61F424D0"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0</w:t>
            </w:r>
          </w:p>
        </w:tc>
        <w:tc>
          <w:tcPr>
            <w:tcW w:w="1769" w:type="dxa"/>
            <w:gridSpan w:val="3"/>
            <w:tcBorders>
              <w:top w:val="single" w:sz="4" w:space="0" w:color="003876"/>
              <w:bottom w:val="single" w:sz="4" w:space="0" w:color="003876"/>
            </w:tcBorders>
            <w:shd w:val="clear" w:color="auto" w:fill="auto"/>
            <w:vAlign w:val="center"/>
          </w:tcPr>
          <w:p w14:paraId="6E351773"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0</w:t>
            </w:r>
          </w:p>
        </w:tc>
      </w:tr>
      <w:tr w:rsidR="005C68B7" w:rsidRPr="00084D33" w14:paraId="5F412F54" w14:textId="77777777" w:rsidTr="00CA4840">
        <w:trPr>
          <w:trHeight w:val="245"/>
        </w:trPr>
        <w:tc>
          <w:tcPr>
            <w:tcW w:w="1119" w:type="dxa"/>
            <w:tcBorders>
              <w:top w:val="single" w:sz="4" w:space="0" w:color="003876"/>
              <w:bottom w:val="single" w:sz="4" w:space="0" w:color="003876"/>
            </w:tcBorders>
            <w:shd w:val="clear" w:color="auto" w:fill="E0E6ED"/>
            <w:vAlign w:val="center"/>
          </w:tcPr>
          <w:p w14:paraId="54F8C896"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Promoción</w:t>
            </w:r>
          </w:p>
        </w:tc>
        <w:tc>
          <w:tcPr>
            <w:tcW w:w="1478" w:type="dxa"/>
            <w:gridSpan w:val="5"/>
            <w:tcBorders>
              <w:top w:val="single" w:sz="4" w:space="0" w:color="003876"/>
              <w:bottom w:val="single" w:sz="4" w:space="0" w:color="003876"/>
            </w:tcBorders>
            <w:shd w:val="clear" w:color="auto" w:fill="auto"/>
            <w:vAlign w:val="center"/>
          </w:tcPr>
          <w:p w14:paraId="67340D56"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0</w:t>
            </w:r>
          </w:p>
        </w:tc>
        <w:tc>
          <w:tcPr>
            <w:tcW w:w="1478" w:type="dxa"/>
            <w:gridSpan w:val="5"/>
            <w:tcBorders>
              <w:top w:val="single" w:sz="4" w:space="0" w:color="003876"/>
              <w:bottom w:val="single" w:sz="4" w:space="0" w:color="003876"/>
            </w:tcBorders>
            <w:shd w:val="clear" w:color="auto" w:fill="auto"/>
            <w:vAlign w:val="center"/>
          </w:tcPr>
          <w:p w14:paraId="52F09D31" w14:textId="77777777" w:rsidR="005C68B7" w:rsidRPr="00084D33" w:rsidRDefault="005C68B7" w:rsidP="00CA4840">
            <w:pPr>
              <w:spacing w:line="240" w:lineRule="auto"/>
              <w:jc w:val="center"/>
              <w:rPr>
                <w:rFonts w:eastAsia="Calibri" w:cs="Times New Roman"/>
                <w:b/>
                <w:spacing w:val="0"/>
                <w:sz w:val="20"/>
                <w:szCs w:val="20"/>
              </w:rPr>
            </w:pPr>
          </w:p>
        </w:tc>
        <w:tc>
          <w:tcPr>
            <w:tcW w:w="1479" w:type="dxa"/>
            <w:gridSpan w:val="5"/>
            <w:tcBorders>
              <w:top w:val="single" w:sz="4" w:space="0" w:color="003876"/>
              <w:bottom w:val="single" w:sz="4" w:space="0" w:color="003876"/>
            </w:tcBorders>
            <w:shd w:val="clear" w:color="auto" w:fill="E0E6ED"/>
            <w:vAlign w:val="center"/>
          </w:tcPr>
          <w:p w14:paraId="73CB51CA" w14:textId="77777777" w:rsidR="005C68B7" w:rsidRPr="00084D33" w:rsidRDefault="005C68B7" w:rsidP="00CA4840">
            <w:pPr>
              <w:spacing w:line="240" w:lineRule="auto"/>
              <w:jc w:val="center"/>
              <w:rPr>
                <w:rFonts w:eastAsia="Calibri" w:cs="Times New Roman"/>
                <w:spacing w:val="0"/>
                <w:sz w:val="20"/>
                <w:szCs w:val="20"/>
              </w:rPr>
            </w:pPr>
            <w:r w:rsidRPr="00084D33">
              <w:rPr>
                <w:rFonts w:eastAsia="Calibri" w:cs="Times New Roman"/>
                <w:spacing w:val="0"/>
                <w:sz w:val="20"/>
                <w:szCs w:val="20"/>
              </w:rPr>
              <w:t>Jubilación / Pensión</w:t>
            </w:r>
          </w:p>
        </w:tc>
        <w:tc>
          <w:tcPr>
            <w:tcW w:w="1478" w:type="dxa"/>
            <w:gridSpan w:val="7"/>
            <w:tcBorders>
              <w:top w:val="single" w:sz="4" w:space="0" w:color="003876"/>
              <w:bottom w:val="single" w:sz="4" w:space="0" w:color="003876"/>
            </w:tcBorders>
            <w:shd w:val="clear" w:color="auto" w:fill="auto"/>
            <w:vAlign w:val="center"/>
          </w:tcPr>
          <w:p w14:paraId="5A0DAF49"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38</w:t>
            </w:r>
          </w:p>
        </w:tc>
        <w:tc>
          <w:tcPr>
            <w:tcW w:w="1769" w:type="dxa"/>
            <w:gridSpan w:val="3"/>
            <w:tcBorders>
              <w:top w:val="single" w:sz="4" w:space="0" w:color="003876"/>
              <w:bottom w:val="single" w:sz="4" w:space="0" w:color="003876"/>
            </w:tcBorders>
            <w:shd w:val="clear" w:color="auto" w:fill="auto"/>
            <w:vAlign w:val="center"/>
          </w:tcPr>
          <w:p w14:paraId="5A0A7BEE"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38</w:t>
            </w:r>
          </w:p>
        </w:tc>
      </w:tr>
      <w:tr w:rsidR="005C68B7" w:rsidRPr="00084D33" w14:paraId="3A5F58CC" w14:textId="77777777" w:rsidTr="00CA4840">
        <w:trPr>
          <w:trHeight w:val="224"/>
        </w:trPr>
        <w:tc>
          <w:tcPr>
            <w:tcW w:w="1119" w:type="dxa"/>
            <w:tcBorders>
              <w:top w:val="single" w:sz="4" w:space="0" w:color="003876"/>
              <w:bottom w:val="single" w:sz="4" w:space="0" w:color="003876"/>
            </w:tcBorders>
            <w:shd w:val="clear" w:color="auto" w:fill="E0E6ED"/>
            <w:vAlign w:val="center"/>
          </w:tcPr>
          <w:p w14:paraId="62C1897F"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Suplencia</w:t>
            </w:r>
          </w:p>
        </w:tc>
        <w:tc>
          <w:tcPr>
            <w:tcW w:w="1478" w:type="dxa"/>
            <w:gridSpan w:val="5"/>
            <w:tcBorders>
              <w:top w:val="single" w:sz="4" w:space="0" w:color="003876"/>
              <w:bottom w:val="single" w:sz="4" w:space="0" w:color="003876"/>
            </w:tcBorders>
            <w:shd w:val="clear" w:color="auto" w:fill="auto"/>
            <w:vAlign w:val="center"/>
          </w:tcPr>
          <w:p w14:paraId="35C4C120" w14:textId="77777777" w:rsidR="005C68B7" w:rsidRPr="00084D33" w:rsidRDefault="005C68B7" w:rsidP="00CA4840">
            <w:pPr>
              <w:spacing w:line="240" w:lineRule="auto"/>
              <w:jc w:val="center"/>
              <w:rPr>
                <w:rFonts w:eastAsia="Calibri" w:cs="Times New Roman"/>
                <w:b/>
                <w:spacing w:val="0"/>
                <w:sz w:val="20"/>
                <w:szCs w:val="20"/>
              </w:rPr>
            </w:pPr>
          </w:p>
        </w:tc>
        <w:tc>
          <w:tcPr>
            <w:tcW w:w="1478" w:type="dxa"/>
            <w:gridSpan w:val="5"/>
            <w:tcBorders>
              <w:top w:val="single" w:sz="4" w:space="0" w:color="003876"/>
              <w:bottom w:val="single" w:sz="4" w:space="0" w:color="003876"/>
            </w:tcBorders>
            <w:shd w:val="clear" w:color="auto" w:fill="auto"/>
            <w:vAlign w:val="center"/>
          </w:tcPr>
          <w:p w14:paraId="5831C95B" w14:textId="77777777" w:rsidR="005C68B7" w:rsidRPr="00084D33" w:rsidRDefault="005C68B7" w:rsidP="00CA4840">
            <w:pPr>
              <w:spacing w:line="240" w:lineRule="auto"/>
              <w:jc w:val="center"/>
              <w:rPr>
                <w:rFonts w:eastAsia="Calibri" w:cs="Times New Roman"/>
                <w:b/>
                <w:spacing w:val="0"/>
                <w:sz w:val="20"/>
                <w:szCs w:val="20"/>
              </w:rPr>
            </w:pPr>
          </w:p>
        </w:tc>
        <w:tc>
          <w:tcPr>
            <w:tcW w:w="1479" w:type="dxa"/>
            <w:gridSpan w:val="5"/>
            <w:tcBorders>
              <w:top w:val="single" w:sz="4" w:space="0" w:color="003876"/>
              <w:bottom w:val="single" w:sz="4" w:space="0" w:color="003876"/>
            </w:tcBorders>
            <w:shd w:val="clear" w:color="auto" w:fill="E0E6ED"/>
            <w:vAlign w:val="center"/>
          </w:tcPr>
          <w:p w14:paraId="09069502" w14:textId="77777777" w:rsidR="005C68B7" w:rsidRPr="00084D33" w:rsidRDefault="005C68B7" w:rsidP="00CA4840">
            <w:pPr>
              <w:spacing w:line="240" w:lineRule="auto"/>
              <w:jc w:val="center"/>
              <w:rPr>
                <w:rFonts w:eastAsia="Calibri" w:cs="Times New Roman"/>
                <w:spacing w:val="0"/>
                <w:sz w:val="20"/>
                <w:szCs w:val="20"/>
              </w:rPr>
            </w:pPr>
            <w:r w:rsidRPr="00084D33">
              <w:rPr>
                <w:rFonts w:eastAsia="Calibri" w:cs="Times New Roman"/>
                <w:spacing w:val="0"/>
                <w:sz w:val="20"/>
                <w:szCs w:val="20"/>
              </w:rPr>
              <w:t>Interinato</w:t>
            </w:r>
          </w:p>
        </w:tc>
        <w:tc>
          <w:tcPr>
            <w:tcW w:w="1478" w:type="dxa"/>
            <w:gridSpan w:val="7"/>
            <w:tcBorders>
              <w:top w:val="single" w:sz="4" w:space="0" w:color="003876"/>
              <w:bottom w:val="single" w:sz="4" w:space="0" w:color="003876"/>
            </w:tcBorders>
            <w:shd w:val="clear" w:color="auto" w:fill="auto"/>
            <w:vAlign w:val="center"/>
          </w:tcPr>
          <w:p w14:paraId="5C8F253F" w14:textId="77777777" w:rsidR="005C68B7" w:rsidRPr="00084D33" w:rsidRDefault="005C68B7" w:rsidP="00CA4840">
            <w:pPr>
              <w:spacing w:line="240" w:lineRule="auto"/>
              <w:jc w:val="center"/>
              <w:rPr>
                <w:rFonts w:eastAsia="Calibri" w:cs="Times New Roman"/>
                <w:b/>
                <w:spacing w:val="0"/>
                <w:sz w:val="20"/>
                <w:szCs w:val="20"/>
              </w:rPr>
            </w:pPr>
          </w:p>
        </w:tc>
        <w:tc>
          <w:tcPr>
            <w:tcW w:w="1769" w:type="dxa"/>
            <w:gridSpan w:val="3"/>
            <w:tcBorders>
              <w:top w:val="single" w:sz="4" w:space="0" w:color="003876"/>
              <w:bottom w:val="single" w:sz="4" w:space="0" w:color="003876"/>
            </w:tcBorders>
            <w:shd w:val="clear" w:color="auto" w:fill="auto"/>
            <w:vAlign w:val="center"/>
          </w:tcPr>
          <w:p w14:paraId="7A94D293" w14:textId="77777777" w:rsidR="005C68B7" w:rsidRPr="00084D33" w:rsidRDefault="005C68B7" w:rsidP="00CA4840">
            <w:pPr>
              <w:spacing w:line="240" w:lineRule="auto"/>
              <w:jc w:val="center"/>
              <w:rPr>
                <w:rFonts w:eastAsia="Calibri" w:cs="Times New Roman"/>
                <w:b/>
                <w:spacing w:val="0"/>
                <w:sz w:val="20"/>
                <w:szCs w:val="20"/>
              </w:rPr>
            </w:pPr>
          </w:p>
        </w:tc>
      </w:tr>
      <w:tr w:rsidR="005C68B7" w:rsidRPr="00084D33" w14:paraId="5CA7FBA1" w14:textId="77777777" w:rsidTr="00CA4840">
        <w:trPr>
          <w:trHeight w:val="587"/>
        </w:trPr>
        <w:tc>
          <w:tcPr>
            <w:tcW w:w="1119" w:type="dxa"/>
            <w:tcBorders>
              <w:top w:val="single" w:sz="4" w:space="0" w:color="003876"/>
              <w:bottom w:val="single" w:sz="4" w:space="0" w:color="003876"/>
            </w:tcBorders>
            <w:shd w:val="clear" w:color="auto" w:fill="E0E6ED"/>
            <w:vAlign w:val="center"/>
          </w:tcPr>
          <w:p w14:paraId="76DE6CA3"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Licencia (cargo libre nombramiento o confianza)</w:t>
            </w:r>
          </w:p>
        </w:tc>
        <w:tc>
          <w:tcPr>
            <w:tcW w:w="1478" w:type="dxa"/>
            <w:gridSpan w:val="5"/>
            <w:tcBorders>
              <w:top w:val="single" w:sz="4" w:space="0" w:color="003876"/>
              <w:bottom w:val="single" w:sz="4" w:space="0" w:color="003876"/>
            </w:tcBorders>
            <w:shd w:val="clear" w:color="auto" w:fill="auto"/>
            <w:vAlign w:val="center"/>
          </w:tcPr>
          <w:p w14:paraId="4DFAA3F2" w14:textId="77777777" w:rsidR="005C68B7" w:rsidRPr="00084D33" w:rsidRDefault="005C68B7" w:rsidP="00CA4840">
            <w:pPr>
              <w:spacing w:line="240" w:lineRule="auto"/>
              <w:jc w:val="center"/>
              <w:rPr>
                <w:rFonts w:eastAsia="Calibri" w:cs="Times New Roman"/>
                <w:b/>
                <w:spacing w:val="0"/>
                <w:sz w:val="20"/>
                <w:szCs w:val="20"/>
              </w:rPr>
            </w:pPr>
            <w:r w:rsidRPr="00084D33">
              <w:rPr>
                <w:rFonts w:eastAsia="Calibri" w:cs="Times New Roman"/>
                <w:b/>
                <w:spacing w:val="0"/>
                <w:sz w:val="20"/>
                <w:szCs w:val="20"/>
              </w:rPr>
              <w:t>0</w:t>
            </w:r>
          </w:p>
        </w:tc>
        <w:tc>
          <w:tcPr>
            <w:tcW w:w="1478" w:type="dxa"/>
            <w:gridSpan w:val="5"/>
            <w:tcBorders>
              <w:top w:val="single" w:sz="4" w:space="0" w:color="003876"/>
              <w:bottom w:val="single" w:sz="4" w:space="0" w:color="003876"/>
            </w:tcBorders>
            <w:shd w:val="clear" w:color="auto" w:fill="auto"/>
            <w:vAlign w:val="center"/>
          </w:tcPr>
          <w:p w14:paraId="23706923" w14:textId="77777777" w:rsidR="005C68B7" w:rsidRPr="00084D33" w:rsidRDefault="005C68B7" w:rsidP="00CA4840">
            <w:pPr>
              <w:spacing w:line="240" w:lineRule="auto"/>
              <w:jc w:val="center"/>
              <w:rPr>
                <w:rFonts w:eastAsia="Calibri" w:cs="Times New Roman"/>
                <w:b/>
                <w:spacing w:val="0"/>
                <w:sz w:val="20"/>
                <w:szCs w:val="20"/>
              </w:rPr>
            </w:pPr>
          </w:p>
        </w:tc>
        <w:tc>
          <w:tcPr>
            <w:tcW w:w="1479" w:type="dxa"/>
            <w:gridSpan w:val="5"/>
            <w:tcBorders>
              <w:top w:val="single" w:sz="4" w:space="0" w:color="003876"/>
              <w:bottom w:val="single" w:sz="4" w:space="0" w:color="003876"/>
            </w:tcBorders>
            <w:shd w:val="clear" w:color="auto" w:fill="E0E6ED"/>
            <w:vAlign w:val="center"/>
          </w:tcPr>
          <w:p w14:paraId="2A7E1E9C" w14:textId="77777777" w:rsidR="005C68B7" w:rsidRPr="00084D33" w:rsidRDefault="005C68B7" w:rsidP="00CA4840">
            <w:pPr>
              <w:spacing w:after="160" w:line="240" w:lineRule="auto"/>
              <w:jc w:val="center"/>
              <w:rPr>
                <w:rFonts w:eastAsia="Calibri" w:cs="Times New Roman"/>
                <w:spacing w:val="0"/>
                <w:sz w:val="22"/>
              </w:rPr>
            </w:pPr>
            <w:r w:rsidRPr="00084D33">
              <w:rPr>
                <w:rFonts w:eastAsia="Calibri" w:cs="Times New Roman"/>
                <w:spacing w:val="0"/>
                <w:sz w:val="22"/>
              </w:rPr>
              <w:t>Otros movimientos</w:t>
            </w:r>
          </w:p>
        </w:tc>
        <w:tc>
          <w:tcPr>
            <w:tcW w:w="1478" w:type="dxa"/>
            <w:gridSpan w:val="7"/>
            <w:tcBorders>
              <w:top w:val="single" w:sz="4" w:space="0" w:color="003876"/>
              <w:bottom w:val="single" w:sz="4" w:space="0" w:color="003876"/>
            </w:tcBorders>
            <w:shd w:val="clear" w:color="auto" w:fill="auto"/>
            <w:vAlign w:val="center"/>
          </w:tcPr>
          <w:p w14:paraId="436917AB" w14:textId="77777777" w:rsidR="005C68B7" w:rsidRPr="00084D33" w:rsidRDefault="005C68B7" w:rsidP="00CA4840">
            <w:pPr>
              <w:spacing w:after="160" w:line="240" w:lineRule="auto"/>
              <w:jc w:val="center"/>
              <w:rPr>
                <w:rFonts w:eastAsia="Calibri" w:cs="Times New Roman"/>
                <w:spacing w:val="0"/>
                <w:sz w:val="22"/>
              </w:rPr>
            </w:pPr>
            <w:r w:rsidRPr="00084D33">
              <w:rPr>
                <w:rFonts w:eastAsia="Calibri" w:cs="Times New Roman"/>
                <w:b/>
                <w:spacing w:val="0"/>
                <w:sz w:val="22"/>
              </w:rPr>
              <w:t xml:space="preserve">19  </w:t>
            </w:r>
            <w:r w:rsidRPr="00084D33">
              <w:rPr>
                <w:rFonts w:eastAsia="Calibri" w:cs="Times New Roman"/>
                <w:spacing w:val="0"/>
                <w:sz w:val="22"/>
              </w:rPr>
              <w:t>Servidores en   Trámites de Pensión y dos (2) fallecidos.</w:t>
            </w:r>
          </w:p>
        </w:tc>
        <w:tc>
          <w:tcPr>
            <w:tcW w:w="1769" w:type="dxa"/>
            <w:gridSpan w:val="3"/>
            <w:tcBorders>
              <w:top w:val="single" w:sz="4" w:space="0" w:color="003876"/>
              <w:bottom w:val="single" w:sz="4" w:space="0" w:color="003876"/>
            </w:tcBorders>
            <w:shd w:val="clear" w:color="auto" w:fill="auto"/>
            <w:vAlign w:val="center"/>
          </w:tcPr>
          <w:p w14:paraId="31BDE286" w14:textId="77777777" w:rsidR="005C68B7" w:rsidRPr="00084D33" w:rsidRDefault="005C68B7" w:rsidP="00CA4840">
            <w:pPr>
              <w:spacing w:after="160" w:line="240" w:lineRule="auto"/>
              <w:jc w:val="center"/>
              <w:rPr>
                <w:rFonts w:eastAsia="Calibri" w:cs="Times New Roman"/>
                <w:b/>
                <w:spacing w:val="0"/>
                <w:sz w:val="22"/>
              </w:rPr>
            </w:pPr>
            <w:r w:rsidRPr="00084D33">
              <w:rPr>
                <w:rFonts w:eastAsia="Calibri" w:cs="Times New Roman"/>
                <w:b/>
                <w:spacing w:val="0"/>
                <w:sz w:val="22"/>
              </w:rPr>
              <w:t>02</w:t>
            </w:r>
          </w:p>
        </w:tc>
      </w:tr>
      <w:tr w:rsidR="005C68B7" w:rsidRPr="00084D33" w14:paraId="00F9491C" w14:textId="77777777" w:rsidTr="00CA4840">
        <w:trPr>
          <w:trHeight w:val="271"/>
        </w:trPr>
        <w:tc>
          <w:tcPr>
            <w:tcW w:w="8801" w:type="dxa"/>
            <w:gridSpan w:val="26"/>
            <w:tcBorders>
              <w:top w:val="single" w:sz="4" w:space="0" w:color="003876"/>
              <w:bottom w:val="single" w:sz="4" w:space="0" w:color="003876"/>
            </w:tcBorders>
            <w:shd w:val="clear" w:color="auto" w:fill="auto"/>
            <w:vAlign w:val="center"/>
          </w:tcPr>
          <w:p w14:paraId="336D3E3C" w14:textId="77777777" w:rsidR="005C68B7" w:rsidRPr="00084D33" w:rsidRDefault="005C68B7" w:rsidP="00CA4840">
            <w:pPr>
              <w:spacing w:line="276" w:lineRule="auto"/>
              <w:jc w:val="left"/>
              <w:rPr>
                <w:rFonts w:eastAsia="Calibri" w:cs="Times New Roman"/>
                <w:spacing w:val="0"/>
                <w:sz w:val="20"/>
                <w:szCs w:val="20"/>
              </w:rPr>
            </w:pPr>
            <w:r w:rsidRPr="00084D33">
              <w:rPr>
                <w:rFonts w:eastAsia="Calibri" w:cs="Times New Roman"/>
                <w:spacing w:val="0"/>
                <w:sz w:val="20"/>
                <w:szCs w:val="20"/>
              </w:rPr>
              <w:t xml:space="preserve">Observaciones: </w:t>
            </w:r>
          </w:p>
        </w:tc>
      </w:tr>
      <w:tr w:rsidR="005C68B7" w:rsidRPr="00084D33" w14:paraId="380012D1" w14:textId="77777777" w:rsidTr="00CA4840">
        <w:trPr>
          <w:trHeight w:val="87"/>
        </w:trPr>
        <w:tc>
          <w:tcPr>
            <w:tcW w:w="8801" w:type="dxa"/>
            <w:gridSpan w:val="26"/>
            <w:tcBorders>
              <w:top w:val="single" w:sz="4" w:space="0" w:color="003876"/>
              <w:bottom w:val="single" w:sz="4" w:space="0" w:color="003876"/>
            </w:tcBorders>
            <w:shd w:val="clear" w:color="auto" w:fill="142F62"/>
            <w:vAlign w:val="center"/>
          </w:tcPr>
          <w:p w14:paraId="76766B52" w14:textId="77777777" w:rsidR="005C68B7" w:rsidRPr="00084D33" w:rsidRDefault="005C68B7" w:rsidP="00D131A1">
            <w:pPr>
              <w:numPr>
                <w:ilvl w:val="0"/>
                <w:numId w:val="13"/>
              </w:numPr>
              <w:spacing w:after="160" w:line="276" w:lineRule="auto"/>
              <w:ind w:left="313" w:hanging="313"/>
              <w:contextualSpacing/>
              <w:jc w:val="center"/>
              <w:rPr>
                <w:rFonts w:eastAsia="Calibri" w:cs="Times New Roman"/>
                <w:b/>
                <w:spacing w:val="0"/>
                <w:szCs w:val="20"/>
              </w:rPr>
            </w:pPr>
            <w:r w:rsidRPr="00084D33">
              <w:rPr>
                <w:rFonts w:cs="Times New Roman"/>
                <w:b/>
                <w:sz w:val="20"/>
                <w:szCs w:val="20"/>
              </w:rPr>
              <w:t>Socialización de la Ley No. 41-08 de Función Pública</w:t>
            </w:r>
          </w:p>
        </w:tc>
      </w:tr>
      <w:tr w:rsidR="005C68B7" w:rsidRPr="00084D33" w14:paraId="780D5E9E" w14:textId="77777777" w:rsidTr="00CA4840">
        <w:trPr>
          <w:trHeight w:val="332"/>
        </w:trPr>
        <w:tc>
          <w:tcPr>
            <w:tcW w:w="8801" w:type="dxa"/>
            <w:gridSpan w:val="26"/>
            <w:tcBorders>
              <w:top w:val="single" w:sz="4" w:space="0" w:color="003876"/>
              <w:bottom w:val="single" w:sz="4" w:space="0" w:color="003876"/>
            </w:tcBorders>
            <w:shd w:val="clear" w:color="auto" w:fill="47A8EA"/>
            <w:vAlign w:val="center"/>
          </w:tcPr>
          <w:p w14:paraId="75DE9BD6" w14:textId="77777777" w:rsidR="005C68B7" w:rsidRPr="00084D33" w:rsidRDefault="005C68B7" w:rsidP="00CA4840">
            <w:pPr>
              <w:spacing w:line="276" w:lineRule="auto"/>
              <w:ind w:left="-103" w:right="-81"/>
              <w:jc w:val="center"/>
              <w:rPr>
                <w:rFonts w:eastAsia="Calibri" w:cs="Times New Roman"/>
                <w:b/>
                <w:spacing w:val="0"/>
                <w:sz w:val="18"/>
                <w:szCs w:val="18"/>
              </w:rPr>
            </w:pPr>
            <w:r w:rsidRPr="00084D33">
              <w:rPr>
                <w:rFonts w:cs="Times New Roman"/>
                <w:b/>
                <w:sz w:val="20"/>
                <w:szCs w:val="20"/>
              </w:rPr>
              <w:t>Charla sobre la Ley No. 41-08, de Función Pública</w:t>
            </w:r>
          </w:p>
        </w:tc>
      </w:tr>
      <w:tr w:rsidR="005C68B7" w:rsidRPr="00084D33" w14:paraId="18C09268" w14:textId="77777777" w:rsidTr="00CA4840">
        <w:trPr>
          <w:trHeight w:val="1754"/>
        </w:trPr>
        <w:tc>
          <w:tcPr>
            <w:tcW w:w="1742" w:type="dxa"/>
            <w:gridSpan w:val="2"/>
            <w:tcBorders>
              <w:top w:val="single" w:sz="4" w:space="0" w:color="003876"/>
              <w:bottom w:val="single" w:sz="4" w:space="0" w:color="003876"/>
            </w:tcBorders>
            <w:shd w:val="clear" w:color="auto" w:fill="E0E6ED"/>
            <w:vAlign w:val="center"/>
          </w:tcPr>
          <w:p w14:paraId="33F3D999"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Total, de servidores que pertenecen al grupo ocupacional V, en el órgano o ente</w:t>
            </w:r>
          </w:p>
        </w:tc>
        <w:tc>
          <w:tcPr>
            <w:tcW w:w="2289" w:type="dxa"/>
            <w:gridSpan w:val="8"/>
            <w:tcBorders>
              <w:top w:val="single" w:sz="4" w:space="0" w:color="003876"/>
              <w:bottom w:val="single" w:sz="4" w:space="0" w:color="003876"/>
            </w:tcBorders>
            <w:shd w:val="clear" w:color="auto" w:fill="auto"/>
            <w:vAlign w:val="center"/>
          </w:tcPr>
          <w:p w14:paraId="2CEF8259"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Cantidad de servidores del grupo ocupacional V, de dirección y supervisión, que participó en la charla de la Ley de Función Pública (intervalo de un año).</w:t>
            </w:r>
          </w:p>
        </w:tc>
        <w:tc>
          <w:tcPr>
            <w:tcW w:w="2070" w:type="dxa"/>
            <w:gridSpan w:val="9"/>
            <w:tcBorders>
              <w:top w:val="single" w:sz="4" w:space="0" w:color="003876"/>
              <w:bottom w:val="single" w:sz="4" w:space="0" w:color="003876"/>
            </w:tcBorders>
            <w:shd w:val="clear" w:color="auto" w:fill="auto"/>
            <w:vAlign w:val="center"/>
          </w:tcPr>
          <w:p w14:paraId="7B6859E9"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Nombre del facilitador del MAP que impartió la Charla</w:t>
            </w:r>
          </w:p>
        </w:tc>
        <w:tc>
          <w:tcPr>
            <w:tcW w:w="1350" w:type="dxa"/>
            <w:gridSpan w:val="5"/>
            <w:tcBorders>
              <w:top w:val="single" w:sz="4" w:space="0" w:color="003876"/>
              <w:bottom w:val="single" w:sz="4" w:space="0" w:color="003876"/>
            </w:tcBorders>
            <w:shd w:val="clear" w:color="auto" w:fill="E0E6ED"/>
            <w:vAlign w:val="center"/>
          </w:tcPr>
          <w:p w14:paraId="6D4E27B8"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Fecha de realización</w:t>
            </w:r>
          </w:p>
        </w:tc>
        <w:tc>
          <w:tcPr>
            <w:tcW w:w="1350" w:type="dxa"/>
            <w:gridSpan w:val="2"/>
            <w:tcBorders>
              <w:top w:val="single" w:sz="4" w:space="0" w:color="003876"/>
              <w:bottom w:val="single" w:sz="4" w:space="0" w:color="003876"/>
            </w:tcBorders>
            <w:shd w:val="clear" w:color="auto" w:fill="auto"/>
            <w:vAlign w:val="center"/>
          </w:tcPr>
          <w:p w14:paraId="6A56A338" w14:textId="77777777" w:rsidR="005C68B7" w:rsidRPr="00084D33" w:rsidRDefault="005C68B7" w:rsidP="00CA4840">
            <w:pPr>
              <w:spacing w:line="240" w:lineRule="auto"/>
              <w:jc w:val="left"/>
              <w:rPr>
                <w:rFonts w:eastAsia="Calibri" w:cs="Times New Roman"/>
                <w:spacing w:val="0"/>
                <w:sz w:val="20"/>
                <w:szCs w:val="20"/>
              </w:rPr>
            </w:pPr>
            <w:r w:rsidRPr="00084D33">
              <w:rPr>
                <w:rFonts w:eastAsia="Calibri" w:cs="Times New Roman"/>
                <w:spacing w:val="0"/>
                <w:sz w:val="20"/>
                <w:szCs w:val="20"/>
              </w:rPr>
              <w:t xml:space="preserve">    Modalidad</w:t>
            </w:r>
          </w:p>
        </w:tc>
      </w:tr>
      <w:tr w:rsidR="005C68B7" w:rsidRPr="00084D33" w14:paraId="0BF1DFB7" w14:textId="77777777" w:rsidTr="00CA4840">
        <w:trPr>
          <w:trHeight w:val="971"/>
        </w:trPr>
        <w:tc>
          <w:tcPr>
            <w:tcW w:w="1742" w:type="dxa"/>
            <w:gridSpan w:val="2"/>
            <w:tcBorders>
              <w:top w:val="single" w:sz="4" w:space="0" w:color="003876"/>
              <w:bottom w:val="single" w:sz="4" w:space="0" w:color="003876"/>
            </w:tcBorders>
            <w:shd w:val="clear" w:color="auto" w:fill="E0E6ED"/>
            <w:vAlign w:val="center"/>
          </w:tcPr>
          <w:p w14:paraId="2EBD6B4F" w14:textId="77777777" w:rsidR="005C68B7" w:rsidRPr="00084D33" w:rsidRDefault="005C68B7" w:rsidP="00CA4840">
            <w:pPr>
              <w:spacing w:line="276" w:lineRule="auto"/>
              <w:jc w:val="left"/>
              <w:rPr>
                <w:rFonts w:eastAsia="Calibri" w:cs="Times New Roman"/>
                <w:spacing w:val="0"/>
                <w:sz w:val="20"/>
                <w:szCs w:val="20"/>
              </w:rPr>
            </w:pPr>
          </w:p>
        </w:tc>
        <w:tc>
          <w:tcPr>
            <w:tcW w:w="2289" w:type="dxa"/>
            <w:gridSpan w:val="8"/>
            <w:tcBorders>
              <w:top w:val="single" w:sz="4" w:space="0" w:color="003876"/>
              <w:bottom w:val="single" w:sz="4" w:space="0" w:color="003876"/>
            </w:tcBorders>
            <w:shd w:val="clear" w:color="auto" w:fill="auto"/>
            <w:vAlign w:val="center"/>
          </w:tcPr>
          <w:p w14:paraId="33CA9323" w14:textId="77777777" w:rsidR="005C68B7" w:rsidRPr="00084D33" w:rsidRDefault="005C68B7" w:rsidP="00CA4840">
            <w:pPr>
              <w:pStyle w:val="Sinespaciado"/>
              <w:jc w:val="center"/>
              <w:rPr>
                <w:rFonts w:ascii="Times New Roman" w:hAnsi="Times New Roman" w:cs="Times New Roman"/>
                <w:b/>
                <w:color w:val="767171"/>
                <w:szCs w:val="20"/>
              </w:rPr>
            </w:pPr>
            <w:r w:rsidRPr="00084D33">
              <w:rPr>
                <w:rFonts w:ascii="Times New Roman" w:hAnsi="Times New Roman" w:cs="Times New Roman"/>
                <w:b/>
                <w:color w:val="767171"/>
                <w:szCs w:val="20"/>
              </w:rPr>
              <w:t>78</w:t>
            </w:r>
          </w:p>
          <w:p w14:paraId="7D7B6C98" w14:textId="77777777" w:rsidR="005C68B7" w:rsidRPr="00084D33" w:rsidRDefault="005C68B7" w:rsidP="00CA4840">
            <w:pPr>
              <w:pStyle w:val="Sinespaciado"/>
              <w:jc w:val="center"/>
              <w:rPr>
                <w:rFonts w:ascii="Times New Roman" w:hAnsi="Times New Roman" w:cs="Times New Roman"/>
                <w:b/>
                <w:color w:val="767171"/>
                <w:szCs w:val="20"/>
              </w:rPr>
            </w:pPr>
            <w:r w:rsidRPr="00084D33">
              <w:rPr>
                <w:rFonts w:ascii="Times New Roman" w:hAnsi="Times New Roman" w:cs="Times New Roman"/>
                <w:b/>
                <w:color w:val="767171"/>
                <w:szCs w:val="20"/>
              </w:rPr>
              <w:t>120</w:t>
            </w:r>
          </w:p>
          <w:p w14:paraId="0301FCFB" w14:textId="77777777" w:rsidR="005C68B7" w:rsidRPr="00084D33" w:rsidRDefault="005C68B7" w:rsidP="00CA4840">
            <w:pPr>
              <w:pStyle w:val="Sinespaciado"/>
              <w:jc w:val="center"/>
              <w:rPr>
                <w:rFonts w:ascii="Times New Roman" w:hAnsi="Times New Roman" w:cs="Times New Roman"/>
                <w:b/>
                <w:color w:val="767171"/>
                <w:szCs w:val="20"/>
              </w:rPr>
            </w:pPr>
            <w:r w:rsidRPr="00084D33">
              <w:rPr>
                <w:rFonts w:ascii="Times New Roman" w:hAnsi="Times New Roman" w:cs="Times New Roman"/>
                <w:b/>
                <w:color w:val="767171"/>
                <w:szCs w:val="20"/>
              </w:rPr>
              <w:t>39</w:t>
            </w:r>
          </w:p>
        </w:tc>
        <w:tc>
          <w:tcPr>
            <w:tcW w:w="2070" w:type="dxa"/>
            <w:gridSpan w:val="9"/>
            <w:tcBorders>
              <w:top w:val="single" w:sz="4" w:space="0" w:color="003876"/>
              <w:bottom w:val="single" w:sz="4" w:space="0" w:color="003876"/>
            </w:tcBorders>
            <w:shd w:val="clear" w:color="auto" w:fill="auto"/>
            <w:vAlign w:val="center"/>
          </w:tcPr>
          <w:p w14:paraId="7E52E31A" w14:textId="77777777" w:rsidR="005C68B7" w:rsidRPr="00084D33" w:rsidRDefault="005C68B7" w:rsidP="00CA4840">
            <w:pPr>
              <w:pStyle w:val="Sinespaciado"/>
              <w:jc w:val="center"/>
              <w:rPr>
                <w:rFonts w:ascii="Times New Roman" w:hAnsi="Times New Roman" w:cs="Times New Roman"/>
                <w:b/>
                <w:color w:val="767171"/>
                <w:szCs w:val="20"/>
              </w:rPr>
            </w:pPr>
            <w:r w:rsidRPr="00084D33">
              <w:rPr>
                <w:rFonts w:ascii="Times New Roman" w:hAnsi="Times New Roman" w:cs="Times New Roman"/>
                <w:b/>
                <w:color w:val="767171"/>
                <w:szCs w:val="20"/>
              </w:rPr>
              <w:t>Francisco Mendoza</w:t>
            </w:r>
          </w:p>
          <w:p w14:paraId="4CDF45F2" w14:textId="77777777" w:rsidR="005C68B7" w:rsidRPr="00084D33" w:rsidRDefault="005C68B7" w:rsidP="00CA4840">
            <w:pPr>
              <w:pStyle w:val="Sinespaciado"/>
              <w:jc w:val="center"/>
              <w:rPr>
                <w:rFonts w:ascii="Times New Roman" w:hAnsi="Times New Roman" w:cs="Times New Roman"/>
                <w:b/>
                <w:color w:val="767171"/>
                <w:szCs w:val="20"/>
              </w:rPr>
            </w:pPr>
            <w:r w:rsidRPr="00084D33">
              <w:rPr>
                <w:rFonts w:ascii="Times New Roman" w:hAnsi="Times New Roman" w:cs="Times New Roman"/>
                <w:b/>
                <w:color w:val="767171"/>
                <w:szCs w:val="20"/>
              </w:rPr>
              <w:t>Ailen Martínez</w:t>
            </w:r>
          </w:p>
          <w:p w14:paraId="2C8B3C3E" w14:textId="77777777" w:rsidR="005C68B7" w:rsidRPr="00084D33" w:rsidRDefault="005C68B7" w:rsidP="00CA4840">
            <w:pPr>
              <w:spacing w:line="276" w:lineRule="auto"/>
              <w:jc w:val="center"/>
              <w:rPr>
                <w:rFonts w:eastAsia="Calibri" w:cs="Times New Roman"/>
                <w:b/>
                <w:spacing w:val="0"/>
                <w:sz w:val="20"/>
                <w:szCs w:val="20"/>
              </w:rPr>
            </w:pPr>
            <w:r w:rsidRPr="00084D33">
              <w:rPr>
                <w:rFonts w:cs="Times New Roman"/>
                <w:b/>
                <w:sz w:val="20"/>
                <w:szCs w:val="20"/>
              </w:rPr>
              <w:t>Francisco Mendoza</w:t>
            </w:r>
          </w:p>
        </w:tc>
        <w:tc>
          <w:tcPr>
            <w:tcW w:w="1350" w:type="dxa"/>
            <w:gridSpan w:val="5"/>
            <w:tcBorders>
              <w:top w:val="single" w:sz="4" w:space="0" w:color="003876"/>
              <w:bottom w:val="single" w:sz="4" w:space="0" w:color="003876"/>
            </w:tcBorders>
            <w:shd w:val="clear" w:color="auto" w:fill="E0E6ED"/>
            <w:vAlign w:val="center"/>
          </w:tcPr>
          <w:p w14:paraId="7492DC81" w14:textId="77777777" w:rsidR="005C68B7" w:rsidRPr="00084D33" w:rsidRDefault="005C68B7" w:rsidP="00CA4840">
            <w:pPr>
              <w:pStyle w:val="Sinespaciado"/>
              <w:jc w:val="center"/>
              <w:rPr>
                <w:rFonts w:ascii="Times New Roman" w:hAnsi="Times New Roman" w:cs="Times New Roman"/>
                <w:b/>
                <w:color w:val="767171"/>
                <w:szCs w:val="20"/>
              </w:rPr>
            </w:pPr>
            <w:r w:rsidRPr="00084D33">
              <w:rPr>
                <w:rFonts w:ascii="Times New Roman" w:hAnsi="Times New Roman" w:cs="Times New Roman"/>
                <w:b/>
                <w:color w:val="767171"/>
                <w:szCs w:val="20"/>
              </w:rPr>
              <w:t>08/08/2024</w:t>
            </w:r>
          </w:p>
          <w:p w14:paraId="412233BB" w14:textId="77777777" w:rsidR="005C68B7" w:rsidRPr="00084D33" w:rsidRDefault="005C68B7" w:rsidP="00CA4840">
            <w:pPr>
              <w:pStyle w:val="Sinespaciado"/>
              <w:jc w:val="center"/>
              <w:rPr>
                <w:rFonts w:ascii="Times New Roman" w:hAnsi="Times New Roman" w:cs="Times New Roman"/>
                <w:b/>
                <w:color w:val="767171"/>
                <w:szCs w:val="20"/>
              </w:rPr>
            </w:pPr>
            <w:r w:rsidRPr="00084D33">
              <w:rPr>
                <w:rFonts w:ascii="Times New Roman" w:hAnsi="Times New Roman" w:cs="Times New Roman"/>
                <w:b/>
                <w:color w:val="767171"/>
                <w:szCs w:val="20"/>
              </w:rPr>
              <w:t>13/08/2024</w:t>
            </w:r>
          </w:p>
          <w:p w14:paraId="582751F1" w14:textId="77777777" w:rsidR="005C68B7" w:rsidRPr="00084D33" w:rsidRDefault="005C68B7" w:rsidP="00CA4840">
            <w:pPr>
              <w:spacing w:line="276" w:lineRule="auto"/>
              <w:jc w:val="center"/>
              <w:rPr>
                <w:rFonts w:eastAsia="Calibri" w:cs="Times New Roman"/>
                <w:spacing w:val="0"/>
                <w:sz w:val="20"/>
                <w:szCs w:val="20"/>
              </w:rPr>
            </w:pPr>
            <w:r w:rsidRPr="00084D33">
              <w:rPr>
                <w:rFonts w:cs="Times New Roman"/>
                <w:b/>
                <w:sz w:val="20"/>
                <w:szCs w:val="20"/>
              </w:rPr>
              <w:t>15/08/2024</w:t>
            </w:r>
          </w:p>
        </w:tc>
        <w:tc>
          <w:tcPr>
            <w:tcW w:w="1350" w:type="dxa"/>
            <w:gridSpan w:val="2"/>
            <w:tcBorders>
              <w:top w:val="single" w:sz="4" w:space="0" w:color="003876"/>
              <w:bottom w:val="single" w:sz="4" w:space="0" w:color="003876"/>
            </w:tcBorders>
            <w:shd w:val="clear" w:color="auto" w:fill="auto"/>
            <w:vAlign w:val="center"/>
          </w:tcPr>
          <w:p w14:paraId="777F6F8D" w14:textId="77777777" w:rsidR="005C68B7" w:rsidRPr="00084D33" w:rsidRDefault="005C68B7" w:rsidP="00CA4840">
            <w:pPr>
              <w:pStyle w:val="Sinespaciado"/>
              <w:jc w:val="center"/>
              <w:rPr>
                <w:rFonts w:ascii="Times New Roman" w:hAnsi="Times New Roman" w:cs="Times New Roman"/>
                <w:b/>
                <w:color w:val="767171"/>
                <w:szCs w:val="20"/>
              </w:rPr>
            </w:pPr>
            <w:r w:rsidRPr="00084D33">
              <w:rPr>
                <w:rFonts w:ascii="Times New Roman" w:hAnsi="Times New Roman" w:cs="Times New Roman"/>
                <w:b/>
                <w:color w:val="767171"/>
                <w:szCs w:val="20"/>
              </w:rPr>
              <w:t>Virtual</w:t>
            </w:r>
          </w:p>
          <w:p w14:paraId="6EE76EBA" w14:textId="77777777" w:rsidR="005C68B7" w:rsidRPr="00084D33" w:rsidRDefault="005C68B7" w:rsidP="00CA4840">
            <w:pPr>
              <w:pStyle w:val="Sinespaciado"/>
              <w:jc w:val="center"/>
              <w:rPr>
                <w:rFonts w:ascii="Times New Roman" w:hAnsi="Times New Roman" w:cs="Times New Roman"/>
                <w:b/>
                <w:color w:val="767171"/>
                <w:szCs w:val="20"/>
              </w:rPr>
            </w:pPr>
            <w:r w:rsidRPr="00084D33">
              <w:rPr>
                <w:rFonts w:ascii="Times New Roman" w:hAnsi="Times New Roman" w:cs="Times New Roman"/>
                <w:b/>
                <w:color w:val="767171"/>
                <w:szCs w:val="20"/>
              </w:rPr>
              <w:t>Virtual</w:t>
            </w:r>
          </w:p>
          <w:p w14:paraId="3F8FD52C" w14:textId="77777777" w:rsidR="005C68B7" w:rsidRPr="00084D33" w:rsidRDefault="005C68B7" w:rsidP="00CA4840">
            <w:pPr>
              <w:spacing w:line="276" w:lineRule="auto"/>
              <w:jc w:val="center"/>
              <w:rPr>
                <w:rFonts w:eastAsia="Calibri" w:cs="Times New Roman"/>
                <w:b/>
                <w:spacing w:val="0"/>
                <w:sz w:val="20"/>
                <w:szCs w:val="20"/>
              </w:rPr>
            </w:pPr>
            <w:r w:rsidRPr="00084D33">
              <w:rPr>
                <w:rFonts w:cs="Times New Roman"/>
                <w:b/>
                <w:sz w:val="20"/>
                <w:szCs w:val="20"/>
              </w:rPr>
              <w:t>Virtual</w:t>
            </w:r>
          </w:p>
        </w:tc>
      </w:tr>
      <w:tr w:rsidR="005C68B7" w:rsidRPr="00084D33" w14:paraId="411500BC" w14:textId="77777777" w:rsidTr="00CA4840">
        <w:trPr>
          <w:trHeight w:val="271"/>
        </w:trPr>
        <w:tc>
          <w:tcPr>
            <w:tcW w:w="8801" w:type="dxa"/>
            <w:gridSpan w:val="26"/>
            <w:tcBorders>
              <w:top w:val="single" w:sz="4" w:space="0" w:color="003876"/>
              <w:bottom w:val="single" w:sz="4" w:space="0" w:color="003876"/>
            </w:tcBorders>
            <w:shd w:val="clear" w:color="auto" w:fill="auto"/>
            <w:vAlign w:val="center"/>
          </w:tcPr>
          <w:p w14:paraId="59202414" w14:textId="77777777" w:rsidR="005C68B7" w:rsidRPr="00084D33" w:rsidRDefault="005C68B7" w:rsidP="00CA4840">
            <w:pPr>
              <w:spacing w:line="276" w:lineRule="auto"/>
              <w:jc w:val="left"/>
              <w:rPr>
                <w:rFonts w:eastAsia="Calibri" w:cs="Times New Roman"/>
                <w:spacing w:val="0"/>
                <w:sz w:val="20"/>
                <w:szCs w:val="20"/>
              </w:rPr>
            </w:pPr>
            <w:r w:rsidRPr="00084D33">
              <w:rPr>
                <w:rFonts w:eastAsia="Calibri" w:cs="Times New Roman"/>
                <w:spacing w:val="0"/>
                <w:sz w:val="20"/>
                <w:szCs w:val="20"/>
              </w:rPr>
              <w:lastRenderedPageBreak/>
              <w:t xml:space="preserve">Observaciones: </w:t>
            </w:r>
          </w:p>
        </w:tc>
      </w:tr>
    </w:tbl>
    <w:tbl>
      <w:tblPr>
        <w:tblStyle w:val="Tablaconcuadrcula"/>
        <w:tblW w:w="5563" w:type="pct"/>
        <w:tblInd w:w="-436" w:type="dxa"/>
        <w:tblLayout w:type="fixed"/>
        <w:tblLook w:val="04A0" w:firstRow="1" w:lastRow="0" w:firstColumn="1" w:lastColumn="0" w:noHBand="0" w:noVBand="1"/>
      </w:tblPr>
      <w:tblGrid>
        <w:gridCol w:w="1007"/>
        <w:gridCol w:w="3564"/>
        <w:gridCol w:w="1080"/>
        <w:gridCol w:w="3150"/>
      </w:tblGrid>
      <w:tr w:rsidR="005C68B7" w:rsidRPr="00084D33" w14:paraId="2C85056E" w14:textId="77777777" w:rsidTr="00CA4840">
        <w:trPr>
          <w:trHeight w:val="260"/>
        </w:trPr>
        <w:tc>
          <w:tcPr>
            <w:tcW w:w="8801" w:type="dxa"/>
            <w:gridSpan w:val="4"/>
            <w:shd w:val="clear" w:color="auto" w:fill="003876"/>
            <w:vAlign w:val="center"/>
          </w:tcPr>
          <w:p w14:paraId="5DCA1498" w14:textId="77777777" w:rsidR="005C68B7" w:rsidRPr="00084D33" w:rsidRDefault="005C68B7" w:rsidP="00D131A1">
            <w:pPr>
              <w:numPr>
                <w:ilvl w:val="0"/>
                <w:numId w:val="13"/>
              </w:numPr>
              <w:spacing w:after="160" w:line="276" w:lineRule="auto"/>
              <w:ind w:left="313" w:hanging="313"/>
              <w:contextualSpacing/>
              <w:jc w:val="center"/>
              <w:rPr>
                <w:rFonts w:cs="Times New Roman"/>
                <w:b/>
                <w:sz w:val="20"/>
                <w:szCs w:val="20"/>
              </w:rPr>
            </w:pPr>
            <w:r w:rsidRPr="00084D33">
              <w:rPr>
                <w:rFonts w:cs="Times New Roman"/>
                <w:b/>
                <w:sz w:val="20"/>
                <w:szCs w:val="20"/>
              </w:rPr>
              <w:t>Validación y aprobación</w:t>
            </w:r>
          </w:p>
        </w:tc>
      </w:tr>
      <w:tr w:rsidR="005C68B7" w:rsidRPr="00084D33" w14:paraId="17DDC47E" w14:textId="77777777" w:rsidTr="00CA4840">
        <w:trPr>
          <w:trHeight w:val="260"/>
        </w:trPr>
        <w:tc>
          <w:tcPr>
            <w:tcW w:w="4571" w:type="dxa"/>
            <w:gridSpan w:val="2"/>
            <w:shd w:val="clear" w:color="auto" w:fill="47A8EA"/>
            <w:vAlign w:val="center"/>
          </w:tcPr>
          <w:p w14:paraId="062E0A42" w14:textId="77777777" w:rsidR="005C68B7" w:rsidRPr="00084D33" w:rsidRDefault="005C68B7" w:rsidP="00CA4840">
            <w:pPr>
              <w:spacing w:line="240" w:lineRule="auto"/>
              <w:ind w:left="-103" w:right="-81"/>
              <w:jc w:val="center"/>
              <w:rPr>
                <w:rFonts w:cs="Times New Roman"/>
                <w:b/>
                <w:sz w:val="20"/>
                <w:szCs w:val="20"/>
              </w:rPr>
            </w:pPr>
            <w:r w:rsidRPr="00084D33">
              <w:rPr>
                <w:rFonts w:cs="Times New Roman"/>
                <w:b/>
                <w:sz w:val="20"/>
                <w:szCs w:val="20"/>
              </w:rPr>
              <w:t>Elaborado por:</w:t>
            </w:r>
          </w:p>
        </w:tc>
        <w:tc>
          <w:tcPr>
            <w:tcW w:w="4230" w:type="dxa"/>
            <w:gridSpan w:val="2"/>
            <w:shd w:val="clear" w:color="auto" w:fill="47A8EA"/>
            <w:vAlign w:val="center"/>
          </w:tcPr>
          <w:p w14:paraId="2F4C296B" w14:textId="77777777" w:rsidR="005C68B7" w:rsidRPr="00084D33" w:rsidRDefault="005C68B7" w:rsidP="00CA4840">
            <w:pPr>
              <w:spacing w:line="240" w:lineRule="auto"/>
              <w:ind w:left="-103" w:right="-81"/>
              <w:jc w:val="center"/>
              <w:rPr>
                <w:rFonts w:cs="Times New Roman"/>
                <w:b/>
                <w:sz w:val="20"/>
                <w:szCs w:val="20"/>
              </w:rPr>
            </w:pPr>
            <w:r w:rsidRPr="00084D33">
              <w:rPr>
                <w:rFonts w:cs="Times New Roman"/>
                <w:b/>
                <w:sz w:val="20"/>
                <w:szCs w:val="20"/>
              </w:rPr>
              <w:t>Validado por:</w:t>
            </w:r>
          </w:p>
        </w:tc>
      </w:tr>
      <w:tr w:rsidR="005C68B7" w:rsidRPr="00084D33" w14:paraId="1EDE4386" w14:textId="77777777" w:rsidTr="00CA4840">
        <w:trPr>
          <w:trHeight w:val="368"/>
        </w:trPr>
        <w:tc>
          <w:tcPr>
            <w:tcW w:w="1007" w:type="dxa"/>
            <w:shd w:val="clear" w:color="auto" w:fill="E0E6ED"/>
            <w:vAlign w:val="center"/>
          </w:tcPr>
          <w:p w14:paraId="31C7C85A"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Nombre</w:t>
            </w:r>
          </w:p>
        </w:tc>
        <w:tc>
          <w:tcPr>
            <w:tcW w:w="3564" w:type="dxa"/>
            <w:shd w:val="clear" w:color="auto" w:fill="auto"/>
            <w:vAlign w:val="center"/>
          </w:tcPr>
          <w:p w14:paraId="585DEF79" w14:textId="77777777" w:rsidR="005C68B7" w:rsidRPr="00084D33" w:rsidRDefault="005C68B7" w:rsidP="00CA4840">
            <w:pPr>
              <w:spacing w:line="240" w:lineRule="auto"/>
              <w:jc w:val="center"/>
              <w:rPr>
                <w:rFonts w:cs="Times New Roman"/>
                <w:b/>
                <w:sz w:val="20"/>
                <w:szCs w:val="20"/>
              </w:rPr>
            </w:pPr>
            <w:r w:rsidRPr="00084D33">
              <w:rPr>
                <w:rFonts w:cs="Times New Roman"/>
                <w:b/>
                <w:sz w:val="20"/>
                <w:szCs w:val="20"/>
              </w:rPr>
              <w:t>Mary Concepción Frías</w:t>
            </w:r>
          </w:p>
        </w:tc>
        <w:tc>
          <w:tcPr>
            <w:tcW w:w="1080" w:type="dxa"/>
            <w:shd w:val="clear" w:color="auto" w:fill="E0E6ED"/>
            <w:vAlign w:val="center"/>
          </w:tcPr>
          <w:p w14:paraId="26B8D970"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Nombre:</w:t>
            </w:r>
          </w:p>
        </w:tc>
        <w:tc>
          <w:tcPr>
            <w:tcW w:w="3150" w:type="dxa"/>
            <w:shd w:val="clear" w:color="auto" w:fill="auto"/>
            <w:vAlign w:val="center"/>
          </w:tcPr>
          <w:p w14:paraId="1C7A676B" w14:textId="77777777" w:rsidR="005C68B7" w:rsidRPr="00084D33" w:rsidRDefault="005C68B7" w:rsidP="00CA4840">
            <w:pPr>
              <w:spacing w:line="240" w:lineRule="auto"/>
              <w:jc w:val="center"/>
              <w:rPr>
                <w:rFonts w:cs="Times New Roman"/>
                <w:b/>
                <w:sz w:val="20"/>
                <w:szCs w:val="20"/>
              </w:rPr>
            </w:pPr>
          </w:p>
        </w:tc>
      </w:tr>
      <w:tr w:rsidR="005C68B7" w:rsidRPr="00084D33" w14:paraId="439C034C" w14:textId="77777777" w:rsidTr="00CA4840">
        <w:trPr>
          <w:trHeight w:val="260"/>
        </w:trPr>
        <w:tc>
          <w:tcPr>
            <w:tcW w:w="1007" w:type="dxa"/>
            <w:shd w:val="clear" w:color="auto" w:fill="E0E6ED"/>
            <w:vAlign w:val="center"/>
          </w:tcPr>
          <w:p w14:paraId="4FD12260"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Cargo</w:t>
            </w:r>
          </w:p>
        </w:tc>
        <w:tc>
          <w:tcPr>
            <w:tcW w:w="3564" w:type="dxa"/>
            <w:shd w:val="clear" w:color="auto" w:fill="auto"/>
            <w:vAlign w:val="center"/>
          </w:tcPr>
          <w:p w14:paraId="2520ADA5"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Coordinadora de Recursos Humanos</w:t>
            </w:r>
          </w:p>
        </w:tc>
        <w:tc>
          <w:tcPr>
            <w:tcW w:w="1080" w:type="dxa"/>
            <w:shd w:val="clear" w:color="auto" w:fill="E0E6ED"/>
            <w:vAlign w:val="center"/>
          </w:tcPr>
          <w:p w14:paraId="71B25493"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Cargo</w:t>
            </w:r>
          </w:p>
        </w:tc>
        <w:tc>
          <w:tcPr>
            <w:tcW w:w="3150" w:type="dxa"/>
            <w:shd w:val="clear" w:color="auto" w:fill="auto"/>
            <w:vAlign w:val="center"/>
          </w:tcPr>
          <w:p w14:paraId="61639019"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Analista –MAP</w:t>
            </w:r>
          </w:p>
        </w:tc>
      </w:tr>
      <w:tr w:rsidR="005C68B7" w:rsidRPr="00084D33" w14:paraId="3CC3E68F" w14:textId="77777777" w:rsidTr="00CA4840">
        <w:trPr>
          <w:trHeight w:val="260"/>
        </w:trPr>
        <w:tc>
          <w:tcPr>
            <w:tcW w:w="1007" w:type="dxa"/>
            <w:shd w:val="clear" w:color="auto" w:fill="E0E6ED"/>
            <w:vAlign w:val="center"/>
          </w:tcPr>
          <w:p w14:paraId="533749E2"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Fecha</w:t>
            </w:r>
          </w:p>
        </w:tc>
        <w:tc>
          <w:tcPr>
            <w:tcW w:w="3564" w:type="dxa"/>
            <w:shd w:val="clear" w:color="auto" w:fill="auto"/>
            <w:vAlign w:val="center"/>
          </w:tcPr>
          <w:p w14:paraId="0B1A43B0" w14:textId="77777777" w:rsidR="005C68B7" w:rsidRPr="00084D33" w:rsidRDefault="005C68B7" w:rsidP="00CA4840">
            <w:pPr>
              <w:spacing w:line="240" w:lineRule="auto"/>
              <w:jc w:val="center"/>
              <w:rPr>
                <w:rFonts w:cs="Times New Roman"/>
                <w:b/>
                <w:sz w:val="20"/>
                <w:szCs w:val="20"/>
              </w:rPr>
            </w:pPr>
          </w:p>
        </w:tc>
        <w:tc>
          <w:tcPr>
            <w:tcW w:w="1080" w:type="dxa"/>
            <w:shd w:val="clear" w:color="auto" w:fill="E0E6ED"/>
            <w:vAlign w:val="center"/>
          </w:tcPr>
          <w:p w14:paraId="09A36F96"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Fecha</w:t>
            </w:r>
          </w:p>
        </w:tc>
        <w:tc>
          <w:tcPr>
            <w:tcW w:w="3150" w:type="dxa"/>
            <w:shd w:val="clear" w:color="auto" w:fill="auto"/>
            <w:vAlign w:val="center"/>
          </w:tcPr>
          <w:p w14:paraId="5DFC8D41" w14:textId="77777777" w:rsidR="005C68B7" w:rsidRPr="00084D33" w:rsidRDefault="005C68B7" w:rsidP="00CA4840">
            <w:pPr>
              <w:spacing w:line="240" w:lineRule="auto"/>
              <w:jc w:val="center"/>
              <w:rPr>
                <w:rFonts w:cs="Times New Roman"/>
                <w:b/>
                <w:sz w:val="20"/>
                <w:szCs w:val="20"/>
              </w:rPr>
            </w:pPr>
          </w:p>
        </w:tc>
      </w:tr>
      <w:tr w:rsidR="005C68B7" w:rsidRPr="00084D33" w14:paraId="0D6759AF" w14:textId="77777777" w:rsidTr="00CA4840">
        <w:trPr>
          <w:trHeight w:val="278"/>
        </w:trPr>
        <w:tc>
          <w:tcPr>
            <w:tcW w:w="4571" w:type="dxa"/>
            <w:gridSpan w:val="2"/>
            <w:shd w:val="clear" w:color="auto" w:fill="47A8EA"/>
            <w:vAlign w:val="center"/>
          </w:tcPr>
          <w:p w14:paraId="4270BDA9" w14:textId="77777777" w:rsidR="005C68B7" w:rsidRPr="00084D33" w:rsidRDefault="005C68B7" w:rsidP="00CA4840">
            <w:pPr>
              <w:spacing w:line="240" w:lineRule="auto"/>
              <w:ind w:left="-103" w:right="-81"/>
              <w:jc w:val="center"/>
              <w:rPr>
                <w:rFonts w:cs="Times New Roman"/>
                <w:b/>
                <w:sz w:val="20"/>
                <w:szCs w:val="20"/>
              </w:rPr>
            </w:pPr>
            <w:r w:rsidRPr="00084D33">
              <w:rPr>
                <w:rFonts w:cs="Times New Roman"/>
                <w:b/>
                <w:sz w:val="20"/>
                <w:szCs w:val="20"/>
              </w:rPr>
              <w:t>Aprobado por:</w:t>
            </w:r>
          </w:p>
        </w:tc>
        <w:tc>
          <w:tcPr>
            <w:tcW w:w="4230" w:type="dxa"/>
            <w:gridSpan w:val="2"/>
            <w:shd w:val="clear" w:color="auto" w:fill="47A8EA"/>
            <w:vAlign w:val="center"/>
          </w:tcPr>
          <w:p w14:paraId="7A28E1B2" w14:textId="77777777" w:rsidR="005C68B7" w:rsidRPr="00084D33" w:rsidRDefault="005C68B7" w:rsidP="00CA4840">
            <w:pPr>
              <w:spacing w:line="240" w:lineRule="auto"/>
              <w:ind w:left="-103" w:right="-81"/>
              <w:jc w:val="center"/>
              <w:rPr>
                <w:rFonts w:cs="Times New Roman"/>
                <w:b/>
                <w:sz w:val="20"/>
                <w:szCs w:val="20"/>
              </w:rPr>
            </w:pPr>
            <w:r w:rsidRPr="00084D33">
              <w:rPr>
                <w:rFonts w:cs="Times New Roman"/>
                <w:b/>
                <w:sz w:val="20"/>
                <w:szCs w:val="20"/>
              </w:rPr>
              <w:t xml:space="preserve">     Aprobado por:</w:t>
            </w:r>
          </w:p>
        </w:tc>
      </w:tr>
      <w:tr w:rsidR="005C68B7" w:rsidRPr="00084D33" w14:paraId="7B1742F9" w14:textId="77777777" w:rsidTr="00CA4840">
        <w:trPr>
          <w:trHeight w:val="359"/>
        </w:trPr>
        <w:tc>
          <w:tcPr>
            <w:tcW w:w="1007" w:type="dxa"/>
            <w:shd w:val="clear" w:color="auto" w:fill="E0E6ED"/>
            <w:vAlign w:val="center"/>
          </w:tcPr>
          <w:p w14:paraId="50E85754"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Nombre</w:t>
            </w:r>
          </w:p>
        </w:tc>
        <w:tc>
          <w:tcPr>
            <w:tcW w:w="3564" w:type="dxa"/>
            <w:shd w:val="clear" w:color="auto" w:fill="auto"/>
            <w:vAlign w:val="center"/>
          </w:tcPr>
          <w:p w14:paraId="7C6B19AA" w14:textId="77777777" w:rsidR="005C68B7" w:rsidRPr="00084D33" w:rsidRDefault="005C68B7" w:rsidP="00CA4840">
            <w:pPr>
              <w:spacing w:line="240" w:lineRule="auto"/>
              <w:jc w:val="center"/>
              <w:rPr>
                <w:rFonts w:cs="Times New Roman"/>
                <w:b/>
                <w:sz w:val="20"/>
                <w:szCs w:val="20"/>
              </w:rPr>
            </w:pPr>
            <w:r w:rsidRPr="00084D33">
              <w:rPr>
                <w:rFonts w:cs="Times New Roman"/>
                <w:b/>
                <w:sz w:val="20"/>
                <w:szCs w:val="20"/>
              </w:rPr>
              <w:t>Ana Cristina Ángeles Robles</w:t>
            </w:r>
          </w:p>
        </w:tc>
        <w:tc>
          <w:tcPr>
            <w:tcW w:w="1080" w:type="dxa"/>
            <w:shd w:val="clear" w:color="auto" w:fill="DEEAF6" w:themeFill="accent1" w:themeFillTint="33"/>
            <w:vAlign w:val="center"/>
          </w:tcPr>
          <w:p w14:paraId="33C47B08"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Nombre:</w:t>
            </w:r>
          </w:p>
        </w:tc>
        <w:tc>
          <w:tcPr>
            <w:tcW w:w="3150" w:type="dxa"/>
            <w:shd w:val="clear" w:color="auto" w:fill="auto"/>
            <w:vAlign w:val="center"/>
          </w:tcPr>
          <w:p w14:paraId="13B0A785" w14:textId="77777777" w:rsidR="005C68B7" w:rsidRPr="00084D33" w:rsidRDefault="005C68B7" w:rsidP="00CA4840">
            <w:pPr>
              <w:spacing w:line="240" w:lineRule="auto"/>
              <w:jc w:val="center"/>
              <w:rPr>
                <w:rFonts w:cs="Times New Roman"/>
                <w:b/>
                <w:sz w:val="20"/>
                <w:szCs w:val="20"/>
              </w:rPr>
            </w:pPr>
          </w:p>
        </w:tc>
      </w:tr>
      <w:tr w:rsidR="005C68B7" w:rsidRPr="00084D33" w14:paraId="22454B67" w14:textId="77777777" w:rsidTr="00CA4840">
        <w:trPr>
          <w:trHeight w:val="260"/>
        </w:trPr>
        <w:tc>
          <w:tcPr>
            <w:tcW w:w="1007" w:type="dxa"/>
            <w:shd w:val="clear" w:color="auto" w:fill="E0E6ED"/>
            <w:vAlign w:val="center"/>
          </w:tcPr>
          <w:p w14:paraId="46714A5C"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Cargo</w:t>
            </w:r>
          </w:p>
        </w:tc>
        <w:tc>
          <w:tcPr>
            <w:tcW w:w="3564" w:type="dxa"/>
            <w:shd w:val="clear" w:color="auto" w:fill="auto"/>
            <w:vAlign w:val="center"/>
          </w:tcPr>
          <w:p w14:paraId="033E87AA"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Director (a) / Encargado (a) de Recursos Humanos</w:t>
            </w:r>
          </w:p>
        </w:tc>
        <w:tc>
          <w:tcPr>
            <w:tcW w:w="1080" w:type="dxa"/>
            <w:shd w:val="clear" w:color="auto" w:fill="DEEAF6" w:themeFill="accent1" w:themeFillTint="33"/>
            <w:vAlign w:val="center"/>
          </w:tcPr>
          <w:p w14:paraId="10E728E0"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Cargo</w:t>
            </w:r>
          </w:p>
        </w:tc>
        <w:tc>
          <w:tcPr>
            <w:tcW w:w="3150" w:type="dxa"/>
            <w:shd w:val="clear" w:color="auto" w:fill="auto"/>
            <w:vAlign w:val="center"/>
          </w:tcPr>
          <w:p w14:paraId="0F17E1FC"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 xml:space="preserve">Director (a) de Sistemas de Carrera –MAP </w:t>
            </w:r>
          </w:p>
        </w:tc>
      </w:tr>
      <w:tr w:rsidR="005C68B7" w:rsidRPr="00084D33" w14:paraId="0857115F" w14:textId="77777777" w:rsidTr="00CA4840">
        <w:trPr>
          <w:trHeight w:val="260"/>
        </w:trPr>
        <w:tc>
          <w:tcPr>
            <w:tcW w:w="1007" w:type="dxa"/>
            <w:shd w:val="clear" w:color="auto" w:fill="E0E6ED"/>
            <w:vAlign w:val="center"/>
          </w:tcPr>
          <w:p w14:paraId="576A7380"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Fecha</w:t>
            </w:r>
          </w:p>
        </w:tc>
        <w:tc>
          <w:tcPr>
            <w:tcW w:w="3564" w:type="dxa"/>
            <w:shd w:val="clear" w:color="auto" w:fill="auto"/>
            <w:vAlign w:val="center"/>
          </w:tcPr>
          <w:p w14:paraId="29DDE179" w14:textId="77777777" w:rsidR="005C68B7" w:rsidRPr="00084D33" w:rsidRDefault="005C68B7" w:rsidP="00CA4840">
            <w:pPr>
              <w:spacing w:line="240" w:lineRule="auto"/>
              <w:jc w:val="center"/>
              <w:rPr>
                <w:rFonts w:cs="Times New Roman"/>
                <w:b/>
                <w:sz w:val="20"/>
                <w:szCs w:val="20"/>
              </w:rPr>
            </w:pPr>
          </w:p>
        </w:tc>
        <w:tc>
          <w:tcPr>
            <w:tcW w:w="1080" w:type="dxa"/>
            <w:shd w:val="clear" w:color="auto" w:fill="DEEAF6" w:themeFill="accent1" w:themeFillTint="33"/>
            <w:vAlign w:val="center"/>
          </w:tcPr>
          <w:p w14:paraId="401FAEFB" w14:textId="77777777" w:rsidR="005C68B7" w:rsidRPr="00084D33" w:rsidRDefault="005C68B7" w:rsidP="00CA4840">
            <w:pPr>
              <w:spacing w:line="240" w:lineRule="auto"/>
              <w:jc w:val="center"/>
              <w:rPr>
                <w:rFonts w:cs="Times New Roman"/>
                <w:sz w:val="20"/>
                <w:szCs w:val="20"/>
              </w:rPr>
            </w:pPr>
            <w:r w:rsidRPr="00084D33">
              <w:rPr>
                <w:rFonts w:cs="Times New Roman"/>
                <w:sz w:val="20"/>
                <w:szCs w:val="20"/>
              </w:rPr>
              <w:t>Fecha</w:t>
            </w:r>
          </w:p>
        </w:tc>
        <w:tc>
          <w:tcPr>
            <w:tcW w:w="3150" w:type="dxa"/>
            <w:shd w:val="clear" w:color="auto" w:fill="auto"/>
            <w:vAlign w:val="center"/>
          </w:tcPr>
          <w:p w14:paraId="1A88ACBA" w14:textId="77777777" w:rsidR="005C68B7" w:rsidRPr="00084D33" w:rsidRDefault="005C68B7" w:rsidP="00CA4840">
            <w:pPr>
              <w:spacing w:line="240" w:lineRule="auto"/>
              <w:jc w:val="center"/>
              <w:rPr>
                <w:rFonts w:cs="Times New Roman"/>
                <w:b/>
                <w:sz w:val="20"/>
                <w:szCs w:val="20"/>
              </w:rPr>
            </w:pPr>
          </w:p>
        </w:tc>
      </w:tr>
      <w:tr w:rsidR="005C68B7" w:rsidRPr="00084D33" w14:paraId="78C60BE7" w14:textId="77777777" w:rsidTr="00CA4840">
        <w:trPr>
          <w:trHeight w:val="190"/>
        </w:trPr>
        <w:tc>
          <w:tcPr>
            <w:tcW w:w="8801" w:type="dxa"/>
            <w:gridSpan w:val="4"/>
            <w:shd w:val="clear" w:color="auto" w:fill="auto"/>
            <w:vAlign w:val="center"/>
          </w:tcPr>
          <w:p w14:paraId="0F422D07" w14:textId="77777777" w:rsidR="005C68B7" w:rsidRPr="00084D33" w:rsidRDefault="005C68B7" w:rsidP="00CA4840">
            <w:pPr>
              <w:spacing w:line="240" w:lineRule="auto"/>
              <w:rPr>
                <w:rFonts w:cs="Times New Roman"/>
                <w:b/>
                <w:sz w:val="20"/>
                <w:szCs w:val="20"/>
              </w:rPr>
            </w:pPr>
            <w:r w:rsidRPr="00084D33">
              <w:rPr>
                <w:rFonts w:cs="Times New Roman"/>
                <w:sz w:val="20"/>
                <w:szCs w:val="20"/>
              </w:rPr>
              <w:t>Observaciones:</w:t>
            </w:r>
          </w:p>
        </w:tc>
      </w:tr>
    </w:tbl>
    <w:p w14:paraId="60C39D1E" w14:textId="77777777" w:rsidR="005C68B7" w:rsidRPr="00084D33" w:rsidRDefault="005C68B7" w:rsidP="005C68B7">
      <w:pPr>
        <w:rPr>
          <w:rFonts w:cs="Times New Roman"/>
        </w:rPr>
      </w:pPr>
    </w:p>
    <w:p w14:paraId="01FB842D" w14:textId="401DD9BB" w:rsidR="005C68B7" w:rsidRPr="00084D33" w:rsidRDefault="005C68B7" w:rsidP="005C68B7">
      <w:pPr>
        <w:pStyle w:val="Textoindependiente"/>
        <w:spacing w:line="360" w:lineRule="auto"/>
        <w:jc w:val="both"/>
        <w:rPr>
          <w:color w:val="767171"/>
        </w:rPr>
      </w:pPr>
    </w:p>
    <w:p w14:paraId="5436AB08" w14:textId="77777777" w:rsidR="00A06AE9" w:rsidRPr="00084D33" w:rsidRDefault="00A06AE9" w:rsidP="005C68B7">
      <w:pPr>
        <w:pStyle w:val="Textoindependiente"/>
        <w:spacing w:line="360" w:lineRule="auto"/>
        <w:jc w:val="both"/>
        <w:rPr>
          <w:color w:val="767171"/>
        </w:rPr>
      </w:pPr>
    </w:p>
    <w:p w14:paraId="447D5021" w14:textId="77777777" w:rsidR="005C68B7" w:rsidRPr="00084D33" w:rsidRDefault="005C68B7" w:rsidP="005C68B7">
      <w:pPr>
        <w:pStyle w:val="Textoindependiente"/>
        <w:spacing w:line="360" w:lineRule="auto"/>
        <w:jc w:val="both"/>
        <w:rPr>
          <w:rFonts w:eastAsia="Calibri"/>
          <w:color w:val="767171"/>
        </w:rPr>
      </w:pPr>
    </w:p>
    <w:p w14:paraId="6DDDA962" w14:textId="7A50FA06" w:rsidR="00932557" w:rsidRPr="00084D33" w:rsidRDefault="00084D33" w:rsidP="00084D33">
      <w:pPr>
        <w:keepNext/>
        <w:keepLines/>
        <w:spacing w:before="240" w:line="259" w:lineRule="auto"/>
        <w:jc w:val="center"/>
        <w:outlineLvl w:val="1"/>
        <w:rPr>
          <w:rFonts w:eastAsia="Times New Roman" w:cs="Times New Roman"/>
          <w:b/>
          <w:szCs w:val="32"/>
        </w:rPr>
      </w:pPr>
      <w:bookmarkStart w:id="99" w:name="_3znysh7" w:colFirst="0" w:colLast="0"/>
      <w:bookmarkStart w:id="100" w:name="_Toc186924368"/>
      <w:bookmarkEnd w:id="99"/>
      <w:r>
        <w:rPr>
          <w:rFonts w:eastAsia="Times New Roman" w:cs="Times New Roman"/>
          <w:b/>
          <w:szCs w:val="32"/>
        </w:rPr>
        <w:t>4.3</w:t>
      </w:r>
      <w:r>
        <w:rPr>
          <w:rFonts w:eastAsia="Times New Roman" w:cs="Times New Roman"/>
          <w:b/>
          <w:szCs w:val="32"/>
        </w:rPr>
        <w:tab/>
      </w:r>
      <w:r w:rsidR="00932557" w:rsidRPr="00084D33">
        <w:rPr>
          <w:rFonts w:eastAsia="Times New Roman" w:cs="Times New Roman"/>
          <w:b/>
          <w:szCs w:val="32"/>
        </w:rPr>
        <w:t>Desempeño de los Procesos Jurídicos</w:t>
      </w:r>
      <w:bookmarkEnd w:id="100"/>
    </w:p>
    <w:p w14:paraId="1E96AE44" w14:textId="77777777" w:rsidR="000103C2" w:rsidRPr="00084D33" w:rsidRDefault="000103C2" w:rsidP="000103C2">
      <w:pPr>
        <w:pStyle w:val="Textoindependiente"/>
        <w:ind w:left="1070"/>
        <w:rPr>
          <w:b/>
          <w:color w:val="767171"/>
        </w:rPr>
      </w:pPr>
    </w:p>
    <w:p w14:paraId="45E3F4E3" w14:textId="77777777" w:rsidR="003A52A1" w:rsidRPr="00084D33" w:rsidRDefault="003A52A1" w:rsidP="003A52A1">
      <w:pPr>
        <w:spacing w:after="160" w:line="259" w:lineRule="auto"/>
        <w:jc w:val="left"/>
        <w:rPr>
          <w:rFonts w:cs="Times New Roman"/>
        </w:rPr>
      </w:pPr>
    </w:p>
    <w:p w14:paraId="0E8C95D7" w14:textId="19C17075" w:rsidR="00A06AE9" w:rsidRPr="00084D33" w:rsidRDefault="00A06AE9" w:rsidP="00A06AE9">
      <w:p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En el desempeño de los proceso jurídicos durante el período </w:t>
      </w:r>
      <w:r w:rsidR="00B5550F" w:rsidRPr="00084D33">
        <w:rPr>
          <w:rFonts w:eastAsia="Times New Roman" w:cs="Times New Roman"/>
          <w:szCs w:val="24"/>
          <w:lang w:val="es-ES" w:eastAsia="es-ES" w:bidi="es-ES"/>
        </w:rPr>
        <w:t>Enero - diciembre del año 2024</w:t>
      </w:r>
      <w:r w:rsidRPr="00084D33">
        <w:rPr>
          <w:rFonts w:eastAsia="Times New Roman" w:cs="Times New Roman"/>
          <w:szCs w:val="24"/>
          <w:lang w:val="es-ES" w:eastAsia="es-ES" w:bidi="es-ES"/>
        </w:rPr>
        <w:t>, la Dirección Jurídica del Ministerio de Obras Públicas y Comunicaciones (MOPC) realizó las actividades concernientes a las funciones de la institución en los aspectos legales, proporcionando asesorías y asistencias judiciales en caso de Litis o Reclamación Arbitral, Contratos, Acuerdos, Convenios, Declaratoria de Compromiso, entre otros; y gestionando, en sentido general, las respuestas a los asuntos legales que surjan para la defensa de los intereses de la institución.</w:t>
      </w:r>
    </w:p>
    <w:p w14:paraId="425D0CCE" w14:textId="77777777" w:rsidR="00A06AE9" w:rsidRPr="00084D33" w:rsidRDefault="00A06AE9" w:rsidP="00A06AE9">
      <w:pPr>
        <w:spacing w:after="160"/>
        <w:rPr>
          <w:rFonts w:eastAsia="Times New Roman" w:cs="Times New Roman"/>
          <w:szCs w:val="24"/>
          <w:highlight w:val="lightGray"/>
          <w:lang w:val="es-ES" w:eastAsia="es-ES" w:bidi="es-ES"/>
        </w:rPr>
      </w:pPr>
    </w:p>
    <w:p w14:paraId="06C1216B" w14:textId="0D6B5C3C" w:rsidR="00A06AE9" w:rsidRPr="00084D33" w:rsidRDefault="00A06AE9" w:rsidP="00A06AE9">
      <w:pPr>
        <w:keepNext/>
        <w:keepLines/>
        <w:spacing w:before="240" w:line="259" w:lineRule="auto"/>
        <w:jc w:val="center"/>
        <w:outlineLvl w:val="1"/>
        <w:rPr>
          <w:rFonts w:eastAsia="Times New Roman" w:cs="Times New Roman"/>
          <w:b/>
          <w:szCs w:val="32"/>
        </w:rPr>
      </w:pPr>
      <w:bookmarkStart w:id="101" w:name="_Toc172237766"/>
      <w:bookmarkStart w:id="102" w:name="_Toc186924369"/>
      <w:r w:rsidRPr="00084D33">
        <w:rPr>
          <w:rFonts w:eastAsia="Times New Roman" w:cs="Times New Roman"/>
          <w:b/>
          <w:szCs w:val="32"/>
        </w:rPr>
        <w:t>4.3.1</w:t>
      </w:r>
      <w:r w:rsidRPr="00084D33">
        <w:rPr>
          <w:rFonts w:eastAsia="Times New Roman" w:cs="Times New Roman"/>
          <w:b/>
          <w:szCs w:val="32"/>
        </w:rPr>
        <w:tab/>
        <w:t>Contratos elaborados</w:t>
      </w:r>
      <w:bookmarkEnd w:id="101"/>
      <w:bookmarkEnd w:id="102"/>
    </w:p>
    <w:p w14:paraId="3A2BAC89" w14:textId="77777777" w:rsidR="00A06AE9" w:rsidRPr="00084D33" w:rsidRDefault="00A06AE9" w:rsidP="00A06AE9">
      <w:pPr>
        <w:spacing w:after="160"/>
        <w:rPr>
          <w:rFonts w:eastAsia="Times New Roman" w:cs="Times New Roman"/>
          <w:szCs w:val="24"/>
          <w:highlight w:val="lightGray"/>
          <w:lang w:val="es-ES" w:eastAsia="es-ES" w:bidi="es-ES"/>
        </w:rPr>
      </w:pPr>
    </w:p>
    <w:p w14:paraId="275E0D73" w14:textId="6D748101" w:rsidR="00A06AE9" w:rsidRPr="00084D33" w:rsidRDefault="001F52A0" w:rsidP="00500720">
      <w:pPr>
        <w:spacing w:after="160"/>
        <w:rPr>
          <w:rFonts w:cs="Times New Roman"/>
        </w:rPr>
      </w:pPr>
      <w:bookmarkStart w:id="103" w:name="_Toc172237767"/>
      <w:r w:rsidRPr="00084D33">
        <w:rPr>
          <w:rFonts w:cs="Times New Roman"/>
        </w:rPr>
        <w:t xml:space="preserve">Los </w:t>
      </w:r>
      <w:r w:rsidRPr="00084D33">
        <w:rPr>
          <w:rFonts w:eastAsia="Times New Roman" w:cs="Times New Roman"/>
          <w:szCs w:val="24"/>
          <w:lang w:val="es-ES" w:eastAsia="es-ES" w:bidi="es-ES"/>
        </w:rPr>
        <w:t>trabajos</w:t>
      </w:r>
      <w:r w:rsidRPr="00084D33">
        <w:rPr>
          <w:rFonts w:cs="Times New Roman"/>
        </w:rPr>
        <w:t xml:space="preserve"> realizados por la Dirección </w:t>
      </w:r>
      <w:r w:rsidR="00C3480E" w:rsidRPr="00084D33">
        <w:rPr>
          <w:rFonts w:cs="Times New Roman"/>
        </w:rPr>
        <w:t>Jurídica</w:t>
      </w:r>
      <w:r w:rsidRPr="00084D33">
        <w:rPr>
          <w:rFonts w:cs="Times New Roman"/>
        </w:rPr>
        <w:t xml:space="preserve"> durante el citado periodo, registraron un total de 767 contratos elaborados, de los cuales 162 corresponden  a Contratos de Obras de Infraestructura Vial, 173 a Contratos </w:t>
      </w:r>
      <w:r w:rsidRPr="00084D33">
        <w:rPr>
          <w:rFonts w:cs="Times New Roman"/>
        </w:rPr>
        <w:lastRenderedPageBreak/>
        <w:t>de Obras de Edificaciones, 82 a Suministro H.A.C y AC-30, 201 a Acuerdos de Servicios, 14 a Convenios Interinstitucionales, 91 a Cartas de Compromisos, 26 a Cartas Declaratorias y 18 a Adquisiciones de Utilerías y Equipamientos.</w:t>
      </w:r>
      <w:r w:rsidR="00A06AE9" w:rsidRPr="00084D33">
        <w:rPr>
          <w:rFonts w:cs="Times New Roman"/>
        </w:rPr>
        <w:t>4.3.2.</w:t>
      </w:r>
      <w:r w:rsidR="00A06AE9" w:rsidRPr="00084D33">
        <w:rPr>
          <w:rFonts w:cs="Times New Roman"/>
        </w:rPr>
        <w:tab/>
        <w:t>Declaraciones de Compromisos</w:t>
      </w:r>
      <w:bookmarkEnd w:id="103"/>
    </w:p>
    <w:p w14:paraId="5E36CFAA" w14:textId="77777777" w:rsidR="00A06AE9" w:rsidRPr="00084D33" w:rsidRDefault="00A06AE9" w:rsidP="00A06AE9">
      <w:pPr>
        <w:spacing w:after="160"/>
        <w:rPr>
          <w:rFonts w:eastAsia="Times New Roman" w:cs="Times New Roman"/>
          <w:szCs w:val="24"/>
          <w:lang w:val="es-ES" w:eastAsia="es-ES" w:bidi="es-ES"/>
        </w:rPr>
      </w:pPr>
    </w:p>
    <w:p w14:paraId="77C99342" w14:textId="77777777" w:rsidR="00A06AE9" w:rsidRPr="00084D33" w:rsidRDefault="00A06AE9" w:rsidP="00A06AE9">
      <w:pPr>
        <w:spacing w:after="160"/>
        <w:rPr>
          <w:rFonts w:eastAsia="Times New Roman" w:cs="Times New Roman"/>
          <w:szCs w:val="24"/>
          <w:highlight w:val="lightGray"/>
          <w:lang w:val="es-ES" w:eastAsia="es-ES" w:bidi="es-ES"/>
        </w:rPr>
      </w:pPr>
      <w:r w:rsidRPr="00084D33">
        <w:rPr>
          <w:rFonts w:eastAsia="Times New Roman" w:cs="Times New Roman"/>
          <w:szCs w:val="24"/>
          <w:lang w:val="es-ES" w:eastAsia="es-ES" w:bidi="es-ES"/>
        </w:rPr>
        <w:t>También durante el citado período, en la Dirección Jurídica se elaboraron un total de 1,209 Declaraciones de Compromiso con Jornaleros bajo el Programa Comunitario Acción Vial, denominado “Peón Caminero”, y 18,277 con Brigadistas, para un total de 19,486 Declaraciones de Compromiso concebidas para los trabajos del referido programa a ejecutarse en las distintas provincias del país, siendo las provincias con mayores intervenciones las siguientes: Santiago Rodríguez, San José de Ocoa, Azua, Hato Mayor, El Seibo, La Altagracia, María Trinidad Sánchez, Sánchez Ramírez, Monte Cristi, Dajabón, Pedernales, Monte Plata y Santo Domingo</w:t>
      </w:r>
      <w:r w:rsidRPr="00084D33">
        <w:rPr>
          <w:rFonts w:eastAsia="Times New Roman" w:cs="Times New Roman"/>
          <w:szCs w:val="24"/>
          <w:highlight w:val="lightGray"/>
          <w:lang w:val="es-ES" w:eastAsia="es-ES" w:bidi="es-ES"/>
        </w:rPr>
        <w:t xml:space="preserve">. </w:t>
      </w:r>
    </w:p>
    <w:p w14:paraId="0B233767" w14:textId="77777777" w:rsidR="00A06AE9" w:rsidRPr="00084D33" w:rsidRDefault="00A06AE9" w:rsidP="00A06AE9">
      <w:pPr>
        <w:widowControl w:val="0"/>
        <w:autoSpaceDE w:val="0"/>
        <w:autoSpaceDN w:val="0"/>
        <w:rPr>
          <w:rFonts w:eastAsia="Times New Roman" w:cs="Times New Roman"/>
          <w:szCs w:val="24"/>
          <w:lang w:val="es-ES" w:eastAsia="es-ES" w:bidi="es-ES"/>
        </w:rPr>
      </w:pPr>
    </w:p>
    <w:p w14:paraId="61111799" w14:textId="2FF63457" w:rsidR="00A06AE9" w:rsidRPr="00084D33" w:rsidRDefault="00A06AE9" w:rsidP="00A06AE9">
      <w:pPr>
        <w:keepNext/>
        <w:keepLines/>
        <w:spacing w:before="240" w:line="259" w:lineRule="auto"/>
        <w:jc w:val="center"/>
        <w:outlineLvl w:val="1"/>
        <w:rPr>
          <w:rFonts w:eastAsia="Times New Roman" w:cs="Times New Roman"/>
          <w:b/>
          <w:szCs w:val="32"/>
        </w:rPr>
      </w:pPr>
      <w:bookmarkStart w:id="104" w:name="_Toc172237768"/>
      <w:bookmarkStart w:id="105" w:name="_Toc186924370"/>
      <w:r w:rsidRPr="00084D33">
        <w:rPr>
          <w:rFonts w:eastAsia="Times New Roman" w:cs="Times New Roman"/>
          <w:b/>
          <w:szCs w:val="32"/>
        </w:rPr>
        <w:t>4.3.3.</w:t>
      </w:r>
      <w:r w:rsidRPr="00084D33">
        <w:rPr>
          <w:rFonts w:eastAsia="Times New Roman" w:cs="Times New Roman"/>
          <w:b/>
          <w:szCs w:val="32"/>
        </w:rPr>
        <w:tab/>
        <w:t>Acuerdos Interinstitucionales</w:t>
      </w:r>
      <w:bookmarkEnd w:id="104"/>
      <w:bookmarkEnd w:id="105"/>
    </w:p>
    <w:p w14:paraId="67C336B9" w14:textId="77777777" w:rsidR="00A06AE9" w:rsidRPr="00084D33" w:rsidRDefault="00A06AE9" w:rsidP="00A06AE9">
      <w:pPr>
        <w:keepNext/>
        <w:keepLines/>
        <w:spacing w:before="240" w:line="259" w:lineRule="auto"/>
        <w:jc w:val="center"/>
        <w:outlineLvl w:val="1"/>
        <w:rPr>
          <w:rFonts w:eastAsia="Times New Roman" w:cs="Times New Roman"/>
          <w:szCs w:val="24"/>
          <w:lang w:val="es-ES" w:eastAsia="es-ES" w:bidi="es-ES"/>
        </w:rPr>
      </w:pPr>
    </w:p>
    <w:p w14:paraId="471757DC" w14:textId="77777777" w:rsidR="00A06AE9" w:rsidRPr="00084D33" w:rsidRDefault="00A06AE9" w:rsidP="00A06AE9">
      <w:pPr>
        <w:widowControl w:val="0"/>
        <w:autoSpaceDE w:val="0"/>
        <w:autoSpaceDN w:val="0"/>
        <w:rPr>
          <w:rFonts w:eastAsia="Times New Roman" w:cs="Times New Roman"/>
          <w:szCs w:val="24"/>
          <w:lang w:val="es-ES" w:eastAsia="es-ES" w:bidi="es-ES"/>
        </w:rPr>
      </w:pPr>
    </w:p>
    <w:p w14:paraId="6592680A" w14:textId="7164E8CC" w:rsidR="00A06AE9" w:rsidRPr="00084D33" w:rsidRDefault="00A06AE9" w:rsidP="00A06AE9">
      <w:pPr>
        <w:widowControl w:val="0"/>
        <w:autoSpaceDE w:val="0"/>
        <w:autoSpaceDN w:val="0"/>
        <w:rPr>
          <w:rFonts w:eastAsia="Times New Roman" w:cs="Times New Roman"/>
          <w:szCs w:val="24"/>
          <w:lang w:val="es-ES" w:eastAsia="es-ES" w:bidi="es-ES"/>
        </w:rPr>
      </w:pPr>
      <w:r w:rsidRPr="00084D33">
        <w:rPr>
          <w:rFonts w:eastAsia="Times New Roman" w:cs="Times New Roman"/>
          <w:szCs w:val="24"/>
          <w:lang w:val="es-ES" w:eastAsia="es-ES" w:bidi="es-ES"/>
        </w:rPr>
        <w:t xml:space="preserve">Además, durante el periodo </w:t>
      </w:r>
      <w:r w:rsidR="000A17C8" w:rsidRPr="00084D33">
        <w:rPr>
          <w:rFonts w:eastAsia="Times New Roman" w:cs="Times New Roman"/>
          <w:szCs w:val="24"/>
          <w:lang w:val="es-ES" w:eastAsia="es-ES" w:bidi="es-ES"/>
        </w:rPr>
        <w:t>enero-diciembre</w:t>
      </w:r>
      <w:r w:rsidRPr="00084D33">
        <w:rPr>
          <w:rFonts w:eastAsia="Times New Roman" w:cs="Times New Roman"/>
          <w:szCs w:val="24"/>
          <w:lang w:val="es-ES" w:eastAsia="es-ES" w:bidi="es-ES"/>
        </w:rPr>
        <w:t xml:space="preserve"> del año 2024, la Dirección Jurídica del MOPC, elaboró varios Acuerdos Interinstitucionales, entre los que se destacan:</w:t>
      </w:r>
    </w:p>
    <w:p w14:paraId="3CAE2EA9" w14:textId="77777777" w:rsidR="00A06AE9" w:rsidRPr="00084D33" w:rsidRDefault="00A06AE9" w:rsidP="00A06AE9">
      <w:pPr>
        <w:widowControl w:val="0"/>
        <w:autoSpaceDE w:val="0"/>
        <w:autoSpaceDN w:val="0"/>
        <w:rPr>
          <w:rFonts w:eastAsia="Times New Roman" w:cs="Times New Roman"/>
          <w:szCs w:val="24"/>
          <w:lang w:val="es-ES" w:eastAsia="es-ES" w:bidi="es-ES"/>
        </w:rPr>
      </w:pPr>
      <w:r w:rsidRPr="00084D33">
        <w:rPr>
          <w:rFonts w:eastAsia="Times New Roman" w:cs="Times New Roman"/>
          <w:szCs w:val="24"/>
          <w:lang w:val="es-ES" w:eastAsia="es-ES" w:bidi="es-ES"/>
        </w:rPr>
        <w:t xml:space="preserve">  </w:t>
      </w:r>
    </w:p>
    <w:p w14:paraId="0140D9DF"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Acuerdo con la Autoridad Portuaria Dominicana (APORDOM).</w:t>
      </w:r>
    </w:p>
    <w:p w14:paraId="2FF2F6A3"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Acuerdo con la  Oficina de Evaluación Sísmica y Vulnerabilidad de Infraestructura y Edificaciones (ONESVIE).</w:t>
      </w:r>
    </w:p>
    <w:p w14:paraId="16EC8EA8"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lastRenderedPageBreak/>
        <w:t>Acuerdo con el Instituto de Tasadores Dominicanos (ITADO).</w:t>
      </w:r>
    </w:p>
    <w:p w14:paraId="0C296DEE"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Acuerdo con la Dirección General de Contabilidad Gubernamental (DIGECOG).</w:t>
      </w:r>
    </w:p>
    <w:p w14:paraId="2C6B09B5"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Acuerdo con PROMESECAL.</w:t>
      </w:r>
    </w:p>
    <w:p w14:paraId="21603677"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Acuerdo con el Ministerio de Medio Ambiente y Recursos Naturales (MIMARENA).</w:t>
      </w:r>
    </w:p>
    <w:p w14:paraId="072C0916" w14:textId="3E95C56C"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Acuerdo con el Ministerio de la Vivienda y            Edificaciones (MIVED).</w:t>
      </w:r>
    </w:p>
    <w:p w14:paraId="3F653692"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Acuerdo con el Consejo del Poder Judicial.</w:t>
      </w:r>
    </w:p>
    <w:p w14:paraId="28EB6040"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Acuerdo de Colaboración con la Cooperativa de Camioneros Dominicanos (FENACOOPCADO); entre otros.  </w:t>
      </w:r>
    </w:p>
    <w:p w14:paraId="68D848B2" w14:textId="77777777" w:rsidR="00A06AE9" w:rsidRPr="00084D33" w:rsidRDefault="00A06AE9" w:rsidP="00A06AE9">
      <w:pPr>
        <w:widowControl w:val="0"/>
        <w:autoSpaceDE w:val="0"/>
        <w:autoSpaceDN w:val="0"/>
        <w:rPr>
          <w:rFonts w:ascii="Artifex CF Extra Light" w:eastAsia="Calibri" w:hAnsi="Artifex CF Extra Light" w:cs="Times New Roman"/>
          <w:spacing w:val="0"/>
          <w:sz w:val="20"/>
        </w:rPr>
      </w:pPr>
    </w:p>
    <w:p w14:paraId="4C69BF83" w14:textId="77777777" w:rsidR="00A06AE9" w:rsidRPr="00084D33" w:rsidRDefault="00A06AE9" w:rsidP="00A06AE9">
      <w:pPr>
        <w:widowControl w:val="0"/>
        <w:autoSpaceDE w:val="0"/>
        <w:autoSpaceDN w:val="0"/>
        <w:rPr>
          <w:rFonts w:ascii="Artifex CF Extra Light" w:eastAsia="Calibri" w:hAnsi="Artifex CF Extra Light" w:cs="Times New Roman"/>
          <w:spacing w:val="0"/>
          <w:sz w:val="20"/>
        </w:rPr>
      </w:pPr>
    </w:p>
    <w:p w14:paraId="0FE4DF2E" w14:textId="3701F823" w:rsidR="00A06AE9" w:rsidRPr="00084D33" w:rsidRDefault="00A06AE9" w:rsidP="00A06AE9">
      <w:pPr>
        <w:keepNext/>
        <w:keepLines/>
        <w:spacing w:before="240" w:line="259" w:lineRule="auto"/>
        <w:jc w:val="center"/>
        <w:outlineLvl w:val="1"/>
        <w:rPr>
          <w:rFonts w:eastAsia="Times New Roman" w:cs="Times New Roman"/>
          <w:b/>
          <w:szCs w:val="32"/>
        </w:rPr>
      </w:pPr>
      <w:bookmarkStart w:id="106" w:name="_Toc172237769"/>
      <w:bookmarkStart w:id="107" w:name="_Toc186924371"/>
      <w:r w:rsidRPr="00084D33">
        <w:rPr>
          <w:rFonts w:eastAsia="Times New Roman" w:cs="Times New Roman"/>
          <w:b/>
          <w:szCs w:val="32"/>
        </w:rPr>
        <w:t>4.3.4.</w:t>
      </w:r>
      <w:r w:rsidRPr="00084D33">
        <w:rPr>
          <w:rFonts w:eastAsia="Times New Roman" w:cs="Times New Roman"/>
          <w:b/>
          <w:szCs w:val="32"/>
        </w:rPr>
        <w:tab/>
        <w:t>Convenios Nuevos y Renovados</w:t>
      </w:r>
      <w:bookmarkEnd w:id="106"/>
      <w:bookmarkEnd w:id="107"/>
    </w:p>
    <w:p w14:paraId="5A52B257" w14:textId="77777777" w:rsidR="00A06AE9" w:rsidRPr="00084D33" w:rsidRDefault="00A06AE9" w:rsidP="00A06AE9">
      <w:pPr>
        <w:widowControl w:val="0"/>
        <w:autoSpaceDE w:val="0"/>
        <w:autoSpaceDN w:val="0"/>
        <w:rPr>
          <w:rFonts w:ascii="Artifex CF Extra Light" w:eastAsia="Calibri" w:hAnsi="Artifex CF Extra Light" w:cs="Times New Roman"/>
          <w:spacing w:val="0"/>
          <w:sz w:val="20"/>
        </w:rPr>
      </w:pPr>
    </w:p>
    <w:p w14:paraId="31908A26" w14:textId="77777777" w:rsidR="00A06AE9" w:rsidRPr="00084D33" w:rsidRDefault="00A06AE9" w:rsidP="00A06AE9">
      <w:pPr>
        <w:widowControl w:val="0"/>
        <w:autoSpaceDE w:val="0"/>
        <w:autoSpaceDN w:val="0"/>
        <w:rPr>
          <w:rFonts w:ascii="Artifex CF Extra Light" w:eastAsia="Calibri" w:hAnsi="Artifex CF Extra Light" w:cs="Times New Roman"/>
          <w:spacing w:val="0"/>
          <w:sz w:val="20"/>
        </w:rPr>
      </w:pPr>
    </w:p>
    <w:p w14:paraId="1110A5C8" w14:textId="619442E0" w:rsidR="00A06AE9" w:rsidRPr="00084D33" w:rsidRDefault="00A06AE9" w:rsidP="00A06AE9">
      <w:pPr>
        <w:widowControl w:val="0"/>
        <w:autoSpaceDE w:val="0"/>
        <w:autoSpaceDN w:val="0"/>
        <w:rPr>
          <w:rFonts w:eastAsia="Times New Roman" w:cs="Times New Roman"/>
          <w:szCs w:val="24"/>
          <w:lang w:val="es-ES" w:eastAsia="es-ES" w:bidi="es-ES"/>
        </w:rPr>
      </w:pPr>
      <w:r w:rsidRPr="00084D33">
        <w:rPr>
          <w:rFonts w:eastAsia="Times New Roman" w:cs="Times New Roman"/>
          <w:szCs w:val="24"/>
          <w:lang w:val="es-ES" w:eastAsia="es-ES" w:bidi="es-ES"/>
        </w:rPr>
        <w:t xml:space="preserve">De igual manera,  la Dirección Jurídica del (MOPC), elaboró nuevos Convenios Interinstitucionales durante el período </w:t>
      </w:r>
      <w:r w:rsidR="00B5550F" w:rsidRPr="00084D33">
        <w:rPr>
          <w:rFonts w:eastAsia="Times New Roman" w:cs="Times New Roman"/>
          <w:szCs w:val="24"/>
          <w:lang w:val="es-ES" w:eastAsia="es-ES" w:bidi="es-ES"/>
        </w:rPr>
        <w:t>Enero – diciembre</w:t>
      </w:r>
      <w:r w:rsidRPr="00084D33">
        <w:rPr>
          <w:rFonts w:eastAsia="Times New Roman" w:cs="Times New Roman"/>
          <w:szCs w:val="24"/>
          <w:lang w:val="es-ES" w:eastAsia="es-ES" w:bidi="es-ES"/>
        </w:rPr>
        <w:t xml:space="preserve"> del año 2024, entre los que se destacan:</w:t>
      </w:r>
    </w:p>
    <w:p w14:paraId="46B49231" w14:textId="77777777" w:rsidR="00A06AE9" w:rsidRPr="00084D33" w:rsidRDefault="00A06AE9" w:rsidP="00A06AE9">
      <w:pPr>
        <w:widowControl w:val="0"/>
        <w:autoSpaceDE w:val="0"/>
        <w:autoSpaceDN w:val="0"/>
        <w:rPr>
          <w:rFonts w:eastAsia="Times New Roman" w:cs="Times New Roman"/>
          <w:szCs w:val="24"/>
          <w:lang w:val="es-ES" w:eastAsia="es-ES" w:bidi="es-ES"/>
        </w:rPr>
      </w:pPr>
    </w:p>
    <w:p w14:paraId="185945E8" w14:textId="2985EFDC"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Convenio con el Ministerio de Administración Pública</w:t>
      </w:r>
      <w:r w:rsidR="00C3480E">
        <w:rPr>
          <w:rFonts w:eastAsia="Times New Roman" w:cs="Times New Roman"/>
          <w:szCs w:val="24"/>
          <w:lang w:val="es-ES" w:eastAsia="es-ES" w:bidi="es-ES"/>
        </w:rPr>
        <w:t xml:space="preserve"> </w:t>
      </w:r>
      <w:r w:rsidRPr="00084D33">
        <w:rPr>
          <w:rFonts w:eastAsia="Times New Roman" w:cs="Times New Roman"/>
          <w:szCs w:val="24"/>
          <w:lang w:val="es-ES" w:eastAsia="es-ES" w:bidi="es-ES"/>
        </w:rPr>
        <w:t>(MAP).</w:t>
      </w:r>
    </w:p>
    <w:p w14:paraId="33DBA289"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Convenio con la Oficina Gubernamental de Tecnología de la Información y Comunicación (OGTIC).</w:t>
      </w:r>
    </w:p>
    <w:p w14:paraId="0BF71FAA"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Convenio con el Ministerio de Economía Planificación y Desarrollo (MEPyD).</w:t>
      </w:r>
    </w:p>
    <w:p w14:paraId="22867196" w14:textId="31B1301B"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lastRenderedPageBreak/>
        <w:t xml:space="preserve">Convenio con la Fuerza Aérea de la República </w:t>
      </w:r>
      <w:r w:rsidR="00C3480E" w:rsidRPr="00084D33">
        <w:rPr>
          <w:rFonts w:eastAsia="Times New Roman" w:cs="Times New Roman"/>
          <w:szCs w:val="24"/>
          <w:lang w:val="es-ES" w:eastAsia="es-ES" w:bidi="es-ES"/>
        </w:rPr>
        <w:t>Dominicana (</w:t>
      </w:r>
      <w:r w:rsidRPr="00084D33">
        <w:rPr>
          <w:rFonts w:eastAsia="Times New Roman" w:cs="Times New Roman"/>
          <w:szCs w:val="24"/>
          <w:lang w:val="es-ES" w:eastAsia="es-ES" w:bidi="es-ES"/>
        </w:rPr>
        <w:t>FARD).</w:t>
      </w:r>
    </w:p>
    <w:p w14:paraId="1AC03D25"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Convenio con el Centro Nacional de Ciberseguridad (CNCS), entre otros.</w:t>
      </w:r>
    </w:p>
    <w:p w14:paraId="30F6046D" w14:textId="77777777" w:rsidR="00500720" w:rsidRPr="00084D33" w:rsidRDefault="00500720" w:rsidP="00F13A4D">
      <w:pPr>
        <w:spacing w:line="480" w:lineRule="auto"/>
        <w:contextualSpacing/>
        <w:rPr>
          <w:rFonts w:ascii="Artifex CF Extra Light" w:eastAsia="Calibri" w:hAnsi="Artifex CF Extra Light" w:cs="Times New Roman"/>
          <w:spacing w:val="0"/>
          <w:sz w:val="20"/>
        </w:rPr>
      </w:pPr>
    </w:p>
    <w:p w14:paraId="240D3853" w14:textId="11BED95E" w:rsidR="00A06AE9" w:rsidRPr="00084D33" w:rsidRDefault="00A06AE9" w:rsidP="00A06AE9">
      <w:pPr>
        <w:widowControl w:val="0"/>
        <w:autoSpaceDE w:val="0"/>
        <w:autoSpaceDN w:val="0"/>
        <w:rPr>
          <w:rFonts w:eastAsia="Times New Roman" w:cs="Times New Roman"/>
          <w:szCs w:val="24"/>
          <w:lang w:val="es-ES" w:eastAsia="es-ES" w:bidi="es-ES"/>
        </w:rPr>
      </w:pPr>
      <w:r w:rsidRPr="00084D33">
        <w:rPr>
          <w:rFonts w:eastAsia="Times New Roman" w:cs="Times New Roman"/>
          <w:szCs w:val="24"/>
          <w:lang w:val="es-ES" w:eastAsia="es-ES" w:bidi="es-ES"/>
        </w:rPr>
        <w:t xml:space="preserve">También, la Dirección Jurídica de la institución, elaboró varias Renovaciones de Convenios Interinstitucionales durante el periodo </w:t>
      </w:r>
      <w:r w:rsidR="000A17C8" w:rsidRPr="00084D33">
        <w:rPr>
          <w:rFonts w:eastAsia="Times New Roman" w:cs="Times New Roman"/>
          <w:szCs w:val="24"/>
          <w:lang w:val="es-ES" w:eastAsia="es-ES" w:bidi="es-ES"/>
        </w:rPr>
        <w:t>enero-diciembre</w:t>
      </w:r>
      <w:r w:rsidRPr="00084D33">
        <w:rPr>
          <w:rFonts w:eastAsia="Times New Roman" w:cs="Times New Roman"/>
          <w:szCs w:val="24"/>
          <w:lang w:val="es-ES" w:eastAsia="es-ES" w:bidi="es-ES"/>
        </w:rPr>
        <w:t xml:space="preserve"> del año 2024, las cuales se describen a continuación:</w:t>
      </w:r>
    </w:p>
    <w:p w14:paraId="2A36A0DE" w14:textId="77777777" w:rsidR="00A06AE9" w:rsidRPr="00084D33" w:rsidRDefault="00A06AE9" w:rsidP="00A06AE9">
      <w:pPr>
        <w:widowControl w:val="0"/>
        <w:autoSpaceDE w:val="0"/>
        <w:autoSpaceDN w:val="0"/>
        <w:rPr>
          <w:rFonts w:eastAsia="Times New Roman" w:cs="Times New Roman"/>
          <w:szCs w:val="24"/>
          <w:lang w:val="es-ES" w:eastAsia="es-ES" w:bidi="es-ES"/>
        </w:rPr>
      </w:pPr>
    </w:p>
    <w:p w14:paraId="0CC640E3"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Renovación del convenio Unidad Ejecutora para la Readecuación de Barrios y Entornos (URBE), para diseñar, promover y ejecutar proyectos urbanos integrales para el Desarrollo Territorial y de las Comunidades. </w:t>
      </w:r>
    </w:p>
    <w:p w14:paraId="2CB40EF2"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Renovación del convenio entre el MOPC y los Comedores Económicos.</w:t>
      </w:r>
    </w:p>
    <w:p w14:paraId="12AE2286"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Renovación del convenio con el Consejo Nacional de Discapacidad  (CONADIS).</w:t>
      </w:r>
    </w:p>
    <w:p w14:paraId="3D6F2288"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Renovación del convenio con la Dirección General de Seguridad de Tránsito y Transporte Terrestre (DIGESETT).</w:t>
      </w:r>
    </w:p>
    <w:p w14:paraId="6B8C898E"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Renovación Operadora Metropolitana de Servicios de Autobuses (OMSA).</w:t>
      </w:r>
    </w:p>
    <w:p w14:paraId="0985F7BD"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Renovación del convenio entre el MOPC y el Ministerio de Defensa (MIDE).</w:t>
      </w:r>
    </w:p>
    <w:p w14:paraId="733A30BF" w14:textId="1A6D05DA" w:rsidR="00A06AE9" w:rsidRPr="00084D33" w:rsidRDefault="00F13A4D" w:rsidP="00F13A4D">
      <w:pPr>
        <w:spacing w:after="160" w:line="259" w:lineRule="auto"/>
        <w:jc w:val="left"/>
        <w:rPr>
          <w:rFonts w:eastAsia="Times New Roman" w:cs="Times New Roman"/>
          <w:szCs w:val="24"/>
          <w:highlight w:val="lightGray"/>
          <w:lang w:val="es-ES" w:eastAsia="es-ES" w:bidi="es-ES"/>
        </w:rPr>
      </w:pPr>
      <w:r w:rsidRPr="00084D33">
        <w:rPr>
          <w:rFonts w:eastAsia="Times New Roman" w:cs="Times New Roman"/>
          <w:szCs w:val="24"/>
          <w:highlight w:val="lightGray"/>
          <w:lang w:val="es-ES" w:eastAsia="es-ES" w:bidi="es-ES"/>
        </w:rPr>
        <w:br w:type="page"/>
      </w:r>
    </w:p>
    <w:p w14:paraId="38F73DF1" w14:textId="782E94F3" w:rsidR="00A06AE9" w:rsidRPr="00084D33" w:rsidRDefault="00A06AE9" w:rsidP="00A06AE9">
      <w:pPr>
        <w:keepNext/>
        <w:keepLines/>
        <w:spacing w:before="240" w:line="259" w:lineRule="auto"/>
        <w:jc w:val="center"/>
        <w:outlineLvl w:val="1"/>
        <w:rPr>
          <w:rFonts w:eastAsia="Times New Roman" w:cs="Times New Roman"/>
          <w:b/>
          <w:szCs w:val="32"/>
        </w:rPr>
      </w:pPr>
      <w:bookmarkStart w:id="108" w:name="_Toc172237770"/>
      <w:bookmarkStart w:id="109" w:name="_Toc186924372"/>
      <w:r w:rsidRPr="00084D33">
        <w:rPr>
          <w:rFonts w:eastAsia="Times New Roman" w:cs="Times New Roman"/>
          <w:b/>
          <w:szCs w:val="32"/>
        </w:rPr>
        <w:lastRenderedPageBreak/>
        <w:t>4.3.5.</w:t>
      </w:r>
      <w:r w:rsidRPr="00084D33">
        <w:rPr>
          <w:rFonts w:eastAsia="Times New Roman" w:cs="Times New Roman"/>
          <w:b/>
          <w:szCs w:val="32"/>
        </w:rPr>
        <w:tab/>
        <w:t>Procesos litigiosos (Demandas y Controversias)</w:t>
      </w:r>
      <w:bookmarkEnd w:id="108"/>
      <w:bookmarkEnd w:id="109"/>
      <w:r w:rsidRPr="00084D33">
        <w:rPr>
          <w:rFonts w:eastAsia="Times New Roman" w:cs="Times New Roman"/>
          <w:b/>
          <w:szCs w:val="32"/>
        </w:rPr>
        <w:t xml:space="preserve"> </w:t>
      </w:r>
    </w:p>
    <w:p w14:paraId="00101681" w14:textId="77777777" w:rsidR="00A06AE9" w:rsidRPr="00084D33" w:rsidRDefault="00A06AE9" w:rsidP="00A06AE9">
      <w:pPr>
        <w:spacing w:after="160" w:line="259" w:lineRule="auto"/>
        <w:jc w:val="left"/>
        <w:rPr>
          <w:rFonts w:ascii="Artifex CF Extra Light" w:eastAsia="Calibri" w:hAnsi="Artifex CF Extra Light" w:cs="Times New Roman"/>
          <w:spacing w:val="0"/>
          <w:sz w:val="20"/>
        </w:rPr>
      </w:pPr>
    </w:p>
    <w:p w14:paraId="043BFF13" w14:textId="77777777" w:rsidR="00A06AE9" w:rsidRPr="00084D33" w:rsidRDefault="00A06AE9" w:rsidP="00A06AE9">
      <w:pPr>
        <w:spacing w:after="160" w:line="259" w:lineRule="auto"/>
        <w:jc w:val="left"/>
        <w:rPr>
          <w:rFonts w:ascii="Artifex CF Extra Light" w:eastAsia="Calibri" w:hAnsi="Artifex CF Extra Light" w:cs="Times New Roman"/>
          <w:spacing w:val="0"/>
          <w:sz w:val="20"/>
        </w:rPr>
      </w:pPr>
    </w:p>
    <w:p w14:paraId="0CB535D4" w14:textId="3103C8FD" w:rsidR="00A06AE9" w:rsidRPr="00084D33" w:rsidRDefault="00A06AE9" w:rsidP="00A06AE9">
      <w:pPr>
        <w:widowControl w:val="0"/>
        <w:autoSpaceDE w:val="0"/>
        <w:autoSpaceDN w:val="0"/>
        <w:rPr>
          <w:rFonts w:eastAsia="Times New Roman" w:cs="Times New Roman"/>
          <w:szCs w:val="24"/>
          <w:lang w:val="es-ES" w:eastAsia="es-ES" w:bidi="es-ES"/>
        </w:rPr>
      </w:pPr>
      <w:r w:rsidRPr="00084D33">
        <w:rPr>
          <w:rFonts w:eastAsia="Times New Roman" w:cs="Times New Roman"/>
          <w:szCs w:val="24"/>
          <w:lang w:val="es-ES" w:eastAsia="es-ES" w:bidi="es-ES"/>
        </w:rPr>
        <w:t xml:space="preserve">La Dirección Jurídica del MOPC, registró durante el período </w:t>
      </w:r>
      <w:r w:rsidR="00B5550F" w:rsidRPr="00084D33">
        <w:rPr>
          <w:rFonts w:eastAsia="Times New Roman" w:cs="Times New Roman"/>
          <w:szCs w:val="24"/>
          <w:lang w:val="es-ES" w:eastAsia="es-ES" w:bidi="es-ES"/>
        </w:rPr>
        <w:t>Enero – diciembre</w:t>
      </w:r>
      <w:r w:rsidRPr="00084D33">
        <w:rPr>
          <w:rFonts w:eastAsia="Times New Roman" w:cs="Times New Roman"/>
          <w:szCs w:val="24"/>
          <w:lang w:val="es-ES" w:eastAsia="es-ES" w:bidi="es-ES"/>
        </w:rPr>
        <w:t xml:space="preserve"> del año 2024, un total de 91 casos de Demandas y Controversias a la institución, de los cuales 63 corresponden a Demandas por varias causas y 28 a Controversias, que en la actualidad se encuentran en proceso de solución, entre los objetos más recurrentes de las demandas y controversias, se destacan: </w:t>
      </w:r>
    </w:p>
    <w:p w14:paraId="1EDEB072" w14:textId="77777777" w:rsidR="00A06AE9" w:rsidRPr="00084D33" w:rsidRDefault="00A06AE9" w:rsidP="00A06AE9">
      <w:pPr>
        <w:widowControl w:val="0"/>
        <w:autoSpaceDE w:val="0"/>
        <w:autoSpaceDN w:val="0"/>
        <w:rPr>
          <w:rFonts w:eastAsia="Times New Roman" w:cs="Times New Roman"/>
          <w:szCs w:val="24"/>
          <w:lang w:val="es-ES" w:eastAsia="es-ES" w:bidi="es-ES"/>
        </w:rPr>
      </w:pPr>
    </w:p>
    <w:p w14:paraId="6023D00F"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Demanda en Justi - Precio por Expropiación. </w:t>
      </w:r>
    </w:p>
    <w:p w14:paraId="58F1C47C"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Demanda en Daños y Perjuicios por Accidente de Tránsito.</w:t>
      </w:r>
    </w:p>
    <w:p w14:paraId="4E0BBE9C" w14:textId="77777777" w:rsidR="00A06AE9" w:rsidRPr="00084D33" w:rsidRDefault="00A06AE9" w:rsidP="00A06AE9">
      <w:pPr>
        <w:widowControl w:val="0"/>
        <w:autoSpaceDE w:val="0"/>
        <w:autoSpaceDN w:val="0"/>
        <w:rPr>
          <w:rFonts w:eastAsia="Times New Roman" w:cs="Times New Roman"/>
          <w:szCs w:val="24"/>
          <w:lang w:val="es-ES" w:eastAsia="es-ES" w:bidi="es-ES"/>
        </w:rPr>
      </w:pPr>
    </w:p>
    <w:p w14:paraId="339C404A"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Demanda en Acción de Amparo en Cumplimiento, 137-11 Y 41-08. </w:t>
      </w:r>
    </w:p>
    <w:p w14:paraId="0C5B13A7"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Demanda en Reparación de  Daños y Perjuicios, Ley 63-17. </w:t>
      </w:r>
    </w:p>
    <w:p w14:paraId="1D0DAD0F"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Demanda Laboral.</w:t>
      </w:r>
    </w:p>
    <w:p w14:paraId="30B4E58D"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Demanda en Deslinde, Tribunal de Tierra de la Jurisdicción Original  en la Provincia la Altagracia.</w:t>
      </w:r>
    </w:p>
    <w:p w14:paraId="26D7288B"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Querella Penal, Procuraduría Especializada de Persecución de la Corrupción Administrativa (PEPCA). </w:t>
      </w:r>
    </w:p>
    <w:p w14:paraId="273B1991"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Saneamiento de Mensura Catastral.</w:t>
      </w:r>
    </w:p>
    <w:p w14:paraId="21508494" w14:textId="77777777" w:rsidR="00A06AE9" w:rsidRPr="00084D33" w:rsidRDefault="00A06AE9"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Corte de Apelación de la Cámara Civil y Comercial de la Provincia Santo Domingo.</w:t>
      </w:r>
    </w:p>
    <w:p w14:paraId="28FADE62" w14:textId="77777777" w:rsidR="00A06AE9" w:rsidRPr="00084D33" w:rsidRDefault="00A06AE9" w:rsidP="007202A9">
      <w:pPr>
        <w:pStyle w:val="Estilo1-Vietas-Parrafo"/>
        <w:numPr>
          <w:ilvl w:val="0"/>
          <w:numId w:val="25"/>
        </w:numPr>
      </w:pPr>
      <w:r w:rsidRPr="00084D33">
        <w:rPr>
          <w:rFonts w:eastAsia="Times New Roman"/>
          <w:szCs w:val="24"/>
          <w:lang w:val="es-ES" w:eastAsia="es-ES" w:bidi="es-ES"/>
        </w:rPr>
        <w:t>Recurso Contencioso Administrativo, 41-08; entre otros.</w:t>
      </w:r>
    </w:p>
    <w:p w14:paraId="2E26E37C" w14:textId="10E1FBB1" w:rsidR="0017234F" w:rsidRPr="00084D33" w:rsidRDefault="0017234F" w:rsidP="00E34F2B">
      <w:pPr>
        <w:pStyle w:val="Estilo1-Vietas-Parrafo"/>
        <w:ind w:left="1530"/>
      </w:pPr>
    </w:p>
    <w:p w14:paraId="48817E0E" w14:textId="50CA4EE0" w:rsidR="00C2158C" w:rsidRPr="00084D33" w:rsidRDefault="00C2158C" w:rsidP="0017234F">
      <w:pPr>
        <w:spacing w:after="160"/>
        <w:ind w:left="705" w:hanging="705"/>
        <w:rPr>
          <w:rFonts w:cs="Times New Roman"/>
        </w:rPr>
      </w:pPr>
    </w:p>
    <w:p w14:paraId="58C8090C" w14:textId="005CC251" w:rsidR="00F57D3A" w:rsidRPr="00084D33" w:rsidRDefault="00F57D3A" w:rsidP="00C1227A">
      <w:pPr>
        <w:pStyle w:val="Lista2"/>
        <w:numPr>
          <w:ilvl w:val="1"/>
          <w:numId w:val="15"/>
        </w:numPr>
        <w:jc w:val="center"/>
        <w:rPr>
          <w:rFonts w:cs="Times New Roman"/>
          <w:b/>
        </w:rPr>
      </w:pPr>
      <w:r w:rsidRPr="00084D33">
        <w:rPr>
          <w:rFonts w:cs="Times New Roman"/>
          <w:b/>
        </w:rPr>
        <w:lastRenderedPageBreak/>
        <w:t>Desempeño del Área de Tecnología de la Información y Comunicaciones</w:t>
      </w:r>
    </w:p>
    <w:p w14:paraId="240F9965" w14:textId="016FF0D2" w:rsidR="009F3B0B" w:rsidRPr="00084D33" w:rsidRDefault="009F3B0B" w:rsidP="0017234F">
      <w:pPr>
        <w:rPr>
          <w:rFonts w:cs="Times New Roman"/>
        </w:rPr>
      </w:pPr>
    </w:p>
    <w:p w14:paraId="3E765638" w14:textId="77777777" w:rsidR="00CA4840" w:rsidRPr="00084D33" w:rsidRDefault="00CA4840" w:rsidP="0017234F">
      <w:pPr>
        <w:rPr>
          <w:rFonts w:cs="Times New Roman"/>
        </w:rPr>
      </w:pPr>
    </w:p>
    <w:p w14:paraId="66E9F28D" w14:textId="005282C9" w:rsidR="00CA4840" w:rsidRPr="00084D33" w:rsidRDefault="00CA4840" w:rsidP="00CA4840">
      <w:pPr>
        <w:widowControl w:val="0"/>
        <w:autoSpaceDE w:val="0"/>
        <w:autoSpaceDN w:val="0"/>
        <w:rPr>
          <w:rFonts w:eastAsia="Times New Roman" w:cs="Times New Roman"/>
          <w:szCs w:val="24"/>
          <w:lang w:val="es-ES" w:eastAsia="es-ES" w:bidi="es-ES"/>
        </w:rPr>
      </w:pPr>
      <w:r w:rsidRPr="00084D33">
        <w:rPr>
          <w:rFonts w:eastAsia="Times New Roman" w:cs="Times New Roman"/>
          <w:szCs w:val="24"/>
          <w:lang w:val="es-ES" w:eastAsia="es-ES" w:bidi="es-ES"/>
        </w:rPr>
        <w:t xml:space="preserve">El Ministerio de Obras Públicas y Comunicaciones (MOPC), en cumplimiento del compromiso permanente del Plan de Gobierno del cuatrienio 2020-2024, de proporcionar a la ciudadanía las plataformas tecnológicas de los servicios en línea disponibles en las instituciones del Estado Dominicano, para reducir los obstáculos de la información entre el gobierno, las empresas y los usuarios, implementó durante el periodo </w:t>
      </w:r>
      <w:r w:rsidR="00B5550F" w:rsidRPr="00084D33">
        <w:rPr>
          <w:rFonts w:eastAsia="Times New Roman" w:cs="Times New Roman"/>
          <w:szCs w:val="24"/>
          <w:lang w:val="es-ES" w:eastAsia="es-ES" w:bidi="es-ES"/>
        </w:rPr>
        <w:t>enero – diciembre</w:t>
      </w:r>
      <w:r w:rsidRPr="00084D33">
        <w:rPr>
          <w:rFonts w:eastAsia="Times New Roman" w:cs="Times New Roman"/>
          <w:szCs w:val="24"/>
          <w:lang w:val="es-ES" w:eastAsia="es-ES" w:bidi="es-ES"/>
        </w:rPr>
        <w:t xml:space="preserve"> del año 2024, una plataforma de gestión documental con el objetivo de mejorar la administración, almacenamiento y acceso a los documentos institucionales. Este informe presenta una visión general de la plataforma, incluyendo su propósito, características principales, beneficios, desafíos y recomendaciones para su optimización. </w:t>
      </w:r>
    </w:p>
    <w:p w14:paraId="199A1398" w14:textId="77777777" w:rsidR="00CA4840" w:rsidRPr="00084D33" w:rsidRDefault="00CA4840" w:rsidP="00CA4840">
      <w:pPr>
        <w:pStyle w:val="Textoindependiente"/>
        <w:spacing w:line="360" w:lineRule="auto"/>
        <w:jc w:val="both"/>
        <w:rPr>
          <w:color w:val="767171"/>
        </w:rPr>
      </w:pPr>
    </w:p>
    <w:p w14:paraId="46EE63B8" w14:textId="77777777" w:rsidR="00CA4840" w:rsidRPr="00084D33" w:rsidRDefault="00CA4840" w:rsidP="00CA4840">
      <w:pPr>
        <w:spacing w:after="160"/>
        <w:rPr>
          <w:rFonts w:eastAsia="Calibri" w:cs="Times New Roman"/>
          <w:noProof/>
          <w:spacing w:val="20"/>
          <w:szCs w:val="24"/>
        </w:rPr>
      </w:pPr>
      <w:r w:rsidRPr="00084D33">
        <w:rPr>
          <w:rFonts w:eastAsia="Calibri" w:cs="Times New Roman"/>
          <w:noProof/>
          <w:spacing w:val="20"/>
          <w:szCs w:val="24"/>
        </w:rPr>
        <w:t>Durante el año 2024, la Dirección de Tecnología de la Información y Comunicaciones del MOPC, continuó la innovación tecnológica en la institución con la implementación del Proyecto de Innovación de Data Center, a continuación se describen los principales sistemas disponibles para el desempeño del área de Tecnología de la Informacion y Comunicaciones:</w:t>
      </w:r>
    </w:p>
    <w:p w14:paraId="647765FB" w14:textId="77777777" w:rsidR="00CA4840" w:rsidRPr="00084D33" w:rsidRDefault="00CA4840" w:rsidP="00CA4840">
      <w:pPr>
        <w:spacing w:after="160"/>
        <w:rPr>
          <w:rFonts w:eastAsia="Calibri" w:cs="Times New Roman"/>
          <w:noProof/>
          <w:spacing w:val="20"/>
          <w:szCs w:val="24"/>
        </w:rPr>
      </w:pPr>
    </w:p>
    <w:p w14:paraId="53902D44" w14:textId="77777777" w:rsidR="00CA4840" w:rsidRPr="00084D33" w:rsidRDefault="00CA4840" w:rsidP="007202A9">
      <w:pPr>
        <w:numPr>
          <w:ilvl w:val="0"/>
          <w:numId w:val="25"/>
        </w:numPr>
        <w:spacing w:after="160"/>
        <w:ind w:left="1080"/>
      </w:pPr>
      <w:r w:rsidRPr="00084D33">
        <w:t>Data Center: el cual abarca tanto la parte lógica, hardware como la parte física a nivel de cuarto de equipos, permitiéndonos elevar el nivel de rendimiento de los servicios garantizando la continuidad gracias a las mejores prácticas y estándares internacionales aplicados en esta infraestructura.</w:t>
      </w:r>
    </w:p>
    <w:p w14:paraId="5D2576CC" w14:textId="77777777" w:rsidR="00CA4840" w:rsidRPr="00084D33" w:rsidRDefault="00CA4840" w:rsidP="00CA4840">
      <w:pPr>
        <w:pStyle w:val="Estilo1-Vietas-Parrafo"/>
        <w:ind w:left="1080"/>
        <w:rPr>
          <w:highlight w:val="lightGray"/>
        </w:rPr>
      </w:pPr>
    </w:p>
    <w:p w14:paraId="014B5BEF" w14:textId="77777777" w:rsidR="00CA4840" w:rsidRPr="00084D33" w:rsidRDefault="00CA4840" w:rsidP="007202A9">
      <w:pPr>
        <w:numPr>
          <w:ilvl w:val="0"/>
          <w:numId w:val="25"/>
        </w:numPr>
        <w:spacing w:after="160"/>
        <w:ind w:left="1080"/>
      </w:pPr>
      <w:r w:rsidRPr="00084D33">
        <w:rPr>
          <w:rFonts w:eastAsia="Times New Roman" w:cs="Times New Roman"/>
          <w:szCs w:val="24"/>
          <w:lang w:val="es-ES" w:eastAsia="es-ES" w:bidi="es-ES"/>
        </w:rPr>
        <w:lastRenderedPageBreak/>
        <w:t>Gestión</w:t>
      </w:r>
      <w:r w:rsidRPr="00084D33">
        <w:t xml:space="preserve"> Documental: se implementó un sistema de gestión documental, con el objetivo de mejorar la administración, almacenamiento y acceso a los documentos institucionales, la cual está diseñada para facilitar el almacenamiento y la recuperación eficiente de documentos, asegurar la integridad y seguridad de la información, optimizar los procesos administrativos mediante la digitalización de documentos y cumplir con las normativas y regulaciones en cuanto a la gestión de información pública.</w:t>
      </w:r>
    </w:p>
    <w:p w14:paraId="4312A1E9" w14:textId="77777777" w:rsidR="00CA4840" w:rsidRPr="00084D33" w:rsidRDefault="00CA4840" w:rsidP="00C1227A">
      <w:pPr>
        <w:pStyle w:val="Prrafodelista"/>
        <w:numPr>
          <w:ilvl w:val="0"/>
          <w:numId w:val="0"/>
        </w:numPr>
        <w:ind w:left="1080"/>
        <w:jc w:val="both"/>
      </w:pPr>
    </w:p>
    <w:p w14:paraId="3CDA496D" w14:textId="77777777" w:rsidR="00CA4840" w:rsidRPr="00084D33" w:rsidRDefault="00CA4840" w:rsidP="007202A9">
      <w:pPr>
        <w:numPr>
          <w:ilvl w:val="0"/>
          <w:numId w:val="25"/>
        </w:numPr>
        <w:spacing w:after="160"/>
        <w:ind w:left="1080"/>
      </w:pPr>
      <w:r w:rsidRPr="00084D33">
        <w:t xml:space="preserve">Sistema de Coordinación Regional (SISCOOR): diseñado con el objetivo de mejorar la coordinación con todas las áreas sustantivas del MOPC en las provincias del país, </w:t>
      </w:r>
      <w:r w:rsidRPr="00084D33">
        <w:rPr>
          <w:rFonts w:eastAsia="Times New Roman" w:cs="Times New Roman"/>
          <w:szCs w:val="24"/>
          <w:lang w:val="es-ES" w:eastAsia="es-ES" w:bidi="es-ES"/>
        </w:rPr>
        <w:t>garantizando</w:t>
      </w:r>
      <w:r w:rsidRPr="00084D33">
        <w:t xml:space="preserve"> el avance, operatividad y ejecución estratégica de los proyectos de infraestructuras viales y otros programas en las distintas provincias. Contiene los registros de los proyectos en ejecución de carreteras y caminos vecinales, puntos críticos identificados, asfalto colocado, aceras y contenes, entre otros. </w:t>
      </w:r>
    </w:p>
    <w:p w14:paraId="31EE27DC" w14:textId="77777777" w:rsidR="00CA4840" w:rsidRPr="00084D33" w:rsidRDefault="00CA4840" w:rsidP="00CA4840">
      <w:pPr>
        <w:pStyle w:val="Estilo1-Vietas-Parrafo"/>
        <w:rPr>
          <w:highlight w:val="lightGray"/>
        </w:rPr>
      </w:pPr>
    </w:p>
    <w:p w14:paraId="6391C511" w14:textId="77777777" w:rsidR="00CA4840" w:rsidRPr="00084D33" w:rsidRDefault="00CA4840" w:rsidP="007202A9">
      <w:pPr>
        <w:numPr>
          <w:ilvl w:val="0"/>
          <w:numId w:val="25"/>
        </w:numPr>
        <w:spacing w:after="160"/>
        <w:ind w:left="1080"/>
      </w:pPr>
      <w:r w:rsidRPr="00084D33">
        <w:t xml:space="preserve">Sistema Informático de Gestión (SISGOR): se encuentra en desarrollo las aplicaciones SISGOR  MOVILE y SISGOR WEB, la primera ha sido diseñada para facilitar la gestión y el seguimiento de todos los proyectos, con el objetivo de optimizar la gestión de los proyectos de construcción a cargo del MOPC. Esta herramienta ofrece un acceso completo a información detallada de cada obra, permitiéndote monitorizar su progreso desde el inicio hasta su finalización de manera eficiente y clara. La segunda herramienta SISGOR WEB, diseñada a la medida para las necesidades del MOPC, ofrece una solución integral para </w:t>
      </w:r>
      <w:r w:rsidRPr="00084D33">
        <w:lastRenderedPageBreak/>
        <w:t>gestionar las obras en proceso y terminadas. Permite el acceso a información detallada sobre cada obra, desde presupuestos hasta avances en tiempo real.</w:t>
      </w:r>
    </w:p>
    <w:p w14:paraId="6A421057" w14:textId="77777777" w:rsidR="00CA4840" w:rsidRPr="00084D33" w:rsidRDefault="00CA4840" w:rsidP="00CA4840">
      <w:pPr>
        <w:spacing w:after="160"/>
        <w:rPr>
          <w:rFonts w:eastAsia="Calibri" w:cs="Times New Roman"/>
          <w:noProof/>
          <w:spacing w:val="20"/>
          <w:szCs w:val="24"/>
          <w:highlight w:val="lightGray"/>
        </w:rPr>
      </w:pPr>
    </w:p>
    <w:p w14:paraId="0379BA6B" w14:textId="28FCDAB9" w:rsidR="00CA4840" w:rsidRPr="00084D33" w:rsidRDefault="00CA4840" w:rsidP="00CA4840">
      <w:pPr>
        <w:spacing w:after="160"/>
        <w:rPr>
          <w:rFonts w:eastAsia="Calibri" w:cs="Times New Roman"/>
          <w:noProof/>
          <w:spacing w:val="20"/>
          <w:szCs w:val="24"/>
        </w:rPr>
      </w:pPr>
      <w:r w:rsidRPr="00084D33">
        <w:rPr>
          <w:rFonts w:eastAsia="Calibri" w:cs="Times New Roman"/>
          <w:noProof/>
          <w:spacing w:val="20"/>
          <w:szCs w:val="24"/>
        </w:rPr>
        <w:t xml:space="preserve">Además, durante el periodo </w:t>
      </w:r>
      <w:r w:rsidR="000A17C8" w:rsidRPr="00084D33">
        <w:rPr>
          <w:rFonts w:eastAsia="Calibri" w:cs="Times New Roman"/>
          <w:noProof/>
          <w:spacing w:val="20"/>
          <w:szCs w:val="24"/>
        </w:rPr>
        <w:t>enero-diciembre</w:t>
      </w:r>
      <w:r w:rsidRPr="00084D33">
        <w:rPr>
          <w:rFonts w:eastAsia="Calibri" w:cs="Times New Roman"/>
          <w:noProof/>
          <w:spacing w:val="20"/>
          <w:szCs w:val="24"/>
        </w:rPr>
        <w:t xml:space="preserve"> continúa la optimización de las siguientes herramientas tecnológicas del MOPC disponibles para la ciudadanía: </w:t>
      </w:r>
    </w:p>
    <w:p w14:paraId="6FF1420E" w14:textId="77777777" w:rsidR="00CA4840" w:rsidRPr="00084D33" w:rsidRDefault="00CA4840" w:rsidP="00CA4840">
      <w:pPr>
        <w:spacing w:after="160"/>
        <w:rPr>
          <w:rFonts w:eastAsia="Calibri" w:cs="Times New Roman"/>
          <w:noProof/>
          <w:spacing w:val="20"/>
          <w:szCs w:val="24"/>
          <w:highlight w:val="lightGray"/>
        </w:rPr>
      </w:pPr>
    </w:p>
    <w:p w14:paraId="15801337" w14:textId="71609830" w:rsidR="00CA4840" w:rsidRPr="00084D33" w:rsidRDefault="00CA4840" w:rsidP="007202A9">
      <w:pPr>
        <w:numPr>
          <w:ilvl w:val="0"/>
          <w:numId w:val="25"/>
        </w:numPr>
        <w:spacing w:after="160"/>
        <w:ind w:left="1080"/>
      </w:pPr>
      <w:r w:rsidRPr="00084D33">
        <w:t>Conectividad WIFI – SSID institucional, la implementación de esta red inalámbrica, ha permitido  eliminar la brecha de conectividad que tenían nuestros colaboradores en la sede principal del MOPC, COMIPOL y Club Recreativo del MOPC. Esta red consta de 123 “Access Point” (AP) distribuidos en distintas zonas de toda el área de nuestras edificaciones en la sede central.</w:t>
      </w:r>
    </w:p>
    <w:p w14:paraId="6D6DEFD5" w14:textId="77777777" w:rsidR="00CA4840" w:rsidRPr="00084D33" w:rsidRDefault="00CA4840" w:rsidP="00CA4840">
      <w:pPr>
        <w:spacing w:after="160"/>
        <w:rPr>
          <w:rFonts w:eastAsia="Calibri" w:cs="Times New Roman"/>
          <w:noProof/>
          <w:spacing w:val="20"/>
          <w:szCs w:val="24"/>
          <w:highlight w:val="lightGray"/>
        </w:rPr>
      </w:pPr>
    </w:p>
    <w:p w14:paraId="2D96A9D4" w14:textId="73AD2675" w:rsidR="00CA4840" w:rsidRPr="00084D33" w:rsidRDefault="00CA4840" w:rsidP="007202A9">
      <w:pPr>
        <w:numPr>
          <w:ilvl w:val="0"/>
          <w:numId w:val="25"/>
        </w:numPr>
        <w:spacing w:after="160"/>
        <w:ind w:left="1080"/>
      </w:pPr>
      <w:r w:rsidRPr="00084D33">
        <w:t>Herramientas y Software, para el cumplimiento de los requerimientos de desarrollo de sistemas informáticos sobre la base de especificaciones funcionales elaboradas por las distintas áreas de la institución. Todas las licencias de nuestros aplicativos y software de Microsoft fueron renovadas a través de un nuevo contrato que nos permite el uso de estos durante tres (3) años.</w:t>
      </w:r>
    </w:p>
    <w:p w14:paraId="07FDEFC7" w14:textId="77777777" w:rsidR="00CA4840" w:rsidRPr="00084D33" w:rsidRDefault="00CA4840" w:rsidP="00CA4840">
      <w:pPr>
        <w:spacing w:after="160"/>
        <w:rPr>
          <w:rFonts w:eastAsia="Calibri" w:cs="Times New Roman"/>
          <w:noProof/>
          <w:spacing w:val="20"/>
          <w:szCs w:val="24"/>
          <w:highlight w:val="lightGray"/>
        </w:rPr>
      </w:pPr>
    </w:p>
    <w:p w14:paraId="33E45CE4" w14:textId="4E518EC7" w:rsidR="00CA4840" w:rsidRPr="00084D33" w:rsidRDefault="00CA4840" w:rsidP="007202A9">
      <w:pPr>
        <w:numPr>
          <w:ilvl w:val="0"/>
          <w:numId w:val="25"/>
        </w:numPr>
        <w:spacing w:after="160"/>
        <w:ind w:left="1080"/>
      </w:pPr>
      <w:r w:rsidRPr="00084D33">
        <w:t xml:space="preserve">Proyectos en ejecución: la optimización del sistema de cubicaciones, para hacerlo más eficaz y eficiente. Y el proyecto Burocracias </w:t>
      </w:r>
      <w:r w:rsidRPr="00084D33">
        <w:rPr>
          <w:rFonts w:eastAsia="Times New Roman" w:cs="Times New Roman"/>
          <w:szCs w:val="24"/>
          <w:lang w:val="es-ES" w:eastAsia="es-ES" w:bidi="es-ES"/>
        </w:rPr>
        <w:t>cero</w:t>
      </w:r>
      <w:r w:rsidRPr="00084D33">
        <w:t xml:space="preserve">, que buscar eliminar toda la documentación física y agilizar cada uno de los procesos que conlleve de la firma </w:t>
      </w:r>
      <w:r w:rsidRPr="00084D33">
        <w:lastRenderedPageBreak/>
        <w:t>de uno de nuestros funcionarios. Utilizaremos la firma digital para este proyecto. Y la implementación del gobierno electrónico con bacheo 24/7.</w:t>
      </w:r>
    </w:p>
    <w:p w14:paraId="5ACC6820" w14:textId="77777777" w:rsidR="00CA4840" w:rsidRPr="00084D33" w:rsidRDefault="00CA4840" w:rsidP="0003126F">
      <w:pPr>
        <w:spacing w:after="120"/>
      </w:pPr>
    </w:p>
    <w:p w14:paraId="6EC37089" w14:textId="668BD986" w:rsidR="00CA4840" w:rsidRPr="00084D33" w:rsidRDefault="00CA4840" w:rsidP="007202A9">
      <w:pPr>
        <w:numPr>
          <w:ilvl w:val="0"/>
          <w:numId w:val="25"/>
        </w:numPr>
        <w:spacing w:after="160"/>
        <w:ind w:left="1080"/>
      </w:pPr>
      <w:r w:rsidRPr="00084D33">
        <w:t xml:space="preserve">Gestión y Controles de TIC: gestión para identificar, analizar y cuantificar las probabilidades de pérdidas y efectos </w:t>
      </w:r>
      <w:r w:rsidRPr="00084D33">
        <w:rPr>
          <w:rFonts w:eastAsia="Times New Roman" w:cs="Times New Roman"/>
          <w:szCs w:val="24"/>
          <w:lang w:val="es-ES" w:eastAsia="es-ES" w:bidi="es-ES"/>
        </w:rPr>
        <w:t>secundarios</w:t>
      </w:r>
      <w:r w:rsidRPr="00084D33">
        <w:t xml:space="preserve"> provocados por los posibles ataques a nuestra infraestructura, llevamos a cabo un proyecto de ciberseguridad que va de la mano con la innovación del “data center” y la implementación de un SOC, que consiste en: adquisición de antivirus Kaspersky cliente servidor, instalación de una plataforma operada con equipos Fortinet, diseño e implementación de políticas de seguridad, apegadas a las mejores prácticas internacionales.</w:t>
      </w:r>
    </w:p>
    <w:p w14:paraId="01D40F1D" w14:textId="1C429833" w:rsidR="00CA4840" w:rsidRPr="00084D33" w:rsidRDefault="00CA4840" w:rsidP="0003126F">
      <w:pPr>
        <w:ind w:left="720"/>
      </w:pPr>
    </w:p>
    <w:p w14:paraId="3F5475DF" w14:textId="158B01DA" w:rsidR="00CA4840" w:rsidRPr="00084D33" w:rsidRDefault="00CA4840" w:rsidP="007202A9">
      <w:pPr>
        <w:numPr>
          <w:ilvl w:val="0"/>
          <w:numId w:val="25"/>
        </w:numPr>
        <w:spacing w:after="160"/>
        <w:ind w:left="1080"/>
      </w:pPr>
      <w:r w:rsidRPr="00084D33">
        <w:t xml:space="preserve">Datos abiertos: nuestro portal Web contiene todas las informaciones de interés público de la institución, a </w:t>
      </w:r>
      <w:r w:rsidR="00C3480E" w:rsidRPr="00084D33">
        <w:t>disposición</w:t>
      </w:r>
      <w:r w:rsidRPr="00084D33">
        <w:t xml:space="preserve"> de la </w:t>
      </w:r>
      <w:r w:rsidRPr="00084D33">
        <w:rPr>
          <w:rFonts w:eastAsia="Times New Roman" w:cs="Times New Roman"/>
          <w:szCs w:val="24"/>
          <w:lang w:val="es-ES" w:eastAsia="es-ES" w:bidi="es-ES"/>
        </w:rPr>
        <w:t>ciudadanía</w:t>
      </w:r>
      <w:r w:rsidRPr="00084D33">
        <w:t xml:space="preserve"> como los establece la Nortic A3: 2014. Este año se obtuvo nuevamente la certificación de la normativa, validándonos hasta el 2025.</w:t>
      </w:r>
    </w:p>
    <w:p w14:paraId="263AB78B" w14:textId="77777777" w:rsidR="00CA4840" w:rsidRPr="00084D33" w:rsidRDefault="00CA4840" w:rsidP="00C3480E">
      <w:pPr>
        <w:ind w:left="720"/>
      </w:pPr>
    </w:p>
    <w:p w14:paraId="35A01D93" w14:textId="73726253" w:rsidR="00CA4840" w:rsidRPr="00084D33" w:rsidRDefault="00CA4840" w:rsidP="007202A9">
      <w:pPr>
        <w:numPr>
          <w:ilvl w:val="0"/>
          <w:numId w:val="25"/>
        </w:numPr>
        <w:spacing w:after="160"/>
        <w:ind w:left="1080"/>
      </w:pPr>
      <w:r w:rsidRPr="00084D33">
        <w:t xml:space="preserve">Redes Sociales: el MOPC dispone de un equipo de Community Manager que gestiona todos los canales de redes sociales </w:t>
      </w:r>
      <w:r w:rsidRPr="00084D33">
        <w:rPr>
          <w:rFonts w:eastAsia="Times New Roman" w:cs="Times New Roman"/>
          <w:szCs w:val="24"/>
          <w:lang w:val="es-ES" w:eastAsia="es-ES" w:bidi="es-ES"/>
        </w:rPr>
        <w:t>existentes</w:t>
      </w:r>
      <w:r w:rsidRPr="00084D33">
        <w:t>, cumpliendo con todos los estándares y exigencias de la norma E1 (Norma para la gestión de las Redes Sociales en los Organismos Gubernamentales). Se ha culminado el proceso de certificación de la normativa Nortic E1, lo cual nos valida nuevamente hasta el año 2025.</w:t>
      </w:r>
    </w:p>
    <w:p w14:paraId="5A9B4E38" w14:textId="77777777" w:rsidR="00CA4840" w:rsidRPr="00084D33" w:rsidRDefault="00CA4840" w:rsidP="00CA4840">
      <w:pPr>
        <w:spacing w:after="160"/>
        <w:rPr>
          <w:rFonts w:eastAsia="Calibri" w:cs="Times New Roman"/>
          <w:noProof/>
          <w:spacing w:val="20"/>
          <w:szCs w:val="24"/>
          <w:highlight w:val="lightGray"/>
        </w:rPr>
      </w:pPr>
    </w:p>
    <w:p w14:paraId="13148E91" w14:textId="68DCD4E4" w:rsidR="00CA4840" w:rsidRPr="00084D33" w:rsidRDefault="00CA4840" w:rsidP="00CA4840">
      <w:pPr>
        <w:spacing w:after="160"/>
        <w:rPr>
          <w:rFonts w:eastAsia="Calibri" w:cs="Times New Roman"/>
          <w:noProof/>
          <w:spacing w:val="20"/>
          <w:szCs w:val="24"/>
        </w:rPr>
      </w:pPr>
      <w:r w:rsidRPr="00084D33">
        <w:rPr>
          <w:rFonts w:eastAsia="Calibri" w:cs="Times New Roman"/>
          <w:noProof/>
          <w:spacing w:val="20"/>
          <w:szCs w:val="24"/>
        </w:rPr>
        <w:lastRenderedPageBreak/>
        <w:t>Además, el MOPC continuó durante el periodo enero-</w:t>
      </w:r>
      <w:r w:rsidR="00AF7F6E">
        <w:rPr>
          <w:rFonts w:eastAsia="Calibri" w:cs="Times New Roman"/>
          <w:noProof/>
          <w:spacing w:val="20"/>
          <w:szCs w:val="24"/>
        </w:rPr>
        <w:t>diciembre</w:t>
      </w:r>
      <w:r w:rsidRPr="00084D33">
        <w:rPr>
          <w:rFonts w:eastAsia="Calibri" w:cs="Times New Roman"/>
          <w:noProof/>
          <w:spacing w:val="20"/>
          <w:szCs w:val="24"/>
        </w:rPr>
        <w:t xml:space="preserve"> del año 2024, proporcionando a la población las herramientas digitales siguientes:</w:t>
      </w:r>
    </w:p>
    <w:p w14:paraId="16AE0A73" w14:textId="77777777" w:rsidR="00CA4840" w:rsidRPr="00084D33" w:rsidRDefault="00CA4840" w:rsidP="00CA4840">
      <w:pPr>
        <w:spacing w:after="160"/>
        <w:rPr>
          <w:rFonts w:eastAsia="Calibri" w:cs="Times New Roman"/>
          <w:noProof/>
          <w:spacing w:val="20"/>
          <w:szCs w:val="24"/>
          <w:highlight w:val="lightGray"/>
        </w:rPr>
      </w:pPr>
    </w:p>
    <w:p w14:paraId="2DD392FA" w14:textId="77777777" w:rsidR="00CA4840" w:rsidRPr="00084D33" w:rsidRDefault="00CA4840" w:rsidP="007202A9">
      <w:pPr>
        <w:numPr>
          <w:ilvl w:val="0"/>
          <w:numId w:val="25"/>
        </w:numPr>
        <w:spacing w:after="160"/>
        <w:ind w:left="1080"/>
      </w:pPr>
      <w:r w:rsidRPr="00084D33">
        <w:t>Portal digital de la Dirección General de Reglamentos y Sistemas (DGRS), que ofrece los servicios en la página http://mopc.gob.do/</w:t>
      </w:r>
      <w:r w:rsidRPr="00084D33">
        <w:rPr>
          <w:rFonts w:eastAsia="Times New Roman" w:cs="Times New Roman"/>
          <w:szCs w:val="24"/>
          <w:lang w:val="es-ES" w:eastAsia="es-ES" w:bidi="es-ES"/>
        </w:rPr>
        <w:t>servicios</w:t>
      </w:r>
      <w:r w:rsidRPr="00084D33">
        <w:t>/direcciónreglamentosysistemas, a través de la cual los usuarios pueden obtener y/o descargar de forma libre de costo en su versión digital, los reglamentos técnicos disponibles que regulan el diseño y construcción de las obras en el área de la ingeniería, arquitectura y ramas afines, lo cual ha impactado positivamente en los usuarios.</w:t>
      </w:r>
    </w:p>
    <w:p w14:paraId="28BA5950" w14:textId="77777777" w:rsidR="00CA4840" w:rsidRPr="00084D33" w:rsidRDefault="00CA4840" w:rsidP="0003126F">
      <w:pPr>
        <w:ind w:left="720"/>
      </w:pPr>
    </w:p>
    <w:p w14:paraId="10011966" w14:textId="77777777" w:rsidR="00CA4840" w:rsidRPr="00084D33" w:rsidRDefault="00CA4840" w:rsidP="007202A9">
      <w:pPr>
        <w:numPr>
          <w:ilvl w:val="0"/>
          <w:numId w:val="25"/>
        </w:numPr>
        <w:spacing w:after="160"/>
        <w:ind w:left="1080"/>
      </w:pPr>
      <w:r w:rsidRPr="00084D33">
        <w:t xml:space="preserve">Portal digital de servicios </w:t>
      </w:r>
      <w:r w:rsidRPr="00084D33">
        <w:rPr>
          <w:rFonts w:eastAsia="Times New Roman" w:cs="Times New Roman"/>
          <w:szCs w:val="24"/>
          <w:lang w:val="es-ES" w:eastAsia="es-ES" w:bidi="es-ES"/>
        </w:rPr>
        <w:t>que</w:t>
      </w:r>
      <w:r w:rsidRPr="00084D33">
        <w:t xml:space="preserve"> ofrece RD Vial, a través de la dirección electrónica www.pasorapido.gob.do, mediante la cual los usuarios pueden obtener y/o solicitar los servicios de paso rápido en los puestos de peaje, con funciones adicionales y modernas. Además, incluye el servicio de Asistencia Vial, el cual ofrece: vigilancia, protección, seguridad y asistencia en las vías públicas, instalaciones de peajes, entre otros.</w:t>
      </w:r>
    </w:p>
    <w:p w14:paraId="15380E89" w14:textId="77777777" w:rsidR="00CA4840" w:rsidRPr="00084D33" w:rsidRDefault="00CA4840" w:rsidP="0003126F">
      <w:pPr>
        <w:ind w:left="720"/>
      </w:pPr>
    </w:p>
    <w:p w14:paraId="22926541" w14:textId="77777777" w:rsidR="00CA4840" w:rsidRPr="00084D33" w:rsidRDefault="00CA4840" w:rsidP="007202A9">
      <w:pPr>
        <w:numPr>
          <w:ilvl w:val="0"/>
          <w:numId w:val="25"/>
        </w:numPr>
        <w:spacing w:after="160"/>
        <w:ind w:left="1080"/>
      </w:pPr>
      <w:r w:rsidRPr="00084D33">
        <w:t xml:space="preserve">Portal digital de servicios para Certificación de No Objeción, que permite la obtención por parte del sector privado de la Certificación de No Objeción correspondiente, si cumple con los requisitos de lugar, la cual es emitida por el Ministerio de Obras Públicas y Comunicaciones, a través del Departamento de Muelles y Puertos, para el desarrollo de obras de infraestructura de esta categoría. </w:t>
      </w:r>
    </w:p>
    <w:p w14:paraId="5D234B25" w14:textId="62AC2C87" w:rsidR="00CA4840" w:rsidRPr="00084D33" w:rsidRDefault="00CA4840" w:rsidP="0003126F">
      <w:pPr>
        <w:spacing w:after="120"/>
      </w:pPr>
    </w:p>
    <w:p w14:paraId="2E06AFF8" w14:textId="77777777" w:rsidR="00CA4840" w:rsidRPr="00084D33" w:rsidRDefault="00CA4840" w:rsidP="007202A9">
      <w:pPr>
        <w:numPr>
          <w:ilvl w:val="0"/>
          <w:numId w:val="25"/>
        </w:numPr>
        <w:spacing w:after="160"/>
        <w:ind w:left="1080"/>
      </w:pPr>
      <w:r w:rsidRPr="00084D33">
        <w:lastRenderedPageBreak/>
        <w:t>Portal digital de servicios, permite conocer el proceso de realización de los sorteos de obras viales y de edificaciones que ejecuta el MOPC para profesionales de la ingeniería, arquitectura y ramas afines, en distintas provincias del país.</w:t>
      </w:r>
    </w:p>
    <w:p w14:paraId="51999BA7" w14:textId="77777777" w:rsidR="00CA4840" w:rsidRPr="00084D33" w:rsidRDefault="00CA4840" w:rsidP="0003126F">
      <w:pPr>
        <w:ind w:left="720"/>
      </w:pPr>
    </w:p>
    <w:p w14:paraId="0CF5385A" w14:textId="77777777" w:rsidR="00CA4840" w:rsidRPr="00084D33" w:rsidRDefault="00CA4840" w:rsidP="007202A9">
      <w:pPr>
        <w:numPr>
          <w:ilvl w:val="0"/>
          <w:numId w:val="25"/>
        </w:numPr>
        <w:spacing w:after="160"/>
        <w:ind w:left="1080"/>
      </w:pPr>
      <w:r w:rsidRPr="00084D33">
        <w:t xml:space="preserve">Geo-portal a través de la dirección electrónica www.mopc.gob.do/geoportal, que permite visualizar el Sistema de Información Geográfica de la red vial de nuestro país, además, </w:t>
      </w:r>
      <w:r w:rsidRPr="00084D33">
        <w:rPr>
          <w:rFonts w:eastAsia="Times New Roman" w:cs="Times New Roman"/>
          <w:szCs w:val="24"/>
          <w:lang w:val="es-ES" w:eastAsia="es-ES" w:bidi="es-ES"/>
        </w:rPr>
        <w:t>presenta</w:t>
      </w:r>
      <w:r w:rsidRPr="00084D33">
        <w:t xml:space="preserve"> informaciones relativas a la cantidad de kilómetros de carreteras, caminos vecinales, puentes y obras hidráulicas, por categoría y condición actual de la infraestructura vial existente de la República Dominicana, entre otros.</w:t>
      </w:r>
    </w:p>
    <w:p w14:paraId="367F90A4" w14:textId="77777777" w:rsidR="00CA4840" w:rsidRPr="00084D33" w:rsidRDefault="00CA4840" w:rsidP="00CA4840">
      <w:pPr>
        <w:spacing w:after="160"/>
        <w:rPr>
          <w:rFonts w:eastAsia="Calibri" w:cs="Times New Roman"/>
          <w:noProof/>
          <w:spacing w:val="20"/>
          <w:szCs w:val="24"/>
        </w:rPr>
      </w:pPr>
    </w:p>
    <w:p w14:paraId="6975C02E" w14:textId="0A97E3D4" w:rsidR="00346204" w:rsidRPr="00084D33" w:rsidRDefault="00CA4840" w:rsidP="00CA4840">
      <w:pPr>
        <w:pStyle w:val="Textoindependiente"/>
        <w:spacing w:line="360" w:lineRule="auto"/>
        <w:jc w:val="both"/>
        <w:rPr>
          <w:color w:val="767171"/>
        </w:rPr>
      </w:pPr>
      <w:r w:rsidRPr="00084D33">
        <w:rPr>
          <w:color w:val="767171"/>
        </w:rPr>
        <w:t xml:space="preserve">La Dirección de Tecnología de la Información y Comunicaciones del MOPC, continuó durante el periodo </w:t>
      </w:r>
      <w:r w:rsidR="00B5550F" w:rsidRPr="00084D33">
        <w:rPr>
          <w:color w:val="767171"/>
        </w:rPr>
        <w:t>enero - diciembre del año 2024</w:t>
      </w:r>
      <w:r w:rsidRPr="00084D33">
        <w:rPr>
          <w:color w:val="767171"/>
        </w:rPr>
        <w:t>, recibiendo solicitudes de los ciudadanos por los diferentes medios digitales y/o redes disponibles Facebook (http://www.facebook.com/mopcrd), Instagram y Twitter (https://twitter.com/MOPCRD).</w:t>
      </w:r>
    </w:p>
    <w:p w14:paraId="442D80E9" w14:textId="54E80226" w:rsidR="00883F5E" w:rsidRPr="00084D33" w:rsidRDefault="00883F5E" w:rsidP="00346204">
      <w:pPr>
        <w:rPr>
          <w:rFonts w:cs="Times New Roman"/>
        </w:rPr>
      </w:pPr>
    </w:p>
    <w:p w14:paraId="63A73C47" w14:textId="08A93B54" w:rsidR="0089327C" w:rsidRPr="00084D33" w:rsidRDefault="0089327C" w:rsidP="00346204">
      <w:pPr>
        <w:rPr>
          <w:rFonts w:cs="Times New Roman"/>
        </w:rPr>
      </w:pPr>
    </w:p>
    <w:p w14:paraId="5F55ABCD" w14:textId="77777777" w:rsidR="00CA4840" w:rsidRPr="00084D33" w:rsidRDefault="00CA4840" w:rsidP="00346204">
      <w:pPr>
        <w:rPr>
          <w:rFonts w:cs="Times New Roman"/>
        </w:rPr>
      </w:pPr>
    </w:p>
    <w:p w14:paraId="1CD99D13" w14:textId="3676ECF1" w:rsidR="003729E9" w:rsidRPr="00084D33" w:rsidRDefault="003729E9" w:rsidP="00C1227A">
      <w:pPr>
        <w:pStyle w:val="Lista2"/>
        <w:numPr>
          <w:ilvl w:val="1"/>
          <w:numId w:val="15"/>
        </w:numPr>
        <w:jc w:val="center"/>
        <w:rPr>
          <w:rFonts w:cs="Times New Roman"/>
          <w:b/>
        </w:rPr>
      </w:pPr>
      <w:bookmarkStart w:id="110" w:name="_Toc78583663"/>
      <w:r w:rsidRPr="00084D33">
        <w:rPr>
          <w:rFonts w:cs="Times New Roman"/>
          <w:b/>
        </w:rPr>
        <w:t>Desempeño del Sistem</w:t>
      </w:r>
      <w:r w:rsidR="00B87E1B" w:rsidRPr="00084D33">
        <w:rPr>
          <w:rFonts w:cs="Times New Roman"/>
          <w:b/>
        </w:rPr>
        <w:t xml:space="preserve">a de Planificación y Desarrollo </w:t>
      </w:r>
      <w:r w:rsidRPr="00084D33">
        <w:rPr>
          <w:rFonts w:cs="Times New Roman"/>
          <w:b/>
        </w:rPr>
        <w:t>Institucional</w:t>
      </w:r>
      <w:bookmarkEnd w:id="110"/>
    </w:p>
    <w:p w14:paraId="5FBC61AC" w14:textId="45094D52" w:rsidR="008645E3" w:rsidRPr="00084D33" w:rsidRDefault="008645E3" w:rsidP="00434A4D">
      <w:pPr>
        <w:pStyle w:val="Textoindependiente"/>
        <w:spacing w:line="360" w:lineRule="auto"/>
        <w:rPr>
          <w:color w:val="767171"/>
          <w:lang w:val="es-DO"/>
        </w:rPr>
      </w:pPr>
    </w:p>
    <w:p w14:paraId="10E82253" w14:textId="77777777" w:rsidR="00FC11F4" w:rsidRPr="00084D33" w:rsidRDefault="00FC11F4" w:rsidP="0017234F">
      <w:pPr>
        <w:pStyle w:val="Textoindependiente"/>
        <w:spacing w:line="360" w:lineRule="auto"/>
        <w:jc w:val="both"/>
        <w:rPr>
          <w:color w:val="767171"/>
          <w:lang w:val="es-DO"/>
        </w:rPr>
      </w:pPr>
    </w:p>
    <w:p w14:paraId="20A6ACEF" w14:textId="7CA4B6BB" w:rsidR="00CA4840" w:rsidRPr="00084D33" w:rsidRDefault="00CA4840" w:rsidP="00CA4840">
      <w:pPr>
        <w:pStyle w:val="Textoindependiente"/>
        <w:spacing w:line="360" w:lineRule="auto"/>
        <w:jc w:val="both"/>
        <w:rPr>
          <w:color w:val="767171"/>
        </w:rPr>
      </w:pPr>
      <w:r w:rsidRPr="00084D33">
        <w:rPr>
          <w:color w:val="767171"/>
        </w:rPr>
        <w:t xml:space="preserve">La Dirección de Planificación y Desarrollo del Ministerio de Obras Públicas y Comunicaciones (MOPC), presentó sus actividades realizadas durante el periodo </w:t>
      </w:r>
      <w:r w:rsidR="000A17C8" w:rsidRPr="00084D33">
        <w:rPr>
          <w:color w:val="767171"/>
        </w:rPr>
        <w:t>enero-diciembre</w:t>
      </w:r>
      <w:r w:rsidRPr="00084D33">
        <w:rPr>
          <w:color w:val="767171"/>
        </w:rPr>
        <w:t xml:space="preserve"> del año 2024, en el contexto de las estrategias de fortalecimiento de la calidad de los procesos institucionales, con el </w:t>
      </w:r>
      <w:r w:rsidRPr="00084D33">
        <w:rPr>
          <w:color w:val="767171"/>
        </w:rPr>
        <w:lastRenderedPageBreak/>
        <w:t>propósito de garantizar los modelos de evaluación y controles que permitan optimizar la planificación y el desarrollo institucional. A continuación, se resumen las principales actividades desarrolladas en los procesos de Calidad en la Gestión:</w:t>
      </w:r>
    </w:p>
    <w:p w14:paraId="35451026" w14:textId="77777777" w:rsidR="00CA4840" w:rsidRPr="00084D33" w:rsidRDefault="00CA4840" w:rsidP="00CA4840">
      <w:pPr>
        <w:ind w:left="2280"/>
        <w:rPr>
          <w:rFonts w:cs="Times New Roman"/>
          <w:lang w:eastAsia="es-ES" w:bidi="es-ES"/>
        </w:rPr>
      </w:pPr>
    </w:p>
    <w:p w14:paraId="3589504B" w14:textId="77777777" w:rsidR="00CA4840" w:rsidRPr="00084D33" w:rsidRDefault="00CA4840" w:rsidP="00CA4840">
      <w:pPr>
        <w:ind w:left="2280"/>
        <w:rPr>
          <w:rFonts w:cs="Times New Roman"/>
          <w:lang w:eastAsia="es-ES" w:bidi="es-ES"/>
        </w:rPr>
      </w:pPr>
    </w:p>
    <w:p w14:paraId="6FDA1E34" w14:textId="77777777" w:rsidR="00CA4840" w:rsidRPr="00084D33" w:rsidRDefault="00CA4840" w:rsidP="007202A9">
      <w:pPr>
        <w:pStyle w:val="Ttulo3RdeC"/>
        <w:numPr>
          <w:ilvl w:val="2"/>
          <w:numId w:val="24"/>
        </w:numPr>
        <w:jc w:val="center"/>
        <w:rPr>
          <w:color w:val="767171"/>
        </w:rPr>
      </w:pPr>
      <w:r w:rsidRPr="00084D33">
        <w:rPr>
          <w:color w:val="767171"/>
        </w:rPr>
        <w:t>Resultados de Monitoreo de la Administración Pública (SISMAP)</w:t>
      </w:r>
    </w:p>
    <w:p w14:paraId="1DC5A807" w14:textId="77777777" w:rsidR="00CA4840" w:rsidRPr="00084D33" w:rsidRDefault="00CA4840" w:rsidP="00CA4840">
      <w:pPr>
        <w:rPr>
          <w:rFonts w:cs="Times New Roman"/>
        </w:rPr>
      </w:pPr>
    </w:p>
    <w:p w14:paraId="42CBE730" w14:textId="515D46BC" w:rsidR="00CA4840" w:rsidRPr="00084D33" w:rsidRDefault="00CA4840" w:rsidP="00CA4840">
      <w:pPr>
        <w:pStyle w:val="Textoindependiente"/>
        <w:spacing w:line="360" w:lineRule="auto"/>
        <w:jc w:val="both"/>
        <w:rPr>
          <w:color w:val="767171"/>
        </w:rPr>
      </w:pPr>
      <w:r w:rsidRPr="00084D33">
        <w:rPr>
          <w:color w:val="767171"/>
        </w:rPr>
        <w:t xml:space="preserve">Los resultados obtenidos en el MOPC en el seguimiento al Sistema de Monitoreo de la Administración Pública (SISMAP), para el periodo </w:t>
      </w:r>
      <w:r w:rsidR="000A17C8" w:rsidRPr="00084D33">
        <w:rPr>
          <w:color w:val="767171"/>
        </w:rPr>
        <w:t>enero-diciembre</w:t>
      </w:r>
      <w:r w:rsidRPr="00084D33">
        <w:rPr>
          <w:color w:val="767171"/>
        </w:rPr>
        <w:t xml:space="preserve"> del año 2024, promueven el cumplimiento de las normativas que rigen el desarrollo de la función pública, el fortalecimiento institucional y la calidad de los servicios públicos, los cuales se presentan en la tabla siguiente:</w:t>
      </w:r>
    </w:p>
    <w:p w14:paraId="237103B1" w14:textId="77777777" w:rsidR="00CA4840" w:rsidRPr="00084D33" w:rsidRDefault="00CA4840" w:rsidP="00CA4840">
      <w:pPr>
        <w:pStyle w:val="Textoindependiente"/>
        <w:spacing w:line="360" w:lineRule="auto"/>
        <w:jc w:val="both"/>
        <w:rPr>
          <w:color w:val="767171"/>
        </w:rPr>
      </w:pPr>
    </w:p>
    <w:p w14:paraId="41A75C51" w14:textId="77777777" w:rsidR="00CA4840" w:rsidRPr="00084D33" w:rsidRDefault="00CA4840" w:rsidP="00CA4840">
      <w:pPr>
        <w:rPr>
          <w:rFonts w:cs="Times New Roman"/>
        </w:rPr>
      </w:pPr>
    </w:p>
    <w:tbl>
      <w:tblPr>
        <w:tblStyle w:val="Tablaconcuadrcula"/>
        <w:tblW w:w="0" w:type="auto"/>
        <w:tblInd w:w="701" w:type="dxa"/>
        <w:tblLook w:val="04A0" w:firstRow="1" w:lastRow="0" w:firstColumn="1" w:lastColumn="0" w:noHBand="0" w:noVBand="1"/>
      </w:tblPr>
      <w:tblGrid>
        <w:gridCol w:w="4806"/>
        <w:gridCol w:w="2403"/>
      </w:tblGrid>
      <w:tr w:rsidR="00CA4840" w:rsidRPr="00084D33" w14:paraId="397A86B7" w14:textId="77777777" w:rsidTr="00CA4840">
        <w:trPr>
          <w:trHeight w:val="539"/>
        </w:trPr>
        <w:tc>
          <w:tcPr>
            <w:tcW w:w="4967" w:type="dxa"/>
            <w:shd w:val="clear" w:color="auto" w:fill="011C50"/>
            <w:vAlign w:val="center"/>
          </w:tcPr>
          <w:p w14:paraId="4C8D600C" w14:textId="77777777" w:rsidR="00CA4840" w:rsidRPr="00084D33" w:rsidRDefault="00CA4840" w:rsidP="00CA4840">
            <w:pPr>
              <w:spacing w:line="276" w:lineRule="auto"/>
              <w:jc w:val="center"/>
              <w:rPr>
                <w:rFonts w:cs="Times New Roman"/>
                <w:b/>
                <w:spacing w:val="20"/>
                <w:szCs w:val="24"/>
              </w:rPr>
            </w:pPr>
            <w:r w:rsidRPr="00084D33">
              <w:rPr>
                <w:rFonts w:cs="Times New Roman"/>
                <w:b/>
                <w:spacing w:val="20"/>
                <w:szCs w:val="24"/>
              </w:rPr>
              <w:t>Descripción</w:t>
            </w:r>
          </w:p>
        </w:tc>
        <w:tc>
          <w:tcPr>
            <w:tcW w:w="2451" w:type="dxa"/>
            <w:shd w:val="clear" w:color="auto" w:fill="011C50"/>
            <w:vAlign w:val="center"/>
          </w:tcPr>
          <w:p w14:paraId="66AA9748" w14:textId="77777777" w:rsidR="00CA4840" w:rsidRPr="00084D33" w:rsidRDefault="00CA4840" w:rsidP="00CA4840">
            <w:pPr>
              <w:spacing w:line="276" w:lineRule="auto"/>
              <w:jc w:val="center"/>
              <w:rPr>
                <w:rFonts w:cs="Times New Roman"/>
                <w:b/>
                <w:spacing w:val="20"/>
                <w:szCs w:val="24"/>
              </w:rPr>
            </w:pPr>
            <w:r w:rsidRPr="00084D33">
              <w:rPr>
                <w:rFonts w:cs="Times New Roman"/>
                <w:b/>
                <w:spacing w:val="20"/>
                <w:szCs w:val="24"/>
              </w:rPr>
              <w:t>Puntuación</w:t>
            </w:r>
          </w:p>
        </w:tc>
      </w:tr>
      <w:tr w:rsidR="00CA4840" w:rsidRPr="00084D33" w14:paraId="1CAA3378" w14:textId="77777777" w:rsidTr="00CA4840">
        <w:trPr>
          <w:trHeight w:val="638"/>
        </w:trPr>
        <w:tc>
          <w:tcPr>
            <w:tcW w:w="4967" w:type="dxa"/>
            <w:vAlign w:val="center"/>
          </w:tcPr>
          <w:p w14:paraId="2C8EE0FD" w14:textId="77777777" w:rsidR="00CA4840" w:rsidRPr="00084D33" w:rsidRDefault="00CA4840" w:rsidP="00CA4840">
            <w:pPr>
              <w:rPr>
                <w:rFonts w:cs="Times New Roman"/>
                <w:spacing w:val="20"/>
                <w:szCs w:val="24"/>
              </w:rPr>
            </w:pPr>
            <w:r w:rsidRPr="00084D33">
              <w:rPr>
                <w:rFonts w:cs="Times New Roman"/>
                <w:spacing w:val="20"/>
                <w:szCs w:val="24"/>
              </w:rPr>
              <w:t>Autodiagnóstico CAF</w:t>
            </w:r>
          </w:p>
        </w:tc>
        <w:tc>
          <w:tcPr>
            <w:tcW w:w="2451" w:type="dxa"/>
            <w:vAlign w:val="center"/>
          </w:tcPr>
          <w:p w14:paraId="005A20D5" w14:textId="77777777" w:rsidR="00CA4840" w:rsidRPr="00084D33" w:rsidRDefault="00CA4840" w:rsidP="00CA4840">
            <w:pPr>
              <w:jc w:val="center"/>
              <w:rPr>
                <w:rFonts w:cs="Times New Roman"/>
                <w:spacing w:val="20"/>
                <w:szCs w:val="24"/>
              </w:rPr>
            </w:pPr>
            <w:r w:rsidRPr="00084D33">
              <w:rPr>
                <w:rFonts w:cs="Times New Roman"/>
                <w:spacing w:val="20"/>
                <w:szCs w:val="24"/>
              </w:rPr>
              <w:t>100%</w:t>
            </w:r>
          </w:p>
        </w:tc>
      </w:tr>
      <w:tr w:rsidR="00CA4840" w:rsidRPr="00084D33" w14:paraId="05F4D63B" w14:textId="77777777" w:rsidTr="00CA4840">
        <w:trPr>
          <w:trHeight w:val="620"/>
        </w:trPr>
        <w:tc>
          <w:tcPr>
            <w:tcW w:w="4967" w:type="dxa"/>
            <w:vAlign w:val="center"/>
          </w:tcPr>
          <w:p w14:paraId="48853CE4" w14:textId="77777777" w:rsidR="00CA4840" w:rsidRPr="00084D33" w:rsidRDefault="00CA4840" w:rsidP="00CA4840">
            <w:pPr>
              <w:rPr>
                <w:rFonts w:cs="Times New Roman"/>
                <w:spacing w:val="20"/>
                <w:szCs w:val="24"/>
              </w:rPr>
            </w:pPr>
            <w:r w:rsidRPr="00084D33">
              <w:rPr>
                <w:rFonts w:cs="Times New Roman"/>
                <w:spacing w:val="20"/>
                <w:szCs w:val="24"/>
              </w:rPr>
              <w:t>Informe Plan de Mejora Modelo CAF</w:t>
            </w:r>
          </w:p>
        </w:tc>
        <w:tc>
          <w:tcPr>
            <w:tcW w:w="2451" w:type="dxa"/>
            <w:vAlign w:val="center"/>
          </w:tcPr>
          <w:p w14:paraId="3A7DC4D4" w14:textId="77777777" w:rsidR="00CA4840" w:rsidRPr="00084D33" w:rsidRDefault="00CA4840" w:rsidP="00CA4840">
            <w:pPr>
              <w:jc w:val="center"/>
              <w:rPr>
                <w:rFonts w:cs="Times New Roman"/>
                <w:spacing w:val="20"/>
                <w:szCs w:val="24"/>
              </w:rPr>
            </w:pPr>
            <w:r w:rsidRPr="00084D33">
              <w:rPr>
                <w:rFonts w:cs="Times New Roman"/>
                <w:spacing w:val="20"/>
                <w:szCs w:val="24"/>
              </w:rPr>
              <w:t>100%</w:t>
            </w:r>
          </w:p>
        </w:tc>
      </w:tr>
      <w:tr w:rsidR="00CA4840" w:rsidRPr="00084D33" w14:paraId="5B9B8B00" w14:textId="77777777" w:rsidTr="00CA4840">
        <w:trPr>
          <w:trHeight w:val="620"/>
        </w:trPr>
        <w:tc>
          <w:tcPr>
            <w:tcW w:w="4967" w:type="dxa"/>
            <w:vAlign w:val="center"/>
          </w:tcPr>
          <w:p w14:paraId="1CCB476A" w14:textId="77777777" w:rsidR="00CA4840" w:rsidRPr="00084D33" w:rsidRDefault="00CA4840" w:rsidP="00CA4840">
            <w:pPr>
              <w:rPr>
                <w:rFonts w:cs="Times New Roman"/>
                <w:spacing w:val="20"/>
                <w:szCs w:val="24"/>
              </w:rPr>
            </w:pPr>
            <w:r w:rsidRPr="00084D33">
              <w:rPr>
                <w:rFonts w:cs="Times New Roman"/>
                <w:spacing w:val="20"/>
                <w:szCs w:val="24"/>
              </w:rPr>
              <w:t>Estandarización de Procesos</w:t>
            </w:r>
          </w:p>
        </w:tc>
        <w:tc>
          <w:tcPr>
            <w:tcW w:w="2451" w:type="dxa"/>
            <w:vAlign w:val="center"/>
          </w:tcPr>
          <w:p w14:paraId="3D7F66E7" w14:textId="77777777" w:rsidR="00CA4840" w:rsidRPr="00084D33" w:rsidRDefault="00CA4840" w:rsidP="00CA4840">
            <w:pPr>
              <w:jc w:val="center"/>
              <w:rPr>
                <w:rFonts w:cs="Times New Roman"/>
                <w:spacing w:val="20"/>
                <w:szCs w:val="24"/>
              </w:rPr>
            </w:pPr>
            <w:r w:rsidRPr="00084D33">
              <w:rPr>
                <w:rFonts w:cs="Times New Roman"/>
                <w:spacing w:val="20"/>
                <w:szCs w:val="24"/>
              </w:rPr>
              <w:t>100%</w:t>
            </w:r>
          </w:p>
        </w:tc>
      </w:tr>
      <w:tr w:rsidR="00CA4840" w:rsidRPr="00084D33" w14:paraId="5E7A56A8" w14:textId="77777777" w:rsidTr="00CA4840">
        <w:trPr>
          <w:trHeight w:val="530"/>
        </w:trPr>
        <w:tc>
          <w:tcPr>
            <w:tcW w:w="4967" w:type="dxa"/>
            <w:vAlign w:val="center"/>
          </w:tcPr>
          <w:p w14:paraId="79306C18" w14:textId="77777777" w:rsidR="00CA4840" w:rsidRPr="00084D33" w:rsidRDefault="00CA4840" w:rsidP="00CA4840">
            <w:pPr>
              <w:rPr>
                <w:rFonts w:cs="Times New Roman"/>
                <w:spacing w:val="20"/>
                <w:szCs w:val="24"/>
              </w:rPr>
            </w:pPr>
            <w:r w:rsidRPr="00084D33">
              <w:rPr>
                <w:rFonts w:cs="Times New Roman"/>
                <w:spacing w:val="20"/>
                <w:szCs w:val="24"/>
              </w:rPr>
              <w:t>Carta Compromiso al Ciudadano</w:t>
            </w:r>
          </w:p>
        </w:tc>
        <w:tc>
          <w:tcPr>
            <w:tcW w:w="2451" w:type="dxa"/>
            <w:vAlign w:val="center"/>
          </w:tcPr>
          <w:p w14:paraId="51AFC08A" w14:textId="77777777" w:rsidR="00CA4840" w:rsidRPr="00084D33" w:rsidRDefault="00CA4840" w:rsidP="00CA4840">
            <w:pPr>
              <w:jc w:val="center"/>
              <w:rPr>
                <w:rFonts w:cs="Times New Roman"/>
                <w:spacing w:val="20"/>
                <w:szCs w:val="24"/>
              </w:rPr>
            </w:pPr>
            <w:r w:rsidRPr="00084D33">
              <w:rPr>
                <w:rFonts w:cs="Times New Roman"/>
                <w:spacing w:val="20"/>
                <w:szCs w:val="24"/>
              </w:rPr>
              <w:t>92%</w:t>
            </w:r>
          </w:p>
        </w:tc>
      </w:tr>
      <w:tr w:rsidR="00CA4840" w:rsidRPr="00084D33" w14:paraId="3B739335" w14:textId="77777777" w:rsidTr="00CA4840">
        <w:trPr>
          <w:trHeight w:val="649"/>
        </w:trPr>
        <w:tc>
          <w:tcPr>
            <w:tcW w:w="4967" w:type="dxa"/>
            <w:vAlign w:val="center"/>
          </w:tcPr>
          <w:p w14:paraId="165B53C9" w14:textId="77777777" w:rsidR="00CA4840" w:rsidRPr="00084D33" w:rsidRDefault="00CA4840" w:rsidP="00CA4840">
            <w:pPr>
              <w:rPr>
                <w:rFonts w:cs="Times New Roman"/>
                <w:spacing w:val="20"/>
                <w:szCs w:val="24"/>
              </w:rPr>
            </w:pPr>
            <w:r w:rsidRPr="00084D33">
              <w:rPr>
                <w:rFonts w:cs="Times New Roman"/>
                <w:spacing w:val="20"/>
                <w:szCs w:val="24"/>
              </w:rPr>
              <w:t>Transparencia en las informaciones de servicios y funcionarios</w:t>
            </w:r>
          </w:p>
        </w:tc>
        <w:tc>
          <w:tcPr>
            <w:tcW w:w="2451" w:type="dxa"/>
            <w:vAlign w:val="center"/>
          </w:tcPr>
          <w:p w14:paraId="48A9F6F3" w14:textId="77777777" w:rsidR="00CA4840" w:rsidRPr="00084D33" w:rsidRDefault="00CA4840" w:rsidP="00CA4840">
            <w:pPr>
              <w:jc w:val="center"/>
              <w:rPr>
                <w:rFonts w:cs="Times New Roman"/>
                <w:spacing w:val="20"/>
                <w:szCs w:val="24"/>
              </w:rPr>
            </w:pPr>
            <w:r w:rsidRPr="00084D33">
              <w:rPr>
                <w:rFonts w:cs="Times New Roman"/>
                <w:spacing w:val="20"/>
                <w:szCs w:val="24"/>
              </w:rPr>
              <w:t>100%</w:t>
            </w:r>
          </w:p>
        </w:tc>
      </w:tr>
      <w:tr w:rsidR="00CA4840" w:rsidRPr="00084D33" w14:paraId="4C7E7DD6" w14:textId="77777777" w:rsidTr="00CA4840">
        <w:trPr>
          <w:trHeight w:val="378"/>
        </w:trPr>
        <w:tc>
          <w:tcPr>
            <w:tcW w:w="4967" w:type="dxa"/>
            <w:vAlign w:val="center"/>
          </w:tcPr>
          <w:p w14:paraId="5BE3244E" w14:textId="77777777" w:rsidR="00CA4840" w:rsidRPr="00084D33" w:rsidRDefault="00CA4840" w:rsidP="00CA4840">
            <w:pPr>
              <w:rPr>
                <w:rFonts w:cs="Times New Roman"/>
                <w:spacing w:val="20"/>
                <w:szCs w:val="24"/>
              </w:rPr>
            </w:pPr>
            <w:r w:rsidRPr="00084D33">
              <w:rPr>
                <w:rFonts w:cs="Times New Roman"/>
                <w:spacing w:val="20"/>
                <w:szCs w:val="24"/>
              </w:rPr>
              <w:t>Monitoreo sobre la calidad de los servicios ofrecidos por la institución</w:t>
            </w:r>
          </w:p>
        </w:tc>
        <w:tc>
          <w:tcPr>
            <w:tcW w:w="2451" w:type="dxa"/>
            <w:vAlign w:val="center"/>
          </w:tcPr>
          <w:p w14:paraId="33F4AC30" w14:textId="77777777" w:rsidR="00CA4840" w:rsidRPr="00084D33" w:rsidRDefault="00CA4840" w:rsidP="00CA4840">
            <w:pPr>
              <w:jc w:val="center"/>
              <w:rPr>
                <w:rFonts w:cs="Times New Roman"/>
                <w:spacing w:val="20"/>
                <w:szCs w:val="24"/>
              </w:rPr>
            </w:pPr>
            <w:r w:rsidRPr="00084D33">
              <w:rPr>
                <w:rFonts w:cs="Times New Roman"/>
                <w:spacing w:val="20"/>
                <w:szCs w:val="24"/>
              </w:rPr>
              <w:t>100%</w:t>
            </w:r>
          </w:p>
        </w:tc>
      </w:tr>
      <w:tr w:rsidR="00CA4840" w:rsidRPr="00084D33" w14:paraId="624ADE70" w14:textId="77777777" w:rsidTr="00CA4840">
        <w:trPr>
          <w:trHeight w:val="593"/>
        </w:trPr>
        <w:tc>
          <w:tcPr>
            <w:tcW w:w="4967" w:type="dxa"/>
            <w:vAlign w:val="center"/>
          </w:tcPr>
          <w:p w14:paraId="2BAE50C3" w14:textId="77777777" w:rsidR="00CA4840" w:rsidRPr="00084D33" w:rsidRDefault="00CA4840" w:rsidP="00CA4840">
            <w:pPr>
              <w:rPr>
                <w:rFonts w:cs="Times New Roman"/>
                <w:spacing w:val="20"/>
                <w:szCs w:val="24"/>
              </w:rPr>
            </w:pPr>
            <w:r w:rsidRPr="00084D33">
              <w:rPr>
                <w:rFonts w:cs="Times New Roman"/>
                <w:spacing w:val="20"/>
                <w:szCs w:val="24"/>
              </w:rPr>
              <w:t>Índice de satisfacción ciudadana</w:t>
            </w:r>
          </w:p>
        </w:tc>
        <w:tc>
          <w:tcPr>
            <w:tcW w:w="2451" w:type="dxa"/>
            <w:vAlign w:val="center"/>
          </w:tcPr>
          <w:p w14:paraId="595D1065" w14:textId="77777777" w:rsidR="00CA4840" w:rsidRPr="00084D33" w:rsidRDefault="00CA4840" w:rsidP="00CA4840">
            <w:pPr>
              <w:jc w:val="center"/>
              <w:rPr>
                <w:rFonts w:cs="Times New Roman"/>
                <w:spacing w:val="20"/>
                <w:szCs w:val="24"/>
              </w:rPr>
            </w:pPr>
            <w:r w:rsidRPr="00084D33">
              <w:rPr>
                <w:rFonts w:cs="Times New Roman"/>
                <w:spacing w:val="20"/>
                <w:szCs w:val="24"/>
              </w:rPr>
              <w:t>98%</w:t>
            </w:r>
          </w:p>
        </w:tc>
      </w:tr>
    </w:tbl>
    <w:p w14:paraId="1F580989" w14:textId="79ABB827" w:rsidR="00C1227A" w:rsidRPr="00084D33" w:rsidRDefault="00C1227A">
      <w:pPr>
        <w:spacing w:after="160" w:line="259" w:lineRule="auto"/>
        <w:jc w:val="left"/>
        <w:rPr>
          <w:rFonts w:eastAsia="Times New Roman" w:cs="Times New Roman"/>
          <w:b/>
          <w:szCs w:val="24"/>
          <w:lang w:val="es-ES" w:eastAsia="es-ES" w:bidi="es-ES"/>
        </w:rPr>
      </w:pPr>
      <w:r w:rsidRPr="00084D33">
        <w:rPr>
          <w:rFonts w:eastAsia="Times New Roman" w:cs="Times New Roman"/>
          <w:b/>
          <w:szCs w:val="24"/>
          <w:lang w:val="es-ES" w:eastAsia="es-ES" w:bidi="es-ES"/>
        </w:rPr>
        <w:br w:type="page"/>
      </w:r>
    </w:p>
    <w:p w14:paraId="39C45AB8" w14:textId="77777777" w:rsidR="00CA4840" w:rsidRPr="00084D33" w:rsidRDefault="00CA4840" w:rsidP="007202A9">
      <w:pPr>
        <w:pStyle w:val="Ttulo3RdeC"/>
        <w:numPr>
          <w:ilvl w:val="2"/>
          <w:numId w:val="24"/>
        </w:numPr>
        <w:jc w:val="center"/>
        <w:rPr>
          <w:color w:val="767171"/>
        </w:rPr>
      </w:pPr>
      <w:r w:rsidRPr="00084D33">
        <w:rPr>
          <w:color w:val="767171"/>
        </w:rPr>
        <w:lastRenderedPageBreak/>
        <w:t>Modelo Marco Común de Evaluación (CAF)</w:t>
      </w:r>
    </w:p>
    <w:p w14:paraId="3CD912FF" w14:textId="77777777" w:rsidR="00CA4840" w:rsidRPr="00084D33" w:rsidRDefault="00CA4840" w:rsidP="00CA4840">
      <w:pPr>
        <w:ind w:left="720"/>
        <w:rPr>
          <w:rFonts w:cs="Times New Roman"/>
        </w:rPr>
      </w:pPr>
    </w:p>
    <w:p w14:paraId="6EBA856B" w14:textId="09CCC89F" w:rsidR="00CA4840" w:rsidRPr="00084D33" w:rsidRDefault="00CA4840" w:rsidP="00CA4840">
      <w:pPr>
        <w:pStyle w:val="Textoindependienteprimerasangra2"/>
        <w:ind w:firstLine="0"/>
        <w:rPr>
          <w:rFonts w:cs="Times New Roman"/>
        </w:rPr>
      </w:pPr>
      <w:r w:rsidRPr="00084D33">
        <w:rPr>
          <w:rFonts w:cs="Times New Roman"/>
        </w:rPr>
        <w:t xml:space="preserve">Durante el periodo </w:t>
      </w:r>
      <w:r w:rsidR="000A17C8" w:rsidRPr="00084D33">
        <w:rPr>
          <w:rFonts w:cs="Times New Roman"/>
        </w:rPr>
        <w:t>enero-diciembre</w:t>
      </w:r>
      <w:r w:rsidRPr="00084D33">
        <w:rPr>
          <w:rFonts w:cs="Times New Roman"/>
        </w:rPr>
        <w:t xml:space="preserve"> del año 2024, la Dirección de Planificación y Desarrollo del MOPC, dando cumplimiento a la aplicación del Modelo CAF – Marco Común de Evaluación –, en el desarrollo de estrategias, en las estructuras y procesos de la institución, elaboró y remitió al Ministerio de Administración Pública (MAP), los siguientes documentos: </w:t>
      </w:r>
    </w:p>
    <w:p w14:paraId="049D5056" w14:textId="77777777" w:rsidR="00CA4840" w:rsidRPr="00084D33" w:rsidRDefault="00CA4840" w:rsidP="00CA4840">
      <w:pPr>
        <w:pStyle w:val="Textoindependienteprimerasangra2"/>
        <w:ind w:firstLine="0"/>
        <w:rPr>
          <w:rFonts w:cs="Times New Roman"/>
        </w:rPr>
      </w:pPr>
    </w:p>
    <w:p w14:paraId="221FAD77"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1er. Informe Plan de Mejoras 2024</w:t>
      </w:r>
    </w:p>
    <w:p w14:paraId="344E66E1"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Guía Autodiagnóstico CAF 2024</w:t>
      </w:r>
    </w:p>
    <w:p w14:paraId="3ECD8581"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Informe Autodiagnóstico CAF 2024 </w:t>
      </w:r>
    </w:p>
    <w:p w14:paraId="6D876F71"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Matriz de Puntuación CAF 2024</w:t>
      </w:r>
    </w:p>
    <w:p w14:paraId="7FCB2A1F"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Plan de Mejora CAF 2025</w:t>
      </w:r>
    </w:p>
    <w:p w14:paraId="301BF301"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Guía Índice CAF 2024</w:t>
      </w:r>
    </w:p>
    <w:p w14:paraId="3B463E10" w14:textId="694A4033"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2do. Informe Plan de Mejora 2024</w:t>
      </w:r>
    </w:p>
    <w:p w14:paraId="608DD66B" w14:textId="77777777" w:rsidR="00CA4840" w:rsidRPr="00084D33" w:rsidRDefault="00CA4840" w:rsidP="0003126F">
      <w:pPr>
        <w:ind w:left="2595"/>
      </w:pPr>
    </w:p>
    <w:p w14:paraId="58D1620A" w14:textId="50BD7A70" w:rsidR="00CA4840" w:rsidRPr="00084D33" w:rsidRDefault="00CA4840" w:rsidP="00CA4840">
      <w:pPr>
        <w:rPr>
          <w:rFonts w:cs="Times New Roman"/>
        </w:rPr>
      </w:pPr>
      <w:r w:rsidRPr="00084D33">
        <w:rPr>
          <w:rFonts w:cs="Times New Roman"/>
          <w:lang w:val="es-ES"/>
        </w:rPr>
        <w:t xml:space="preserve">En el mismo periodo, se ha </w:t>
      </w:r>
      <w:r w:rsidRPr="00084D33">
        <w:rPr>
          <w:rFonts w:cs="Times New Roman"/>
        </w:rPr>
        <w:t>dado inicio al proceso de participación en el Programa Sello de Calidad CAF, remitiendo al Ministerio de Administración Pública (MAP) toda la documentación necesaria al respecto.</w:t>
      </w:r>
    </w:p>
    <w:p w14:paraId="6B5BC902" w14:textId="77777777" w:rsidR="00CA4840" w:rsidRPr="00084D33" w:rsidRDefault="00CA4840" w:rsidP="00CA4840">
      <w:pPr>
        <w:rPr>
          <w:rFonts w:cs="Times New Roman"/>
        </w:rPr>
      </w:pPr>
    </w:p>
    <w:p w14:paraId="73AB06E0" w14:textId="77777777" w:rsidR="00CA4840" w:rsidRPr="00084D33" w:rsidRDefault="00CA4840" w:rsidP="00CA4840">
      <w:pPr>
        <w:rPr>
          <w:rFonts w:cs="Times New Roman"/>
        </w:rPr>
      </w:pPr>
    </w:p>
    <w:p w14:paraId="0333B923" w14:textId="5B4C2185" w:rsidR="00CA4840" w:rsidRPr="00084D33" w:rsidRDefault="00CA4840" w:rsidP="007202A9">
      <w:pPr>
        <w:pStyle w:val="Ttulo3RdeC"/>
        <w:numPr>
          <w:ilvl w:val="2"/>
          <w:numId w:val="24"/>
        </w:numPr>
        <w:jc w:val="center"/>
        <w:rPr>
          <w:color w:val="767171"/>
        </w:rPr>
      </w:pPr>
      <w:r w:rsidRPr="00084D33">
        <w:rPr>
          <w:color w:val="767171"/>
        </w:rPr>
        <w:t>Estandarización de Procesos</w:t>
      </w:r>
    </w:p>
    <w:p w14:paraId="72522DA2" w14:textId="77777777" w:rsidR="00CA4840" w:rsidRPr="00084D33" w:rsidRDefault="00CA4840" w:rsidP="00CA4840">
      <w:pPr>
        <w:ind w:left="2280"/>
        <w:rPr>
          <w:rFonts w:cs="Times New Roman"/>
        </w:rPr>
      </w:pPr>
    </w:p>
    <w:p w14:paraId="55AD895A" w14:textId="77777777" w:rsidR="00CA4840" w:rsidRPr="00084D33" w:rsidRDefault="00CA4840" w:rsidP="00CA4840">
      <w:pPr>
        <w:pStyle w:val="EstilodePrrafoNormal1RdeC"/>
        <w:rPr>
          <w:color w:val="767171"/>
        </w:rPr>
      </w:pPr>
      <w:r w:rsidRPr="00084D33">
        <w:rPr>
          <w:color w:val="767171"/>
        </w:rPr>
        <w:t xml:space="preserve">En la siguiente tabla se enumeran por tipo (políticas, procedimientos, fichas de procesos y formularios), los documentos creados y revisados por el área de Planificación y Desarrollo del MOPC, con el objetivo de mejorar y </w:t>
      </w:r>
      <w:r w:rsidRPr="00084D33">
        <w:rPr>
          <w:color w:val="767171"/>
        </w:rPr>
        <w:lastRenderedPageBreak/>
        <w:t>estandarizar procesos correspondientes al Sistema de Gestión de la Calidad (SGC) implementados en la COMIPOL:</w:t>
      </w:r>
    </w:p>
    <w:p w14:paraId="7D7B2905" w14:textId="77777777" w:rsidR="00CA4840" w:rsidRPr="00084D33" w:rsidRDefault="00CA4840" w:rsidP="00CA4840">
      <w:pPr>
        <w:tabs>
          <w:tab w:val="left" w:pos="0"/>
        </w:tabs>
        <w:rPr>
          <w:rFonts w:cs="Times New Roman"/>
          <w:spacing w:val="20"/>
          <w:szCs w:val="24"/>
          <w:lang w:val="es-ES"/>
        </w:rPr>
      </w:pPr>
    </w:p>
    <w:p w14:paraId="78E19129" w14:textId="77777777" w:rsidR="00CA4840" w:rsidRPr="00084D33" w:rsidRDefault="00CA4840" w:rsidP="00CA4840">
      <w:pPr>
        <w:tabs>
          <w:tab w:val="left" w:pos="0"/>
        </w:tabs>
        <w:rPr>
          <w:rFonts w:cs="Times New Roman"/>
          <w:spacing w:val="20"/>
          <w:szCs w:val="24"/>
          <w:lang w:val="es-ES"/>
        </w:rPr>
      </w:pPr>
    </w:p>
    <w:tbl>
      <w:tblPr>
        <w:tblStyle w:val="Tablaconcuadrcula"/>
        <w:tblW w:w="0" w:type="auto"/>
        <w:tblInd w:w="985" w:type="dxa"/>
        <w:tblLook w:val="04A0" w:firstRow="1" w:lastRow="0" w:firstColumn="1" w:lastColumn="0" w:noHBand="0" w:noVBand="1"/>
      </w:tblPr>
      <w:tblGrid>
        <w:gridCol w:w="3732"/>
        <w:gridCol w:w="2628"/>
      </w:tblGrid>
      <w:tr w:rsidR="00CA4840" w:rsidRPr="00084D33" w14:paraId="2D310A9F" w14:textId="77777777" w:rsidTr="00CA4840">
        <w:trPr>
          <w:trHeight w:val="679"/>
        </w:trPr>
        <w:tc>
          <w:tcPr>
            <w:tcW w:w="3732" w:type="dxa"/>
            <w:shd w:val="clear" w:color="auto" w:fill="011C50"/>
            <w:vAlign w:val="center"/>
          </w:tcPr>
          <w:p w14:paraId="008AC4EA" w14:textId="77777777" w:rsidR="00CA4840" w:rsidRPr="00084D33" w:rsidRDefault="00CA4840" w:rsidP="00CA4840">
            <w:pPr>
              <w:spacing w:line="276" w:lineRule="auto"/>
              <w:jc w:val="center"/>
              <w:rPr>
                <w:rFonts w:cs="Times New Roman"/>
                <w:b/>
                <w:spacing w:val="20"/>
                <w:szCs w:val="24"/>
                <w:lang w:val="es-ES"/>
              </w:rPr>
            </w:pPr>
            <w:r w:rsidRPr="00084D33">
              <w:rPr>
                <w:rFonts w:cs="Times New Roman"/>
                <w:b/>
                <w:spacing w:val="20"/>
                <w:szCs w:val="24"/>
                <w:lang w:val="es-ES"/>
              </w:rPr>
              <w:t>Tipo de Documento</w:t>
            </w:r>
          </w:p>
        </w:tc>
        <w:tc>
          <w:tcPr>
            <w:tcW w:w="2628" w:type="dxa"/>
            <w:shd w:val="clear" w:color="auto" w:fill="011C50"/>
            <w:vAlign w:val="center"/>
          </w:tcPr>
          <w:p w14:paraId="66B0F197" w14:textId="77777777" w:rsidR="00CA4840" w:rsidRPr="00084D33" w:rsidRDefault="00CA4840" w:rsidP="00CA4840">
            <w:pPr>
              <w:spacing w:line="276" w:lineRule="auto"/>
              <w:jc w:val="center"/>
              <w:rPr>
                <w:rFonts w:cs="Times New Roman"/>
                <w:b/>
                <w:spacing w:val="20"/>
                <w:szCs w:val="24"/>
                <w:lang w:val="es-ES"/>
              </w:rPr>
            </w:pPr>
            <w:r w:rsidRPr="00084D33">
              <w:rPr>
                <w:rFonts w:cs="Times New Roman"/>
                <w:b/>
                <w:spacing w:val="20"/>
                <w:szCs w:val="24"/>
                <w:lang w:val="es-ES"/>
              </w:rPr>
              <w:t>Totales</w:t>
            </w:r>
          </w:p>
        </w:tc>
      </w:tr>
      <w:tr w:rsidR="00CA4840" w:rsidRPr="00084D33" w14:paraId="1E90F342" w14:textId="77777777" w:rsidTr="00CA4840">
        <w:trPr>
          <w:trHeight w:val="409"/>
        </w:trPr>
        <w:tc>
          <w:tcPr>
            <w:tcW w:w="3732" w:type="dxa"/>
            <w:vAlign w:val="center"/>
          </w:tcPr>
          <w:p w14:paraId="4D712FC1" w14:textId="77777777" w:rsidR="00CA4840" w:rsidRPr="00084D33" w:rsidRDefault="00CA4840" w:rsidP="00CA4840">
            <w:pPr>
              <w:spacing w:line="240" w:lineRule="auto"/>
              <w:jc w:val="left"/>
              <w:rPr>
                <w:rFonts w:cs="Times New Roman"/>
                <w:spacing w:val="20"/>
                <w:szCs w:val="24"/>
              </w:rPr>
            </w:pPr>
            <w:r w:rsidRPr="00084D33">
              <w:rPr>
                <w:rFonts w:cs="Times New Roman"/>
                <w:spacing w:val="20"/>
                <w:szCs w:val="24"/>
              </w:rPr>
              <w:t>Políticas</w:t>
            </w:r>
          </w:p>
        </w:tc>
        <w:tc>
          <w:tcPr>
            <w:tcW w:w="2628" w:type="dxa"/>
            <w:vAlign w:val="center"/>
          </w:tcPr>
          <w:p w14:paraId="0A41EF96" w14:textId="77777777" w:rsidR="00CA4840" w:rsidRPr="00084D33" w:rsidRDefault="00CA4840" w:rsidP="00CA4840">
            <w:pPr>
              <w:spacing w:line="240" w:lineRule="auto"/>
              <w:jc w:val="center"/>
              <w:rPr>
                <w:rFonts w:cs="Times New Roman"/>
                <w:spacing w:val="20"/>
                <w:szCs w:val="24"/>
                <w:lang w:val="es-ES"/>
              </w:rPr>
            </w:pPr>
            <w:r w:rsidRPr="00084D33">
              <w:rPr>
                <w:rFonts w:cs="Times New Roman"/>
                <w:spacing w:val="20"/>
                <w:szCs w:val="24"/>
                <w:lang w:val="es-ES"/>
              </w:rPr>
              <w:t>4</w:t>
            </w:r>
          </w:p>
        </w:tc>
      </w:tr>
      <w:tr w:rsidR="00CA4840" w:rsidRPr="00084D33" w14:paraId="489EAB56" w14:textId="77777777" w:rsidTr="00CA4840">
        <w:trPr>
          <w:trHeight w:val="433"/>
        </w:trPr>
        <w:tc>
          <w:tcPr>
            <w:tcW w:w="3732" w:type="dxa"/>
            <w:vAlign w:val="center"/>
          </w:tcPr>
          <w:p w14:paraId="39D0F36F" w14:textId="77777777" w:rsidR="00CA4840" w:rsidRPr="00084D33" w:rsidRDefault="00CA4840" w:rsidP="00CA4840">
            <w:pPr>
              <w:spacing w:line="240" w:lineRule="auto"/>
              <w:jc w:val="left"/>
              <w:rPr>
                <w:rFonts w:cs="Times New Roman"/>
                <w:spacing w:val="20"/>
                <w:szCs w:val="24"/>
              </w:rPr>
            </w:pPr>
            <w:r w:rsidRPr="00084D33">
              <w:rPr>
                <w:rFonts w:cs="Times New Roman"/>
                <w:spacing w:val="20"/>
                <w:szCs w:val="24"/>
              </w:rPr>
              <w:t>Procedimientos</w:t>
            </w:r>
          </w:p>
        </w:tc>
        <w:tc>
          <w:tcPr>
            <w:tcW w:w="2628" w:type="dxa"/>
            <w:vAlign w:val="center"/>
          </w:tcPr>
          <w:p w14:paraId="2017B59A" w14:textId="77777777" w:rsidR="00CA4840" w:rsidRPr="00084D33" w:rsidRDefault="00CA4840" w:rsidP="00CA4840">
            <w:pPr>
              <w:spacing w:line="240" w:lineRule="auto"/>
              <w:jc w:val="center"/>
              <w:rPr>
                <w:rFonts w:cs="Times New Roman"/>
                <w:spacing w:val="20"/>
                <w:szCs w:val="24"/>
                <w:lang w:val="es-ES"/>
              </w:rPr>
            </w:pPr>
            <w:r w:rsidRPr="00084D33">
              <w:rPr>
                <w:rFonts w:cs="Times New Roman"/>
                <w:spacing w:val="20"/>
                <w:szCs w:val="24"/>
                <w:lang w:val="es-ES"/>
              </w:rPr>
              <w:t>6</w:t>
            </w:r>
          </w:p>
        </w:tc>
      </w:tr>
      <w:tr w:rsidR="00CA4840" w:rsidRPr="00084D33" w14:paraId="1DC84433" w14:textId="77777777" w:rsidTr="00CA4840">
        <w:trPr>
          <w:trHeight w:val="409"/>
        </w:trPr>
        <w:tc>
          <w:tcPr>
            <w:tcW w:w="3732" w:type="dxa"/>
            <w:vAlign w:val="center"/>
          </w:tcPr>
          <w:p w14:paraId="0A1FECA5" w14:textId="77777777" w:rsidR="00CA4840" w:rsidRPr="00084D33" w:rsidRDefault="00CA4840" w:rsidP="00CA4840">
            <w:pPr>
              <w:spacing w:line="240" w:lineRule="auto"/>
              <w:jc w:val="left"/>
              <w:rPr>
                <w:rFonts w:cs="Times New Roman"/>
                <w:spacing w:val="20"/>
                <w:szCs w:val="24"/>
              </w:rPr>
            </w:pPr>
            <w:r w:rsidRPr="00084D33">
              <w:rPr>
                <w:rFonts w:cs="Times New Roman"/>
                <w:spacing w:val="20"/>
                <w:szCs w:val="24"/>
              </w:rPr>
              <w:t>Fichas de Proceso</w:t>
            </w:r>
          </w:p>
        </w:tc>
        <w:tc>
          <w:tcPr>
            <w:tcW w:w="2628" w:type="dxa"/>
            <w:vAlign w:val="center"/>
          </w:tcPr>
          <w:p w14:paraId="05C626B9" w14:textId="77777777" w:rsidR="00CA4840" w:rsidRPr="00084D33" w:rsidRDefault="00CA4840" w:rsidP="00CA4840">
            <w:pPr>
              <w:spacing w:line="240" w:lineRule="auto"/>
              <w:jc w:val="center"/>
              <w:rPr>
                <w:rFonts w:cs="Times New Roman"/>
                <w:spacing w:val="20"/>
                <w:szCs w:val="24"/>
                <w:lang w:val="es-ES"/>
              </w:rPr>
            </w:pPr>
            <w:r w:rsidRPr="00084D33">
              <w:rPr>
                <w:rFonts w:cs="Times New Roman"/>
                <w:spacing w:val="20"/>
                <w:szCs w:val="24"/>
                <w:lang w:val="es-ES"/>
              </w:rPr>
              <w:t>10</w:t>
            </w:r>
          </w:p>
        </w:tc>
      </w:tr>
      <w:tr w:rsidR="00CA4840" w:rsidRPr="00084D33" w14:paraId="0E07E2C6" w14:textId="77777777" w:rsidTr="00CA4840">
        <w:trPr>
          <w:trHeight w:val="433"/>
        </w:trPr>
        <w:tc>
          <w:tcPr>
            <w:tcW w:w="3732" w:type="dxa"/>
            <w:vAlign w:val="center"/>
          </w:tcPr>
          <w:p w14:paraId="26ED2CD3" w14:textId="77777777" w:rsidR="00CA4840" w:rsidRPr="00084D33" w:rsidRDefault="00CA4840" w:rsidP="00CA4840">
            <w:pPr>
              <w:spacing w:line="240" w:lineRule="auto"/>
              <w:jc w:val="left"/>
              <w:rPr>
                <w:rFonts w:cs="Times New Roman"/>
                <w:spacing w:val="20"/>
                <w:szCs w:val="24"/>
              </w:rPr>
            </w:pPr>
            <w:r w:rsidRPr="00084D33">
              <w:rPr>
                <w:rFonts w:cs="Times New Roman"/>
                <w:spacing w:val="20"/>
                <w:szCs w:val="24"/>
              </w:rPr>
              <w:t>Formularios</w:t>
            </w:r>
          </w:p>
        </w:tc>
        <w:tc>
          <w:tcPr>
            <w:tcW w:w="2628" w:type="dxa"/>
            <w:vAlign w:val="center"/>
          </w:tcPr>
          <w:p w14:paraId="73DD5B63" w14:textId="77777777" w:rsidR="00CA4840" w:rsidRPr="00084D33" w:rsidRDefault="00CA4840" w:rsidP="00CA4840">
            <w:pPr>
              <w:spacing w:line="240" w:lineRule="auto"/>
              <w:jc w:val="center"/>
              <w:rPr>
                <w:rFonts w:cs="Times New Roman"/>
                <w:spacing w:val="20"/>
                <w:szCs w:val="24"/>
                <w:lang w:val="es-ES"/>
              </w:rPr>
            </w:pPr>
            <w:r w:rsidRPr="00084D33">
              <w:rPr>
                <w:rFonts w:cs="Times New Roman"/>
                <w:spacing w:val="20"/>
                <w:szCs w:val="24"/>
                <w:lang w:val="es-ES"/>
              </w:rPr>
              <w:t>30</w:t>
            </w:r>
          </w:p>
        </w:tc>
      </w:tr>
      <w:tr w:rsidR="00CA4840" w:rsidRPr="00084D33" w14:paraId="328BB0D8" w14:textId="77777777" w:rsidTr="00CA4840">
        <w:trPr>
          <w:trHeight w:val="409"/>
        </w:trPr>
        <w:tc>
          <w:tcPr>
            <w:tcW w:w="3732" w:type="dxa"/>
            <w:vAlign w:val="center"/>
          </w:tcPr>
          <w:p w14:paraId="5F937881" w14:textId="77777777" w:rsidR="00CA4840" w:rsidRPr="00084D33" w:rsidRDefault="00CA4840" w:rsidP="00CA4840">
            <w:pPr>
              <w:spacing w:line="240" w:lineRule="auto"/>
              <w:jc w:val="left"/>
              <w:rPr>
                <w:rFonts w:cs="Times New Roman"/>
                <w:b/>
                <w:spacing w:val="20"/>
                <w:szCs w:val="24"/>
                <w:lang w:val="es-ES"/>
              </w:rPr>
            </w:pPr>
            <w:r w:rsidRPr="00084D33">
              <w:rPr>
                <w:rFonts w:cs="Times New Roman"/>
                <w:b/>
                <w:spacing w:val="20"/>
                <w:szCs w:val="24"/>
                <w:lang w:val="es-ES"/>
              </w:rPr>
              <w:t>Total General</w:t>
            </w:r>
          </w:p>
        </w:tc>
        <w:tc>
          <w:tcPr>
            <w:tcW w:w="2628" w:type="dxa"/>
            <w:vAlign w:val="center"/>
          </w:tcPr>
          <w:p w14:paraId="3782DE01" w14:textId="77777777" w:rsidR="00CA4840" w:rsidRPr="00084D33" w:rsidRDefault="00CA4840" w:rsidP="00CA4840">
            <w:pPr>
              <w:spacing w:line="240" w:lineRule="auto"/>
              <w:jc w:val="center"/>
              <w:rPr>
                <w:rFonts w:cs="Times New Roman"/>
                <w:b/>
                <w:spacing w:val="20"/>
                <w:szCs w:val="24"/>
                <w:lang w:val="es-ES"/>
              </w:rPr>
            </w:pPr>
            <w:r w:rsidRPr="00084D33">
              <w:rPr>
                <w:rFonts w:cs="Times New Roman"/>
                <w:b/>
                <w:spacing w:val="20"/>
                <w:szCs w:val="24"/>
                <w:lang w:val="es-ES"/>
              </w:rPr>
              <w:t>50</w:t>
            </w:r>
          </w:p>
        </w:tc>
      </w:tr>
    </w:tbl>
    <w:p w14:paraId="340C1833" w14:textId="77777777" w:rsidR="00CA4840" w:rsidRPr="00084D33" w:rsidRDefault="00CA4840" w:rsidP="00CA4840">
      <w:pPr>
        <w:tabs>
          <w:tab w:val="left" w:pos="0"/>
        </w:tabs>
        <w:rPr>
          <w:rFonts w:cs="Times New Roman"/>
          <w:spacing w:val="20"/>
          <w:szCs w:val="24"/>
        </w:rPr>
      </w:pPr>
    </w:p>
    <w:p w14:paraId="4F092C2D" w14:textId="77777777" w:rsidR="00CA4840" w:rsidRPr="00084D33" w:rsidRDefault="00CA4840" w:rsidP="00CA4840">
      <w:pPr>
        <w:spacing w:after="160" w:line="256" w:lineRule="auto"/>
        <w:ind w:left="360" w:right="-1"/>
        <w:rPr>
          <w:rFonts w:eastAsia="Times New Roman" w:cs="Times New Roman"/>
          <w:szCs w:val="24"/>
          <w:lang w:val="es-ES" w:eastAsia="es-ES" w:bidi="es-ES"/>
        </w:rPr>
      </w:pPr>
      <w:r w:rsidRPr="00084D33">
        <w:rPr>
          <w:rFonts w:eastAsia="Times New Roman" w:cs="Times New Roman"/>
          <w:szCs w:val="24"/>
          <w:lang w:val="es-ES" w:eastAsia="es-ES" w:bidi="es-ES"/>
        </w:rPr>
        <w:t>De manera similar fueron elaboradas las siguientes políticas transversales de la institución solicitadas por la EDI:</w:t>
      </w:r>
    </w:p>
    <w:p w14:paraId="2DF09769"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t xml:space="preserve">Política </w:t>
      </w:r>
      <w:r w:rsidRPr="00084D33">
        <w:rPr>
          <w:rFonts w:eastAsia="Times New Roman" w:cs="Times New Roman"/>
          <w:szCs w:val="24"/>
          <w:lang w:val="es-ES" w:eastAsia="es-ES" w:bidi="es-ES"/>
        </w:rPr>
        <w:t>Medio Ambiente</w:t>
      </w:r>
    </w:p>
    <w:p w14:paraId="01ED618D"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Política Participación Social</w:t>
      </w:r>
    </w:p>
    <w:p w14:paraId="0AC41FDD"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Política de Gestión de Riesgo, Desastre y Cambio Climático</w:t>
      </w:r>
    </w:p>
    <w:p w14:paraId="21071943"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Política Institucional de Género del MOPC </w:t>
      </w:r>
    </w:p>
    <w:p w14:paraId="2860DDBF" w14:textId="77777777" w:rsidR="00CA4840" w:rsidRPr="00084D33" w:rsidRDefault="00CA4840" w:rsidP="007202A9">
      <w:pPr>
        <w:numPr>
          <w:ilvl w:val="0"/>
          <w:numId w:val="25"/>
        </w:numPr>
        <w:spacing w:after="160"/>
        <w:ind w:left="1080"/>
      </w:pPr>
      <w:r w:rsidRPr="00084D33">
        <w:rPr>
          <w:rFonts w:eastAsia="Times New Roman" w:cs="Times New Roman"/>
          <w:szCs w:val="24"/>
          <w:lang w:val="es-ES" w:eastAsia="es-ES" w:bidi="es-ES"/>
        </w:rPr>
        <w:t>Evaluación de Daños y Análisis</w:t>
      </w:r>
      <w:r w:rsidRPr="00084D33">
        <w:t xml:space="preserve"> de Necesidades (EDAN)</w:t>
      </w:r>
    </w:p>
    <w:p w14:paraId="2727BEBE" w14:textId="77777777" w:rsidR="00CA4840" w:rsidRPr="00084D33" w:rsidRDefault="00CA4840" w:rsidP="00CA4840">
      <w:pPr>
        <w:tabs>
          <w:tab w:val="left" w:pos="0"/>
        </w:tabs>
        <w:rPr>
          <w:rFonts w:ascii="Verdana" w:eastAsia="Arial Unicode MS" w:hAnsi="Verdana" w:cs="Microsoft Sans Serif"/>
        </w:rPr>
      </w:pPr>
    </w:p>
    <w:p w14:paraId="3ACD52C2" w14:textId="77777777" w:rsidR="00CA4840" w:rsidRPr="00084D33" w:rsidRDefault="00CA4840" w:rsidP="00CA4840">
      <w:pPr>
        <w:tabs>
          <w:tab w:val="left" w:pos="0"/>
        </w:tabs>
        <w:rPr>
          <w:rFonts w:eastAsia="Times New Roman" w:cs="Times New Roman"/>
          <w:szCs w:val="24"/>
          <w:lang w:val="es-ES" w:eastAsia="es-ES" w:bidi="es-ES"/>
        </w:rPr>
      </w:pPr>
      <w:r w:rsidRPr="00084D33">
        <w:rPr>
          <w:rFonts w:eastAsia="Times New Roman" w:cs="Times New Roman"/>
          <w:szCs w:val="24"/>
          <w:lang w:eastAsia="es-ES" w:bidi="es-ES"/>
        </w:rPr>
        <w:t xml:space="preserve">También </w:t>
      </w:r>
      <w:r w:rsidRPr="00084D33">
        <w:rPr>
          <w:rFonts w:eastAsia="Times New Roman" w:cs="Times New Roman"/>
          <w:szCs w:val="24"/>
          <w:lang w:val="es-ES" w:eastAsia="es-ES" w:bidi="es-ES"/>
        </w:rPr>
        <w:t>fue evaluado, remitido, y evaluado por el MAP nuestro Manual de Procedimientos y Políticas, logrando obtener la puntuación total para el indicador 01.3 del SISMAP.</w:t>
      </w:r>
    </w:p>
    <w:p w14:paraId="71ECA27F" w14:textId="77777777" w:rsidR="00CA4840" w:rsidRPr="00084D33" w:rsidRDefault="00CA4840" w:rsidP="00CA4840">
      <w:pPr>
        <w:tabs>
          <w:tab w:val="left" w:pos="0"/>
        </w:tabs>
        <w:rPr>
          <w:rFonts w:cs="Times New Roman"/>
          <w:spacing w:val="20"/>
          <w:szCs w:val="24"/>
        </w:rPr>
      </w:pPr>
    </w:p>
    <w:p w14:paraId="1E22C558" w14:textId="7F3AE794" w:rsidR="00EE2148" w:rsidRPr="00084D33" w:rsidRDefault="00EE2148">
      <w:pPr>
        <w:spacing w:after="160" w:line="259" w:lineRule="auto"/>
        <w:jc w:val="left"/>
        <w:rPr>
          <w:rFonts w:cs="Times New Roman"/>
          <w:spacing w:val="20"/>
          <w:szCs w:val="24"/>
        </w:rPr>
      </w:pPr>
      <w:r w:rsidRPr="00084D33">
        <w:rPr>
          <w:rFonts w:cs="Times New Roman"/>
          <w:spacing w:val="20"/>
          <w:szCs w:val="24"/>
        </w:rPr>
        <w:br w:type="page"/>
      </w:r>
    </w:p>
    <w:p w14:paraId="36F98754" w14:textId="0DC8B3CC" w:rsidR="00CA4840" w:rsidRPr="00084D33" w:rsidRDefault="00CA4840" w:rsidP="007202A9">
      <w:pPr>
        <w:pStyle w:val="Ttulo3RdeC"/>
        <w:numPr>
          <w:ilvl w:val="2"/>
          <w:numId w:val="24"/>
        </w:numPr>
        <w:jc w:val="center"/>
        <w:rPr>
          <w:color w:val="767171"/>
        </w:rPr>
      </w:pPr>
      <w:r w:rsidRPr="00084D33">
        <w:rPr>
          <w:color w:val="767171"/>
        </w:rPr>
        <w:lastRenderedPageBreak/>
        <w:t>Norma ISO 9001:2015</w:t>
      </w:r>
    </w:p>
    <w:p w14:paraId="1DC96A80" w14:textId="77777777" w:rsidR="00CA4840" w:rsidRPr="00084D33" w:rsidRDefault="00CA4840" w:rsidP="00CA4840">
      <w:pPr>
        <w:pStyle w:val="Textoindependiente"/>
        <w:spacing w:line="360" w:lineRule="auto"/>
        <w:jc w:val="both"/>
        <w:rPr>
          <w:color w:val="767171"/>
          <w:lang w:val="es-DO"/>
        </w:rPr>
      </w:pPr>
    </w:p>
    <w:p w14:paraId="530760D4" w14:textId="77777777" w:rsidR="00CA4840" w:rsidRPr="00084D33" w:rsidRDefault="00CA4840" w:rsidP="007202A9">
      <w:pPr>
        <w:pStyle w:val="Ttulo3RdeC"/>
        <w:numPr>
          <w:ilvl w:val="2"/>
          <w:numId w:val="24"/>
        </w:numPr>
        <w:jc w:val="center"/>
        <w:rPr>
          <w:color w:val="767171"/>
        </w:rPr>
      </w:pPr>
      <w:r w:rsidRPr="00084D33">
        <w:rPr>
          <w:color w:val="767171"/>
        </w:rPr>
        <w:t>Implementación Sistema de Gestión de la Calidad Basado en la Norma ISO 9001:2015 para la Dirección de Asistencia y Protección Vial (COMIPOL)</w:t>
      </w:r>
    </w:p>
    <w:p w14:paraId="5D1A84EC" w14:textId="77777777" w:rsidR="00CA4840" w:rsidRPr="00084D33" w:rsidRDefault="00CA4840" w:rsidP="00CA4840"/>
    <w:p w14:paraId="5D6A3EC1" w14:textId="181A66F0" w:rsidR="00CA4840" w:rsidRPr="00084D33" w:rsidRDefault="00CA4840" w:rsidP="00CA4840">
      <w:pPr>
        <w:tabs>
          <w:tab w:val="left" w:pos="0"/>
        </w:tabs>
        <w:rPr>
          <w:rFonts w:eastAsia="Times New Roman" w:cs="Times New Roman"/>
          <w:szCs w:val="24"/>
          <w:lang w:eastAsia="es-ES" w:bidi="es-ES"/>
        </w:rPr>
      </w:pPr>
      <w:r w:rsidRPr="00084D33">
        <w:rPr>
          <w:rFonts w:eastAsia="Times New Roman" w:cs="Times New Roman"/>
          <w:szCs w:val="24"/>
          <w:lang w:eastAsia="es-ES" w:bidi="es-ES"/>
        </w:rPr>
        <w:t>El Ministerio de Obras Públicas y Comunicaciones (MOPC), aprovechando las capacidades de la Dirección de Planificación y Desarrollo, que sirvió como implementador para estar certificado de la Norma ISO 9001:2015, obtuvo un ahorro aproximado de unos Dos Millones Seiscientos Mil Pesos (RD$2,</w:t>
      </w:r>
      <w:r w:rsidR="00F13A4D" w:rsidRPr="00084D33">
        <w:rPr>
          <w:rFonts w:eastAsia="Times New Roman" w:cs="Times New Roman"/>
          <w:szCs w:val="24"/>
          <w:lang w:eastAsia="es-ES" w:bidi="es-ES"/>
        </w:rPr>
        <w:t>600,000.00), durante el periodo enero-diciembre del 2024.</w:t>
      </w:r>
    </w:p>
    <w:p w14:paraId="4FF656F7" w14:textId="77777777" w:rsidR="00CA4840" w:rsidRPr="00084D33" w:rsidRDefault="00CA4840" w:rsidP="00CA4840"/>
    <w:p w14:paraId="38732E4D" w14:textId="77777777" w:rsidR="00CA4840" w:rsidRPr="00084D33" w:rsidRDefault="00CA4840" w:rsidP="00CA4840">
      <w:pPr>
        <w:rPr>
          <w:b/>
          <w:bCs/>
        </w:rPr>
      </w:pPr>
      <w:r w:rsidRPr="00084D33">
        <w:rPr>
          <w:lang w:val="es-ES"/>
        </w:rPr>
        <w:t>Entre las</w:t>
      </w:r>
      <w:r w:rsidRPr="00084D33">
        <w:t xml:space="preserve"> actividades realizadas con miras a la certificación en la Norma ISO 9001:2015 para la Dirección de Asistencia y Protección Vial, se destacan:</w:t>
      </w:r>
    </w:p>
    <w:p w14:paraId="35C42161" w14:textId="77777777" w:rsidR="00CA4840" w:rsidRPr="00084D33" w:rsidRDefault="00CA4840" w:rsidP="00CA4840">
      <w:pPr>
        <w:ind w:right="-1"/>
        <w:rPr>
          <w:rFonts w:ascii="Verdana" w:eastAsia="Arial Unicode MS" w:hAnsi="Verdana" w:cs="Microsoft Sans Serif"/>
        </w:rPr>
      </w:pPr>
    </w:p>
    <w:p w14:paraId="4041652C" w14:textId="25E051E1" w:rsidR="00CA4840" w:rsidRPr="00084D33" w:rsidRDefault="0052414C" w:rsidP="007202A9">
      <w:pPr>
        <w:numPr>
          <w:ilvl w:val="0"/>
          <w:numId w:val="25"/>
        </w:numPr>
        <w:spacing w:after="160"/>
        <w:ind w:left="1080"/>
        <w:rPr>
          <w:rFonts w:eastAsia="Times New Roman" w:cs="Times New Roman"/>
          <w:szCs w:val="24"/>
          <w:lang w:val="es-ES" w:eastAsia="es-ES" w:bidi="es-ES"/>
        </w:rPr>
      </w:pPr>
      <w:r>
        <w:t>Elaboración</w:t>
      </w:r>
      <w:r w:rsidR="00CA4840" w:rsidRPr="00084D33">
        <w:rPr>
          <w:rFonts w:eastAsia="Times New Roman" w:cs="Times New Roman"/>
          <w:szCs w:val="24"/>
          <w:lang w:val="es-ES" w:eastAsia="es-ES" w:bidi="es-ES"/>
        </w:rPr>
        <w:t xml:space="preserve"> de toda la documentación exigida por los requisitos de la Norma</w:t>
      </w:r>
    </w:p>
    <w:p w14:paraId="27D32825"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Auditoría interna </w:t>
      </w:r>
    </w:p>
    <w:p w14:paraId="6AB7E124"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Revisión por la dirección </w:t>
      </w:r>
    </w:p>
    <w:p w14:paraId="2B4509C8"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Cronograma de trabajo establecido entre la Dirección General de Planificación y Desarrollo y la Dirección de Asistencia y Protección Vial completado en un 100%</w:t>
      </w:r>
    </w:p>
    <w:p w14:paraId="1295001F" w14:textId="77777777" w:rsidR="00CA4840" w:rsidRPr="00084D33" w:rsidRDefault="00CA4840" w:rsidP="00CA4840"/>
    <w:p w14:paraId="79325D28" w14:textId="77777777" w:rsidR="00CA4840" w:rsidRPr="00084D33" w:rsidRDefault="00CA4840" w:rsidP="00CA4840">
      <w:pPr>
        <w:rPr>
          <w:rFonts w:eastAsia="Times New Roman" w:cs="Times New Roman"/>
          <w:szCs w:val="24"/>
          <w:lang w:val="es-ES" w:eastAsia="es-ES" w:bidi="es-ES"/>
        </w:rPr>
      </w:pPr>
      <w:r w:rsidRPr="00084D33">
        <w:rPr>
          <w:rFonts w:eastAsia="Times New Roman" w:cs="Times New Roman"/>
          <w:szCs w:val="24"/>
          <w:lang w:val="es-ES" w:eastAsia="es-ES" w:bidi="es-ES"/>
        </w:rPr>
        <w:t>Procurando continuidad del acuerdo interinstitucional con el Instituto Dominicano para la Calidad (INDOCAL), en el mes de junio del 2024 le fue solicitada la primera auditoría externa al sistema de gestión de la calidad de la Dirección de Asistencia y Protección Vial (SGC), con miras a lograr la certificación en la Norma ISO 9001:2015.</w:t>
      </w:r>
    </w:p>
    <w:p w14:paraId="7A1D29E4" w14:textId="77777777" w:rsidR="00CA4840" w:rsidRPr="00084D33" w:rsidRDefault="00CA4840" w:rsidP="00CA4840">
      <w:pPr>
        <w:rPr>
          <w:lang w:val="es-ES"/>
        </w:rPr>
      </w:pPr>
      <w:r w:rsidRPr="00084D33">
        <w:rPr>
          <w:lang w:val="es-ES"/>
        </w:rPr>
        <w:lastRenderedPageBreak/>
        <w:t>En el mes de julio fue iniciado el proceso de la auditoría externa por parte de INDOCAL al sistema de gestión de la calidad, cumpliendo con todos los requisitos exigidos por la Norma, que concluyó, por parte de INDOCAL, en el mes de agosto y recomendando nuestra certificación.</w:t>
      </w:r>
    </w:p>
    <w:p w14:paraId="4BDCFB20" w14:textId="77777777" w:rsidR="00CA4840" w:rsidRPr="00084D33" w:rsidRDefault="00CA4840" w:rsidP="00CA4840">
      <w:pPr>
        <w:rPr>
          <w:lang w:val="es-ES"/>
        </w:rPr>
      </w:pPr>
    </w:p>
    <w:p w14:paraId="779AD8A8" w14:textId="05C9DD56" w:rsidR="00CA4840" w:rsidRPr="00084D33" w:rsidRDefault="00CA4840" w:rsidP="00CA4840">
      <w:pPr>
        <w:rPr>
          <w:lang w:val="es-ES"/>
        </w:rPr>
      </w:pPr>
      <w:r w:rsidRPr="00084D33">
        <w:rPr>
          <w:lang w:val="es-ES"/>
        </w:rPr>
        <w:t xml:space="preserve">En fecha 14 de agosto fue recibida la resolución No. 2024-DJU-RESCS-011, que otorga la Certificación basada en la NORDOM ISO 9001:2015 Sistemas de Gestión de la Calidad-Requisitos, mediante el certificado a nombre del Ministerio de Obras Públicas y Comunicaciones OC-DCS-058. </w:t>
      </w:r>
    </w:p>
    <w:p w14:paraId="0A76A3AA" w14:textId="77777777" w:rsidR="00CA4840" w:rsidRPr="00084D33" w:rsidRDefault="00CA4840" w:rsidP="00CA4840">
      <w:pPr>
        <w:pStyle w:val="EstilodePrrafoNormal1RdeC"/>
        <w:rPr>
          <w:color w:val="767171"/>
        </w:rPr>
      </w:pPr>
    </w:p>
    <w:p w14:paraId="04716357" w14:textId="1326C799" w:rsidR="00CA4840" w:rsidRPr="00084D33" w:rsidRDefault="00CA4840" w:rsidP="00CA4840">
      <w:pPr>
        <w:pStyle w:val="Textoindependiente"/>
        <w:spacing w:line="360" w:lineRule="auto"/>
        <w:ind w:firstLine="720"/>
        <w:jc w:val="both"/>
        <w:rPr>
          <w:color w:val="767171"/>
        </w:rPr>
      </w:pPr>
    </w:p>
    <w:p w14:paraId="51C3F041" w14:textId="77777777" w:rsidR="00CA4840" w:rsidRPr="00084D33" w:rsidRDefault="00CA4840" w:rsidP="00CA4840">
      <w:pPr>
        <w:pStyle w:val="Textoindependiente"/>
        <w:spacing w:line="360" w:lineRule="auto"/>
        <w:ind w:firstLine="720"/>
        <w:jc w:val="both"/>
        <w:rPr>
          <w:color w:val="767171"/>
        </w:rPr>
      </w:pPr>
    </w:p>
    <w:p w14:paraId="0CFCA506" w14:textId="77777777" w:rsidR="00CA4840" w:rsidRPr="00084D33" w:rsidRDefault="00CA4840" w:rsidP="007202A9">
      <w:pPr>
        <w:pStyle w:val="Ttulo3RdeC"/>
        <w:numPr>
          <w:ilvl w:val="2"/>
          <w:numId w:val="24"/>
        </w:numPr>
        <w:jc w:val="center"/>
        <w:rPr>
          <w:color w:val="767171"/>
        </w:rPr>
      </w:pPr>
      <w:r w:rsidRPr="00084D33">
        <w:rPr>
          <w:color w:val="767171"/>
        </w:rPr>
        <w:t>Normas Básicas de Control Interno (NOBACI)</w:t>
      </w:r>
    </w:p>
    <w:p w14:paraId="5353954B" w14:textId="77777777" w:rsidR="00CA4840" w:rsidRPr="00084D33" w:rsidRDefault="00CA4840" w:rsidP="00CA4840">
      <w:pPr>
        <w:pStyle w:val="Textoindependiente"/>
        <w:ind w:left="1392"/>
        <w:rPr>
          <w:b/>
          <w:color w:val="767171"/>
          <w:lang w:val="es-DO"/>
        </w:rPr>
      </w:pPr>
    </w:p>
    <w:p w14:paraId="48934E57" w14:textId="77777777" w:rsidR="00CA4840" w:rsidRPr="00084D33" w:rsidRDefault="00CA4840" w:rsidP="00CA4840">
      <w:pPr>
        <w:rPr>
          <w:rFonts w:eastAsia="Times New Roman" w:cs="Times New Roman"/>
          <w:szCs w:val="24"/>
          <w:lang w:val="es-ES" w:eastAsia="es-ES" w:bidi="es-ES"/>
        </w:rPr>
      </w:pPr>
    </w:p>
    <w:p w14:paraId="56312F41" w14:textId="77777777" w:rsidR="00CA4840" w:rsidRPr="00084D33" w:rsidRDefault="00CA4840" w:rsidP="00CA4840">
      <w:pPr>
        <w:pStyle w:val="Textoindependiente"/>
        <w:spacing w:line="360" w:lineRule="auto"/>
        <w:jc w:val="both"/>
        <w:rPr>
          <w:color w:val="767171"/>
        </w:rPr>
      </w:pPr>
      <w:r w:rsidRPr="00084D33">
        <w:rPr>
          <w:color w:val="767171"/>
        </w:rPr>
        <w:t xml:space="preserve">Las Normas Básicas de Control Interno </w:t>
      </w:r>
      <w:r w:rsidRPr="00084D33">
        <w:rPr>
          <w:b/>
          <w:color w:val="767171"/>
        </w:rPr>
        <w:t xml:space="preserve">(NOBACI), </w:t>
      </w:r>
      <w:r w:rsidRPr="00084D33">
        <w:rPr>
          <w:color w:val="767171"/>
        </w:rPr>
        <w:t>definen el nivel mínimo de calidad o marco general requerido para el control interno del sector público y proveen las bases para que los Sistemas de Administración de Control y las Unidades de Auditoria puedan ser evaluados. A través de su correcta aplicación se alcanzan los objetivos del Sistema de Control Interno.</w:t>
      </w:r>
    </w:p>
    <w:p w14:paraId="37EEADAD" w14:textId="2FC47489" w:rsidR="00CA4840" w:rsidRPr="00084D33" w:rsidRDefault="00CA4840" w:rsidP="00CA4840">
      <w:pPr>
        <w:pStyle w:val="Textoindependiente"/>
        <w:spacing w:line="360" w:lineRule="auto"/>
        <w:jc w:val="both"/>
        <w:rPr>
          <w:color w:val="767171"/>
        </w:rPr>
      </w:pPr>
    </w:p>
    <w:p w14:paraId="1EB7786C" w14:textId="77777777" w:rsidR="00CA4840" w:rsidRPr="00084D33" w:rsidRDefault="00CA4840" w:rsidP="00CA4840">
      <w:pPr>
        <w:pStyle w:val="Textoindependiente"/>
        <w:spacing w:line="360" w:lineRule="auto"/>
        <w:jc w:val="both"/>
        <w:rPr>
          <w:color w:val="767171"/>
        </w:rPr>
      </w:pPr>
    </w:p>
    <w:p w14:paraId="5A899040" w14:textId="77777777" w:rsidR="00CA4840" w:rsidRPr="00084D33" w:rsidRDefault="00CA4840" w:rsidP="007202A9">
      <w:pPr>
        <w:pStyle w:val="Lista2"/>
        <w:numPr>
          <w:ilvl w:val="3"/>
          <w:numId w:val="24"/>
        </w:numPr>
        <w:jc w:val="center"/>
        <w:rPr>
          <w:rFonts w:cs="Times New Roman"/>
          <w:b/>
        </w:rPr>
      </w:pPr>
      <w:r w:rsidRPr="00084D33">
        <w:rPr>
          <w:rFonts w:cs="Times New Roman"/>
          <w:b/>
        </w:rPr>
        <w:t>Objetivos principales de las Normas Básicas de Control Interno (NOBACI)</w:t>
      </w:r>
    </w:p>
    <w:p w14:paraId="6A6FCF40" w14:textId="77777777" w:rsidR="00CA4840" w:rsidRPr="00084D33" w:rsidRDefault="00CA4840" w:rsidP="00CA4840">
      <w:pPr>
        <w:pStyle w:val="Textoindependiente"/>
        <w:spacing w:line="360" w:lineRule="auto"/>
        <w:ind w:left="2088"/>
        <w:rPr>
          <w:b/>
          <w:color w:val="767171"/>
        </w:rPr>
      </w:pPr>
    </w:p>
    <w:p w14:paraId="5E6EA895" w14:textId="7E0F71BA" w:rsidR="00CA4840" w:rsidRPr="00084D33" w:rsidRDefault="00CA4840" w:rsidP="00CA4840">
      <w:pPr>
        <w:pStyle w:val="Textoindependiente"/>
        <w:spacing w:line="360" w:lineRule="auto"/>
        <w:jc w:val="both"/>
        <w:rPr>
          <w:color w:val="767171"/>
        </w:rPr>
      </w:pPr>
      <w:r w:rsidRPr="00084D33">
        <w:rPr>
          <w:color w:val="767171"/>
        </w:rPr>
        <w:t xml:space="preserve">Los principales objetivos de las NOBACI, se asocian a facilitar herramientas para crear los procedimientos y reglamentos en el sector público, servir de guía para que cada entidad ajuste sus propios sistemas de administración y control y servir de instrumento para evaluar el diseño y efectividad del funcionamiento del control interno y la responsabilidad de </w:t>
      </w:r>
      <w:r w:rsidRPr="00084D33">
        <w:rPr>
          <w:color w:val="767171"/>
        </w:rPr>
        <w:lastRenderedPageBreak/>
        <w:t xml:space="preserve">los servidores públicos relacionados con éste. Por tal razón, el MOPC durante el periodo </w:t>
      </w:r>
      <w:r w:rsidR="000A17C8" w:rsidRPr="00084D33">
        <w:rPr>
          <w:color w:val="767171"/>
        </w:rPr>
        <w:t>enero-diciembre</w:t>
      </w:r>
      <w:r w:rsidRPr="00084D33">
        <w:rPr>
          <w:color w:val="767171"/>
        </w:rPr>
        <w:t xml:space="preserve"> del año 2024, sometió las matrices requeridas, y tras ser evaluadas, con sus respectivas evidencias, por el asesor designado de la Contraloría General de la República (CGR) fue otorgada, para cada componente del sistema de control, la calificación siguiente:</w:t>
      </w:r>
    </w:p>
    <w:p w14:paraId="56465044" w14:textId="77777777" w:rsidR="00CA4840" w:rsidRPr="00084D33" w:rsidRDefault="00CA4840" w:rsidP="00CA4840">
      <w:pPr>
        <w:ind w:firstLine="720"/>
        <w:rPr>
          <w:rFonts w:eastAsia="Times New Roman" w:cs="Times New Roman"/>
          <w:szCs w:val="24"/>
          <w:lang w:val="es-ES" w:eastAsia="es-ES" w:bidi="es-ES"/>
        </w:rPr>
      </w:pPr>
    </w:p>
    <w:tbl>
      <w:tblPr>
        <w:tblStyle w:val="Tablaconcuadrcula"/>
        <w:tblW w:w="8640" w:type="dxa"/>
        <w:jc w:val="center"/>
        <w:tblLayout w:type="fixed"/>
        <w:tblLook w:val="04A0" w:firstRow="1" w:lastRow="0" w:firstColumn="1" w:lastColumn="0" w:noHBand="0" w:noVBand="1"/>
      </w:tblPr>
      <w:tblGrid>
        <w:gridCol w:w="2970"/>
        <w:gridCol w:w="1620"/>
        <w:gridCol w:w="1260"/>
        <w:gridCol w:w="1530"/>
        <w:gridCol w:w="1260"/>
      </w:tblGrid>
      <w:tr w:rsidR="00CA4840" w:rsidRPr="00084D33" w14:paraId="0FD34F25" w14:textId="77777777" w:rsidTr="00CA4840">
        <w:trPr>
          <w:trHeight w:val="1070"/>
          <w:jc w:val="center"/>
        </w:trPr>
        <w:tc>
          <w:tcPr>
            <w:tcW w:w="2970" w:type="dxa"/>
            <w:shd w:val="clear" w:color="auto" w:fill="003876"/>
            <w:vAlign w:val="center"/>
          </w:tcPr>
          <w:p w14:paraId="62822F5F" w14:textId="77777777" w:rsidR="00CA4840" w:rsidRPr="00084D33" w:rsidRDefault="00CA4840" w:rsidP="00CA4840">
            <w:pPr>
              <w:spacing w:line="240" w:lineRule="auto"/>
              <w:jc w:val="center"/>
              <w:rPr>
                <w:rFonts w:eastAsia="Times New Roman" w:cs="Times New Roman"/>
                <w:b/>
                <w:szCs w:val="24"/>
                <w:lang w:val="es-ES" w:eastAsia="es-ES" w:bidi="es-ES"/>
              </w:rPr>
            </w:pPr>
            <w:r w:rsidRPr="00084D33">
              <w:rPr>
                <w:rFonts w:eastAsia="Times New Roman" w:cs="Times New Roman"/>
                <w:b/>
                <w:szCs w:val="24"/>
                <w:lang w:val="es-ES" w:eastAsia="es-ES" w:bidi="es-ES"/>
              </w:rPr>
              <w:t>Componentes del Sistema de Control Interno</w:t>
            </w:r>
          </w:p>
        </w:tc>
        <w:tc>
          <w:tcPr>
            <w:tcW w:w="1620" w:type="dxa"/>
            <w:shd w:val="clear" w:color="auto" w:fill="003876"/>
            <w:vAlign w:val="center"/>
          </w:tcPr>
          <w:p w14:paraId="37603437" w14:textId="77777777" w:rsidR="00CA4840" w:rsidRPr="00084D33" w:rsidRDefault="00CA4840" w:rsidP="00CA4840">
            <w:pPr>
              <w:spacing w:line="240" w:lineRule="auto"/>
              <w:jc w:val="center"/>
              <w:rPr>
                <w:rFonts w:eastAsia="Times New Roman" w:cs="Times New Roman"/>
                <w:b/>
                <w:szCs w:val="24"/>
                <w:lang w:val="es-ES" w:eastAsia="es-ES" w:bidi="es-ES"/>
              </w:rPr>
            </w:pPr>
            <w:r w:rsidRPr="00084D33">
              <w:rPr>
                <w:rFonts w:eastAsia="Times New Roman" w:cs="Times New Roman"/>
                <w:b/>
                <w:szCs w:val="24"/>
                <w:lang w:val="es-ES" w:eastAsia="es-ES" w:bidi="es-ES"/>
              </w:rPr>
              <w:t>Calificación Institución Actual</w:t>
            </w:r>
          </w:p>
        </w:tc>
        <w:tc>
          <w:tcPr>
            <w:tcW w:w="1260" w:type="dxa"/>
            <w:shd w:val="clear" w:color="auto" w:fill="003876"/>
            <w:vAlign w:val="center"/>
          </w:tcPr>
          <w:p w14:paraId="00C0009E" w14:textId="77777777" w:rsidR="00CA4840" w:rsidRPr="00084D33" w:rsidRDefault="00CA4840" w:rsidP="00CA4840">
            <w:pPr>
              <w:jc w:val="center"/>
              <w:rPr>
                <w:rFonts w:eastAsia="Times New Roman" w:cs="Times New Roman"/>
                <w:b/>
                <w:szCs w:val="24"/>
                <w:lang w:val="es-ES" w:eastAsia="es-ES" w:bidi="es-ES"/>
              </w:rPr>
            </w:pPr>
            <w:r w:rsidRPr="00084D33">
              <w:rPr>
                <w:rFonts w:eastAsia="Times New Roman" w:cs="Times New Roman"/>
                <w:b/>
                <w:szCs w:val="24"/>
                <w:lang w:val="es-ES" w:eastAsia="es-ES" w:bidi="es-ES"/>
              </w:rPr>
              <w:t>Progreso</w:t>
            </w:r>
          </w:p>
        </w:tc>
        <w:tc>
          <w:tcPr>
            <w:tcW w:w="1530" w:type="dxa"/>
            <w:shd w:val="clear" w:color="auto" w:fill="003876"/>
            <w:vAlign w:val="center"/>
          </w:tcPr>
          <w:p w14:paraId="60E470AF" w14:textId="77777777" w:rsidR="00CA4840" w:rsidRPr="00084D33" w:rsidRDefault="00CA4840" w:rsidP="00CA4840">
            <w:pPr>
              <w:spacing w:line="240" w:lineRule="auto"/>
              <w:jc w:val="center"/>
              <w:rPr>
                <w:rFonts w:eastAsia="Times New Roman" w:cs="Times New Roman"/>
                <w:b/>
                <w:szCs w:val="24"/>
                <w:lang w:val="es-ES" w:eastAsia="es-ES" w:bidi="es-ES"/>
              </w:rPr>
            </w:pPr>
            <w:r w:rsidRPr="00084D33">
              <w:rPr>
                <w:rFonts w:eastAsia="Times New Roman" w:cs="Times New Roman"/>
                <w:b/>
                <w:szCs w:val="24"/>
                <w:lang w:val="es-ES" w:eastAsia="es-ES" w:bidi="es-ES"/>
              </w:rPr>
              <w:t>Evaluación CGR Actual</w:t>
            </w:r>
          </w:p>
        </w:tc>
        <w:tc>
          <w:tcPr>
            <w:tcW w:w="1260" w:type="dxa"/>
            <w:shd w:val="clear" w:color="auto" w:fill="003876"/>
            <w:vAlign w:val="center"/>
          </w:tcPr>
          <w:p w14:paraId="36C3C7C3" w14:textId="77777777" w:rsidR="00CA4840" w:rsidRPr="00084D33" w:rsidRDefault="00CA4840" w:rsidP="00CA4840">
            <w:pPr>
              <w:jc w:val="center"/>
              <w:rPr>
                <w:rFonts w:eastAsia="Times New Roman" w:cs="Times New Roman"/>
                <w:b/>
                <w:szCs w:val="24"/>
                <w:lang w:val="es-ES" w:eastAsia="es-ES" w:bidi="es-ES"/>
              </w:rPr>
            </w:pPr>
            <w:r w:rsidRPr="00084D33">
              <w:rPr>
                <w:rFonts w:eastAsia="Times New Roman" w:cs="Times New Roman"/>
                <w:b/>
                <w:szCs w:val="24"/>
                <w:lang w:val="es-ES" w:eastAsia="es-ES" w:bidi="es-ES"/>
              </w:rPr>
              <w:t>Progreso</w:t>
            </w:r>
          </w:p>
        </w:tc>
      </w:tr>
      <w:tr w:rsidR="00CA4840" w:rsidRPr="00084D33" w14:paraId="0140F047" w14:textId="77777777" w:rsidTr="00CA4840">
        <w:trPr>
          <w:trHeight w:val="692"/>
          <w:jc w:val="center"/>
        </w:trPr>
        <w:tc>
          <w:tcPr>
            <w:tcW w:w="2970" w:type="dxa"/>
            <w:vAlign w:val="center"/>
          </w:tcPr>
          <w:p w14:paraId="389006F9" w14:textId="77777777" w:rsidR="00CA4840" w:rsidRPr="00084D33" w:rsidRDefault="00CA4840" w:rsidP="00CA4840">
            <w:pPr>
              <w:spacing w:line="240" w:lineRule="auto"/>
              <w:jc w:val="left"/>
              <w:rPr>
                <w:rFonts w:eastAsia="Times New Roman" w:cs="Times New Roman"/>
                <w:szCs w:val="24"/>
                <w:lang w:val="es-ES" w:eastAsia="es-ES" w:bidi="es-ES"/>
              </w:rPr>
            </w:pPr>
            <w:r w:rsidRPr="00084D33">
              <w:rPr>
                <w:rFonts w:eastAsia="Times New Roman" w:cs="Times New Roman"/>
                <w:szCs w:val="24"/>
                <w:lang w:val="es-ES" w:eastAsia="es-ES" w:bidi="es-ES"/>
              </w:rPr>
              <w:t>Ambiente de Control</w:t>
            </w:r>
          </w:p>
        </w:tc>
        <w:tc>
          <w:tcPr>
            <w:tcW w:w="1620" w:type="dxa"/>
            <w:vAlign w:val="center"/>
          </w:tcPr>
          <w:p w14:paraId="086851B5"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93.02%</w:t>
            </w:r>
          </w:p>
        </w:tc>
        <w:tc>
          <w:tcPr>
            <w:tcW w:w="1260" w:type="dxa"/>
            <w:shd w:val="clear" w:color="auto" w:fill="436EBE"/>
            <w:vAlign w:val="center"/>
          </w:tcPr>
          <w:p w14:paraId="251338AA" w14:textId="77777777" w:rsidR="00CA4840" w:rsidRPr="00084D33" w:rsidRDefault="00CA4840" w:rsidP="00CA4840">
            <w:pPr>
              <w:spacing w:line="240" w:lineRule="auto"/>
              <w:jc w:val="center"/>
              <w:rPr>
                <w:rFonts w:eastAsia="Times New Roman" w:cs="Times New Roman"/>
                <w:szCs w:val="24"/>
                <w:lang w:val="es-ES" w:eastAsia="es-ES" w:bidi="es-ES"/>
              </w:rPr>
            </w:pPr>
          </w:p>
        </w:tc>
        <w:tc>
          <w:tcPr>
            <w:tcW w:w="1530" w:type="dxa"/>
            <w:vAlign w:val="center"/>
          </w:tcPr>
          <w:p w14:paraId="6D71962A"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81.40%</w:t>
            </w:r>
          </w:p>
        </w:tc>
        <w:tc>
          <w:tcPr>
            <w:tcW w:w="1260" w:type="dxa"/>
            <w:shd w:val="clear" w:color="auto" w:fill="436EBE"/>
          </w:tcPr>
          <w:p w14:paraId="399AC33E" w14:textId="77777777" w:rsidR="00CA4840" w:rsidRPr="00084D33" w:rsidRDefault="00CA4840" w:rsidP="00CA4840">
            <w:pPr>
              <w:rPr>
                <w:rFonts w:eastAsia="Times New Roman" w:cs="Times New Roman"/>
                <w:szCs w:val="24"/>
                <w:lang w:val="es-ES" w:eastAsia="es-ES" w:bidi="es-ES"/>
              </w:rPr>
            </w:pPr>
          </w:p>
        </w:tc>
      </w:tr>
      <w:tr w:rsidR="00CA4840" w:rsidRPr="00084D33" w14:paraId="25D7EFA6" w14:textId="77777777" w:rsidTr="00CA4840">
        <w:trPr>
          <w:trHeight w:val="980"/>
          <w:jc w:val="center"/>
        </w:trPr>
        <w:tc>
          <w:tcPr>
            <w:tcW w:w="2970" w:type="dxa"/>
            <w:vAlign w:val="center"/>
          </w:tcPr>
          <w:p w14:paraId="334E8399" w14:textId="77777777" w:rsidR="00CA4840" w:rsidRPr="00084D33" w:rsidRDefault="00CA4840" w:rsidP="00CA4840">
            <w:pPr>
              <w:spacing w:line="240" w:lineRule="auto"/>
              <w:jc w:val="left"/>
              <w:rPr>
                <w:rFonts w:eastAsia="Times New Roman" w:cs="Times New Roman"/>
                <w:szCs w:val="24"/>
                <w:lang w:val="es-ES" w:eastAsia="es-ES" w:bidi="es-ES"/>
              </w:rPr>
            </w:pPr>
            <w:r w:rsidRPr="00084D33">
              <w:rPr>
                <w:rFonts w:eastAsia="Times New Roman" w:cs="Times New Roman"/>
                <w:szCs w:val="24"/>
                <w:lang w:val="es-ES" w:eastAsia="es-ES" w:bidi="es-ES"/>
              </w:rPr>
              <w:t>Valoración y Administración de Riesgos</w:t>
            </w:r>
          </w:p>
        </w:tc>
        <w:tc>
          <w:tcPr>
            <w:tcW w:w="1620" w:type="dxa"/>
            <w:vAlign w:val="center"/>
          </w:tcPr>
          <w:p w14:paraId="661B5A13"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96.00%</w:t>
            </w:r>
          </w:p>
        </w:tc>
        <w:tc>
          <w:tcPr>
            <w:tcW w:w="1260" w:type="dxa"/>
            <w:shd w:val="clear" w:color="auto" w:fill="436EBE"/>
            <w:vAlign w:val="center"/>
          </w:tcPr>
          <w:p w14:paraId="425B79E9" w14:textId="77777777" w:rsidR="00CA4840" w:rsidRPr="00084D33" w:rsidRDefault="00CA4840" w:rsidP="00CA4840">
            <w:pPr>
              <w:spacing w:line="240" w:lineRule="auto"/>
              <w:jc w:val="center"/>
              <w:rPr>
                <w:rFonts w:eastAsia="Times New Roman" w:cs="Times New Roman"/>
                <w:szCs w:val="24"/>
                <w:lang w:val="es-ES" w:eastAsia="es-ES" w:bidi="es-ES"/>
              </w:rPr>
            </w:pPr>
          </w:p>
        </w:tc>
        <w:tc>
          <w:tcPr>
            <w:tcW w:w="1530" w:type="dxa"/>
            <w:vAlign w:val="center"/>
          </w:tcPr>
          <w:p w14:paraId="4A60AA1F"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80.00%</w:t>
            </w:r>
          </w:p>
        </w:tc>
        <w:tc>
          <w:tcPr>
            <w:tcW w:w="1260" w:type="dxa"/>
            <w:shd w:val="clear" w:color="auto" w:fill="436EBE"/>
          </w:tcPr>
          <w:p w14:paraId="796B563A" w14:textId="77777777" w:rsidR="00CA4840" w:rsidRPr="00084D33" w:rsidRDefault="00CA4840" w:rsidP="00CA4840">
            <w:pPr>
              <w:rPr>
                <w:rFonts w:eastAsia="Times New Roman" w:cs="Times New Roman"/>
                <w:szCs w:val="24"/>
                <w:lang w:val="es-ES" w:eastAsia="es-ES" w:bidi="es-ES"/>
              </w:rPr>
            </w:pPr>
          </w:p>
        </w:tc>
      </w:tr>
      <w:tr w:rsidR="00CA4840" w:rsidRPr="00084D33" w14:paraId="528A7F26" w14:textId="77777777" w:rsidTr="00CA4840">
        <w:trPr>
          <w:trHeight w:val="800"/>
          <w:jc w:val="center"/>
        </w:trPr>
        <w:tc>
          <w:tcPr>
            <w:tcW w:w="2970" w:type="dxa"/>
            <w:vAlign w:val="center"/>
          </w:tcPr>
          <w:p w14:paraId="68118174" w14:textId="77777777" w:rsidR="00CA4840" w:rsidRPr="00084D33" w:rsidRDefault="00CA4840" w:rsidP="00CA4840">
            <w:pPr>
              <w:spacing w:line="240" w:lineRule="auto"/>
              <w:jc w:val="left"/>
              <w:rPr>
                <w:rFonts w:eastAsia="Times New Roman" w:cs="Times New Roman"/>
                <w:szCs w:val="24"/>
                <w:lang w:val="es-ES" w:eastAsia="es-ES" w:bidi="es-ES"/>
              </w:rPr>
            </w:pPr>
            <w:r w:rsidRPr="00084D33">
              <w:rPr>
                <w:rFonts w:eastAsia="Times New Roman" w:cs="Times New Roman"/>
                <w:szCs w:val="24"/>
                <w:lang w:val="es-ES" w:eastAsia="es-ES" w:bidi="es-ES"/>
              </w:rPr>
              <w:t>Actividades de Control</w:t>
            </w:r>
          </w:p>
        </w:tc>
        <w:tc>
          <w:tcPr>
            <w:tcW w:w="1620" w:type="dxa"/>
            <w:vAlign w:val="center"/>
          </w:tcPr>
          <w:p w14:paraId="02A02A4B"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88.00%</w:t>
            </w:r>
          </w:p>
        </w:tc>
        <w:tc>
          <w:tcPr>
            <w:tcW w:w="1260" w:type="dxa"/>
            <w:shd w:val="clear" w:color="auto" w:fill="436EBE"/>
            <w:vAlign w:val="center"/>
          </w:tcPr>
          <w:p w14:paraId="558328FB" w14:textId="77777777" w:rsidR="00CA4840" w:rsidRPr="00084D33" w:rsidRDefault="00CA4840" w:rsidP="00CA4840">
            <w:pPr>
              <w:spacing w:line="240" w:lineRule="auto"/>
              <w:jc w:val="center"/>
              <w:rPr>
                <w:rFonts w:eastAsia="Times New Roman" w:cs="Times New Roman"/>
                <w:szCs w:val="24"/>
                <w:lang w:val="es-ES" w:eastAsia="es-ES" w:bidi="es-ES"/>
              </w:rPr>
            </w:pPr>
          </w:p>
        </w:tc>
        <w:tc>
          <w:tcPr>
            <w:tcW w:w="1530" w:type="dxa"/>
            <w:vAlign w:val="center"/>
          </w:tcPr>
          <w:p w14:paraId="23C805B2"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80.00%</w:t>
            </w:r>
          </w:p>
        </w:tc>
        <w:tc>
          <w:tcPr>
            <w:tcW w:w="1260" w:type="dxa"/>
            <w:shd w:val="clear" w:color="auto" w:fill="436EBE"/>
          </w:tcPr>
          <w:p w14:paraId="4B8F4658" w14:textId="77777777" w:rsidR="00CA4840" w:rsidRPr="00084D33" w:rsidRDefault="00CA4840" w:rsidP="00CA4840">
            <w:pPr>
              <w:rPr>
                <w:rFonts w:eastAsia="Times New Roman" w:cs="Times New Roman"/>
                <w:szCs w:val="24"/>
                <w:lang w:val="es-ES" w:eastAsia="es-ES" w:bidi="es-ES"/>
              </w:rPr>
            </w:pPr>
          </w:p>
        </w:tc>
      </w:tr>
      <w:tr w:rsidR="00CA4840" w:rsidRPr="00084D33" w14:paraId="0D2D7A9A" w14:textId="77777777" w:rsidTr="00CA4840">
        <w:trPr>
          <w:trHeight w:val="710"/>
          <w:jc w:val="center"/>
        </w:trPr>
        <w:tc>
          <w:tcPr>
            <w:tcW w:w="2970" w:type="dxa"/>
            <w:vAlign w:val="center"/>
          </w:tcPr>
          <w:p w14:paraId="263CC533" w14:textId="77777777" w:rsidR="00CA4840" w:rsidRPr="00084D33" w:rsidRDefault="00CA4840" w:rsidP="00CA4840">
            <w:pPr>
              <w:spacing w:line="240" w:lineRule="auto"/>
              <w:jc w:val="left"/>
              <w:rPr>
                <w:rFonts w:eastAsia="Times New Roman" w:cs="Times New Roman"/>
                <w:szCs w:val="24"/>
                <w:lang w:val="es-ES" w:eastAsia="es-ES" w:bidi="es-ES"/>
              </w:rPr>
            </w:pPr>
            <w:r w:rsidRPr="00084D33">
              <w:rPr>
                <w:rFonts w:eastAsia="Times New Roman" w:cs="Times New Roman"/>
                <w:szCs w:val="24"/>
                <w:lang w:val="es-ES" w:eastAsia="es-ES" w:bidi="es-ES"/>
              </w:rPr>
              <w:t>Información y Comunicación</w:t>
            </w:r>
          </w:p>
        </w:tc>
        <w:tc>
          <w:tcPr>
            <w:tcW w:w="1620" w:type="dxa"/>
            <w:vAlign w:val="center"/>
          </w:tcPr>
          <w:p w14:paraId="0465FAB1"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94.45%</w:t>
            </w:r>
          </w:p>
        </w:tc>
        <w:tc>
          <w:tcPr>
            <w:tcW w:w="1260" w:type="dxa"/>
            <w:shd w:val="clear" w:color="auto" w:fill="436EBE"/>
            <w:vAlign w:val="center"/>
          </w:tcPr>
          <w:p w14:paraId="574EFE83" w14:textId="77777777" w:rsidR="00CA4840" w:rsidRPr="00084D33" w:rsidRDefault="00CA4840" w:rsidP="00CA4840">
            <w:pPr>
              <w:spacing w:line="240" w:lineRule="auto"/>
              <w:jc w:val="center"/>
              <w:rPr>
                <w:rFonts w:eastAsia="Times New Roman" w:cs="Times New Roman"/>
                <w:szCs w:val="24"/>
                <w:lang w:val="es-ES" w:eastAsia="es-ES" w:bidi="es-ES"/>
              </w:rPr>
            </w:pPr>
          </w:p>
        </w:tc>
        <w:tc>
          <w:tcPr>
            <w:tcW w:w="1530" w:type="dxa"/>
            <w:vAlign w:val="center"/>
          </w:tcPr>
          <w:p w14:paraId="0C86D9DC"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59.09%</w:t>
            </w:r>
          </w:p>
        </w:tc>
        <w:tc>
          <w:tcPr>
            <w:tcW w:w="1260" w:type="dxa"/>
            <w:shd w:val="clear" w:color="auto" w:fill="47A8EA"/>
          </w:tcPr>
          <w:p w14:paraId="2C608079" w14:textId="77777777" w:rsidR="00CA4840" w:rsidRPr="00084D33" w:rsidRDefault="00CA4840" w:rsidP="00CA4840">
            <w:pPr>
              <w:rPr>
                <w:rFonts w:eastAsia="Times New Roman" w:cs="Times New Roman"/>
                <w:szCs w:val="24"/>
                <w:lang w:val="es-ES" w:eastAsia="es-ES" w:bidi="es-ES"/>
              </w:rPr>
            </w:pPr>
          </w:p>
        </w:tc>
      </w:tr>
      <w:tr w:rsidR="00CA4840" w:rsidRPr="00084D33" w14:paraId="1989DCB3" w14:textId="77777777" w:rsidTr="00CA4840">
        <w:trPr>
          <w:trHeight w:val="710"/>
          <w:jc w:val="center"/>
        </w:trPr>
        <w:tc>
          <w:tcPr>
            <w:tcW w:w="2970" w:type="dxa"/>
            <w:vAlign w:val="center"/>
          </w:tcPr>
          <w:p w14:paraId="24C514DA" w14:textId="77777777" w:rsidR="00CA4840" w:rsidRPr="00084D33" w:rsidRDefault="00CA4840" w:rsidP="00CA4840">
            <w:pPr>
              <w:spacing w:line="240" w:lineRule="auto"/>
              <w:jc w:val="left"/>
              <w:rPr>
                <w:rFonts w:eastAsia="Times New Roman" w:cs="Times New Roman"/>
                <w:szCs w:val="24"/>
                <w:lang w:val="es-ES" w:eastAsia="es-ES" w:bidi="es-ES"/>
              </w:rPr>
            </w:pPr>
            <w:r w:rsidRPr="00084D33">
              <w:rPr>
                <w:rFonts w:eastAsia="Times New Roman" w:cs="Times New Roman"/>
                <w:szCs w:val="24"/>
                <w:lang w:val="es-ES" w:eastAsia="es-ES" w:bidi="es-ES"/>
              </w:rPr>
              <w:t>Monitoreo y Evaluación</w:t>
            </w:r>
          </w:p>
        </w:tc>
        <w:tc>
          <w:tcPr>
            <w:tcW w:w="1620" w:type="dxa"/>
            <w:vAlign w:val="center"/>
          </w:tcPr>
          <w:p w14:paraId="37BDBDCC"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100%</w:t>
            </w:r>
          </w:p>
        </w:tc>
        <w:tc>
          <w:tcPr>
            <w:tcW w:w="1260" w:type="dxa"/>
            <w:shd w:val="clear" w:color="auto" w:fill="436EBE"/>
            <w:vAlign w:val="center"/>
          </w:tcPr>
          <w:p w14:paraId="05270358" w14:textId="77777777" w:rsidR="00CA4840" w:rsidRPr="00084D33" w:rsidRDefault="00CA4840" w:rsidP="00CA4840">
            <w:pPr>
              <w:spacing w:line="240" w:lineRule="auto"/>
              <w:jc w:val="center"/>
              <w:rPr>
                <w:rFonts w:eastAsia="Times New Roman" w:cs="Times New Roman"/>
                <w:szCs w:val="24"/>
                <w:lang w:val="es-ES" w:eastAsia="es-ES" w:bidi="es-ES"/>
              </w:rPr>
            </w:pPr>
          </w:p>
        </w:tc>
        <w:tc>
          <w:tcPr>
            <w:tcW w:w="1530" w:type="dxa"/>
            <w:vAlign w:val="center"/>
          </w:tcPr>
          <w:p w14:paraId="44B7FE57" w14:textId="77777777" w:rsidR="00CA4840" w:rsidRPr="00084D33" w:rsidRDefault="00CA4840" w:rsidP="00CA4840">
            <w:pPr>
              <w:spacing w:line="240" w:lineRule="auto"/>
              <w:jc w:val="center"/>
              <w:rPr>
                <w:rFonts w:eastAsia="Times New Roman" w:cs="Times New Roman"/>
                <w:szCs w:val="24"/>
                <w:lang w:val="es-ES" w:eastAsia="es-ES" w:bidi="es-ES"/>
              </w:rPr>
            </w:pPr>
            <w:r w:rsidRPr="00084D33">
              <w:rPr>
                <w:rFonts w:eastAsia="Times New Roman" w:cs="Times New Roman"/>
                <w:szCs w:val="24"/>
                <w:lang w:val="es-ES" w:eastAsia="es-ES" w:bidi="es-ES"/>
              </w:rPr>
              <w:t>100%</w:t>
            </w:r>
          </w:p>
        </w:tc>
        <w:tc>
          <w:tcPr>
            <w:tcW w:w="1260" w:type="dxa"/>
            <w:shd w:val="clear" w:color="auto" w:fill="436EBE"/>
          </w:tcPr>
          <w:p w14:paraId="61A5325C" w14:textId="77777777" w:rsidR="00CA4840" w:rsidRPr="00084D33" w:rsidRDefault="00CA4840" w:rsidP="00CA4840">
            <w:pPr>
              <w:rPr>
                <w:rFonts w:eastAsia="Times New Roman" w:cs="Times New Roman"/>
                <w:szCs w:val="24"/>
                <w:lang w:val="es-ES" w:eastAsia="es-ES" w:bidi="es-ES"/>
              </w:rPr>
            </w:pPr>
          </w:p>
        </w:tc>
      </w:tr>
      <w:tr w:rsidR="00CA4840" w:rsidRPr="00084D33" w14:paraId="3393037A" w14:textId="77777777" w:rsidTr="00CA4840">
        <w:trPr>
          <w:trHeight w:val="530"/>
          <w:jc w:val="center"/>
        </w:trPr>
        <w:tc>
          <w:tcPr>
            <w:tcW w:w="2970" w:type="dxa"/>
            <w:vAlign w:val="center"/>
          </w:tcPr>
          <w:p w14:paraId="58E47A5F" w14:textId="77777777" w:rsidR="00CA4840" w:rsidRPr="00084D33" w:rsidRDefault="00CA4840" w:rsidP="00CA4840">
            <w:pPr>
              <w:spacing w:line="240" w:lineRule="auto"/>
              <w:jc w:val="left"/>
              <w:rPr>
                <w:rFonts w:eastAsia="Times New Roman" w:cs="Times New Roman"/>
                <w:b/>
                <w:szCs w:val="24"/>
                <w:lang w:val="es-ES" w:eastAsia="es-ES" w:bidi="es-ES"/>
              </w:rPr>
            </w:pPr>
            <w:r w:rsidRPr="00084D33">
              <w:rPr>
                <w:rFonts w:eastAsia="Times New Roman" w:cs="Times New Roman"/>
                <w:b/>
                <w:szCs w:val="24"/>
                <w:lang w:val="es-ES" w:eastAsia="es-ES" w:bidi="es-ES"/>
              </w:rPr>
              <w:t>% Totales</w:t>
            </w:r>
          </w:p>
        </w:tc>
        <w:tc>
          <w:tcPr>
            <w:tcW w:w="1620" w:type="dxa"/>
            <w:vAlign w:val="center"/>
          </w:tcPr>
          <w:p w14:paraId="503762F5" w14:textId="77777777" w:rsidR="00CA4840" w:rsidRPr="00084D33" w:rsidRDefault="00CA4840" w:rsidP="00CA4840">
            <w:pPr>
              <w:spacing w:line="240" w:lineRule="auto"/>
              <w:jc w:val="center"/>
              <w:rPr>
                <w:rFonts w:eastAsia="Times New Roman" w:cs="Times New Roman"/>
                <w:b/>
                <w:szCs w:val="24"/>
                <w:lang w:val="es-ES" w:eastAsia="es-ES" w:bidi="es-ES"/>
              </w:rPr>
            </w:pPr>
            <w:r w:rsidRPr="00084D33">
              <w:rPr>
                <w:rFonts w:eastAsia="Times New Roman" w:cs="Times New Roman"/>
                <w:b/>
                <w:szCs w:val="24"/>
                <w:lang w:val="es-ES" w:eastAsia="es-ES" w:bidi="es-ES"/>
              </w:rPr>
              <w:t>94.50%</w:t>
            </w:r>
          </w:p>
        </w:tc>
        <w:tc>
          <w:tcPr>
            <w:tcW w:w="1260" w:type="dxa"/>
            <w:shd w:val="clear" w:color="auto" w:fill="436EBE"/>
            <w:vAlign w:val="center"/>
          </w:tcPr>
          <w:p w14:paraId="77DC1FAD" w14:textId="77777777" w:rsidR="00CA4840" w:rsidRPr="00084D33" w:rsidRDefault="00CA4840" w:rsidP="00CA4840">
            <w:pPr>
              <w:spacing w:line="240" w:lineRule="auto"/>
              <w:jc w:val="center"/>
              <w:rPr>
                <w:rFonts w:eastAsia="Times New Roman" w:cs="Times New Roman"/>
                <w:b/>
                <w:szCs w:val="24"/>
                <w:lang w:val="es-ES" w:eastAsia="es-ES" w:bidi="es-ES"/>
              </w:rPr>
            </w:pPr>
          </w:p>
        </w:tc>
        <w:tc>
          <w:tcPr>
            <w:tcW w:w="1530" w:type="dxa"/>
            <w:vAlign w:val="center"/>
          </w:tcPr>
          <w:p w14:paraId="52B82569" w14:textId="77777777" w:rsidR="00CA4840" w:rsidRPr="00084D33" w:rsidRDefault="00CA4840" w:rsidP="00CA4840">
            <w:pPr>
              <w:spacing w:line="240" w:lineRule="auto"/>
              <w:jc w:val="center"/>
              <w:rPr>
                <w:rFonts w:eastAsia="Times New Roman" w:cs="Times New Roman"/>
                <w:b/>
                <w:szCs w:val="24"/>
                <w:lang w:val="es-ES" w:eastAsia="es-ES" w:bidi="es-ES"/>
              </w:rPr>
            </w:pPr>
            <w:r w:rsidRPr="00084D33">
              <w:rPr>
                <w:rFonts w:eastAsia="Times New Roman" w:cs="Times New Roman"/>
                <w:b/>
                <w:szCs w:val="24"/>
                <w:lang w:val="es-ES" w:eastAsia="es-ES" w:bidi="es-ES"/>
              </w:rPr>
              <w:t>80.90%</w:t>
            </w:r>
          </w:p>
        </w:tc>
        <w:tc>
          <w:tcPr>
            <w:tcW w:w="1260" w:type="dxa"/>
            <w:shd w:val="clear" w:color="auto" w:fill="436EBE"/>
            <w:vAlign w:val="center"/>
          </w:tcPr>
          <w:p w14:paraId="7D8006D5" w14:textId="77777777" w:rsidR="00CA4840" w:rsidRPr="00084D33" w:rsidRDefault="00CA4840" w:rsidP="00CA4840">
            <w:pPr>
              <w:rPr>
                <w:rFonts w:eastAsia="Times New Roman" w:cs="Times New Roman"/>
                <w:b/>
                <w:szCs w:val="24"/>
                <w:lang w:val="es-ES" w:eastAsia="es-ES" w:bidi="es-ES"/>
              </w:rPr>
            </w:pPr>
          </w:p>
        </w:tc>
      </w:tr>
    </w:tbl>
    <w:p w14:paraId="29F940F4" w14:textId="77777777" w:rsidR="00CA4840" w:rsidRPr="00084D33" w:rsidRDefault="00CA4840" w:rsidP="00CA4840">
      <w:pPr>
        <w:ind w:firstLine="720"/>
        <w:rPr>
          <w:rFonts w:eastAsia="Times New Roman" w:cs="Times New Roman"/>
          <w:szCs w:val="24"/>
          <w:lang w:val="es-ES" w:eastAsia="es-ES" w:bidi="es-ES"/>
        </w:rPr>
      </w:pPr>
    </w:p>
    <w:p w14:paraId="5A3D9E1D" w14:textId="77777777" w:rsidR="00CA4840" w:rsidRPr="00084D33" w:rsidRDefault="00CA4840" w:rsidP="00CA4840">
      <w:pPr>
        <w:ind w:firstLine="720"/>
        <w:rPr>
          <w:rFonts w:eastAsia="Times New Roman" w:cs="Times New Roman"/>
          <w:szCs w:val="24"/>
          <w:lang w:val="es-ES" w:eastAsia="es-ES" w:bidi="es-ES"/>
        </w:rPr>
      </w:pPr>
    </w:p>
    <w:tbl>
      <w:tblPr>
        <w:tblStyle w:val="Tablaconcuadrcula"/>
        <w:tblpPr w:leftFromText="180" w:rightFromText="180" w:vertAnchor="text" w:tblpY="1"/>
        <w:tblOverlap w:val="never"/>
        <w:tblW w:w="0" w:type="auto"/>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3923"/>
      </w:tblGrid>
      <w:tr w:rsidR="00CA4840" w:rsidRPr="00084D33" w14:paraId="3C7EF67D" w14:textId="77777777" w:rsidTr="00CA4840">
        <w:trPr>
          <w:trHeight w:val="336"/>
        </w:trPr>
        <w:tc>
          <w:tcPr>
            <w:tcW w:w="3923" w:type="dxa"/>
            <w:vAlign w:val="center"/>
          </w:tcPr>
          <w:p w14:paraId="08E7B7B3" w14:textId="77777777" w:rsidR="00CA4840" w:rsidRPr="00084D33" w:rsidRDefault="00CA4840" w:rsidP="00CA4840">
            <w:pPr>
              <w:spacing w:line="240" w:lineRule="auto"/>
              <w:jc w:val="left"/>
              <w:rPr>
                <w:rFonts w:cs="Times New Roman"/>
                <w:b/>
                <w:lang w:val="es-ES"/>
              </w:rPr>
            </w:pPr>
            <w:r w:rsidRPr="00084D33">
              <w:rPr>
                <w:rFonts w:eastAsia="Times New Roman" w:cs="Times New Roman"/>
                <w:b/>
                <w:szCs w:val="24"/>
                <w:lang w:val="es-ES" w:eastAsia="es-ES" w:bidi="es-ES"/>
              </w:rPr>
              <w:t>Leyenda del Progreso</w:t>
            </w:r>
            <w:r w:rsidRPr="00084D33">
              <w:rPr>
                <w:rFonts w:cs="Times New Roman"/>
                <w:b/>
                <w:lang w:val="es-ES"/>
              </w:rPr>
              <w:t xml:space="preserve"> </w:t>
            </w:r>
          </w:p>
        </w:tc>
      </w:tr>
      <w:tr w:rsidR="00CA4840" w:rsidRPr="00084D33" w14:paraId="6B792A3B" w14:textId="77777777" w:rsidTr="00CA4840">
        <w:trPr>
          <w:trHeight w:val="336"/>
        </w:trPr>
        <w:tc>
          <w:tcPr>
            <w:tcW w:w="3923" w:type="dxa"/>
            <w:shd w:val="clear" w:color="auto" w:fill="767171"/>
            <w:vAlign w:val="center"/>
          </w:tcPr>
          <w:p w14:paraId="6DC2F68B" w14:textId="77777777" w:rsidR="00CA4840" w:rsidRPr="00084D33" w:rsidRDefault="00CA4840" w:rsidP="00CA4840">
            <w:pPr>
              <w:spacing w:line="240" w:lineRule="auto"/>
              <w:jc w:val="left"/>
              <w:rPr>
                <w:rFonts w:cs="Times New Roman"/>
                <w:b/>
                <w:lang w:val="es-ES"/>
              </w:rPr>
            </w:pPr>
            <w:r w:rsidRPr="00084D33">
              <w:rPr>
                <w:rFonts w:eastAsia="Times New Roman" w:cs="Times New Roman"/>
                <w:b/>
                <w:szCs w:val="24"/>
                <w:lang w:val="es-ES" w:eastAsia="es-ES" w:bidi="es-ES"/>
              </w:rPr>
              <w:t>0%-39% Incipiente</w:t>
            </w:r>
          </w:p>
        </w:tc>
      </w:tr>
      <w:tr w:rsidR="00CA4840" w:rsidRPr="00084D33" w14:paraId="57E98496" w14:textId="77777777" w:rsidTr="00CA4840">
        <w:trPr>
          <w:trHeight w:val="317"/>
        </w:trPr>
        <w:tc>
          <w:tcPr>
            <w:tcW w:w="3923" w:type="dxa"/>
            <w:shd w:val="clear" w:color="auto" w:fill="47A8EA"/>
            <w:vAlign w:val="center"/>
          </w:tcPr>
          <w:p w14:paraId="2255FD77" w14:textId="77777777" w:rsidR="00CA4840" w:rsidRPr="00084D33" w:rsidRDefault="00CA4840" w:rsidP="00CA4840">
            <w:pPr>
              <w:spacing w:line="240" w:lineRule="auto"/>
              <w:jc w:val="left"/>
              <w:rPr>
                <w:rFonts w:cs="Times New Roman"/>
                <w:b/>
                <w:lang w:val="es-ES"/>
              </w:rPr>
            </w:pPr>
            <w:r w:rsidRPr="00084D33">
              <w:rPr>
                <w:rFonts w:eastAsia="Times New Roman" w:cs="Times New Roman"/>
                <w:b/>
                <w:szCs w:val="24"/>
                <w:lang w:val="es-ES" w:eastAsia="es-ES" w:bidi="es-ES"/>
              </w:rPr>
              <w:t>40%-79% Mediano</w:t>
            </w:r>
          </w:p>
        </w:tc>
      </w:tr>
      <w:tr w:rsidR="00CA4840" w:rsidRPr="00084D33" w14:paraId="216CB170" w14:textId="77777777" w:rsidTr="00CA4840">
        <w:trPr>
          <w:trHeight w:val="336"/>
        </w:trPr>
        <w:tc>
          <w:tcPr>
            <w:tcW w:w="3923" w:type="dxa"/>
            <w:shd w:val="clear" w:color="auto" w:fill="436EBE"/>
            <w:vAlign w:val="center"/>
          </w:tcPr>
          <w:p w14:paraId="34905DD6" w14:textId="77777777" w:rsidR="00CA4840" w:rsidRPr="00084D33" w:rsidRDefault="00CA4840" w:rsidP="00CA4840">
            <w:pPr>
              <w:spacing w:line="240" w:lineRule="auto"/>
              <w:jc w:val="left"/>
              <w:rPr>
                <w:rFonts w:cs="Times New Roman"/>
                <w:lang w:val="es-ES"/>
              </w:rPr>
            </w:pPr>
            <w:r w:rsidRPr="00084D33">
              <w:rPr>
                <w:rFonts w:eastAsia="Times New Roman" w:cs="Times New Roman"/>
                <w:szCs w:val="24"/>
                <w:lang w:val="es-ES" w:eastAsia="es-ES" w:bidi="es-ES"/>
              </w:rPr>
              <w:t>80%-99% Satisfactorio</w:t>
            </w:r>
          </w:p>
        </w:tc>
      </w:tr>
      <w:tr w:rsidR="00CA4840" w:rsidRPr="00084D33" w14:paraId="621DF774" w14:textId="77777777" w:rsidTr="00CA4840">
        <w:trPr>
          <w:trHeight w:val="336"/>
        </w:trPr>
        <w:tc>
          <w:tcPr>
            <w:tcW w:w="3923" w:type="dxa"/>
            <w:shd w:val="clear" w:color="auto" w:fill="436EBE"/>
            <w:vAlign w:val="center"/>
          </w:tcPr>
          <w:p w14:paraId="61DFCF3B" w14:textId="77777777" w:rsidR="00CA4840" w:rsidRPr="00084D33" w:rsidRDefault="00CA4840" w:rsidP="00CA4840">
            <w:pPr>
              <w:spacing w:line="240" w:lineRule="auto"/>
              <w:jc w:val="left"/>
              <w:rPr>
                <w:rFonts w:cs="Times New Roman"/>
                <w:lang w:val="es-ES"/>
              </w:rPr>
            </w:pPr>
            <w:r w:rsidRPr="00084D33">
              <w:rPr>
                <w:rFonts w:eastAsia="Times New Roman" w:cs="Times New Roman"/>
                <w:szCs w:val="24"/>
                <w:lang w:val="es-ES" w:eastAsia="es-ES" w:bidi="es-ES"/>
              </w:rPr>
              <w:t>100% Implementado</w:t>
            </w:r>
          </w:p>
        </w:tc>
      </w:tr>
    </w:tbl>
    <w:p w14:paraId="32AB01FF" w14:textId="77777777" w:rsidR="00CA4840" w:rsidRPr="00084D33" w:rsidRDefault="00CA4840" w:rsidP="00CA4840">
      <w:pPr>
        <w:rPr>
          <w:rFonts w:cs="Times New Roman"/>
          <w:lang w:val="es-ES"/>
        </w:rPr>
      </w:pPr>
      <w:r w:rsidRPr="00084D33">
        <w:rPr>
          <w:rFonts w:cs="Times New Roman"/>
          <w:lang w:val="es-ES"/>
        </w:rPr>
        <w:br w:type="textWrapping" w:clear="all"/>
      </w:r>
    </w:p>
    <w:p w14:paraId="657859D8" w14:textId="46CADEA8" w:rsidR="00EE2148" w:rsidRPr="00084D33" w:rsidRDefault="00CA4840" w:rsidP="00CA4840">
      <w:pPr>
        <w:rPr>
          <w:rFonts w:cs="Times New Roman"/>
          <w:lang w:val="es-ES"/>
        </w:rPr>
      </w:pPr>
      <w:r w:rsidRPr="00084D33">
        <w:rPr>
          <w:rFonts w:cs="Times New Roman"/>
          <w:lang w:val="es-ES"/>
        </w:rPr>
        <w:br w:type="textWrapping" w:clear="all"/>
      </w:r>
    </w:p>
    <w:p w14:paraId="6FCCAE11" w14:textId="77777777" w:rsidR="00EE2148" w:rsidRPr="00084D33" w:rsidRDefault="00EE2148">
      <w:pPr>
        <w:spacing w:after="160" w:line="259" w:lineRule="auto"/>
        <w:jc w:val="left"/>
        <w:rPr>
          <w:rFonts w:cs="Times New Roman"/>
          <w:lang w:val="es-ES"/>
        </w:rPr>
      </w:pPr>
      <w:r w:rsidRPr="00084D33">
        <w:rPr>
          <w:rFonts w:cs="Times New Roman"/>
          <w:lang w:val="es-ES"/>
        </w:rPr>
        <w:br w:type="page"/>
      </w:r>
    </w:p>
    <w:p w14:paraId="551B94E0" w14:textId="77777777" w:rsidR="00CA4840" w:rsidRPr="00084D33" w:rsidRDefault="00CA4840" w:rsidP="007202A9">
      <w:pPr>
        <w:pStyle w:val="Ttulo3RdeC"/>
        <w:numPr>
          <w:ilvl w:val="2"/>
          <w:numId w:val="34"/>
        </w:numPr>
        <w:jc w:val="center"/>
        <w:rPr>
          <w:color w:val="767171"/>
        </w:rPr>
      </w:pPr>
      <w:r w:rsidRPr="00084D33">
        <w:rPr>
          <w:color w:val="767171"/>
        </w:rPr>
        <w:lastRenderedPageBreak/>
        <w:t>Carta Compromiso al Ciudadano (CCC)</w:t>
      </w:r>
    </w:p>
    <w:p w14:paraId="1E2B3450" w14:textId="77777777" w:rsidR="00CA4840" w:rsidRPr="00084D33" w:rsidRDefault="00CA4840" w:rsidP="00CA4840">
      <w:pPr>
        <w:rPr>
          <w:rFonts w:ascii="Verdana" w:eastAsia="Arial Unicode MS" w:hAnsi="Verdana" w:cs="Microsoft Sans Serif"/>
          <w:sz w:val="16"/>
          <w:szCs w:val="16"/>
        </w:rPr>
      </w:pPr>
    </w:p>
    <w:p w14:paraId="7A8299DB" w14:textId="053576F3" w:rsidR="00CA4840" w:rsidRPr="00084D33" w:rsidRDefault="00CA4840" w:rsidP="00CA4840">
      <w:pPr>
        <w:rPr>
          <w:lang w:val="es-ES"/>
        </w:rPr>
      </w:pPr>
      <w:r w:rsidRPr="00084D33">
        <w:rPr>
          <w:lang w:val="es-ES"/>
        </w:rPr>
        <w:t xml:space="preserve">En fecha 17 de septiembre fue evaluada por el Ministerio de Administración Pública (MAP) nuestra CCC para el periodo octubre </w:t>
      </w:r>
      <w:r w:rsidR="00F43D7E" w:rsidRPr="00084D33">
        <w:rPr>
          <w:lang w:val="es-ES"/>
        </w:rPr>
        <w:t>2024</w:t>
      </w:r>
      <w:r w:rsidRPr="00084D33">
        <w:rPr>
          <w:lang w:val="es-ES"/>
        </w:rPr>
        <w:t>-septiembre 2024.</w:t>
      </w:r>
    </w:p>
    <w:p w14:paraId="7F555A9E" w14:textId="77777777" w:rsidR="00CA4840" w:rsidRPr="00084D33" w:rsidRDefault="00CA4840" w:rsidP="00CA4840">
      <w:pPr>
        <w:rPr>
          <w:lang w:val="es-ES"/>
        </w:rPr>
      </w:pPr>
    </w:p>
    <w:p w14:paraId="08826D8B" w14:textId="77777777" w:rsidR="00CA4840" w:rsidRPr="00084D33" w:rsidRDefault="00CA4840" w:rsidP="00CA4840">
      <w:pPr>
        <w:rPr>
          <w:lang w:val="es-ES"/>
        </w:rPr>
      </w:pPr>
      <w:r w:rsidRPr="00084D33">
        <w:rPr>
          <w:lang w:val="es-ES"/>
        </w:rPr>
        <w:t>En fecha 7 de octubre recibido el Informe de Evaluación Carta Compromiso (PR-GDP-006-01), con el cual se obtuvo una puntuación de 92%, y a través de la Resolución núm. 332-2024 del Ministerio de Administración Pública (MAP), fue aprobada la Renovación de la Primera Versión de la Carta Compromiso al Ciudadano del Ministerio de Obras Públicas y Comunicaciones (MOPC).</w:t>
      </w:r>
    </w:p>
    <w:p w14:paraId="0EB110A4" w14:textId="77777777" w:rsidR="00CA4840" w:rsidRPr="00084D33" w:rsidRDefault="00CA4840" w:rsidP="00CA4840">
      <w:pPr>
        <w:pStyle w:val="Textoindependiente"/>
        <w:spacing w:line="360" w:lineRule="auto"/>
        <w:jc w:val="both"/>
        <w:rPr>
          <w:color w:val="767171"/>
        </w:rPr>
      </w:pPr>
    </w:p>
    <w:p w14:paraId="39D81E53" w14:textId="77777777" w:rsidR="00CA4840" w:rsidRPr="00084D33" w:rsidRDefault="00CA4840" w:rsidP="00CA4840">
      <w:pPr>
        <w:pStyle w:val="Textoindependiente"/>
        <w:spacing w:line="360" w:lineRule="auto"/>
        <w:jc w:val="both"/>
        <w:rPr>
          <w:color w:val="767171"/>
        </w:rPr>
      </w:pPr>
    </w:p>
    <w:p w14:paraId="33101937" w14:textId="77777777" w:rsidR="00CA4840" w:rsidRPr="00084D33" w:rsidRDefault="00CA4840" w:rsidP="007202A9">
      <w:pPr>
        <w:pStyle w:val="Ttulo3RdeC"/>
        <w:numPr>
          <w:ilvl w:val="2"/>
          <w:numId w:val="34"/>
        </w:numPr>
        <w:jc w:val="center"/>
        <w:rPr>
          <w:color w:val="767171"/>
        </w:rPr>
      </w:pPr>
      <w:r w:rsidRPr="00084D33">
        <w:rPr>
          <w:color w:val="767171"/>
        </w:rPr>
        <w:t>Desarrollo Institucional</w:t>
      </w:r>
    </w:p>
    <w:p w14:paraId="0BA41C44" w14:textId="77777777" w:rsidR="00CA4840" w:rsidRPr="00084D33" w:rsidRDefault="00CA4840" w:rsidP="00CA4840">
      <w:pPr>
        <w:ind w:left="1855"/>
        <w:rPr>
          <w:rFonts w:cs="Times New Roman"/>
        </w:rPr>
      </w:pPr>
    </w:p>
    <w:p w14:paraId="31DD028B" w14:textId="37A0811D" w:rsidR="00CA4840" w:rsidRPr="00084D33" w:rsidRDefault="00CA4840" w:rsidP="00CA4840">
      <w:pPr>
        <w:pStyle w:val="Textoindependiente"/>
        <w:spacing w:line="360" w:lineRule="auto"/>
        <w:jc w:val="both"/>
        <w:rPr>
          <w:color w:val="767171"/>
        </w:rPr>
      </w:pPr>
      <w:r w:rsidRPr="00084D33">
        <w:rPr>
          <w:color w:val="767171"/>
        </w:rPr>
        <w:t xml:space="preserve">Con respecto a las acciones de desarrollo y fortalecimiento institucional, y la modernización de los procesos que fueron incorporadas durante el periodo </w:t>
      </w:r>
      <w:r w:rsidR="000A17C8" w:rsidRPr="00084D33">
        <w:rPr>
          <w:color w:val="767171"/>
        </w:rPr>
        <w:t>enero-diciembre</w:t>
      </w:r>
      <w:r w:rsidRPr="00084D33">
        <w:rPr>
          <w:color w:val="767171"/>
        </w:rPr>
        <w:t xml:space="preserve"> del 2024, citamos las más relevantes:</w:t>
      </w:r>
    </w:p>
    <w:p w14:paraId="06B75DED" w14:textId="77777777" w:rsidR="00CA4840" w:rsidRPr="00084D33" w:rsidRDefault="00CA4840" w:rsidP="00CA4840">
      <w:pPr>
        <w:pStyle w:val="Textoindependiente"/>
        <w:spacing w:line="360" w:lineRule="auto"/>
        <w:jc w:val="both"/>
        <w:rPr>
          <w:color w:val="767171"/>
        </w:rPr>
      </w:pPr>
    </w:p>
    <w:p w14:paraId="439AEEE4" w14:textId="77777777" w:rsidR="00CA4840" w:rsidRPr="00084D33" w:rsidRDefault="00CA4840" w:rsidP="007202A9">
      <w:pPr>
        <w:pStyle w:val="Ttulo3RdeC"/>
        <w:numPr>
          <w:ilvl w:val="3"/>
          <w:numId w:val="34"/>
        </w:numPr>
        <w:jc w:val="center"/>
        <w:rPr>
          <w:color w:val="767171"/>
        </w:rPr>
      </w:pPr>
      <w:r w:rsidRPr="00084D33">
        <w:rPr>
          <w:color w:val="767171"/>
        </w:rPr>
        <w:t>Unidad de Género</w:t>
      </w:r>
    </w:p>
    <w:p w14:paraId="29CB7799" w14:textId="77777777" w:rsidR="00CA4840" w:rsidRPr="00084D33" w:rsidRDefault="00CA4840" w:rsidP="00CA4840">
      <w:pPr>
        <w:ind w:right="-1"/>
        <w:rPr>
          <w:rFonts w:ascii="Avenir Light" w:hAnsi="Avenir Light"/>
          <w:b/>
          <w:bCs/>
        </w:rPr>
      </w:pPr>
    </w:p>
    <w:p w14:paraId="7DB7E918" w14:textId="77777777" w:rsidR="00CA4840" w:rsidRPr="00084D33" w:rsidRDefault="00CA4840" w:rsidP="00CA4840">
      <w:pPr>
        <w:rPr>
          <w:lang w:val="es-ES"/>
        </w:rPr>
      </w:pPr>
      <w:r w:rsidRPr="00084D33">
        <w:rPr>
          <w:lang w:val="es-ES"/>
        </w:rPr>
        <w:t>Recientemente la unidad elaboro y documentó la Política Institucional de Género del MOPC, cumpliendo con el hito no. 5, del indicador de la EDI para las Políticas Transversal de Género, y la conformación del Comité de Transversalización de Género.</w:t>
      </w:r>
    </w:p>
    <w:p w14:paraId="1376269F" w14:textId="77777777" w:rsidR="00CA4840" w:rsidRPr="00084D33" w:rsidRDefault="00CA4840" w:rsidP="00CA4840"/>
    <w:p w14:paraId="36B460A1" w14:textId="77777777" w:rsidR="00CA4840" w:rsidRPr="00084D33" w:rsidRDefault="00CA4840" w:rsidP="00CA4840">
      <w:pPr>
        <w:rPr>
          <w:lang w:val="es-ES"/>
        </w:rPr>
      </w:pPr>
      <w:r w:rsidRPr="00084D33">
        <w:rPr>
          <w:lang w:val="es-ES"/>
        </w:rPr>
        <w:t>La Unidad de Igualdad de Género se encuentra trabajando en el Desarrollo de Programas de sensibilización al personal con los temas enfocados a género, celebración de actividades enfocadas a promover la NO Violencia a la Mujer y el empoderamiento de ellas, mediante capacitaciones en la modalidad de charlas y talleres.</w:t>
      </w:r>
    </w:p>
    <w:p w14:paraId="2FAB6227" w14:textId="77777777" w:rsidR="00CA4840" w:rsidRPr="00084D33" w:rsidRDefault="00CA4840" w:rsidP="00CA4840">
      <w:pPr>
        <w:rPr>
          <w:lang w:val="es-ES"/>
        </w:rPr>
      </w:pPr>
      <w:r w:rsidRPr="00084D33">
        <w:rPr>
          <w:lang w:val="es-ES"/>
        </w:rPr>
        <w:lastRenderedPageBreak/>
        <w:t>Entre las actividades de sensibilización ejecutadas, que se asocian a los temas elegidos, podemos citar las siguientes actividades:</w:t>
      </w:r>
    </w:p>
    <w:p w14:paraId="5CE12C9C" w14:textId="77777777" w:rsidR="00CA4840" w:rsidRPr="00084D33" w:rsidRDefault="00CA4840" w:rsidP="00CA4840"/>
    <w:tbl>
      <w:tblPr>
        <w:tblW w:w="8689" w:type="dxa"/>
        <w:jc w:val="center"/>
        <w:tblCellMar>
          <w:left w:w="70" w:type="dxa"/>
          <w:right w:w="70" w:type="dxa"/>
        </w:tblCellMar>
        <w:tblLook w:val="04A0" w:firstRow="1" w:lastRow="0" w:firstColumn="1" w:lastColumn="0" w:noHBand="0" w:noVBand="1"/>
      </w:tblPr>
      <w:tblGrid>
        <w:gridCol w:w="4280"/>
        <w:gridCol w:w="2200"/>
        <w:gridCol w:w="2209"/>
      </w:tblGrid>
      <w:tr w:rsidR="00CA4840" w:rsidRPr="00084D33" w14:paraId="71D7AAB8" w14:textId="77777777" w:rsidTr="00C4661A">
        <w:trPr>
          <w:trHeight w:val="585"/>
          <w:jc w:val="center"/>
        </w:trPr>
        <w:tc>
          <w:tcPr>
            <w:tcW w:w="4280" w:type="dxa"/>
            <w:tcBorders>
              <w:top w:val="single" w:sz="8" w:space="0" w:color="003876"/>
              <w:left w:val="single" w:sz="8" w:space="0" w:color="003876"/>
              <w:bottom w:val="single" w:sz="8" w:space="0" w:color="003876"/>
              <w:right w:val="single" w:sz="8" w:space="0" w:color="FFFFFF" w:themeColor="background1"/>
            </w:tcBorders>
            <w:shd w:val="clear" w:color="auto" w:fill="003876"/>
            <w:vAlign w:val="center"/>
            <w:hideMark/>
          </w:tcPr>
          <w:p w14:paraId="45795096" w14:textId="77777777" w:rsidR="00CA4840" w:rsidRPr="00084D33" w:rsidRDefault="00CA4840" w:rsidP="00CA4840">
            <w:pPr>
              <w:spacing w:line="240" w:lineRule="auto"/>
              <w:ind w:left="-29"/>
              <w:jc w:val="center"/>
              <w:rPr>
                <w:rFonts w:eastAsia="Arial Unicode MS" w:cs="Times New Roman"/>
                <w:b/>
              </w:rPr>
            </w:pPr>
            <w:r w:rsidRPr="00084D33">
              <w:rPr>
                <w:rFonts w:eastAsia="Arial Unicode MS" w:cs="Times New Roman"/>
                <w:b/>
              </w:rPr>
              <w:t>TEMA DE LA CHARLA/CONFERENCIA</w:t>
            </w:r>
          </w:p>
        </w:tc>
        <w:tc>
          <w:tcPr>
            <w:tcW w:w="2200" w:type="dxa"/>
            <w:tcBorders>
              <w:top w:val="single" w:sz="8" w:space="0" w:color="003876"/>
              <w:left w:val="single" w:sz="8" w:space="0" w:color="FFFFFF" w:themeColor="background1"/>
              <w:bottom w:val="single" w:sz="8" w:space="0" w:color="003876"/>
              <w:right w:val="single" w:sz="8" w:space="0" w:color="FFFFFF" w:themeColor="background1"/>
            </w:tcBorders>
            <w:shd w:val="clear" w:color="auto" w:fill="003876"/>
            <w:noWrap/>
            <w:vAlign w:val="center"/>
            <w:hideMark/>
          </w:tcPr>
          <w:p w14:paraId="5A156441" w14:textId="77777777" w:rsidR="00CA4840" w:rsidRPr="00084D33" w:rsidRDefault="00CA4840" w:rsidP="00CA4840">
            <w:pPr>
              <w:spacing w:line="240" w:lineRule="auto"/>
              <w:ind w:left="-29"/>
              <w:jc w:val="center"/>
              <w:rPr>
                <w:rFonts w:eastAsia="Arial Unicode MS" w:cs="Times New Roman"/>
                <w:b/>
              </w:rPr>
            </w:pPr>
            <w:r w:rsidRPr="00084D33">
              <w:rPr>
                <w:rFonts w:eastAsia="Arial Unicode MS" w:cs="Times New Roman"/>
                <w:b/>
              </w:rPr>
              <w:t>EJE TEMATICO</w:t>
            </w:r>
          </w:p>
        </w:tc>
        <w:tc>
          <w:tcPr>
            <w:tcW w:w="2209" w:type="dxa"/>
            <w:tcBorders>
              <w:top w:val="single" w:sz="8" w:space="0" w:color="003876"/>
              <w:left w:val="single" w:sz="8" w:space="0" w:color="FFFFFF" w:themeColor="background1"/>
              <w:bottom w:val="single" w:sz="8" w:space="0" w:color="003876"/>
              <w:right w:val="single" w:sz="8" w:space="0" w:color="003876"/>
            </w:tcBorders>
            <w:shd w:val="clear" w:color="auto" w:fill="003876"/>
            <w:noWrap/>
            <w:vAlign w:val="center"/>
            <w:hideMark/>
          </w:tcPr>
          <w:p w14:paraId="01B402AF" w14:textId="77777777" w:rsidR="00CA4840" w:rsidRPr="00084D33" w:rsidRDefault="00CA4840" w:rsidP="00CA4840">
            <w:pPr>
              <w:spacing w:line="240" w:lineRule="auto"/>
              <w:ind w:left="-29"/>
              <w:jc w:val="center"/>
              <w:rPr>
                <w:rFonts w:eastAsia="Arial Unicode MS" w:cs="Times New Roman"/>
                <w:b/>
              </w:rPr>
            </w:pPr>
            <w:r w:rsidRPr="00084D33">
              <w:rPr>
                <w:rFonts w:eastAsia="Arial Unicode MS" w:cs="Times New Roman"/>
                <w:b/>
              </w:rPr>
              <w:t>CANTIDAD</w:t>
            </w:r>
          </w:p>
        </w:tc>
      </w:tr>
      <w:tr w:rsidR="00CA4840" w:rsidRPr="00084D33" w14:paraId="78F700C5" w14:textId="77777777" w:rsidTr="00C4661A">
        <w:trPr>
          <w:trHeight w:val="300"/>
          <w:jc w:val="center"/>
        </w:trPr>
        <w:tc>
          <w:tcPr>
            <w:tcW w:w="4280"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79BD490F" w14:textId="77777777" w:rsidR="00CA4840" w:rsidRPr="00084D33" w:rsidRDefault="00CA4840" w:rsidP="00CA4840">
            <w:pPr>
              <w:spacing w:line="240" w:lineRule="auto"/>
              <w:rPr>
                <w:rFonts w:eastAsia="Arial Unicode MS" w:cs="Times New Roman"/>
              </w:rPr>
            </w:pPr>
            <w:r w:rsidRPr="00084D33">
              <w:rPr>
                <w:rFonts w:eastAsia="Arial Unicode MS" w:cs="Times New Roman"/>
              </w:rPr>
              <w:t>Sé Tu Mejor Versión</w:t>
            </w:r>
          </w:p>
        </w:tc>
        <w:tc>
          <w:tcPr>
            <w:tcW w:w="2200"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6DA8AAB9"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Inclusión</w:t>
            </w:r>
          </w:p>
        </w:tc>
        <w:tc>
          <w:tcPr>
            <w:tcW w:w="2209"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7AAA7929"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247</w:t>
            </w:r>
          </w:p>
        </w:tc>
      </w:tr>
      <w:tr w:rsidR="00CA4840" w:rsidRPr="00084D33" w14:paraId="26670B7C" w14:textId="77777777" w:rsidTr="00C4661A">
        <w:trPr>
          <w:trHeight w:val="585"/>
          <w:jc w:val="center"/>
        </w:trPr>
        <w:tc>
          <w:tcPr>
            <w:tcW w:w="4280" w:type="dxa"/>
            <w:tcBorders>
              <w:top w:val="single" w:sz="8" w:space="0" w:color="003876"/>
              <w:left w:val="single" w:sz="8" w:space="0" w:color="003876"/>
              <w:bottom w:val="single" w:sz="8" w:space="0" w:color="003876"/>
              <w:right w:val="single" w:sz="8" w:space="0" w:color="003876"/>
            </w:tcBorders>
            <w:shd w:val="clear" w:color="auto" w:fill="auto"/>
            <w:vAlign w:val="bottom"/>
            <w:hideMark/>
          </w:tcPr>
          <w:p w14:paraId="36E56E8B" w14:textId="77777777" w:rsidR="00CA4840" w:rsidRPr="00084D33" w:rsidRDefault="00CA4840" w:rsidP="00CA4840">
            <w:pPr>
              <w:spacing w:line="240" w:lineRule="auto"/>
              <w:rPr>
                <w:rFonts w:eastAsia="Arial Unicode MS" w:cs="Times New Roman"/>
              </w:rPr>
            </w:pPr>
            <w:r w:rsidRPr="00084D33">
              <w:rPr>
                <w:rFonts w:eastAsia="Arial Unicode MS" w:cs="Times New Roman"/>
              </w:rPr>
              <w:t>Prevención de la Violencia Intrafamiliar y Contra las Mujeres</w:t>
            </w:r>
          </w:p>
        </w:tc>
        <w:tc>
          <w:tcPr>
            <w:tcW w:w="2200"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1ACE9068"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Violencia</w:t>
            </w:r>
          </w:p>
        </w:tc>
        <w:tc>
          <w:tcPr>
            <w:tcW w:w="2209"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0186AB52"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79</w:t>
            </w:r>
          </w:p>
        </w:tc>
      </w:tr>
      <w:tr w:rsidR="00CA4840" w:rsidRPr="00084D33" w14:paraId="53DF39B6" w14:textId="77777777" w:rsidTr="00C4661A">
        <w:trPr>
          <w:trHeight w:val="585"/>
          <w:jc w:val="center"/>
        </w:trPr>
        <w:tc>
          <w:tcPr>
            <w:tcW w:w="4280" w:type="dxa"/>
            <w:tcBorders>
              <w:top w:val="single" w:sz="8" w:space="0" w:color="003876"/>
              <w:left w:val="single" w:sz="8" w:space="0" w:color="003876"/>
              <w:bottom w:val="single" w:sz="8" w:space="0" w:color="003876"/>
              <w:right w:val="single" w:sz="8" w:space="0" w:color="003876"/>
            </w:tcBorders>
            <w:shd w:val="clear" w:color="auto" w:fill="auto"/>
            <w:vAlign w:val="bottom"/>
            <w:hideMark/>
          </w:tcPr>
          <w:p w14:paraId="5A304B58" w14:textId="77777777" w:rsidR="00CA4840" w:rsidRPr="00084D33" w:rsidRDefault="00CA4840" w:rsidP="00CA4840">
            <w:pPr>
              <w:spacing w:line="240" w:lineRule="auto"/>
              <w:rPr>
                <w:rFonts w:eastAsia="Arial Unicode MS" w:cs="Times New Roman"/>
              </w:rPr>
            </w:pPr>
            <w:r w:rsidRPr="00084D33">
              <w:rPr>
                <w:rFonts w:eastAsia="Arial Unicode MS" w:cs="Times New Roman"/>
              </w:rPr>
              <w:t xml:space="preserve">Concientización Sobre la Prevención y Detección Precoz del Cáncer de Mama </w:t>
            </w:r>
          </w:p>
        </w:tc>
        <w:tc>
          <w:tcPr>
            <w:tcW w:w="2200"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09C75643"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Salud</w:t>
            </w:r>
          </w:p>
        </w:tc>
        <w:tc>
          <w:tcPr>
            <w:tcW w:w="2209"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3F44F7B2"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103</w:t>
            </w:r>
          </w:p>
        </w:tc>
      </w:tr>
      <w:tr w:rsidR="00CA4840" w:rsidRPr="00084D33" w14:paraId="443C31A4" w14:textId="77777777" w:rsidTr="00C4661A">
        <w:trPr>
          <w:trHeight w:val="585"/>
          <w:jc w:val="center"/>
        </w:trPr>
        <w:tc>
          <w:tcPr>
            <w:tcW w:w="4280" w:type="dxa"/>
            <w:tcBorders>
              <w:top w:val="single" w:sz="8" w:space="0" w:color="003876"/>
              <w:left w:val="single" w:sz="8" w:space="0" w:color="003876"/>
              <w:bottom w:val="single" w:sz="8" w:space="0" w:color="003876"/>
              <w:right w:val="single" w:sz="8" w:space="0" w:color="003876"/>
            </w:tcBorders>
            <w:shd w:val="clear" w:color="auto" w:fill="auto"/>
            <w:vAlign w:val="bottom"/>
            <w:hideMark/>
          </w:tcPr>
          <w:p w14:paraId="35B5D0FC" w14:textId="77777777" w:rsidR="00CA4840" w:rsidRPr="00084D33" w:rsidRDefault="00CA4840" w:rsidP="00CA4840">
            <w:pPr>
              <w:spacing w:line="240" w:lineRule="auto"/>
              <w:rPr>
                <w:rFonts w:eastAsia="Arial Unicode MS" w:cs="Times New Roman"/>
              </w:rPr>
            </w:pPr>
            <w:r w:rsidRPr="00084D33">
              <w:rPr>
                <w:rFonts w:eastAsia="Arial Unicode MS" w:cs="Times New Roman"/>
              </w:rPr>
              <w:t>Importancia de la Lactancia para la Salud Materna y Neonatal</w:t>
            </w:r>
          </w:p>
        </w:tc>
        <w:tc>
          <w:tcPr>
            <w:tcW w:w="2200"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1B1F3388"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Salud</w:t>
            </w:r>
          </w:p>
        </w:tc>
        <w:tc>
          <w:tcPr>
            <w:tcW w:w="2209"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1708B609"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26</w:t>
            </w:r>
          </w:p>
        </w:tc>
      </w:tr>
      <w:tr w:rsidR="00CA4840" w:rsidRPr="00084D33" w14:paraId="0BD37395" w14:textId="77777777" w:rsidTr="00C4661A">
        <w:trPr>
          <w:trHeight w:val="315"/>
          <w:jc w:val="center"/>
        </w:trPr>
        <w:tc>
          <w:tcPr>
            <w:tcW w:w="4280" w:type="dxa"/>
            <w:tcBorders>
              <w:top w:val="single" w:sz="8" w:space="0" w:color="003876"/>
              <w:left w:val="single" w:sz="8" w:space="0" w:color="003876"/>
              <w:bottom w:val="single" w:sz="8" w:space="0" w:color="003876"/>
              <w:right w:val="single" w:sz="8" w:space="0" w:color="003876"/>
            </w:tcBorders>
            <w:shd w:val="clear" w:color="auto" w:fill="auto"/>
            <w:vAlign w:val="bottom"/>
            <w:hideMark/>
          </w:tcPr>
          <w:p w14:paraId="54492729" w14:textId="77777777" w:rsidR="00CA4840" w:rsidRPr="00084D33" w:rsidRDefault="00CA4840" w:rsidP="00CA4840">
            <w:pPr>
              <w:spacing w:line="240" w:lineRule="auto"/>
              <w:rPr>
                <w:rFonts w:eastAsia="Arial Unicode MS" w:cs="Times New Roman"/>
              </w:rPr>
            </w:pPr>
            <w:r w:rsidRPr="00084D33">
              <w:rPr>
                <w:rFonts w:eastAsia="Arial Unicode MS" w:cs="Times New Roman"/>
              </w:rPr>
              <w:t>Se tu Mejor Versión</w:t>
            </w:r>
          </w:p>
        </w:tc>
        <w:tc>
          <w:tcPr>
            <w:tcW w:w="2200"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15702DC8"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Inclusión</w:t>
            </w:r>
          </w:p>
        </w:tc>
        <w:tc>
          <w:tcPr>
            <w:tcW w:w="2209" w:type="dxa"/>
            <w:tcBorders>
              <w:top w:val="single" w:sz="8" w:space="0" w:color="003876"/>
              <w:left w:val="single" w:sz="8" w:space="0" w:color="003876"/>
              <w:bottom w:val="single" w:sz="8" w:space="0" w:color="003876"/>
              <w:right w:val="single" w:sz="8" w:space="0" w:color="003876"/>
            </w:tcBorders>
            <w:shd w:val="clear" w:color="auto" w:fill="auto"/>
            <w:noWrap/>
            <w:vAlign w:val="bottom"/>
            <w:hideMark/>
          </w:tcPr>
          <w:p w14:paraId="0B991BFD" w14:textId="77777777" w:rsidR="00CA4840" w:rsidRPr="00084D33" w:rsidRDefault="00CA4840" w:rsidP="00CA4840">
            <w:pPr>
              <w:spacing w:line="240" w:lineRule="auto"/>
              <w:jc w:val="center"/>
              <w:rPr>
                <w:rFonts w:eastAsia="Arial Unicode MS" w:cs="Times New Roman"/>
              </w:rPr>
            </w:pPr>
            <w:r w:rsidRPr="00084D33">
              <w:rPr>
                <w:rFonts w:eastAsia="Arial Unicode MS" w:cs="Times New Roman"/>
              </w:rPr>
              <w:t>226</w:t>
            </w:r>
          </w:p>
        </w:tc>
      </w:tr>
      <w:tr w:rsidR="00CA4840" w:rsidRPr="00084D33" w14:paraId="7432C4FF" w14:textId="77777777" w:rsidTr="00C4661A">
        <w:trPr>
          <w:trHeight w:val="315"/>
          <w:jc w:val="center"/>
        </w:trPr>
        <w:tc>
          <w:tcPr>
            <w:tcW w:w="6480" w:type="dxa"/>
            <w:gridSpan w:val="2"/>
            <w:tcBorders>
              <w:top w:val="single" w:sz="8" w:space="0" w:color="003876"/>
              <w:left w:val="single" w:sz="8" w:space="0" w:color="003876"/>
              <w:bottom w:val="single" w:sz="8" w:space="0" w:color="auto"/>
              <w:right w:val="single" w:sz="8" w:space="0" w:color="003876"/>
            </w:tcBorders>
            <w:shd w:val="clear" w:color="auto" w:fill="auto"/>
            <w:vAlign w:val="bottom"/>
            <w:hideMark/>
          </w:tcPr>
          <w:p w14:paraId="4A05D739" w14:textId="77777777" w:rsidR="00CA4840" w:rsidRPr="00084D33" w:rsidRDefault="00CA4840" w:rsidP="00CA4840">
            <w:pPr>
              <w:spacing w:line="240" w:lineRule="auto"/>
              <w:ind w:left="735"/>
              <w:jc w:val="right"/>
              <w:rPr>
                <w:rFonts w:eastAsia="Arial Unicode MS" w:cs="Times New Roman"/>
                <w:b/>
              </w:rPr>
            </w:pPr>
            <w:r w:rsidRPr="00084D33">
              <w:rPr>
                <w:rFonts w:eastAsia="Arial Unicode MS" w:cs="Times New Roman"/>
                <w:b/>
              </w:rPr>
              <w:t>Total de Sensibilizados: </w:t>
            </w:r>
          </w:p>
        </w:tc>
        <w:tc>
          <w:tcPr>
            <w:tcW w:w="2209" w:type="dxa"/>
            <w:tcBorders>
              <w:top w:val="single" w:sz="8" w:space="0" w:color="003876"/>
              <w:left w:val="single" w:sz="8" w:space="0" w:color="003876"/>
              <w:bottom w:val="single" w:sz="8" w:space="0" w:color="auto"/>
              <w:right w:val="single" w:sz="8" w:space="0" w:color="003876"/>
            </w:tcBorders>
            <w:shd w:val="clear" w:color="auto" w:fill="auto"/>
            <w:noWrap/>
            <w:vAlign w:val="bottom"/>
            <w:hideMark/>
          </w:tcPr>
          <w:p w14:paraId="5D1E731B" w14:textId="77777777" w:rsidR="00CA4840" w:rsidRPr="00084D33" w:rsidRDefault="00CA4840" w:rsidP="00CA4840">
            <w:pPr>
              <w:spacing w:line="240" w:lineRule="auto"/>
              <w:ind w:left="-19"/>
              <w:jc w:val="center"/>
              <w:rPr>
                <w:rFonts w:eastAsia="Arial Unicode MS" w:cs="Times New Roman"/>
                <w:b/>
              </w:rPr>
            </w:pPr>
            <w:r w:rsidRPr="00084D33">
              <w:rPr>
                <w:rFonts w:eastAsia="Arial Unicode MS" w:cs="Times New Roman"/>
                <w:b/>
              </w:rPr>
              <w:t>688</w:t>
            </w:r>
          </w:p>
        </w:tc>
      </w:tr>
    </w:tbl>
    <w:p w14:paraId="5ABC63F2" w14:textId="657BA540" w:rsidR="00CA4840" w:rsidRPr="00084D33" w:rsidRDefault="00CA4840" w:rsidP="00CA4840"/>
    <w:p w14:paraId="537F83F5" w14:textId="77777777" w:rsidR="00C4661A" w:rsidRPr="00084D33" w:rsidRDefault="00C4661A" w:rsidP="00CA4840"/>
    <w:p w14:paraId="085317C1" w14:textId="77777777" w:rsidR="00CA4840" w:rsidRPr="00084D33" w:rsidRDefault="00CA4840" w:rsidP="00CA4840">
      <w:pPr>
        <w:rPr>
          <w:lang w:val="es-ES"/>
        </w:rPr>
      </w:pPr>
      <w:r w:rsidRPr="00084D33">
        <w:rPr>
          <w:lang w:val="es-ES"/>
        </w:rPr>
        <w:t>En adición a estas actividades, resaltamos nuestras participaciones en las diferentes conferencias y mesas de trabajos coordinados por el Ministerio de la Mujer y otras instituciones; así como la constante formación y preparación académica de quien al momento desempeña como Encargada de la unidad. Algunos a mencionar:</w:t>
      </w:r>
    </w:p>
    <w:p w14:paraId="76C2FC9C" w14:textId="77777777" w:rsidR="00CA4840" w:rsidRPr="00084D33" w:rsidRDefault="00CA4840" w:rsidP="00CA4840"/>
    <w:p w14:paraId="3161E109" w14:textId="0041985B"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t>C</w:t>
      </w:r>
      <w:r w:rsidR="00E55155">
        <w:t>urso</w:t>
      </w:r>
      <w:r w:rsidRPr="00084D33">
        <w:rPr>
          <w:rFonts w:eastAsia="Times New Roman" w:cs="Times New Roman"/>
          <w:szCs w:val="24"/>
          <w:lang w:val="es-ES" w:eastAsia="es-ES" w:bidi="es-ES"/>
        </w:rPr>
        <w:t xml:space="preserve"> Principios Básicos de </w:t>
      </w:r>
      <w:r w:rsidR="00E55155" w:rsidRPr="00084D33">
        <w:rPr>
          <w:rFonts w:eastAsia="Times New Roman" w:cs="Times New Roman"/>
          <w:szCs w:val="24"/>
          <w:lang w:val="es-ES" w:eastAsia="es-ES" w:bidi="es-ES"/>
        </w:rPr>
        <w:t>Género</w:t>
      </w:r>
      <w:r w:rsidRPr="00084D33">
        <w:rPr>
          <w:rFonts w:eastAsia="Times New Roman" w:cs="Times New Roman"/>
          <w:szCs w:val="24"/>
          <w:lang w:val="es-ES" w:eastAsia="es-ES" w:bidi="es-ES"/>
        </w:rPr>
        <w:t xml:space="preserve"> y Prevención de Violencia.</w:t>
      </w:r>
    </w:p>
    <w:p w14:paraId="1302F38F"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Diplomado Internacional “Masculinidades, Igualdad de Género y Transformación Social”.</w:t>
      </w:r>
    </w:p>
    <w:p w14:paraId="73466DE4"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Talleres diversos de Formación y Capacitación en Políticas Públicas con Enfoque de Género en el Estado Dominicano.</w:t>
      </w:r>
    </w:p>
    <w:p w14:paraId="6FF2C5D3"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Taller sobre Evidencias de las Políticas Transversal del Enfoque de Género.  </w:t>
      </w:r>
    </w:p>
    <w:p w14:paraId="4F9C358C"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Formación sobre Presupuestos con Enfoque de Género.</w:t>
      </w:r>
    </w:p>
    <w:p w14:paraId="36BF2C7A" w14:textId="77777777" w:rsidR="00CA4840" w:rsidRPr="00084D33" w:rsidRDefault="00CA4840" w:rsidP="007202A9">
      <w:pPr>
        <w:numPr>
          <w:ilvl w:val="0"/>
          <w:numId w:val="25"/>
        </w:numPr>
        <w:spacing w:after="160"/>
        <w:ind w:left="1080"/>
      </w:pPr>
      <w:r w:rsidRPr="00084D33">
        <w:rPr>
          <w:rFonts w:eastAsia="Times New Roman" w:cs="Times New Roman"/>
          <w:szCs w:val="24"/>
          <w:lang w:val="es-ES" w:eastAsia="es-ES" w:bidi="es-ES"/>
        </w:rPr>
        <w:lastRenderedPageBreak/>
        <w:t>Participación en la Primera Feria Constitucional Internacional Sobre La Familia y la Igualdad por el Tribunal Constitucional de la República Dominicana.</w:t>
      </w:r>
    </w:p>
    <w:p w14:paraId="5F1A1E62" w14:textId="77777777" w:rsidR="00CA4840" w:rsidRPr="00084D33" w:rsidRDefault="00CA4840" w:rsidP="00C4661A"/>
    <w:p w14:paraId="080C7C2F" w14:textId="56681864" w:rsidR="00CA4840" w:rsidRPr="00084D33" w:rsidRDefault="00CA4840" w:rsidP="00CA4840">
      <w:pPr>
        <w:ind w:left="1055"/>
        <w:rPr>
          <w:lang w:val="es-ES"/>
        </w:rPr>
      </w:pPr>
      <w:r w:rsidRPr="00084D33">
        <w:rPr>
          <w:lang w:val="es-ES"/>
        </w:rPr>
        <w:t xml:space="preserve">Conferencias: </w:t>
      </w:r>
    </w:p>
    <w:p w14:paraId="6204BDBC"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“Masculinidades positivas para las familias: hombres, igualdad y valores democráticos”.</w:t>
      </w:r>
    </w:p>
    <w:p w14:paraId="6AEFCB02"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“Ciberacoso o Ciberstalking, ¿Cómo afecta a la familia?”</w:t>
      </w:r>
    </w:p>
    <w:p w14:paraId="0C4BF348"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“Derecho Constitucional al respeto de la dignidad de las personas frente a la libertad de expresión”</w:t>
      </w:r>
    </w:p>
    <w:p w14:paraId="58C0C5D4"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“La responsabilidad de los medios de comunicación en la proyección de la familia y la igualdad entre hombres y mujeres”.</w:t>
      </w:r>
    </w:p>
    <w:p w14:paraId="76724A74" w14:textId="77777777" w:rsidR="00CA4840" w:rsidRPr="00084D33" w:rsidRDefault="00CA4840" w:rsidP="00CA4840"/>
    <w:p w14:paraId="199F2853" w14:textId="77777777" w:rsidR="00CA4840" w:rsidRPr="00084D33" w:rsidRDefault="00CA4840" w:rsidP="00CA4840">
      <w:pPr>
        <w:rPr>
          <w:lang w:val="es-ES"/>
        </w:rPr>
      </w:pPr>
      <w:r w:rsidRPr="00084D33">
        <w:rPr>
          <w:lang w:val="es-ES"/>
        </w:rPr>
        <w:t>En el mes de abril realizamos una jornada de información y promoción de los diferentes cursos para oficios no tradicionales impartidos por INFOTEP, tales como:</w:t>
      </w:r>
    </w:p>
    <w:p w14:paraId="09DAA616"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Básico de Plomería</w:t>
      </w:r>
    </w:p>
    <w:p w14:paraId="24225ABB"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Albañilería y Acabado en Construcción</w:t>
      </w:r>
    </w:p>
    <w:p w14:paraId="54FF8F60"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Albañil y Terminación</w:t>
      </w:r>
    </w:p>
    <w:p w14:paraId="6B2C2EBD"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Fontanería e Instalación de Tuberías</w:t>
      </w:r>
    </w:p>
    <w:p w14:paraId="1909F2D6"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Maestra Constructor</w:t>
      </w:r>
    </w:p>
    <w:p w14:paraId="2DB5BE0E" w14:textId="77777777" w:rsidR="00CA4840" w:rsidRPr="00084D33" w:rsidRDefault="00CA4840" w:rsidP="00CA4840"/>
    <w:p w14:paraId="3048EF69" w14:textId="15583B83" w:rsidR="00C4661A" w:rsidRPr="00084D33" w:rsidRDefault="00CA4840" w:rsidP="00CA4840">
      <w:pPr>
        <w:rPr>
          <w:lang w:val="es-ES"/>
        </w:rPr>
      </w:pPr>
      <w:r w:rsidRPr="00084D33">
        <w:rPr>
          <w:lang w:val="es-ES"/>
        </w:rPr>
        <w:t xml:space="preserve">El fin es de brindar información de primera mano y facilitar la inmediata inscripción de nuestras colaboradoras; con el propósito de fomentar su desarrollo tanto personal como profesional. Con esta acción creamos la posibilidad de nuevas fuentes de ingresos, impulsando la autonomía </w:t>
      </w:r>
      <w:r w:rsidRPr="00084D33">
        <w:rPr>
          <w:lang w:val="es-ES"/>
        </w:rPr>
        <w:lastRenderedPageBreak/>
        <w:t>económica. Logramos un total de 30 colaboradoras interesadas es inscritas en los diferentes cursos.</w:t>
      </w:r>
    </w:p>
    <w:p w14:paraId="74EFBD3F" w14:textId="1FBFC676" w:rsidR="00C4661A" w:rsidRPr="00084D33" w:rsidRDefault="00C4661A">
      <w:pPr>
        <w:spacing w:after="160" w:line="259" w:lineRule="auto"/>
        <w:jc w:val="left"/>
        <w:rPr>
          <w:lang w:val="es-ES"/>
        </w:rPr>
      </w:pPr>
    </w:p>
    <w:p w14:paraId="43CB6FD7" w14:textId="77777777" w:rsidR="00CA4840" w:rsidRPr="00084D33" w:rsidRDefault="00CA4840" w:rsidP="007202A9">
      <w:pPr>
        <w:pStyle w:val="Ttulo3RdeC"/>
        <w:numPr>
          <w:ilvl w:val="3"/>
          <w:numId w:val="34"/>
        </w:numPr>
        <w:jc w:val="center"/>
        <w:rPr>
          <w:color w:val="767171"/>
        </w:rPr>
      </w:pPr>
      <w:r w:rsidRPr="00084D33">
        <w:rPr>
          <w:color w:val="767171"/>
        </w:rPr>
        <w:t>Mesa Técnica Sector Infraestructura de Obras Públicas y Comunicaciones</w:t>
      </w:r>
    </w:p>
    <w:p w14:paraId="6E8E76A0" w14:textId="77777777" w:rsidR="00CA4840" w:rsidRPr="00084D33" w:rsidRDefault="00CA4840" w:rsidP="00C4661A"/>
    <w:p w14:paraId="6A69CB10" w14:textId="77777777" w:rsidR="00CA4840" w:rsidRPr="00084D33" w:rsidRDefault="00CA4840" w:rsidP="00CA4840">
      <w:pPr>
        <w:rPr>
          <w:lang w:val="es-ES"/>
        </w:rPr>
      </w:pPr>
      <w:r w:rsidRPr="00084D33">
        <w:rPr>
          <w:lang w:val="es-ES"/>
        </w:rPr>
        <w:t>EL 24 de abril se celebró la primera reunión en búsqueda de conformar la Comisión para la Reforma y Modernización del Sector Obras Públicas y Comunicaciones. En la misma también quedó establecida la mesa técnica que iniciará con el proceso de Reforma y Modernización del Sector Obras Públicas, compuesta por las instituciones adscritas a nuestro ministerio: Departamento Aeroportuario (DA), Instituto Nacional de Transporte Terrestre (INTRANT), Instituto Postal Dominicano (INPOSDOM) y Operadora Metropolitana de Servicio de Autobuses (OMSA), para realizar:</w:t>
      </w:r>
    </w:p>
    <w:p w14:paraId="77A0173A"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La Sistematización del Diagnóstico Sectorial</w:t>
      </w:r>
    </w:p>
    <w:p w14:paraId="53A7F3EC"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Formular las líneas de acción por dimensión y lineamientos para la Reforma del Sector</w:t>
      </w:r>
    </w:p>
    <w:p w14:paraId="6D457548"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Socializar y mejorar los lineamientos para la Reforma del Sector</w:t>
      </w:r>
    </w:p>
    <w:p w14:paraId="1CB12F1D" w14:textId="77777777" w:rsidR="00CA4840" w:rsidRPr="00084D33" w:rsidRDefault="00CA4840"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Presentar propuesta de los lineamientos para la Reforma del Sector</w:t>
      </w:r>
    </w:p>
    <w:p w14:paraId="54692B00" w14:textId="3C2E51BE" w:rsidR="00CA4840" w:rsidRPr="00084D33" w:rsidRDefault="00CA4840" w:rsidP="00C4661A"/>
    <w:p w14:paraId="5802AC61" w14:textId="77777777" w:rsidR="00C4661A" w:rsidRPr="00084D33" w:rsidRDefault="00C4661A" w:rsidP="00C4661A"/>
    <w:p w14:paraId="61A37311" w14:textId="77777777" w:rsidR="00CA4840" w:rsidRPr="00084D33" w:rsidRDefault="00CA4840" w:rsidP="007202A9">
      <w:pPr>
        <w:pStyle w:val="Ttulo3RdeC"/>
        <w:numPr>
          <w:ilvl w:val="3"/>
          <w:numId w:val="34"/>
        </w:numPr>
        <w:jc w:val="center"/>
        <w:rPr>
          <w:color w:val="767171"/>
        </w:rPr>
      </w:pPr>
      <w:r w:rsidRPr="00084D33">
        <w:rPr>
          <w:color w:val="767171"/>
        </w:rPr>
        <w:t>Mejora de los procesos institucionales</w:t>
      </w:r>
    </w:p>
    <w:p w14:paraId="56824BBC" w14:textId="77777777" w:rsidR="00CA4840" w:rsidRPr="00084D33" w:rsidRDefault="00CA4840" w:rsidP="00C4661A"/>
    <w:p w14:paraId="5FA04F1A" w14:textId="77777777" w:rsidR="00CA4840" w:rsidRPr="00084D33" w:rsidRDefault="00CA4840" w:rsidP="00CA4840">
      <w:pPr>
        <w:rPr>
          <w:lang w:val="es-ES"/>
        </w:rPr>
      </w:pPr>
      <w:r w:rsidRPr="00084D33">
        <w:rPr>
          <w:lang w:val="es-ES"/>
        </w:rPr>
        <w:t>Dentro del proceso de adecuación de la estructura orgánica de la institución, se realizó el levantamiento y actualización de la estructura funcional del viceministerio de Supervisión y Fiscalización de Obras, con el propósito de eficientizar los procesos de obras viales que ejecuta este ministerio.</w:t>
      </w:r>
    </w:p>
    <w:p w14:paraId="1676342C" w14:textId="14050BE9" w:rsidR="009E04CF" w:rsidRPr="00084D33" w:rsidRDefault="009E04CF" w:rsidP="00BC67CE">
      <w:pPr>
        <w:pStyle w:val="Textoindependiente"/>
        <w:spacing w:line="360" w:lineRule="auto"/>
        <w:jc w:val="both"/>
        <w:rPr>
          <w:color w:val="767171"/>
        </w:rPr>
      </w:pPr>
      <w:r w:rsidRPr="00084D33">
        <w:rPr>
          <w:color w:val="767171"/>
        </w:rPr>
        <w:t>.</w:t>
      </w:r>
    </w:p>
    <w:p w14:paraId="7C0AEDA2" w14:textId="632A6256" w:rsidR="002871A3" w:rsidRPr="00084D33" w:rsidRDefault="002871A3" w:rsidP="007202A9">
      <w:pPr>
        <w:pStyle w:val="Lista2"/>
        <w:numPr>
          <w:ilvl w:val="1"/>
          <w:numId w:val="24"/>
        </w:numPr>
        <w:jc w:val="center"/>
        <w:rPr>
          <w:rFonts w:cs="Times New Roman"/>
          <w:b/>
        </w:rPr>
      </w:pPr>
      <w:r w:rsidRPr="00084D33">
        <w:rPr>
          <w:rFonts w:cs="Times New Roman"/>
          <w:b/>
        </w:rPr>
        <w:lastRenderedPageBreak/>
        <w:t>Desempeño del Área de Comunicaciones</w:t>
      </w:r>
    </w:p>
    <w:p w14:paraId="5A7AEA11" w14:textId="62EFC08B" w:rsidR="00DD48A0" w:rsidRPr="00084D33" w:rsidRDefault="00DD48A0" w:rsidP="0089327C">
      <w:pPr>
        <w:pStyle w:val="Textoindependiente"/>
        <w:spacing w:line="360" w:lineRule="auto"/>
        <w:jc w:val="both"/>
        <w:rPr>
          <w:color w:val="767171"/>
        </w:rPr>
      </w:pPr>
    </w:p>
    <w:p w14:paraId="01F7284B" w14:textId="6698E39C" w:rsidR="00102601" w:rsidRPr="00084D33" w:rsidRDefault="00102601" w:rsidP="00102601">
      <w:pPr>
        <w:pStyle w:val="Estilo-YBP-Normal-1"/>
        <w:rPr>
          <w:color w:val="767171"/>
          <w:szCs w:val="22"/>
        </w:rPr>
      </w:pPr>
      <w:bookmarkStart w:id="111" w:name="_Toc91143829"/>
      <w:r w:rsidRPr="00084D33">
        <w:rPr>
          <w:color w:val="767171"/>
        </w:rPr>
        <w:t xml:space="preserve">Las acciones ejecutadas por la Dirección General de Comunicaciones y Prensa del Ministerio de Obras Públicas y Comunicaciones (MOPC), durante el periodo </w:t>
      </w:r>
      <w:r w:rsidR="000A17C8" w:rsidRPr="00084D33">
        <w:rPr>
          <w:color w:val="767171"/>
        </w:rPr>
        <w:t>enero-diciembre</w:t>
      </w:r>
      <w:r w:rsidRPr="00084D33">
        <w:rPr>
          <w:color w:val="767171"/>
        </w:rPr>
        <w:t xml:space="preserve"> del 2024, se efectuaron con la finalidad de suministrar informaciones a los usuarios sobre los productos y servicios ejecutados o en proceso, facilitando por medio de canales optimizados de las redes sociales, los logros de la institución durante un periodo establecido, contribuyendo al desarrollo económico, social y por ende, a la mejora de la calidad de vida de los beneficiarios de los mismos.</w:t>
      </w:r>
    </w:p>
    <w:p w14:paraId="494AD2B5" w14:textId="30707F84" w:rsidR="00BB307E" w:rsidRPr="00084D33" w:rsidRDefault="00102601" w:rsidP="00EE2148">
      <w:pPr>
        <w:pStyle w:val="Estilo-YBP-Normal-1"/>
        <w:rPr>
          <w:color w:val="767171"/>
        </w:rPr>
      </w:pPr>
      <w:r w:rsidRPr="00084D33">
        <w:rPr>
          <w:color w:val="767171"/>
        </w:rPr>
        <w:t>A continuación, se detallan las estadísticas de las visitas de los ciudadanos registradas en el año 2024, por los diferentes medios digitales y/o redes disponibles del MOPC</w:t>
      </w:r>
      <w:r w:rsidR="0052194E" w:rsidRPr="00084D33">
        <w:rPr>
          <w:color w:val="767171"/>
        </w:rPr>
        <w:t>:</w:t>
      </w:r>
      <w:r w:rsidR="0026048E" w:rsidRPr="00084D33">
        <w:rPr>
          <w:color w:val="767171"/>
        </w:rPr>
        <w:t xml:space="preserve"> </w:t>
      </w:r>
      <w:bookmarkEnd w:id="111"/>
    </w:p>
    <w:p w14:paraId="47403D21" w14:textId="77777777" w:rsidR="00EE46BC" w:rsidRPr="00084D33" w:rsidRDefault="00EE46BC" w:rsidP="00BC67CE">
      <w:pPr>
        <w:rPr>
          <w:rFonts w:cs="Times New Roman"/>
          <w:lang w:val="es-ES"/>
        </w:rPr>
      </w:pPr>
    </w:p>
    <w:tbl>
      <w:tblPr>
        <w:tblW w:w="6120" w:type="dxa"/>
        <w:jc w:val="center"/>
        <w:tblCellMar>
          <w:left w:w="70" w:type="dxa"/>
          <w:right w:w="70" w:type="dxa"/>
        </w:tblCellMar>
        <w:tblLook w:val="04A0" w:firstRow="1" w:lastRow="0" w:firstColumn="1" w:lastColumn="0" w:noHBand="0" w:noVBand="1"/>
      </w:tblPr>
      <w:tblGrid>
        <w:gridCol w:w="3240"/>
        <w:gridCol w:w="2880"/>
      </w:tblGrid>
      <w:tr w:rsidR="00E426D5" w:rsidRPr="00084D33" w14:paraId="18144AF7" w14:textId="77777777" w:rsidTr="00E426D5">
        <w:trPr>
          <w:trHeight w:val="375"/>
          <w:jc w:val="center"/>
        </w:trPr>
        <w:tc>
          <w:tcPr>
            <w:tcW w:w="6120" w:type="dxa"/>
            <w:gridSpan w:val="2"/>
            <w:tcBorders>
              <w:top w:val="single" w:sz="4" w:space="0" w:color="003876"/>
              <w:left w:val="single" w:sz="4" w:space="0" w:color="003876"/>
              <w:bottom w:val="single" w:sz="4" w:space="0" w:color="FFFFFF"/>
              <w:right w:val="single" w:sz="4" w:space="0" w:color="003876"/>
            </w:tcBorders>
            <w:shd w:val="clear" w:color="000000" w:fill="003876"/>
            <w:vAlign w:val="center"/>
            <w:hideMark/>
          </w:tcPr>
          <w:p w14:paraId="1372041B" w14:textId="77777777" w:rsidR="00E426D5" w:rsidRPr="00084D33" w:rsidRDefault="00E426D5" w:rsidP="00E426D5">
            <w:pPr>
              <w:spacing w:line="240" w:lineRule="auto"/>
              <w:jc w:val="center"/>
              <w:rPr>
                <w:rFonts w:eastAsia="Times New Roman" w:cs="Times New Roman"/>
                <w:b/>
                <w:bCs/>
                <w:spacing w:val="0"/>
                <w:sz w:val="28"/>
                <w:szCs w:val="28"/>
                <w:lang w:eastAsia="es-DO"/>
              </w:rPr>
            </w:pPr>
            <w:r w:rsidRPr="00084D33">
              <w:rPr>
                <w:rFonts w:eastAsia="Times New Roman" w:cs="Times New Roman"/>
                <w:b/>
                <w:bCs/>
                <w:spacing w:val="0"/>
                <w:sz w:val="28"/>
                <w:szCs w:val="28"/>
                <w:lang w:eastAsia="es-DO"/>
              </w:rPr>
              <w:t>MOPC</w:t>
            </w:r>
          </w:p>
        </w:tc>
      </w:tr>
      <w:tr w:rsidR="00E426D5" w:rsidRPr="00084D33" w14:paraId="5A014419" w14:textId="77777777" w:rsidTr="00E426D5">
        <w:trPr>
          <w:trHeight w:val="300"/>
          <w:jc w:val="center"/>
        </w:trPr>
        <w:tc>
          <w:tcPr>
            <w:tcW w:w="3240" w:type="dxa"/>
            <w:vMerge w:val="restart"/>
            <w:tcBorders>
              <w:top w:val="nil"/>
              <w:left w:val="single" w:sz="4" w:space="0" w:color="003876"/>
              <w:bottom w:val="single" w:sz="4" w:space="0" w:color="FFFFFF"/>
              <w:right w:val="single" w:sz="4" w:space="0" w:color="FFFFFF"/>
            </w:tcBorders>
            <w:shd w:val="clear" w:color="000000" w:fill="003876"/>
            <w:vAlign w:val="center"/>
            <w:hideMark/>
          </w:tcPr>
          <w:p w14:paraId="5D8CA053" w14:textId="77777777" w:rsidR="00E426D5" w:rsidRPr="00084D33" w:rsidRDefault="00E426D5" w:rsidP="00E426D5">
            <w:pPr>
              <w:spacing w:line="240" w:lineRule="auto"/>
              <w:jc w:val="center"/>
              <w:rPr>
                <w:rFonts w:eastAsia="Times New Roman" w:cs="Times New Roman"/>
                <w:b/>
                <w:bCs/>
                <w:spacing w:val="0"/>
                <w:szCs w:val="24"/>
                <w:lang w:eastAsia="es-DO"/>
              </w:rPr>
            </w:pPr>
            <w:r w:rsidRPr="00084D33">
              <w:rPr>
                <w:rFonts w:eastAsia="Times New Roman" w:cs="Times New Roman"/>
                <w:b/>
                <w:bCs/>
                <w:spacing w:val="0"/>
                <w:szCs w:val="24"/>
                <w:lang w:eastAsia="es-DO"/>
              </w:rPr>
              <w:t>Redes</w:t>
            </w:r>
          </w:p>
        </w:tc>
        <w:tc>
          <w:tcPr>
            <w:tcW w:w="2880" w:type="dxa"/>
            <w:vMerge w:val="restart"/>
            <w:tcBorders>
              <w:top w:val="nil"/>
              <w:left w:val="single" w:sz="4" w:space="0" w:color="FFFFFF"/>
              <w:bottom w:val="single" w:sz="4" w:space="0" w:color="FFFFFF"/>
              <w:right w:val="single" w:sz="4" w:space="0" w:color="003876"/>
            </w:tcBorders>
            <w:shd w:val="clear" w:color="000000" w:fill="003876"/>
            <w:vAlign w:val="center"/>
            <w:hideMark/>
          </w:tcPr>
          <w:p w14:paraId="76EF6BA3" w14:textId="77777777" w:rsidR="00E426D5" w:rsidRPr="00084D33" w:rsidRDefault="00E426D5" w:rsidP="00E426D5">
            <w:pPr>
              <w:spacing w:line="240" w:lineRule="auto"/>
              <w:jc w:val="center"/>
              <w:rPr>
                <w:rFonts w:eastAsia="Times New Roman" w:cs="Times New Roman"/>
                <w:b/>
                <w:bCs/>
                <w:spacing w:val="0"/>
                <w:szCs w:val="24"/>
                <w:lang w:eastAsia="es-DO"/>
              </w:rPr>
            </w:pPr>
            <w:r w:rsidRPr="00084D33">
              <w:rPr>
                <w:rFonts w:eastAsia="Times New Roman" w:cs="Times New Roman"/>
                <w:b/>
                <w:bCs/>
                <w:spacing w:val="0"/>
                <w:szCs w:val="24"/>
                <w:lang w:eastAsia="es-DO"/>
              </w:rPr>
              <w:t>Cantidad de seguidores</w:t>
            </w:r>
          </w:p>
        </w:tc>
      </w:tr>
      <w:tr w:rsidR="00E426D5" w:rsidRPr="00084D33" w14:paraId="2E018B56" w14:textId="77777777" w:rsidTr="00E426D5">
        <w:trPr>
          <w:trHeight w:val="458"/>
          <w:jc w:val="center"/>
        </w:trPr>
        <w:tc>
          <w:tcPr>
            <w:tcW w:w="3240" w:type="dxa"/>
            <w:vMerge/>
            <w:tcBorders>
              <w:top w:val="nil"/>
              <w:left w:val="single" w:sz="4" w:space="0" w:color="003876"/>
              <w:bottom w:val="single" w:sz="4" w:space="0" w:color="FFFFFF"/>
              <w:right w:val="single" w:sz="4" w:space="0" w:color="FFFFFF"/>
            </w:tcBorders>
            <w:vAlign w:val="center"/>
            <w:hideMark/>
          </w:tcPr>
          <w:p w14:paraId="7D9E64E5" w14:textId="77777777" w:rsidR="00E426D5" w:rsidRPr="00084D33" w:rsidRDefault="00E426D5" w:rsidP="00E426D5">
            <w:pPr>
              <w:spacing w:line="240" w:lineRule="auto"/>
              <w:jc w:val="center"/>
              <w:rPr>
                <w:rFonts w:eastAsia="Times New Roman" w:cs="Times New Roman"/>
                <w:b/>
                <w:bCs/>
                <w:spacing w:val="0"/>
                <w:szCs w:val="24"/>
                <w:lang w:eastAsia="es-DO"/>
              </w:rPr>
            </w:pPr>
          </w:p>
        </w:tc>
        <w:tc>
          <w:tcPr>
            <w:tcW w:w="2880" w:type="dxa"/>
            <w:vMerge/>
            <w:tcBorders>
              <w:top w:val="nil"/>
              <w:left w:val="single" w:sz="4" w:space="0" w:color="FFFFFF"/>
              <w:bottom w:val="single" w:sz="4" w:space="0" w:color="FFFFFF"/>
              <w:right w:val="single" w:sz="4" w:space="0" w:color="003876"/>
            </w:tcBorders>
            <w:vAlign w:val="center"/>
            <w:hideMark/>
          </w:tcPr>
          <w:p w14:paraId="4091A206" w14:textId="77777777" w:rsidR="00E426D5" w:rsidRPr="00084D33" w:rsidRDefault="00E426D5" w:rsidP="00E426D5">
            <w:pPr>
              <w:spacing w:line="240" w:lineRule="auto"/>
              <w:jc w:val="center"/>
              <w:rPr>
                <w:rFonts w:eastAsia="Times New Roman" w:cs="Times New Roman"/>
                <w:b/>
                <w:bCs/>
                <w:spacing w:val="0"/>
                <w:szCs w:val="24"/>
                <w:lang w:eastAsia="es-DO"/>
              </w:rPr>
            </w:pPr>
          </w:p>
        </w:tc>
      </w:tr>
      <w:tr w:rsidR="00E426D5" w:rsidRPr="00084D33" w14:paraId="243ABDF5" w14:textId="77777777" w:rsidTr="00E426D5">
        <w:trPr>
          <w:trHeight w:val="315"/>
          <w:jc w:val="center"/>
        </w:trPr>
        <w:tc>
          <w:tcPr>
            <w:tcW w:w="324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C4B1CD7"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Facebook</w:t>
            </w:r>
          </w:p>
        </w:tc>
        <w:tc>
          <w:tcPr>
            <w:tcW w:w="2880" w:type="dxa"/>
            <w:tcBorders>
              <w:top w:val="single" w:sz="4" w:space="0" w:color="003876"/>
              <w:left w:val="nil"/>
              <w:bottom w:val="single" w:sz="4" w:space="0" w:color="003876"/>
              <w:right w:val="single" w:sz="4" w:space="0" w:color="003876"/>
            </w:tcBorders>
            <w:shd w:val="clear" w:color="auto" w:fill="auto"/>
            <w:vAlign w:val="center"/>
            <w:hideMark/>
          </w:tcPr>
          <w:p w14:paraId="389E193B"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36,192</w:t>
            </w:r>
          </w:p>
        </w:tc>
      </w:tr>
      <w:tr w:rsidR="00E426D5" w:rsidRPr="00084D33" w14:paraId="3BD5049C"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7C962B74"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Instagram</w:t>
            </w:r>
          </w:p>
        </w:tc>
        <w:tc>
          <w:tcPr>
            <w:tcW w:w="2880" w:type="dxa"/>
            <w:tcBorders>
              <w:top w:val="nil"/>
              <w:left w:val="nil"/>
              <w:bottom w:val="single" w:sz="4" w:space="0" w:color="003876"/>
              <w:right w:val="single" w:sz="4" w:space="0" w:color="003876"/>
            </w:tcBorders>
            <w:shd w:val="clear" w:color="auto" w:fill="auto"/>
            <w:vAlign w:val="center"/>
            <w:hideMark/>
          </w:tcPr>
          <w:p w14:paraId="280DFDF9"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175,110</w:t>
            </w:r>
          </w:p>
        </w:tc>
      </w:tr>
      <w:tr w:rsidR="00E426D5" w:rsidRPr="00084D33" w14:paraId="69A0946A"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761EB5A0"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Twitter</w:t>
            </w:r>
          </w:p>
        </w:tc>
        <w:tc>
          <w:tcPr>
            <w:tcW w:w="2880" w:type="dxa"/>
            <w:tcBorders>
              <w:top w:val="nil"/>
              <w:left w:val="nil"/>
              <w:bottom w:val="single" w:sz="4" w:space="0" w:color="003876"/>
              <w:right w:val="single" w:sz="4" w:space="0" w:color="003876"/>
            </w:tcBorders>
            <w:shd w:val="clear" w:color="auto" w:fill="auto"/>
            <w:vAlign w:val="center"/>
            <w:hideMark/>
          </w:tcPr>
          <w:p w14:paraId="132ABCFB"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32.321</w:t>
            </w:r>
          </w:p>
        </w:tc>
      </w:tr>
      <w:tr w:rsidR="00E426D5" w:rsidRPr="00084D33" w14:paraId="0134DC9A"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506A9F4B"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Linkedin</w:t>
            </w:r>
          </w:p>
        </w:tc>
        <w:tc>
          <w:tcPr>
            <w:tcW w:w="2880" w:type="dxa"/>
            <w:tcBorders>
              <w:top w:val="nil"/>
              <w:left w:val="nil"/>
              <w:bottom w:val="single" w:sz="4" w:space="0" w:color="003876"/>
              <w:right w:val="single" w:sz="4" w:space="0" w:color="003876"/>
            </w:tcBorders>
            <w:shd w:val="clear" w:color="auto" w:fill="auto"/>
            <w:vAlign w:val="center"/>
            <w:hideMark/>
          </w:tcPr>
          <w:p w14:paraId="256DD298"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N/A</w:t>
            </w:r>
          </w:p>
        </w:tc>
      </w:tr>
    </w:tbl>
    <w:p w14:paraId="51BFCFE9" w14:textId="77777777" w:rsidR="00E426D5" w:rsidRPr="00084D33" w:rsidRDefault="00E426D5">
      <w:r w:rsidRPr="00084D33">
        <w:br w:type="page"/>
      </w:r>
    </w:p>
    <w:tbl>
      <w:tblPr>
        <w:tblW w:w="6120" w:type="dxa"/>
        <w:jc w:val="center"/>
        <w:tblCellMar>
          <w:left w:w="70" w:type="dxa"/>
          <w:right w:w="70" w:type="dxa"/>
        </w:tblCellMar>
        <w:tblLook w:val="04A0" w:firstRow="1" w:lastRow="0" w:firstColumn="1" w:lastColumn="0" w:noHBand="0" w:noVBand="1"/>
      </w:tblPr>
      <w:tblGrid>
        <w:gridCol w:w="3240"/>
        <w:gridCol w:w="2880"/>
      </w:tblGrid>
      <w:tr w:rsidR="00E426D5" w:rsidRPr="00084D33" w14:paraId="28AE1F3A" w14:textId="77777777" w:rsidTr="00E426D5">
        <w:trPr>
          <w:trHeight w:val="315"/>
          <w:jc w:val="center"/>
        </w:trPr>
        <w:tc>
          <w:tcPr>
            <w:tcW w:w="3240" w:type="dxa"/>
            <w:tcBorders>
              <w:top w:val="nil"/>
              <w:left w:val="nil"/>
              <w:bottom w:val="nil"/>
              <w:right w:val="nil"/>
            </w:tcBorders>
            <w:shd w:val="clear" w:color="auto" w:fill="auto"/>
            <w:vAlign w:val="center"/>
            <w:hideMark/>
          </w:tcPr>
          <w:p w14:paraId="63FFA914" w14:textId="36DCDABA" w:rsidR="00E426D5" w:rsidRPr="00084D33" w:rsidRDefault="00E426D5" w:rsidP="00E426D5">
            <w:pPr>
              <w:spacing w:line="240" w:lineRule="auto"/>
              <w:jc w:val="center"/>
              <w:rPr>
                <w:rFonts w:eastAsia="Times New Roman" w:cs="Times New Roman"/>
                <w:spacing w:val="0"/>
                <w:szCs w:val="24"/>
                <w:lang w:eastAsia="es-DO"/>
              </w:rPr>
            </w:pPr>
          </w:p>
        </w:tc>
        <w:tc>
          <w:tcPr>
            <w:tcW w:w="2880" w:type="dxa"/>
            <w:tcBorders>
              <w:top w:val="nil"/>
              <w:left w:val="nil"/>
              <w:bottom w:val="nil"/>
              <w:right w:val="nil"/>
            </w:tcBorders>
            <w:shd w:val="clear" w:color="auto" w:fill="auto"/>
            <w:vAlign w:val="center"/>
            <w:hideMark/>
          </w:tcPr>
          <w:p w14:paraId="620659C1" w14:textId="77777777" w:rsidR="00E426D5" w:rsidRPr="00084D33" w:rsidRDefault="00E426D5" w:rsidP="00E426D5">
            <w:pPr>
              <w:spacing w:line="240" w:lineRule="auto"/>
              <w:jc w:val="center"/>
              <w:rPr>
                <w:rFonts w:eastAsia="Times New Roman" w:cs="Times New Roman"/>
                <w:spacing w:val="0"/>
                <w:sz w:val="20"/>
                <w:szCs w:val="20"/>
                <w:lang w:eastAsia="es-DO"/>
              </w:rPr>
            </w:pPr>
          </w:p>
        </w:tc>
      </w:tr>
      <w:tr w:rsidR="00E426D5" w:rsidRPr="00084D33" w14:paraId="3E276E38" w14:textId="77777777" w:rsidTr="00E426D5">
        <w:trPr>
          <w:trHeight w:val="375"/>
          <w:jc w:val="center"/>
        </w:trPr>
        <w:tc>
          <w:tcPr>
            <w:tcW w:w="6120" w:type="dxa"/>
            <w:gridSpan w:val="2"/>
            <w:tcBorders>
              <w:top w:val="single" w:sz="4" w:space="0" w:color="003876"/>
              <w:left w:val="single" w:sz="4" w:space="0" w:color="003876"/>
              <w:bottom w:val="single" w:sz="4" w:space="0" w:color="FFFFFF"/>
              <w:right w:val="single" w:sz="4" w:space="0" w:color="003876"/>
            </w:tcBorders>
            <w:shd w:val="clear" w:color="000000" w:fill="003876"/>
            <w:vAlign w:val="center"/>
            <w:hideMark/>
          </w:tcPr>
          <w:p w14:paraId="3AF0ACF1" w14:textId="77777777" w:rsidR="00E426D5" w:rsidRPr="00084D33" w:rsidRDefault="00E426D5" w:rsidP="00E426D5">
            <w:pPr>
              <w:spacing w:line="240" w:lineRule="auto"/>
              <w:jc w:val="center"/>
              <w:rPr>
                <w:rFonts w:eastAsia="Times New Roman" w:cs="Times New Roman"/>
                <w:b/>
                <w:bCs/>
                <w:spacing w:val="0"/>
                <w:sz w:val="28"/>
                <w:szCs w:val="28"/>
                <w:lang w:eastAsia="es-DO"/>
              </w:rPr>
            </w:pPr>
            <w:r w:rsidRPr="00084D33">
              <w:rPr>
                <w:rFonts w:eastAsia="Times New Roman" w:cs="Times New Roman"/>
                <w:b/>
                <w:bCs/>
                <w:spacing w:val="0"/>
                <w:sz w:val="28"/>
                <w:szCs w:val="28"/>
                <w:lang w:eastAsia="es-DO"/>
              </w:rPr>
              <w:t>COMIPOL</w:t>
            </w:r>
          </w:p>
        </w:tc>
      </w:tr>
      <w:tr w:rsidR="00E426D5" w:rsidRPr="00084D33" w14:paraId="46F2FE90" w14:textId="77777777" w:rsidTr="00E426D5">
        <w:trPr>
          <w:trHeight w:val="300"/>
          <w:jc w:val="center"/>
        </w:trPr>
        <w:tc>
          <w:tcPr>
            <w:tcW w:w="3240" w:type="dxa"/>
            <w:vMerge w:val="restart"/>
            <w:tcBorders>
              <w:top w:val="nil"/>
              <w:left w:val="single" w:sz="4" w:space="0" w:color="003876"/>
              <w:bottom w:val="single" w:sz="4" w:space="0" w:color="FFFFFF"/>
              <w:right w:val="single" w:sz="4" w:space="0" w:color="FFFFFF"/>
            </w:tcBorders>
            <w:shd w:val="clear" w:color="000000" w:fill="003876"/>
            <w:vAlign w:val="center"/>
            <w:hideMark/>
          </w:tcPr>
          <w:p w14:paraId="09BC3DED" w14:textId="77777777" w:rsidR="00E426D5" w:rsidRPr="00084D33" w:rsidRDefault="00E426D5" w:rsidP="00E426D5">
            <w:pPr>
              <w:spacing w:line="240" w:lineRule="auto"/>
              <w:jc w:val="center"/>
              <w:rPr>
                <w:rFonts w:eastAsia="Times New Roman" w:cs="Times New Roman"/>
                <w:b/>
                <w:bCs/>
                <w:spacing w:val="0"/>
                <w:szCs w:val="24"/>
                <w:lang w:eastAsia="es-DO"/>
              </w:rPr>
            </w:pPr>
            <w:r w:rsidRPr="00084D33">
              <w:rPr>
                <w:rFonts w:eastAsia="Times New Roman" w:cs="Times New Roman"/>
                <w:b/>
                <w:bCs/>
                <w:spacing w:val="0"/>
                <w:szCs w:val="24"/>
                <w:lang w:eastAsia="es-DO"/>
              </w:rPr>
              <w:t>Redes</w:t>
            </w:r>
          </w:p>
        </w:tc>
        <w:tc>
          <w:tcPr>
            <w:tcW w:w="2880" w:type="dxa"/>
            <w:vMerge w:val="restart"/>
            <w:tcBorders>
              <w:top w:val="nil"/>
              <w:left w:val="single" w:sz="4" w:space="0" w:color="FFFFFF"/>
              <w:bottom w:val="single" w:sz="4" w:space="0" w:color="FFFFFF"/>
              <w:right w:val="single" w:sz="4" w:space="0" w:color="003876"/>
            </w:tcBorders>
            <w:shd w:val="clear" w:color="000000" w:fill="003876"/>
            <w:vAlign w:val="center"/>
            <w:hideMark/>
          </w:tcPr>
          <w:p w14:paraId="15A06FF0" w14:textId="77777777" w:rsidR="00E426D5" w:rsidRPr="00084D33" w:rsidRDefault="00E426D5" w:rsidP="00E426D5">
            <w:pPr>
              <w:spacing w:line="240" w:lineRule="auto"/>
              <w:jc w:val="center"/>
              <w:rPr>
                <w:rFonts w:eastAsia="Times New Roman" w:cs="Times New Roman"/>
                <w:b/>
                <w:bCs/>
                <w:spacing w:val="0"/>
                <w:szCs w:val="24"/>
                <w:lang w:eastAsia="es-DO"/>
              </w:rPr>
            </w:pPr>
            <w:r w:rsidRPr="00084D33">
              <w:rPr>
                <w:rFonts w:eastAsia="Times New Roman" w:cs="Times New Roman"/>
                <w:b/>
                <w:bCs/>
                <w:spacing w:val="0"/>
                <w:szCs w:val="24"/>
                <w:lang w:eastAsia="es-DO"/>
              </w:rPr>
              <w:t>Cantidad de seguidores</w:t>
            </w:r>
          </w:p>
        </w:tc>
      </w:tr>
      <w:tr w:rsidR="00E426D5" w:rsidRPr="00084D33" w14:paraId="41CAC26E" w14:textId="77777777" w:rsidTr="00E426D5">
        <w:trPr>
          <w:trHeight w:val="458"/>
          <w:jc w:val="center"/>
        </w:trPr>
        <w:tc>
          <w:tcPr>
            <w:tcW w:w="3240" w:type="dxa"/>
            <w:vMerge/>
            <w:tcBorders>
              <w:top w:val="nil"/>
              <w:left w:val="single" w:sz="4" w:space="0" w:color="003876"/>
              <w:bottom w:val="single" w:sz="4" w:space="0" w:color="FFFFFF"/>
              <w:right w:val="single" w:sz="4" w:space="0" w:color="FFFFFF"/>
            </w:tcBorders>
            <w:vAlign w:val="center"/>
            <w:hideMark/>
          </w:tcPr>
          <w:p w14:paraId="731CB2E0" w14:textId="77777777" w:rsidR="00E426D5" w:rsidRPr="00084D33" w:rsidRDefault="00E426D5" w:rsidP="00E426D5">
            <w:pPr>
              <w:spacing w:line="240" w:lineRule="auto"/>
              <w:jc w:val="center"/>
              <w:rPr>
                <w:rFonts w:eastAsia="Times New Roman" w:cs="Times New Roman"/>
                <w:b/>
                <w:bCs/>
                <w:spacing w:val="0"/>
                <w:szCs w:val="24"/>
                <w:lang w:eastAsia="es-DO"/>
              </w:rPr>
            </w:pPr>
          </w:p>
        </w:tc>
        <w:tc>
          <w:tcPr>
            <w:tcW w:w="2880" w:type="dxa"/>
            <w:vMerge/>
            <w:tcBorders>
              <w:top w:val="nil"/>
              <w:left w:val="single" w:sz="4" w:space="0" w:color="FFFFFF"/>
              <w:bottom w:val="single" w:sz="4" w:space="0" w:color="FFFFFF"/>
              <w:right w:val="single" w:sz="4" w:space="0" w:color="003876"/>
            </w:tcBorders>
            <w:vAlign w:val="center"/>
            <w:hideMark/>
          </w:tcPr>
          <w:p w14:paraId="2F07300A" w14:textId="77777777" w:rsidR="00E426D5" w:rsidRPr="00084D33" w:rsidRDefault="00E426D5" w:rsidP="00E426D5">
            <w:pPr>
              <w:spacing w:line="240" w:lineRule="auto"/>
              <w:jc w:val="center"/>
              <w:rPr>
                <w:rFonts w:eastAsia="Times New Roman" w:cs="Times New Roman"/>
                <w:b/>
                <w:bCs/>
                <w:spacing w:val="0"/>
                <w:szCs w:val="24"/>
                <w:lang w:eastAsia="es-DO"/>
              </w:rPr>
            </w:pPr>
          </w:p>
        </w:tc>
      </w:tr>
      <w:tr w:rsidR="00E426D5" w:rsidRPr="00084D33" w14:paraId="113F3FE8" w14:textId="77777777" w:rsidTr="00E426D5">
        <w:trPr>
          <w:trHeight w:val="315"/>
          <w:jc w:val="center"/>
        </w:trPr>
        <w:tc>
          <w:tcPr>
            <w:tcW w:w="324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A91C4CA"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Facebook</w:t>
            </w:r>
          </w:p>
        </w:tc>
        <w:tc>
          <w:tcPr>
            <w:tcW w:w="2880" w:type="dxa"/>
            <w:tcBorders>
              <w:top w:val="single" w:sz="4" w:space="0" w:color="003876"/>
              <w:left w:val="nil"/>
              <w:bottom w:val="single" w:sz="4" w:space="0" w:color="003876"/>
              <w:right w:val="single" w:sz="4" w:space="0" w:color="003876"/>
            </w:tcBorders>
            <w:shd w:val="clear" w:color="auto" w:fill="auto"/>
            <w:vAlign w:val="center"/>
            <w:hideMark/>
          </w:tcPr>
          <w:p w14:paraId="65373027"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8,921</w:t>
            </w:r>
          </w:p>
        </w:tc>
      </w:tr>
      <w:tr w:rsidR="00E426D5" w:rsidRPr="00084D33" w14:paraId="4291768B"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428364CC"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Instagram</w:t>
            </w:r>
          </w:p>
        </w:tc>
        <w:tc>
          <w:tcPr>
            <w:tcW w:w="2880" w:type="dxa"/>
            <w:tcBorders>
              <w:top w:val="nil"/>
              <w:left w:val="nil"/>
              <w:bottom w:val="single" w:sz="4" w:space="0" w:color="003876"/>
              <w:right w:val="single" w:sz="4" w:space="0" w:color="003876"/>
            </w:tcBorders>
            <w:shd w:val="clear" w:color="auto" w:fill="auto"/>
            <w:vAlign w:val="center"/>
            <w:hideMark/>
          </w:tcPr>
          <w:p w14:paraId="45BEC4D2"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38,020</w:t>
            </w:r>
          </w:p>
        </w:tc>
      </w:tr>
      <w:tr w:rsidR="00E426D5" w:rsidRPr="00084D33" w14:paraId="3F007812"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617D8C8F"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Twitter</w:t>
            </w:r>
          </w:p>
        </w:tc>
        <w:tc>
          <w:tcPr>
            <w:tcW w:w="2880" w:type="dxa"/>
            <w:tcBorders>
              <w:top w:val="nil"/>
              <w:left w:val="nil"/>
              <w:bottom w:val="single" w:sz="4" w:space="0" w:color="003876"/>
              <w:right w:val="single" w:sz="4" w:space="0" w:color="003876"/>
            </w:tcBorders>
            <w:shd w:val="clear" w:color="auto" w:fill="auto"/>
            <w:vAlign w:val="center"/>
            <w:hideMark/>
          </w:tcPr>
          <w:p w14:paraId="28863087"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19,217</w:t>
            </w:r>
          </w:p>
        </w:tc>
      </w:tr>
      <w:tr w:rsidR="00E426D5" w:rsidRPr="00084D33" w14:paraId="634CD157"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100B19E4"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Linkedin</w:t>
            </w:r>
          </w:p>
        </w:tc>
        <w:tc>
          <w:tcPr>
            <w:tcW w:w="2880" w:type="dxa"/>
            <w:tcBorders>
              <w:top w:val="nil"/>
              <w:left w:val="nil"/>
              <w:bottom w:val="single" w:sz="4" w:space="0" w:color="003876"/>
              <w:right w:val="single" w:sz="4" w:space="0" w:color="003876"/>
            </w:tcBorders>
            <w:shd w:val="clear" w:color="auto" w:fill="auto"/>
            <w:vAlign w:val="center"/>
            <w:hideMark/>
          </w:tcPr>
          <w:p w14:paraId="14ED0105"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N/A</w:t>
            </w:r>
          </w:p>
        </w:tc>
      </w:tr>
      <w:tr w:rsidR="00E426D5" w:rsidRPr="00084D33" w14:paraId="296547E8" w14:textId="77777777" w:rsidTr="00E426D5">
        <w:trPr>
          <w:trHeight w:val="300"/>
          <w:jc w:val="center"/>
        </w:trPr>
        <w:tc>
          <w:tcPr>
            <w:tcW w:w="3240" w:type="dxa"/>
            <w:tcBorders>
              <w:top w:val="nil"/>
              <w:left w:val="nil"/>
              <w:bottom w:val="nil"/>
              <w:right w:val="nil"/>
            </w:tcBorders>
            <w:shd w:val="clear" w:color="auto" w:fill="auto"/>
            <w:noWrap/>
            <w:vAlign w:val="bottom"/>
            <w:hideMark/>
          </w:tcPr>
          <w:p w14:paraId="1507DD1C" w14:textId="77777777" w:rsidR="00E426D5" w:rsidRPr="00084D33" w:rsidRDefault="00E426D5" w:rsidP="00E426D5">
            <w:pPr>
              <w:spacing w:line="240" w:lineRule="auto"/>
              <w:jc w:val="center"/>
              <w:rPr>
                <w:rFonts w:eastAsia="Times New Roman" w:cs="Times New Roman"/>
                <w:spacing w:val="0"/>
                <w:szCs w:val="24"/>
                <w:lang w:eastAsia="es-DO"/>
              </w:rPr>
            </w:pPr>
          </w:p>
        </w:tc>
        <w:tc>
          <w:tcPr>
            <w:tcW w:w="2880" w:type="dxa"/>
            <w:tcBorders>
              <w:top w:val="nil"/>
              <w:left w:val="nil"/>
              <w:bottom w:val="nil"/>
              <w:right w:val="nil"/>
            </w:tcBorders>
            <w:shd w:val="clear" w:color="auto" w:fill="auto"/>
            <w:noWrap/>
            <w:vAlign w:val="bottom"/>
            <w:hideMark/>
          </w:tcPr>
          <w:p w14:paraId="69BA413A" w14:textId="77777777" w:rsidR="00E426D5" w:rsidRPr="00084D33" w:rsidRDefault="00E426D5" w:rsidP="00E426D5">
            <w:pPr>
              <w:spacing w:line="240" w:lineRule="auto"/>
              <w:jc w:val="center"/>
              <w:rPr>
                <w:rFonts w:eastAsia="Times New Roman" w:cs="Times New Roman"/>
                <w:spacing w:val="0"/>
                <w:sz w:val="20"/>
                <w:szCs w:val="20"/>
                <w:lang w:eastAsia="es-DO"/>
              </w:rPr>
            </w:pPr>
          </w:p>
        </w:tc>
      </w:tr>
      <w:tr w:rsidR="00E426D5" w:rsidRPr="00084D33" w14:paraId="48018721" w14:textId="77777777" w:rsidTr="00E426D5">
        <w:trPr>
          <w:trHeight w:val="375"/>
          <w:jc w:val="center"/>
        </w:trPr>
        <w:tc>
          <w:tcPr>
            <w:tcW w:w="6120" w:type="dxa"/>
            <w:gridSpan w:val="2"/>
            <w:tcBorders>
              <w:top w:val="single" w:sz="4" w:space="0" w:color="003876"/>
              <w:left w:val="single" w:sz="4" w:space="0" w:color="003876"/>
              <w:bottom w:val="single" w:sz="4" w:space="0" w:color="FFFFFF"/>
              <w:right w:val="single" w:sz="4" w:space="0" w:color="003876"/>
            </w:tcBorders>
            <w:shd w:val="clear" w:color="000000" w:fill="003876"/>
            <w:vAlign w:val="center"/>
            <w:hideMark/>
          </w:tcPr>
          <w:p w14:paraId="2D845018" w14:textId="77777777" w:rsidR="00E426D5" w:rsidRPr="00084D33" w:rsidRDefault="00E426D5" w:rsidP="00E426D5">
            <w:pPr>
              <w:spacing w:line="240" w:lineRule="auto"/>
              <w:jc w:val="center"/>
              <w:rPr>
                <w:rFonts w:eastAsia="Times New Roman" w:cs="Times New Roman"/>
                <w:b/>
                <w:bCs/>
                <w:spacing w:val="0"/>
                <w:sz w:val="28"/>
                <w:szCs w:val="28"/>
                <w:lang w:eastAsia="es-DO"/>
              </w:rPr>
            </w:pPr>
            <w:r w:rsidRPr="00084D33">
              <w:rPr>
                <w:rFonts w:eastAsia="Times New Roman" w:cs="Times New Roman"/>
                <w:b/>
                <w:bCs/>
                <w:spacing w:val="0"/>
                <w:sz w:val="28"/>
                <w:szCs w:val="28"/>
                <w:lang w:eastAsia="es-DO"/>
              </w:rPr>
              <w:t>RD VIAL</w:t>
            </w:r>
          </w:p>
        </w:tc>
      </w:tr>
      <w:tr w:rsidR="00E426D5" w:rsidRPr="00084D33" w14:paraId="05409CEA" w14:textId="77777777" w:rsidTr="00E426D5">
        <w:trPr>
          <w:trHeight w:val="300"/>
          <w:jc w:val="center"/>
        </w:trPr>
        <w:tc>
          <w:tcPr>
            <w:tcW w:w="3240" w:type="dxa"/>
            <w:vMerge w:val="restart"/>
            <w:tcBorders>
              <w:top w:val="nil"/>
              <w:left w:val="single" w:sz="4" w:space="0" w:color="003876"/>
              <w:bottom w:val="single" w:sz="4" w:space="0" w:color="003876"/>
              <w:right w:val="single" w:sz="4" w:space="0" w:color="FFFFFF"/>
            </w:tcBorders>
            <w:shd w:val="clear" w:color="000000" w:fill="003876"/>
            <w:vAlign w:val="center"/>
            <w:hideMark/>
          </w:tcPr>
          <w:p w14:paraId="7DA9D1BB" w14:textId="77777777" w:rsidR="00E426D5" w:rsidRPr="00084D33" w:rsidRDefault="00E426D5" w:rsidP="00E426D5">
            <w:pPr>
              <w:spacing w:line="240" w:lineRule="auto"/>
              <w:jc w:val="center"/>
              <w:rPr>
                <w:rFonts w:eastAsia="Times New Roman" w:cs="Times New Roman"/>
                <w:b/>
                <w:bCs/>
                <w:spacing w:val="0"/>
                <w:szCs w:val="24"/>
                <w:lang w:eastAsia="es-DO"/>
              </w:rPr>
            </w:pPr>
            <w:r w:rsidRPr="00084D33">
              <w:rPr>
                <w:rFonts w:eastAsia="Times New Roman" w:cs="Times New Roman"/>
                <w:b/>
                <w:bCs/>
                <w:spacing w:val="0"/>
                <w:szCs w:val="24"/>
                <w:lang w:eastAsia="es-DO"/>
              </w:rPr>
              <w:t>Redes</w:t>
            </w:r>
          </w:p>
        </w:tc>
        <w:tc>
          <w:tcPr>
            <w:tcW w:w="2880" w:type="dxa"/>
            <w:vMerge w:val="restart"/>
            <w:tcBorders>
              <w:top w:val="nil"/>
              <w:left w:val="single" w:sz="4" w:space="0" w:color="FFFFFF"/>
              <w:bottom w:val="single" w:sz="4" w:space="0" w:color="003876"/>
              <w:right w:val="single" w:sz="4" w:space="0" w:color="003876"/>
            </w:tcBorders>
            <w:shd w:val="clear" w:color="000000" w:fill="003876"/>
            <w:vAlign w:val="center"/>
            <w:hideMark/>
          </w:tcPr>
          <w:p w14:paraId="76DFDD7B" w14:textId="77777777" w:rsidR="00E426D5" w:rsidRPr="00084D33" w:rsidRDefault="00E426D5" w:rsidP="00E426D5">
            <w:pPr>
              <w:spacing w:line="240" w:lineRule="auto"/>
              <w:jc w:val="center"/>
              <w:rPr>
                <w:rFonts w:eastAsia="Times New Roman" w:cs="Times New Roman"/>
                <w:b/>
                <w:bCs/>
                <w:spacing w:val="0"/>
                <w:szCs w:val="24"/>
                <w:lang w:eastAsia="es-DO"/>
              </w:rPr>
            </w:pPr>
            <w:r w:rsidRPr="00084D33">
              <w:rPr>
                <w:rFonts w:eastAsia="Times New Roman" w:cs="Times New Roman"/>
                <w:b/>
                <w:bCs/>
                <w:spacing w:val="0"/>
                <w:szCs w:val="24"/>
                <w:lang w:eastAsia="es-DO"/>
              </w:rPr>
              <w:t>Cantidad de seguidores</w:t>
            </w:r>
          </w:p>
        </w:tc>
      </w:tr>
      <w:tr w:rsidR="00E426D5" w:rsidRPr="00084D33" w14:paraId="7F28CBED" w14:textId="77777777" w:rsidTr="00E426D5">
        <w:trPr>
          <w:trHeight w:val="458"/>
          <w:jc w:val="center"/>
        </w:trPr>
        <w:tc>
          <w:tcPr>
            <w:tcW w:w="3240" w:type="dxa"/>
            <w:vMerge/>
            <w:tcBorders>
              <w:top w:val="nil"/>
              <w:left w:val="single" w:sz="4" w:space="0" w:color="003876"/>
              <w:bottom w:val="single" w:sz="4" w:space="0" w:color="003876"/>
              <w:right w:val="single" w:sz="4" w:space="0" w:color="FFFFFF"/>
            </w:tcBorders>
            <w:vAlign w:val="center"/>
            <w:hideMark/>
          </w:tcPr>
          <w:p w14:paraId="1AD07FC6" w14:textId="77777777" w:rsidR="00E426D5" w:rsidRPr="00084D33" w:rsidRDefault="00E426D5" w:rsidP="00E426D5">
            <w:pPr>
              <w:spacing w:line="240" w:lineRule="auto"/>
              <w:jc w:val="center"/>
              <w:rPr>
                <w:rFonts w:eastAsia="Times New Roman" w:cs="Times New Roman"/>
                <w:b/>
                <w:bCs/>
                <w:spacing w:val="0"/>
                <w:szCs w:val="24"/>
                <w:lang w:eastAsia="es-DO"/>
              </w:rPr>
            </w:pPr>
          </w:p>
        </w:tc>
        <w:tc>
          <w:tcPr>
            <w:tcW w:w="2880" w:type="dxa"/>
            <w:vMerge/>
            <w:tcBorders>
              <w:top w:val="nil"/>
              <w:left w:val="single" w:sz="4" w:space="0" w:color="FFFFFF"/>
              <w:bottom w:val="single" w:sz="4" w:space="0" w:color="003876"/>
              <w:right w:val="single" w:sz="4" w:space="0" w:color="003876"/>
            </w:tcBorders>
            <w:vAlign w:val="center"/>
            <w:hideMark/>
          </w:tcPr>
          <w:p w14:paraId="4BC27C56" w14:textId="77777777" w:rsidR="00E426D5" w:rsidRPr="00084D33" w:rsidRDefault="00E426D5" w:rsidP="00E426D5">
            <w:pPr>
              <w:spacing w:line="240" w:lineRule="auto"/>
              <w:jc w:val="center"/>
              <w:rPr>
                <w:rFonts w:eastAsia="Times New Roman" w:cs="Times New Roman"/>
                <w:b/>
                <w:bCs/>
                <w:spacing w:val="0"/>
                <w:szCs w:val="24"/>
                <w:lang w:eastAsia="es-DO"/>
              </w:rPr>
            </w:pPr>
          </w:p>
        </w:tc>
      </w:tr>
      <w:tr w:rsidR="00E426D5" w:rsidRPr="00084D33" w14:paraId="64B478B7"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5B243763"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Facebook</w:t>
            </w:r>
          </w:p>
        </w:tc>
        <w:tc>
          <w:tcPr>
            <w:tcW w:w="2880" w:type="dxa"/>
            <w:tcBorders>
              <w:top w:val="nil"/>
              <w:left w:val="nil"/>
              <w:bottom w:val="single" w:sz="4" w:space="0" w:color="003876"/>
              <w:right w:val="single" w:sz="4" w:space="0" w:color="003876"/>
            </w:tcBorders>
            <w:shd w:val="clear" w:color="auto" w:fill="auto"/>
            <w:vAlign w:val="center"/>
            <w:hideMark/>
          </w:tcPr>
          <w:p w14:paraId="176DA736"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4.405</w:t>
            </w:r>
          </w:p>
        </w:tc>
      </w:tr>
      <w:tr w:rsidR="00E426D5" w:rsidRPr="00084D33" w14:paraId="332D412B"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7A87E3DC"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Instagram</w:t>
            </w:r>
          </w:p>
        </w:tc>
        <w:tc>
          <w:tcPr>
            <w:tcW w:w="2880" w:type="dxa"/>
            <w:tcBorders>
              <w:top w:val="nil"/>
              <w:left w:val="nil"/>
              <w:bottom w:val="single" w:sz="4" w:space="0" w:color="003876"/>
              <w:right w:val="single" w:sz="4" w:space="0" w:color="003876"/>
            </w:tcBorders>
            <w:shd w:val="clear" w:color="auto" w:fill="auto"/>
            <w:vAlign w:val="center"/>
            <w:hideMark/>
          </w:tcPr>
          <w:p w14:paraId="4A3D77E4"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29.417</w:t>
            </w:r>
          </w:p>
        </w:tc>
      </w:tr>
      <w:tr w:rsidR="00E426D5" w:rsidRPr="00084D33" w14:paraId="6FB455FE"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6A29D234"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Twitter</w:t>
            </w:r>
          </w:p>
        </w:tc>
        <w:tc>
          <w:tcPr>
            <w:tcW w:w="2880" w:type="dxa"/>
            <w:tcBorders>
              <w:top w:val="nil"/>
              <w:left w:val="nil"/>
              <w:bottom w:val="single" w:sz="4" w:space="0" w:color="003876"/>
              <w:right w:val="single" w:sz="4" w:space="0" w:color="003876"/>
            </w:tcBorders>
            <w:shd w:val="clear" w:color="auto" w:fill="auto"/>
            <w:vAlign w:val="center"/>
            <w:hideMark/>
          </w:tcPr>
          <w:p w14:paraId="61720EF2"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18,200</w:t>
            </w:r>
          </w:p>
        </w:tc>
      </w:tr>
      <w:tr w:rsidR="00E426D5" w:rsidRPr="00084D33" w14:paraId="647212FA"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7453E9AE"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Linkedin</w:t>
            </w:r>
          </w:p>
        </w:tc>
        <w:tc>
          <w:tcPr>
            <w:tcW w:w="2880" w:type="dxa"/>
            <w:tcBorders>
              <w:top w:val="nil"/>
              <w:left w:val="nil"/>
              <w:bottom w:val="single" w:sz="4" w:space="0" w:color="003876"/>
              <w:right w:val="single" w:sz="4" w:space="0" w:color="003876"/>
            </w:tcBorders>
            <w:shd w:val="clear" w:color="auto" w:fill="auto"/>
            <w:vAlign w:val="center"/>
            <w:hideMark/>
          </w:tcPr>
          <w:p w14:paraId="5238B484"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N/A</w:t>
            </w:r>
          </w:p>
        </w:tc>
      </w:tr>
      <w:tr w:rsidR="00E426D5" w:rsidRPr="00084D33" w14:paraId="6FB61440" w14:textId="77777777" w:rsidTr="00E426D5">
        <w:trPr>
          <w:trHeight w:val="300"/>
          <w:jc w:val="center"/>
        </w:trPr>
        <w:tc>
          <w:tcPr>
            <w:tcW w:w="3240" w:type="dxa"/>
            <w:tcBorders>
              <w:top w:val="nil"/>
              <w:left w:val="nil"/>
              <w:bottom w:val="nil"/>
              <w:right w:val="nil"/>
            </w:tcBorders>
            <w:shd w:val="clear" w:color="auto" w:fill="auto"/>
            <w:noWrap/>
            <w:vAlign w:val="bottom"/>
            <w:hideMark/>
          </w:tcPr>
          <w:p w14:paraId="074EF7A9" w14:textId="77777777" w:rsidR="00E426D5" w:rsidRPr="00084D33" w:rsidRDefault="00E426D5" w:rsidP="00E426D5">
            <w:pPr>
              <w:spacing w:line="240" w:lineRule="auto"/>
              <w:jc w:val="center"/>
              <w:rPr>
                <w:rFonts w:eastAsia="Times New Roman" w:cs="Times New Roman"/>
                <w:spacing w:val="0"/>
                <w:szCs w:val="24"/>
                <w:lang w:eastAsia="es-DO"/>
              </w:rPr>
            </w:pPr>
          </w:p>
        </w:tc>
        <w:tc>
          <w:tcPr>
            <w:tcW w:w="2880" w:type="dxa"/>
            <w:tcBorders>
              <w:top w:val="nil"/>
              <w:left w:val="nil"/>
              <w:bottom w:val="nil"/>
              <w:right w:val="nil"/>
            </w:tcBorders>
            <w:shd w:val="clear" w:color="auto" w:fill="auto"/>
            <w:noWrap/>
            <w:vAlign w:val="bottom"/>
            <w:hideMark/>
          </w:tcPr>
          <w:p w14:paraId="7B7FC504" w14:textId="77777777" w:rsidR="00E426D5" w:rsidRPr="00084D33" w:rsidRDefault="00E426D5" w:rsidP="00E426D5">
            <w:pPr>
              <w:spacing w:line="240" w:lineRule="auto"/>
              <w:jc w:val="center"/>
              <w:rPr>
                <w:rFonts w:eastAsia="Times New Roman" w:cs="Times New Roman"/>
                <w:spacing w:val="0"/>
                <w:sz w:val="20"/>
                <w:szCs w:val="20"/>
                <w:lang w:eastAsia="es-DO"/>
              </w:rPr>
            </w:pPr>
          </w:p>
        </w:tc>
      </w:tr>
      <w:tr w:rsidR="00E426D5" w:rsidRPr="00084D33" w14:paraId="5874658C" w14:textId="77777777" w:rsidTr="00E426D5">
        <w:trPr>
          <w:trHeight w:val="375"/>
          <w:jc w:val="center"/>
        </w:trPr>
        <w:tc>
          <w:tcPr>
            <w:tcW w:w="6120" w:type="dxa"/>
            <w:gridSpan w:val="2"/>
            <w:tcBorders>
              <w:top w:val="single" w:sz="4" w:space="0" w:color="003876"/>
              <w:left w:val="single" w:sz="4" w:space="0" w:color="003876"/>
              <w:bottom w:val="single" w:sz="4" w:space="0" w:color="FFFFFF"/>
              <w:right w:val="single" w:sz="4" w:space="0" w:color="003876"/>
            </w:tcBorders>
            <w:shd w:val="clear" w:color="000000" w:fill="003876"/>
            <w:vAlign w:val="center"/>
            <w:hideMark/>
          </w:tcPr>
          <w:p w14:paraId="3733C75F" w14:textId="77777777" w:rsidR="00E426D5" w:rsidRPr="00084D33" w:rsidRDefault="00E426D5" w:rsidP="00E426D5">
            <w:pPr>
              <w:spacing w:line="240" w:lineRule="auto"/>
              <w:jc w:val="center"/>
              <w:rPr>
                <w:rFonts w:eastAsia="Times New Roman" w:cs="Times New Roman"/>
                <w:b/>
                <w:bCs/>
                <w:spacing w:val="0"/>
                <w:sz w:val="28"/>
                <w:szCs w:val="28"/>
                <w:lang w:eastAsia="es-DO"/>
              </w:rPr>
            </w:pPr>
            <w:r w:rsidRPr="00084D33">
              <w:rPr>
                <w:rFonts w:eastAsia="Times New Roman" w:cs="Times New Roman"/>
                <w:b/>
                <w:bCs/>
                <w:spacing w:val="0"/>
                <w:sz w:val="28"/>
                <w:szCs w:val="28"/>
                <w:lang w:eastAsia="es-DO"/>
              </w:rPr>
              <w:t>PARQUEATRD</w:t>
            </w:r>
          </w:p>
        </w:tc>
      </w:tr>
      <w:tr w:rsidR="00E426D5" w:rsidRPr="00084D33" w14:paraId="2A60FDB7" w14:textId="77777777" w:rsidTr="00E426D5">
        <w:trPr>
          <w:trHeight w:val="300"/>
          <w:jc w:val="center"/>
        </w:trPr>
        <w:tc>
          <w:tcPr>
            <w:tcW w:w="3240" w:type="dxa"/>
            <w:vMerge w:val="restart"/>
            <w:tcBorders>
              <w:top w:val="nil"/>
              <w:left w:val="single" w:sz="4" w:space="0" w:color="003876"/>
              <w:bottom w:val="single" w:sz="4" w:space="0" w:color="003876"/>
              <w:right w:val="single" w:sz="4" w:space="0" w:color="FFFFFF"/>
            </w:tcBorders>
            <w:shd w:val="clear" w:color="000000" w:fill="003876"/>
            <w:vAlign w:val="center"/>
            <w:hideMark/>
          </w:tcPr>
          <w:p w14:paraId="04688421" w14:textId="77777777" w:rsidR="00E426D5" w:rsidRPr="00084D33" w:rsidRDefault="00E426D5" w:rsidP="00E426D5">
            <w:pPr>
              <w:spacing w:line="240" w:lineRule="auto"/>
              <w:jc w:val="center"/>
              <w:rPr>
                <w:rFonts w:eastAsia="Times New Roman" w:cs="Times New Roman"/>
                <w:b/>
                <w:bCs/>
                <w:spacing w:val="0"/>
                <w:szCs w:val="24"/>
                <w:lang w:eastAsia="es-DO"/>
              </w:rPr>
            </w:pPr>
            <w:r w:rsidRPr="00084D33">
              <w:rPr>
                <w:rFonts w:eastAsia="Times New Roman" w:cs="Times New Roman"/>
                <w:b/>
                <w:bCs/>
                <w:spacing w:val="0"/>
                <w:szCs w:val="24"/>
                <w:lang w:eastAsia="es-DO"/>
              </w:rPr>
              <w:t>Redes</w:t>
            </w:r>
          </w:p>
        </w:tc>
        <w:tc>
          <w:tcPr>
            <w:tcW w:w="2880" w:type="dxa"/>
            <w:vMerge w:val="restart"/>
            <w:tcBorders>
              <w:top w:val="nil"/>
              <w:left w:val="single" w:sz="4" w:space="0" w:color="FFFFFF"/>
              <w:bottom w:val="single" w:sz="4" w:space="0" w:color="003876"/>
              <w:right w:val="single" w:sz="4" w:space="0" w:color="003876"/>
            </w:tcBorders>
            <w:shd w:val="clear" w:color="000000" w:fill="003876"/>
            <w:vAlign w:val="center"/>
            <w:hideMark/>
          </w:tcPr>
          <w:p w14:paraId="38A1986A" w14:textId="77777777" w:rsidR="00E426D5" w:rsidRPr="00084D33" w:rsidRDefault="00E426D5" w:rsidP="00E426D5">
            <w:pPr>
              <w:spacing w:line="240" w:lineRule="auto"/>
              <w:jc w:val="center"/>
              <w:rPr>
                <w:rFonts w:eastAsia="Times New Roman" w:cs="Times New Roman"/>
                <w:b/>
                <w:bCs/>
                <w:spacing w:val="0"/>
                <w:szCs w:val="24"/>
                <w:lang w:eastAsia="es-DO"/>
              </w:rPr>
            </w:pPr>
            <w:r w:rsidRPr="00084D33">
              <w:rPr>
                <w:rFonts w:eastAsia="Times New Roman" w:cs="Times New Roman"/>
                <w:b/>
                <w:bCs/>
                <w:spacing w:val="0"/>
                <w:szCs w:val="24"/>
                <w:lang w:eastAsia="es-DO"/>
              </w:rPr>
              <w:t>Cantidad de seguidores</w:t>
            </w:r>
          </w:p>
        </w:tc>
      </w:tr>
      <w:tr w:rsidR="00E426D5" w:rsidRPr="00084D33" w14:paraId="1695B2B0" w14:textId="77777777" w:rsidTr="00E426D5">
        <w:trPr>
          <w:trHeight w:val="458"/>
          <w:jc w:val="center"/>
        </w:trPr>
        <w:tc>
          <w:tcPr>
            <w:tcW w:w="3240" w:type="dxa"/>
            <w:vMerge/>
            <w:tcBorders>
              <w:top w:val="nil"/>
              <w:left w:val="single" w:sz="4" w:space="0" w:color="003876"/>
              <w:bottom w:val="single" w:sz="4" w:space="0" w:color="003876"/>
              <w:right w:val="single" w:sz="4" w:space="0" w:color="FFFFFF"/>
            </w:tcBorders>
            <w:vAlign w:val="center"/>
            <w:hideMark/>
          </w:tcPr>
          <w:p w14:paraId="65F21BD6" w14:textId="77777777" w:rsidR="00E426D5" w:rsidRPr="00084D33" w:rsidRDefault="00E426D5" w:rsidP="00E426D5">
            <w:pPr>
              <w:spacing w:line="240" w:lineRule="auto"/>
              <w:jc w:val="center"/>
              <w:rPr>
                <w:rFonts w:eastAsia="Times New Roman" w:cs="Times New Roman"/>
                <w:b/>
                <w:bCs/>
                <w:spacing w:val="0"/>
                <w:szCs w:val="24"/>
                <w:lang w:eastAsia="es-DO"/>
              </w:rPr>
            </w:pPr>
          </w:p>
        </w:tc>
        <w:tc>
          <w:tcPr>
            <w:tcW w:w="2880" w:type="dxa"/>
            <w:vMerge/>
            <w:tcBorders>
              <w:top w:val="nil"/>
              <w:left w:val="single" w:sz="4" w:space="0" w:color="FFFFFF"/>
              <w:bottom w:val="single" w:sz="4" w:space="0" w:color="003876"/>
              <w:right w:val="single" w:sz="4" w:space="0" w:color="003876"/>
            </w:tcBorders>
            <w:vAlign w:val="center"/>
            <w:hideMark/>
          </w:tcPr>
          <w:p w14:paraId="1422D017" w14:textId="77777777" w:rsidR="00E426D5" w:rsidRPr="00084D33" w:rsidRDefault="00E426D5" w:rsidP="00E426D5">
            <w:pPr>
              <w:spacing w:line="240" w:lineRule="auto"/>
              <w:jc w:val="center"/>
              <w:rPr>
                <w:rFonts w:eastAsia="Times New Roman" w:cs="Times New Roman"/>
                <w:b/>
                <w:bCs/>
                <w:spacing w:val="0"/>
                <w:szCs w:val="24"/>
                <w:lang w:eastAsia="es-DO"/>
              </w:rPr>
            </w:pPr>
          </w:p>
        </w:tc>
      </w:tr>
      <w:tr w:rsidR="00E426D5" w:rsidRPr="00084D33" w14:paraId="0D32083F"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07F4C37C"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Facebook</w:t>
            </w:r>
          </w:p>
        </w:tc>
        <w:tc>
          <w:tcPr>
            <w:tcW w:w="2880" w:type="dxa"/>
            <w:tcBorders>
              <w:top w:val="nil"/>
              <w:left w:val="nil"/>
              <w:bottom w:val="single" w:sz="4" w:space="0" w:color="003876"/>
              <w:right w:val="single" w:sz="4" w:space="0" w:color="003876"/>
            </w:tcBorders>
            <w:shd w:val="clear" w:color="auto" w:fill="auto"/>
            <w:vAlign w:val="center"/>
            <w:hideMark/>
          </w:tcPr>
          <w:p w14:paraId="53FC32B4"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N/A</w:t>
            </w:r>
          </w:p>
        </w:tc>
      </w:tr>
      <w:tr w:rsidR="00E426D5" w:rsidRPr="00084D33" w14:paraId="06705390"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53731F18"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Instagram</w:t>
            </w:r>
          </w:p>
        </w:tc>
        <w:tc>
          <w:tcPr>
            <w:tcW w:w="2880" w:type="dxa"/>
            <w:tcBorders>
              <w:top w:val="nil"/>
              <w:left w:val="nil"/>
              <w:bottom w:val="single" w:sz="4" w:space="0" w:color="003876"/>
              <w:right w:val="single" w:sz="4" w:space="0" w:color="003876"/>
            </w:tcBorders>
            <w:shd w:val="clear" w:color="auto" w:fill="auto"/>
            <w:vAlign w:val="center"/>
            <w:hideMark/>
          </w:tcPr>
          <w:p w14:paraId="027CBD21"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3,361</w:t>
            </w:r>
          </w:p>
        </w:tc>
      </w:tr>
      <w:tr w:rsidR="00E426D5" w:rsidRPr="00084D33" w14:paraId="57782609"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1E42741D"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Twitter</w:t>
            </w:r>
          </w:p>
        </w:tc>
        <w:tc>
          <w:tcPr>
            <w:tcW w:w="2880" w:type="dxa"/>
            <w:tcBorders>
              <w:top w:val="nil"/>
              <w:left w:val="nil"/>
              <w:bottom w:val="single" w:sz="4" w:space="0" w:color="003876"/>
              <w:right w:val="single" w:sz="4" w:space="0" w:color="003876"/>
            </w:tcBorders>
            <w:shd w:val="clear" w:color="auto" w:fill="auto"/>
            <w:vAlign w:val="center"/>
            <w:hideMark/>
          </w:tcPr>
          <w:p w14:paraId="766D3ADD"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357</w:t>
            </w:r>
          </w:p>
        </w:tc>
      </w:tr>
      <w:tr w:rsidR="00E426D5" w:rsidRPr="00084D33" w14:paraId="6F7C56B3" w14:textId="77777777" w:rsidTr="00E426D5">
        <w:trPr>
          <w:trHeight w:val="315"/>
          <w:jc w:val="center"/>
        </w:trPr>
        <w:tc>
          <w:tcPr>
            <w:tcW w:w="3240" w:type="dxa"/>
            <w:tcBorders>
              <w:top w:val="nil"/>
              <w:left w:val="single" w:sz="4" w:space="0" w:color="003876"/>
              <w:bottom w:val="single" w:sz="4" w:space="0" w:color="003876"/>
              <w:right w:val="single" w:sz="4" w:space="0" w:color="003876"/>
            </w:tcBorders>
            <w:shd w:val="clear" w:color="auto" w:fill="auto"/>
            <w:vAlign w:val="center"/>
            <w:hideMark/>
          </w:tcPr>
          <w:p w14:paraId="3757FF29"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Linkedin</w:t>
            </w:r>
          </w:p>
        </w:tc>
        <w:tc>
          <w:tcPr>
            <w:tcW w:w="2880" w:type="dxa"/>
            <w:tcBorders>
              <w:top w:val="nil"/>
              <w:left w:val="nil"/>
              <w:bottom w:val="single" w:sz="4" w:space="0" w:color="003876"/>
              <w:right w:val="single" w:sz="4" w:space="0" w:color="003876"/>
            </w:tcBorders>
            <w:shd w:val="clear" w:color="auto" w:fill="auto"/>
            <w:vAlign w:val="center"/>
            <w:hideMark/>
          </w:tcPr>
          <w:p w14:paraId="45E4A435" w14:textId="77777777" w:rsidR="00E426D5" w:rsidRPr="00084D33" w:rsidRDefault="00E426D5" w:rsidP="00E426D5">
            <w:pPr>
              <w:spacing w:line="240" w:lineRule="auto"/>
              <w:jc w:val="center"/>
              <w:rPr>
                <w:rFonts w:eastAsia="Times New Roman" w:cs="Times New Roman"/>
                <w:spacing w:val="0"/>
                <w:szCs w:val="24"/>
                <w:lang w:eastAsia="es-DO"/>
              </w:rPr>
            </w:pPr>
            <w:r w:rsidRPr="00084D33">
              <w:rPr>
                <w:rFonts w:eastAsia="Times New Roman" w:cs="Times New Roman"/>
                <w:spacing w:val="0"/>
                <w:szCs w:val="24"/>
                <w:lang w:eastAsia="es-DO"/>
              </w:rPr>
              <w:t>N/A</w:t>
            </w:r>
          </w:p>
        </w:tc>
      </w:tr>
    </w:tbl>
    <w:p w14:paraId="283983E5" w14:textId="3E125F1B" w:rsidR="005517CA" w:rsidRPr="00084D33" w:rsidRDefault="005517CA" w:rsidP="0026048E">
      <w:pPr>
        <w:spacing w:line="456" w:lineRule="auto"/>
        <w:rPr>
          <w:rFonts w:cs="Times New Roman"/>
          <w:spacing w:val="0"/>
          <w:sz w:val="20"/>
        </w:rPr>
      </w:pPr>
    </w:p>
    <w:p w14:paraId="61D758E9" w14:textId="5CD13FE4" w:rsidR="00A37F15" w:rsidRPr="00084D33" w:rsidRDefault="00A37F15" w:rsidP="0026048E">
      <w:pPr>
        <w:spacing w:line="456" w:lineRule="auto"/>
        <w:rPr>
          <w:rFonts w:cs="Times New Roman"/>
          <w:spacing w:val="0"/>
          <w:sz w:val="20"/>
        </w:rPr>
      </w:pPr>
    </w:p>
    <w:p w14:paraId="628D0689" w14:textId="06F7D224" w:rsidR="00A37F15" w:rsidRPr="00084D33" w:rsidRDefault="00A37F15" w:rsidP="0026048E">
      <w:pPr>
        <w:spacing w:line="456" w:lineRule="auto"/>
        <w:rPr>
          <w:rFonts w:cs="Times New Roman"/>
          <w:spacing w:val="0"/>
          <w:sz w:val="20"/>
        </w:rPr>
      </w:pPr>
    </w:p>
    <w:p w14:paraId="6C45567D" w14:textId="0DBE4756" w:rsidR="00A37F15" w:rsidRPr="00084D33" w:rsidRDefault="00A37F15" w:rsidP="0026048E">
      <w:pPr>
        <w:spacing w:line="456" w:lineRule="auto"/>
        <w:rPr>
          <w:rFonts w:cs="Times New Roman"/>
          <w:spacing w:val="0"/>
          <w:sz w:val="20"/>
        </w:rPr>
      </w:pPr>
    </w:p>
    <w:p w14:paraId="57C354FB" w14:textId="548962AF" w:rsidR="00A37F15" w:rsidRPr="00084D33" w:rsidRDefault="00A37F15" w:rsidP="0026048E">
      <w:pPr>
        <w:spacing w:line="456" w:lineRule="auto"/>
        <w:rPr>
          <w:rFonts w:cs="Times New Roman"/>
          <w:spacing w:val="0"/>
          <w:sz w:val="20"/>
        </w:rPr>
      </w:pPr>
    </w:p>
    <w:p w14:paraId="359BB608" w14:textId="19F754BA" w:rsidR="00A37F15" w:rsidRPr="00084D33" w:rsidRDefault="00A37F15" w:rsidP="0026048E">
      <w:pPr>
        <w:spacing w:line="456" w:lineRule="auto"/>
        <w:rPr>
          <w:rFonts w:cs="Times New Roman"/>
          <w:spacing w:val="0"/>
          <w:sz w:val="20"/>
        </w:rPr>
      </w:pPr>
    </w:p>
    <w:p w14:paraId="407A1EB0" w14:textId="6A7E397A" w:rsidR="00A37F15" w:rsidRPr="00084D33" w:rsidRDefault="00A37F15" w:rsidP="0026048E">
      <w:pPr>
        <w:spacing w:line="456" w:lineRule="auto"/>
        <w:rPr>
          <w:rFonts w:cs="Times New Roman"/>
          <w:spacing w:val="0"/>
          <w:sz w:val="20"/>
        </w:rPr>
      </w:pPr>
    </w:p>
    <w:p w14:paraId="076FDC55" w14:textId="31855CE0" w:rsidR="00A37F15" w:rsidRPr="00084D33" w:rsidRDefault="00A37F15" w:rsidP="0026048E">
      <w:pPr>
        <w:spacing w:line="456" w:lineRule="auto"/>
        <w:rPr>
          <w:rFonts w:cs="Times New Roman"/>
          <w:spacing w:val="0"/>
          <w:sz w:val="20"/>
        </w:rPr>
      </w:pPr>
    </w:p>
    <w:p w14:paraId="6448D5F0" w14:textId="15407316" w:rsidR="00A37F15" w:rsidRPr="00084D33" w:rsidRDefault="00A37F15" w:rsidP="0026048E">
      <w:pPr>
        <w:spacing w:line="456" w:lineRule="auto"/>
        <w:rPr>
          <w:rFonts w:cs="Times New Roman"/>
          <w:spacing w:val="0"/>
          <w:sz w:val="20"/>
        </w:rPr>
      </w:pPr>
    </w:p>
    <w:p w14:paraId="648BDB39" w14:textId="1FE2ADEA" w:rsidR="00A37F15" w:rsidRPr="00084D33" w:rsidRDefault="00A37F15" w:rsidP="0026048E">
      <w:pPr>
        <w:spacing w:line="456" w:lineRule="auto"/>
        <w:rPr>
          <w:rFonts w:cs="Times New Roman"/>
          <w:spacing w:val="0"/>
          <w:sz w:val="20"/>
        </w:rPr>
      </w:pPr>
    </w:p>
    <w:p w14:paraId="5636A7E6" w14:textId="0C9B3F2D" w:rsidR="00A37F15" w:rsidRPr="00084D33" w:rsidRDefault="00A37F15" w:rsidP="0026048E">
      <w:pPr>
        <w:spacing w:line="456" w:lineRule="auto"/>
        <w:rPr>
          <w:rFonts w:cs="Times New Roman"/>
          <w:spacing w:val="0"/>
          <w:sz w:val="20"/>
        </w:rPr>
      </w:pPr>
    </w:p>
    <w:p w14:paraId="12086FA9" w14:textId="32F40B3A" w:rsidR="00FC1254" w:rsidRPr="00084D33" w:rsidRDefault="001712CE" w:rsidP="007202A9">
      <w:pPr>
        <w:pStyle w:val="Ttulo1"/>
        <w:numPr>
          <w:ilvl w:val="0"/>
          <w:numId w:val="38"/>
        </w:numPr>
        <w:spacing w:before="0"/>
        <w:rPr>
          <w:rFonts w:cs="Times New Roman"/>
          <w:b/>
          <w:bCs/>
        </w:rPr>
      </w:pPr>
      <w:bookmarkStart w:id="112" w:name="_Toc78583669"/>
      <w:bookmarkStart w:id="113" w:name="_Toc186924373"/>
      <w:r w:rsidRPr="00084D33">
        <w:rPr>
          <w:rFonts w:cs="Times New Roman"/>
          <w:b/>
          <w:bCs/>
        </w:rPr>
        <w:t>SERVICIO AL CIUDADANO Y TRANSPARENCIA INSTITUCIONAL</w:t>
      </w:r>
      <w:bookmarkEnd w:id="112"/>
      <w:bookmarkEnd w:id="113"/>
    </w:p>
    <w:p w14:paraId="013D8AA4" w14:textId="77777777" w:rsidR="001712CE" w:rsidRPr="00084D33" w:rsidRDefault="001712CE" w:rsidP="001712CE">
      <w:pPr>
        <w:rPr>
          <w:rFonts w:eastAsia="Calibri" w:cs="Times New Roman"/>
          <w:sz w:val="18"/>
        </w:rPr>
      </w:pPr>
      <w:r w:rsidRPr="00084D33">
        <w:rPr>
          <w:rFonts w:eastAsia="Calibri" w:cs="Times New Roman"/>
          <w:noProof/>
          <w:sz w:val="18"/>
          <w:lang w:eastAsia="es-DO"/>
        </w:rPr>
        <mc:AlternateContent>
          <mc:Choice Requires="wps">
            <w:drawing>
              <wp:anchor distT="0" distB="0" distL="114300" distR="114300" simplePos="0" relativeHeight="251794432" behindDoc="0" locked="0" layoutInCell="1" allowOverlap="1" wp14:anchorId="5FDB1E4C" wp14:editId="7426419B">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37C10" id="Straight Connector 3" o:spid="_x0000_s1026" style="position:absolute;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30FC732C" w14:textId="1FC409EC" w:rsidR="001712CE" w:rsidRPr="00084D33" w:rsidRDefault="006C0CCA" w:rsidP="00BC67CE">
      <w:pPr>
        <w:pStyle w:val="Textoindependiente"/>
        <w:jc w:val="center"/>
        <w:rPr>
          <w:rFonts w:eastAsia="Calibri"/>
          <w:color w:val="767171"/>
        </w:rPr>
      </w:pPr>
      <w:r w:rsidRPr="00084D33">
        <w:rPr>
          <w:rFonts w:eastAsia="Calibri"/>
          <w:color w:val="767171"/>
        </w:rPr>
        <w:t>Memoria institucional 2024</w:t>
      </w:r>
    </w:p>
    <w:p w14:paraId="68B07178" w14:textId="5CA3F793" w:rsidR="00FC1254" w:rsidRPr="00084D33" w:rsidRDefault="00FC1254" w:rsidP="00434A4D">
      <w:pPr>
        <w:rPr>
          <w:rFonts w:eastAsia="Calibri" w:cs="Times New Roman"/>
          <w:sz w:val="18"/>
        </w:rPr>
      </w:pPr>
    </w:p>
    <w:p w14:paraId="195DBCD6" w14:textId="77777777" w:rsidR="00D83684" w:rsidRPr="00084D33" w:rsidRDefault="00D83684" w:rsidP="00434A4D">
      <w:pPr>
        <w:rPr>
          <w:rFonts w:eastAsia="Calibri" w:cs="Times New Roman"/>
          <w:sz w:val="18"/>
        </w:rPr>
      </w:pPr>
    </w:p>
    <w:p w14:paraId="5668D81D" w14:textId="2C2F2699" w:rsidR="00D9762B" w:rsidRPr="00084D33" w:rsidRDefault="00D9762B" w:rsidP="00BC67CE">
      <w:pPr>
        <w:pStyle w:val="Textoindependiente"/>
        <w:spacing w:line="360" w:lineRule="auto"/>
        <w:jc w:val="both"/>
        <w:rPr>
          <w:color w:val="767171"/>
        </w:rPr>
      </w:pPr>
      <w:r w:rsidRPr="00084D33">
        <w:rPr>
          <w:color w:val="767171"/>
        </w:rPr>
        <w:t xml:space="preserve">El </w:t>
      </w:r>
      <w:r w:rsidR="00FC1254" w:rsidRPr="00084D33">
        <w:rPr>
          <w:color w:val="767171"/>
        </w:rPr>
        <w:t>Ministerio de Obras Púb</w:t>
      </w:r>
      <w:r w:rsidRPr="00084D33">
        <w:rPr>
          <w:color w:val="767171"/>
        </w:rPr>
        <w:t xml:space="preserve">licas y Comunicaciones (MOPC), a través de la </w:t>
      </w:r>
      <w:r w:rsidR="00423CD1" w:rsidRPr="00084D33">
        <w:rPr>
          <w:color w:val="767171"/>
        </w:rPr>
        <w:t xml:space="preserve">Dirección de Libre Acceso a la Información Pública (OAI), recibió </w:t>
      </w:r>
      <w:r w:rsidR="00FC1254" w:rsidRPr="00084D33">
        <w:rPr>
          <w:color w:val="767171"/>
        </w:rPr>
        <w:t xml:space="preserve">durante el </w:t>
      </w:r>
      <w:r w:rsidRPr="00084D33">
        <w:rPr>
          <w:color w:val="767171"/>
        </w:rPr>
        <w:t xml:space="preserve">periodo </w:t>
      </w:r>
      <w:r w:rsidR="000A17C8" w:rsidRPr="00084D33">
        <w:rPr>
          <w:color w:val="767171"/>
        </w:rPr>
        <w:t>enero-diciembre</w:t>
      </w:r>
      <w:r w:rsidR="006C0CCA" w:rsidRPr="00084D33">
        <w:rPr>
          <w:color w:val="767171"/>
        </w:rPr>
        <w:t xml:space="preserve"> del año 2024</w:t>
      </w:r>
      <w:r w:rsidR="00FC1254" w:rsidRPr="00084D33">
        <w:rPr>
          <w:color w:val="767171"/>
        </w:rPr>
        <w:t xml:space="preserve">, </w:t>
      </w:r>
      <w:r w:rsidR="00423CD1" w:rsidRPr="00084D33">
        <w:rPr>
          <w:color w:val="767171"/>
        </w:rPr>
        <w:t xml:space="preserve">un total de </w:t>
      </w:r>
      <w:r w:rsidR="006345A9" w:rsidRPr="00084D33">
        <w:rPr>
          <w:color w:val="767171"/>
        </w:rPr>
        <w:t>622</w:t>
      </w:r>
      <w:r w:rsidR="003D321E" w:rsidRPr="00084D33">
        <w:rPr>
          <w:color w:val="767171"/>
        </w:rPr>
        <w:t xml:space="preserve"> (</w:t>
      </w:r>
      <w:r w:rsidR="006345A9" w:rsidRPr="00084D33">
        <w:rPr>
          <w:color w:val="767171"/>
        </w:rPr>
        <w:t>seisc</w:t>
      </w:r>
      <w:r w:rsidR="00102601" w:rsidRPr="00084D33">
        <w:rPr>
          <w:color w:val="767171"/>
        </w:rPr>
        <w:t>ientas</w:t>
      </w:r>
      <w:r w:rsidR="003D321E" w:rsidRPr="00084D33">
        <w:rPr>
          <w:color w:val="767171"/>
        </w:rPr>
        <w:t xml:space="preserve"> </w:t>
      </w:r>
      <w:r w:rsidR="00E55155" w:rsidRPr="00084D33">
        <w:rPr>
          <w:color w:val="767171"/>
        </w:rPr>
        <w:t>veintidós</w:t>
      </w:r>
      <w:r w:rsidR="003D321E" w:rsidRPr="00084D33">
        <w:rPr>
          <w:color w:val="767171"/>
        </w:rPr>
        <w:t>)</w:t>
      </w:r>
      <w:r w:rsidR="00423CD1" w:rsidRPr="00084D33">
        <w:rPr>
          <w:color w:val="767171"/>
        </w:rPr>
        <w:t xml:space="preserve"> solicitudes </w:t>
      </w:r>
      <w:r w:rsidR="00531614" w:rsidRPr="00084D33">
        <w:rPr>
          <w:color w:val="767171"/>
        </w:rPr>
        <w:t xml:space="preserve">a través de los diferentes medios disponibles (correo electrónico, personal, comunicaciones, fax, transferencias y Portal Único de solicitud de acceso a la información (SAIP), etc.), de las cuales </w:t>
      </w:r>
      <w:r w:rsidR="00102601" w:rsidRPr="00084D33">
        <w:rPr>
          <w:color w:val="767171"/>
        </w:rPr>
        <w:t>1</w:t>
      </w:r>
      <w:r w:rsidR="006345A9" w:rsidRPr="00084D33">
        <w:rPr>
          <w:color w:val="767171"/>
        </w:rPr>
        <w:t>47</w:t>
      </w:r>
      <w:r w:rsidR="00BC577E" w:rsidRPr="00084D33">
        <w:rPr>
          <w:color w:val="767171"/>
        </w:rPr>
        <w:t xml:space="preserve"> </w:t>
      </w:r>
      <w:r w:rsidR="00FC6EF9" w:rsidRPr="00084D33">
        <w:rPr>
          <w:color w:val="767171"/>
        </w:rPr>
        <w:t>(</w:t>
      </w:r>
      <w:r w:rsidR="00102601" w:rsidRPr="00084D33">
        <w:rPr>
          <w:color w:val="767171"/>
        </w:rPr>
        <w:t xml:space="preserve">ciento </w:t>
      </w:r>
      <w:r w:rsidR="006345A9" w:rsidRPr="00084D33">
        <w:rPr>
          <w:color w:val="767171"/>
        </w:rPr>
        <w:t>cuar</w:t>
      </w:r>
      <w:r w:rsidR="00102601" w:rsidRPr="00084D33">
        <w:rPr>
          <w:color w:val="767171"/>
        </w:rPr>
        <w:t xml:space="preserve">enta y </w:t>
      </w:r>
      <w:r w:rsidR="006345A9" w:rsidRPr="00084D33">
        <w:rPr>
          <w:color w:val="767171"/>
        </w:rPr>
        <w:t>siet</w:t>
      </w:r>
      <w:r w:rsidR="00102601" w:rsidRPr="00084D33">
        <w:rPr>
          <w:color w:val="767171"/>
        </w:rPr>
        <w:t>e</w:t>
      </w:r>
      <w:r w:rsidR="00FC6EF9" w:rsidRPr="00084D33">
        <w:rPr>
          <w:color w:val="767171"/>
        </w:rPr>
        <w:t xml:space="preserve">) </w:t>
      </w:r>
      <w:r w:rsidRPr="00084D33">
        <w:rPr>
          <w:color w:val="767171"/>
        </w:rPr>
        <w:t xml:space="preserve">fueron contestadas </w:t>
      </w:r>
      <w:r w:rsidR="00676EFF" w:rsidRPr="00084D33">
        <w:rPr>
          <w:color w:val="767171"/>
        </w:rPr>
        <w:t xml:space="preserve">en menos de </w:t>
      </w:r>
      <w:r w:rsidR="003D321E" w:rsidRPr="00084D33">
        <w:rPr>
          <w:color w:val="767171"/>
        </w:rPr>
        <w:t>cinco</w:t>
      </w:r>
      <w:r w:rsidR="003F4A5D" w:rsidRPr="00084D33">
        <w:rPr>
          <w:color w:val="767171"/>
        </w:rPr>
        <w:t xml:space="preserve"> (5</w:t>
      </w:r>
      <w:r w:rsidR="00102601" w:rsidRPr="00084D33">
        <w:rPr>
          <w:color w:val="767171"/>
        </w:rPr>
        <w:t>) días hábiles, 4</w:t>
      </w:r>
      <w:r w:rsidR="006345A9" w:rsidRPr="00084D33">
        <w:rPr>
          <w:color w:val="767171"/>
        </w:rPr>
        <w:t>4</w:t>
      </w:r>
      <w:r w:rsidR="00BF0CF7" w:rsidRPr="00084D33">
        <w:rPr>
          <w:color w:val="767171"/>
        </w:rPr>
        <w:t>3</w:t>
      </w:r>
      <w:r w:rsidR="00FC6EF9" w:rsidRPr="00084D33">
        <w:rPr>
          <w:color w:val="767171"/>
        </w:rPr>
        <w:t xml:space="preserve"> (</w:t>
      </w:r>
      <w:r w:rsidR="00102601" w:rsidRPr="00084D33">
        <w:rPr>
          <w:color w:val="767171"/>
        </w:rPr>
        <w:t xml:space="preserve">cuatrocientas </w:t>
      </w:r>
      <w:r w:rsidR="006345A9" w:rsidRPr="00084D33">
        <w:rPr>
          <w:color w:val="767171"/>
        </w:rPr>
        <w:t>cuar</w:t>
      </w:r>
      <w:r w:rsidR="00BF0CF7" w:rsidRPr="00084D33">
        <w:rPr>
          <w:color w:val="767171"/>
        </w:rPr>
        <w:t>e</w:t>
      </w:r>
      <w:r w:rsidR="00FC6EF9" w:rsidRPr="00084D33">
        <w:rPr>
          <w:color w:val="767171"/>
        </w:rPr>
        <w:t>nt</w:t>
      </w:r>
      <w:r w:rsidR="00102601" w:rsidRPr="00084D33">
        <w:rPr>
          <w:color w:val="767171"/>
        </w:rPr>
        <w:t>a</w:t>
      </w:r>
      <w:r w:rsidR="006345A9" w:rsidRPr="00084D33">
        <w:rPr>
          <w:color w:val="767171"/>
        </w:rPr>
        <w:t xml:space="preserve"> y tres</w:t>
      </w:r>
      <w:r w:rsidR="00FC6EF9" w:rsidRPr="00084D33">
        <w:rPr>
          <w:color w:val="767171"/>
        </w:rPr>
        <w:t xml:space="preserve">) </w:t>
      </w:r>
      <w:r w:rsidR="00676EFF" w:rsidRPr="00084D33">
        <w:rPr>
          <w:color w:val="767171"/>
        </w:rPr>
        <w:t xml:space="preserve">recibieron respuesta </w:t>
      </w:r>
      <w:r w:rsidRPr="00084D33">
        <w:rPr>
          <w:color w:val="767171"/>
        </w:rPr>
        <w:t>dentro del plazo establecido en el Artículo 8 de la</w:t>
      </w:r>
      <w:r w:rsidR="00BC577E" w:rsidRPr="00084D33">
        <w:rPr>
          <w:color w:val="767171"/>
        </w:rPr>
        <w:t xml:space="preserve"> </w:t>
      </w:r>
      <w:r w:rsidRPr="00084D33">
        <w:rPr>
          <w:color w:val="767171"/>
        </w:rPr>
        <w:t xml:space="preserve">Ley 200-04, quince (15) días hábiles y prórroga en forma excepcional por otros </w:t>
      </w:r>
      <w:r w:rsidR="003D321E" w:rsidRPr="00084D33">
        <w:rPr>
          <w:color w:val="767171"/>
        </w:rPr>
        <w:t>10 (</w:t>
      </w:r>
      <w:r w:rsidRPr="00084D33">
        <w:rPr>
          <w:color w:val="767171"/>
        </w:rPr>
        <w:t>diez) días adicionales</w:t>
      </w:r>
      <w:r w:rsidR="00676EFF" w:rsidRPr="00084D33">
        <w:rPr>
          <w:color w:val="767171"/>
        </w:rPr>
        <w:t xml:space="preserve"> (</w:t>
      </w:r>
      <w:r w:rsidRPr="00084D33">
        <w:rPr>
          <w:color w:val="767171"/>
        </w:rPr>
        <w:t xml:space="preserve">; </w:t>
      </w:r>
      <w:r w:rsidR="00FC6EF9" w:rsidRPr="00084D33">
        <w:rPr>
          <w:color w:val="767171"/>
        </w:rPr>
        <w:t>y las restantes</w:t>
      </w:r>
      <w:r w:rsidRPr="00084D33">
        <w:rPr>
          <w:color w:val="767171"/>
        </w:rPr>
        <w:t>, unas</w:t>
      </w:r>
      <w:r w:rsidR="00102601" w:rsidRPr="00084D33">
        <w:rPr>
          <w:color w:val="767171"/>
        </w:rPr>
        <w:t xml:space="preserve"> doce </w:t>
      </w:r>
      <w:r w:rsidRPr="00084D33">
        <w:rPr>
          <w:color w:val="767171"/>
        </w:rPr>
        <w:t>(</w:t>
      </w:r>
      <w:r w:rsidR="00102601" w:rsidRPr="00084D33">
        <w:rPr>
          <w:color w:val="767171"/>
        </w:rPr>
        <w:t>12</w:t>
      </w:r>
      <w:r w:rsidRPr="00084D33">
        <w:rPr>
          <w:color w:val="767171"/>
        </w:rPr>
        <w:t>)</w:t>
      </w:r>
      <w:r w:rsidR="00676EFF" w:rsidRPr="00084D33">
        <w:rPr>
          <w:color w:val="767171"/>
        </w:rPr>
        <w:t xml:space="preserve"> solicitudes,</w:t>
      </w:r>
      <w:r w:rsidRPr="00084D33">
        <w:rPr>
          <w:color w:val="767171"/>
        </w:rPr>
        <w:t xml:space="preserve"> se encuentran actualmente pendientes de contestar, </w:t>
      </w:r>
      <w:r w:rsidR="006345A9" w:rsidRPr="00084D33">
        <w:rPr>
          <w:color w:val="767171"/>
        </w:rPr>
        <w:t>cator</w:t>
      </w:r>
      <w:r w:rsidR="00102601" w:rsidRPr="00084D33">
        <w:rPr>
          <w:color w:val="767171"/>
        </w:rPr>
        <w:t>ce (1</w:t>
      </w:r>
      <w:r w:rsidR="006345A9" w:rsidRPr="00084D33">
        <w:rPr>
          <w:color w:val="767171"/>
        </w:rPr>
        <w:t>4</w:t>
      </w:r>
      <w:r w:rsidR="00102601" w:rsidRPr="00084D33">
        <w:rPr>
          <w:color w:val="767171"/>
        </w:rPr>
        <w:t>) tuvieron información incompleta y seis (6) solicitudes fueron desestimadas.</w:t>
      </w:r>
      <w:r w:rsidR="00BC577E" w:rsidRPr="00084D33">
        <w:rPr>
          <w:color w:val="767171"/>
        </w:rPr>
        <w:t xml:space="preserve"> </w:t>
      </w:r>
    </w:p>
    <w:p w14:paraId="3BD6D56B" w14:textId="67DCF4BD" w:rsidR="00BC67CE" w:rsidRPr="00084D33" w:rsidRDefault="00BC67CE" w:rsidP="003F4A5D"/>
    <w:p w14:paraId="53AA0B86" w14:textId="5EABEEE2" w:rsidR="00FC1254" w:rsidRPr="00084D33" w:rsidRDefault="00524DC6" w:rsidP="00BC67CE">
      <w:pPr>
        <w:pStyle w:val="Textoindependiente"/>
        <w:spacing w:line="360" w:lineRule="auto"/>
        <w:jc w:val="both"/>
        <w:rPr>
          <w:color w:val="767171"/>
        </w:rPr>
      </w:pPr>
      <w:r w:rsidRPr="00084D33">
        <w:rPr>
          <w:color w:val="767171"/>
        </w:rPr>
        <w:t>L</w:t>
      </w:r>
      <w:r w:rsidR="00D9762B" w:rsidRPr="00084D33">
        <w:rPr>
          <w:color w:val="767171"/>
        </w:rPr>
        <w:t xml:space="preserve">as estadísticas correspondientes al citado periodo, </w:t>
      </w:r>
      <w:r w:rsidR="00FC1254" w:rsidRPr="00084D33">
        <w:rPr>
          <w:color w:val="767171"/>
        </w:rPr>
        <w:t>s</w:t>
      </w:r>
      <w:r w:rsidR="00EF67BB" w:rsidRPr="00084D33">
        <w:rPr>
          <w:color w:val="767171"/>
        </w:rPr>
        <w:t>obre las informaciones solicitadas y el suministr</w:t>
      </w:r>
      <w:r w:rsidR="00FC1254" w:rsidRPr="00084D33">
        <w:rPr>
          <w:color w:val="767171"/>
        </w:rPr>
        <w:t xml:space="preserve">o </w:t>
      </w:r>
      <w:r w:rsidR="00EF67BB" w:rsidRPr="00084D33">
        <w:rPr>
          <w:color w:val="767171"/>
        </w:rPr>
        <w:t xml:space="preserve">de las mismas </w:t>
      </w:r>
      <w:r w:rsidR="00FC1254" w:rsidRPr="00084D33">
        <w:rPr>
          <w:color w:val="767171"/>
        </w:rPr>
        <w:t>a la ciudadanía interesada</w:t>
      </w:r>
      <w:r w:rsidR="00D9762B" w:rsidRPr="00084D33">
        <w:rPr>
          <w:color w:val="767171"/>
        </w:rPr>
        <w:t>,</w:t>
      </w:r>
      <w:r w:rsidR="00FC1254" w:rsidRPr="00084D33">
        <w:rPr>
          <w:color w:val="767171"/>
        </w:rPr>
        <w:t xml:space="preserve"> </w:t>
      </w:r>
      <w:r w:rsidRPr="00084D33">
        <w:rPr>
          <w:color w:val="767171"/>
        </w:rPr>
        <w:t xml:space="preserve">se registran en la figura siguiente, </w:t>
      </w:r>
      <w:r w:rsidR="00FC1254" w:rsidRPr="00084D33">
        <w:rPr>
          <w:color w:val="767171"/>
        </w:rPr>
        <w:t xml:space="preserve">en cumplimiento del ejercicio del derecho de acceso a la información pública, amparada por la Ley 200-04 y el Decreto No. 130-05, </w:t>
      </w:r>
      <w:r w:rsidR="003D321E" w:rsidRPr="00084D33">
        <w:rPr>
          <w:color w:val="767171"/>
        </w:rPr>
        <w:t>que aprueba el Reglamento de la Ley General de Libre Acceso a la Información Pública</w:t>
      </w:r>
      <w:r w:rsidRPr="00084D33">
        <w:rPr>
          <w:color w:val="767171"/>
        </w:rPr>
        <w:t xml:space="preserve"> </w:t>
      </w:r>
      <w:r w:rsidR="00FC1254" w:rsidRPr="00084D33">
        <w:rPr>
          <w:color w:val="767171"/>
        </w:rPr>
        <w:t xml:space="preserve">para colaborar </w:t>
      </w:r>
      <w:r w:rsidR="00EF67BB" w:rsidRPr="00084D33">
        <w:rPr>
          <w:color w:val="767171"/>
        </w:rPr>
        <w:t>con la política pública del Estado Dominicano</w:t>
      </w:r>
      <w:r w:rsidR="007539E6" w:rsidRPr="00084D33">
        <w:rPr>
          <w:color w:val="767171"/>
        </w:rPr>
        <w:t xml:space="preserve">, a </w:t>
      </w:r>
      <w:r w:rsidR="00907B3B" w:rsidRPr="00084D33">
        <w:rPr>
          <w:color w:val="767171"/>
        </w:rPr>
        <w:t>través de</w:t>
      </w:r>
      <w:r w:rsidR="00FC1254" w:rsidRPr="00084D33">
        <w:rPr>
          <w:color w:val="767171"/>
        </w:rPr>
        <w:t xml:space="preserve"> una cultura de transparencia.</w:t>
      </w:r>
    </w:p>
    <w:p w14:paraId="0495DEDB" w14:textId="68272AF2" w:rsidR="003F4A5D" w:rsidRPr="00084D33" w:rsidRDefault="003F4A5D" w:rsidP="00BC67CE">
      <w:pPr>
        <w:pStyle w:val="Textoindependiente"/>
        <w:spacing w:line="360" w:lineRule="auto"/>
        <w:jc w:val="both"/>
        <w:rPr>
          <w:color w:val="767171"/>
        </w:rPr>
      </w:pPr>
    </w:p>
    <w:p w14:paraId="41A775DB" w14:textId="1AE6AF71" w:rsidR="003F4A5D" w:rsidRPr="00084D33" w:rsidRDefault="003F4A5D" w:rsidP="00BC67CE">
      <w:pPr>
        <w:pStyle w:val="Textoindependiente"/>
        <w:spacing w:line="360" w:lineRule="auto"/>
        <w:jc w:val="both"/>
        <w:rPr>
          <w:color w:val="767171"/>
        </w:rPr>
      </w:pPr>
    </w:p>
    <w:p w14:paraId="1EE548A3" w14:textId="0DF71093" w:rsidR="003F4A5D" w:rsidRPr="00084D33" w:rsidRDefault="008E7B31" w:rsidP="00EE65E2">
      <w:pPr>
        <w:pStyle w:val="Textoindependiente"/>
        <w:spacing w:line="360" w:lineRule="auto"/>
        <w:jc w:val="center"/>
        <w:rPr>
          <w:color w:val="767171"/>
        </w:rPr>
      </w:pPr>
      <w:r w:rsidRPr="00084D33">
        <w:rPr>
          <w:noProof/>
          <w:color w:val="767171"/>
          <w:lang w:val="es-DO" w:eastAsia="es-DO" w:bidi="ar-SA"/>
        </w:rPr>
        <w:lastRenderedPageBreak/>
        <w:drawing>
          <wp:inline distT="0" distB="0" distL="0" distR="0" wp14:anchorId="45B88D06" wp14:editId="6C43B340">
            <wp:extent cx="4538611" cy="3523129"/>
            <wp:effectExtent l="0" t="0" r="0"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50126" cy="3532067"/>
                    </a:xfrm>
                    <a:prstGeom prst="rect">
                      <a:avLst/>
                    </a:prstGeom>
                    <a:noFill/>
                  </pic:spPr>
                </pic:pic>
              </a:graphicData>
            </a:graphic>
          </wp:inline>
        </w:drawing>
      </w:r>
    </w:p>
    <w:p w14:paraId="0B111708" w14:textId="00F07843" w:rsidR="003F4A5D" w:rsidRPr="00084D33" w:rsidRDefault="003F4A5D" w:rsidP="00BC67CE">
      <w:pPr>
        <w:pStyle w:val="Textoindependiente"/>
        <w:spacing w:line="360" w:lineRule="auto"/>
        <w:jc w:val="both"/>
        <w:rPr>
          <w:color w:val="767171"/>
        </w:rPr>
      </w:pPr>
    </w:p>
    <w:p w14:paraId="1275B633" w14:textId="77777777" w:rsidR="00531614" w:rsidRPr="00084D33" w:rsidRDefault="00531614" w:rsidP="00BC67CE">
      <w:pPr>
        <w:pStyle w:val="Textoindependiente"/>
        <w:spacing w:line="360" w:lineRule="auto"/>
        <w:jc w:val="both"/>
        <w:rPr>
          <w:color w:val="767171"/>
        </w:rPr>
      </w:pPr>
    </w:p>
    <w:p w14:paraId="47098F65" w14:textId="77777777" w:rsidR="00531614" w:rsidRPr="00084D33" w:rsidRDefault="00531614" w:rsidP="00500720">
      <w:pPr>
        <w:pStyle w:val="Lista2"/>
        <w:jc w:val="center"/>
        <w:rPr>
          <w:rFonts w:cs="Times New Roman"/>
          <w:b/>
        </w:rPr>
      </w:pPr>
      <w:r w:rsidRPr="00084D33">
        <w:rPr>
          <w:rFonts w:cs="Times New Roman"/>
          <w:b/>
        </w:rPr>
        <w:t>5.1 Nivel de la Satisfacción con el Servicio</w:t>
      </w:r>
    </w:p>
    <w:p w14:paraId="54CEF633" w14:textId="77777777" w:rsidR="00531614" w:rsidRPr="00084D33" w:rsidRDefault="00531614" w:rsidP="00531614">
      <w:pPr>
        <w:spacing w:after="160" w:line="259" w:lineRule="auto"/>
        <w:rPr>
          <w:rFonts w:ascii="Artifex CF Extra Light" w:eastAsia="Calibri" w:hAnsi="Artifex CF Extra Light" w:cs="Times New Roman"/>
          <w:spacing w:val="0"/>
          <w:sz w:val="18"/>
        </w:rPr>
      </w:pPr>
    </w:p>
    <w:p w14:paraId="22C7DA92" w14:textId="77777777" w:rsidR="00531614" w:rsidRPr="00084D33" w:rsidRDefault="00531614" w:rsidP="00531614">
      <w:pPr>
        <w:spacing w:after="160" w:line="259" w:lineRule="auto"/>
        <w:rPr>
          <w:rFonts w:ascii="Artifex CF Extra Light" w:eastAsia="Calibri" w:hAnsi="Artifex CF Extra Light" w:cs="Times New Roman"/>
          <w:spacing w:val="0"/>
          <w:sz w:val="18"/>
        </w:rPr>
      </w:pPr>
    </w:p>
    <w:p w14:paraId="3285BA46" w14:textId="5827A9D6" w:rsidR="00531614" w:rsidRPr="00084D33" w:rsidRDefault="00531614" w:rsidP="00873600">
      <w:pPr>
        <w:pStyle w:val="Textoindependiente"/>
        <w:spacing w:line="360" w:lineRule="auto"/>
        <w:jc w:val="both"/>
        <w:rPr>
          <w:color w:val="767171"/>
        </w:rPr>
      </w:pPr>
      <w:r w:rsidRPr="00084D33">
        <w:rPr>
          <w:color w:val="767171"/>
        </w:rPr>
        <w:t xml:space="preserve">Para garantizar la calidad, innovación, oportunidades de mejoras, y a su vez determinar el grado de satisfacción de nuestros solicitantes con relación a los servicios </w:t>
      </w:r>
      <w:r w:rsidR="00873600" w:rsidRPr="00084D33">
        <w:rPr>
          <w:color w:val="767171"/>
        </w:rPr>
        <w:t>ofrecidos</w:t>
      </w:r>
      <w:r w:rsidRPr="00084D33">
        <w:rPr>
          <w:color w:val="767171"/>
        </w:rPr>
        <w:t xml:space="preserve"> por la Dirección de Libre Acceso a la Información Pública (OAI) del MOPC, se realiza</w:t>
      </w:r>
      <w:r w:rsidR="00BC577E" w:rsidRPr="00084D33">
        <w:rPr>
          <w:color w:val="767171"/>
        </w:rPr>
        <w:t xml:space="preserve"> </w:t>
      </w:r>
      <w:r w:rsidRPr="00084D33">
        <w:rPr>
          <w:color w:val="767171"/>
        </w:rPr>
        <w:t>una encuesta de satisfacción de forma mensual, enviándole al usuario un link en donde puede acceder a la misma</w:t>
      </w:r>
      <w:r w:rsidR="00A053BB" w:rsidRPr="00084D33">
        <w:rPr>
          <w:color w:val="767171"/>
        </w:rPr>
        <w:t>,</w:t>
      </w:r>
      <w:r w:rsidR="00E55155">
        <w:rPr>
          <w:color w:val="767171"/>
        </w:rPr>
        <w:t xml:space="preserve"> </w:t>
      </w:r>
      <w:r w:rsidRPr="00084D33">
        <w:rPr>
          <w:color w:val="767171"/>
        </w:rPr>
        <w:t xml:space="preserve">en el momento de recibir la información solicitada por el mismo, obteniendo </w:t>
      </w:r>
      <w:r w:rsidR="00A053BB" w:rsidRPr="00084D33">
        <w:rPr>
          <w:color w:val="767171"/>
        </w:rPr>
        <w:t>posteriormente las</w:t>
      </w:r>
      <w:r w:rsidRPr="00084D33">
        <w:rPr>
          <w:color w:val="767171"/>
        </w:rPr>
        <w:t xml:space="preserve"> respuesta</w:t>
      </w:r>
      <w:r w:rsidR="00A053BB" w:rsidRPr="00084D33">
        <w:rPr>
          <w:color w:val="767171"/>
        </w:rPr>
        <w:t>s</w:t>
      </w:r>
      <w:r w:rsidRPr="00084D33">
        <w:rPr>
          <w:color w:val="767171"/>
        </w:rPr>
        <w:t xml:space="preserve"> de </w:t>
      </w:r>
      <w:r w:rsidR="00A053BB" w:rsidRPr="00084D33">
        <w:rPr>
          <w:color w:val="767171"/>
        </w:rPr>
        <w:t xml:space="preserve">los </w:t>
      </w:r>
      <w:r w:rsidRPr="00084D33">
        <w:rPr>
          <w:color w:val="767171"/>
        </w:rPr>
        <w:t>solicitantes</w:t>
      </w:r>
      <w:r w:rsidR="00A053BB" w:rsidRPr="00084D33">
        <w:rPr>
          <w:color w:val="767171"/>
        </w:rPr>
        <w:t xml:space="preserve"> encuestados.</w:t>
      </w:r>
    </w:p>
    <w:p w14:paraId="4F47E9B8" w14:textId="77777777" w:rsidR="00531614" w:rsidRPr="00084D33" w:rsidRDefault="00531614" w:rsidP="00531614">
      <w:pPr>
        <w:spacing w:line="480" w:lineRule="auto"/>
        <w:rPr>
          <w:rFonts w:ascii="Artifex CF Extra Light" w:eastAsia="Calibri" w:hAnsi="Artifex CF Extra Light" w:cs="Times New Roman"/>
          <w:spacing w:val="0"/>
          <w:sz w:val="20"/>
          <w:szCs w:val="20"/>
        </w:rPr>
      </w:pPr>
    </w:p>
    <w:p w14:paraId="7FB6EF19" w14:textId="38719720" w:rsidR="00902287" w:rsidRPr="00084D33" w:rsidRDefault="008E7B31" w:rsidP="00BC67CE">
      <w:pPr>
        <w:pStyle w:val="Textoindependiente"/>
        <w:spacing w:line="360" w:lineRule="auto"/>
        <w:jc w:val="both"/>
        <w:rPr>
          <w:color w:val="767171"/>
        </w:rPr>
      </w:pPr>
      <w:r w:rsidRPr="00084D33">
        <w:rPr>
          <w:noProof/>
          <w:color w:val="767171"/>
          <w:lang w:val="es-DO" w:eastAsia="es-DO" w:bidi="ar-SA"/>
        </w:rPr>
        <w:lastRenderedPageBreak/>
        <w:drawing>
          <wp:inline distT="0" distB="0" distL="0" distR="0" wp14:anchorId="0915C066" wp14:editId="50F67689">
            <wp:extent cx="4800600" cy="2961564"/>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18838" cy="2972815"/>
                    </a:xfrm>
                    <a:prstGeom prst="rect">
                      <a:avLst/>
                    </a:prstGeom>
                    <a:noFill/>
                  </pic:spPr>
                </pic:pic>
              </a:graphicData>
            </a:graphic>
          </wp:inline>
        </w:drawing>
      </w:r>
    </w:p>
    <w:p w14:paraId="47218D0C" w14:textId="77777777" w:rsidR="00902287" w:rsidRPr="00084D33" w:rsidRDefault="00902287" w:rsidP="00BC67CE">
      <w:pPr>
        <w:pStyle w:val="Textoindependiente"/>
        <w:spacing w:line="360" w:lineRule="auto"/>
        <w:jc w:val="both"/>
        <w:rPr>
          <w:color w:val="767171"/>
        </w:rPr>
      </w:pPr>
    </w:p>
    <w:p w14:paraId="040E85E7" w14:textId="762DAA87" w:rsidR="00531614" w:rsidRPr="00084D33" w:rsidRDefault="00531614" w:rsidP="00BC67CE">
      <w:pPr>
        <w:pStyle w:val="Textoindependiente"/>
        <w:spacing w:line="360" w:lineRule="auto"/>
        <w:jc w:val="both"/>
        <w:rPr>
          <w:color w:val="767171"/>
        </w:rPr>
      </w:pPr>
    </w:p>
    <w:p w14:paraId="239D3F7D" w14:textId="6B71D9E2" w:rsidR="003D10D9" w:rsidRPr="00084D33" w:rsidRDefault="003D10D9" w:rsidP="00500720">
      <w:pPr>
        <w:pStyle w:val="Lista2"/>
        <w:jc w:val="center"/>
        <w:rPr>
          <w:rFonts w:cs="Times New Roman"/>
          <w:b/>
        </w:rPr>
      </w:pPr>
      <w:bookmarkStart w:id="114" w:name="_Toc78583671"/>
      <w:r w:rsidRPr="00084D33">
        <w:rPr>
          <w:rFonts w:cs="Times New Roman"/>
          <w:b/>
        </w:rPr>
        <w:t>5.2 Nivel de Cumplimiento Acceso a la Información</w:t>
      </w:r>
      <w:bookmarkEnd w:id="114"/>
    </w:p>
    <w:p w14:paraId="62996DC2" w14:textId="77777777" w:rsidR="003D10D9" w:rsidRPr="00084D33" w:rsidRDefault="003D10D9" w:rsidP="003D10D9">
      <w:pPr>
        <w:spacing w:after="160" w:line="259" w:lineRule="auto"/>
        <w:rPr>
          <w:rFonts w:ascii="Artifex CF Extra Light" w:eastAsia="Calibri" w:hAnsi="Artifex CF Extra Light" w:cs="Times New Roman"/>
          <w:spacing w:val="0"/>
          <w:sz w:val="18"/>
        </w:rPr>
      </w:pPr>
    </w:p>
    <w:p w14:paraId="33149307" w14:textId="77777777" w:rsidR="003D10D9" w:rsidRPr="00084D33" w:rsidRDefault="003D10D9" w:rsidP="003D10D9">
      <w:pPr>
        <w:ind w:left="720"/>
        <w:rPr>
          <w:rFonts w:ascii="Cambria" w:eastAsia="Calibri" w:hAnsi="Cambria" w:cs="Times"/>
          <w:spacing w:val="0"/>
          <w:sz w:val="18"/>
          <w:lang w:val="es-ES"/>
        </w:rPr>
      </w:pPr>
    </w:p>
    <w:p w14:paraId="37594E6F" w14:textId="511E0E9A" w:rsidR="003D10D9" w:rsidRPr="00084D33" w:rsidRDefault="003D10D9" w:rsidP="000A17C8">
      <w:pPr>
        <w:rPr>
          <w:rFonts w:eastAsia="Times New Roman" w:cs="Times New Roman"/>
          <w:szCs w:val="24"/>
          <w:lang w:val="es-ES" w:eastAsia="es-ES" w:bidi="es-ES"/>
        </w:rPr>
      </w:pPr>
      <w:r w:rsidRPr="00084D33">
        <w:rPr>
          <w:rFonts w:eastAsia="Times New Roman" w:cs="Times New Roman"/>
          <w:szCs w:val="24"/>
          <w:lang w:val="es-ES" w:eastAsia="es-ES" w:bidi="es-ES"/>
        </w:rPr>
        <w:t xml:space="preserve">El Ministerio de Obras Públicas y Comunicaciones (MOPC)como organismo del Estado Dominicano, a través de la Oficina de Acceso a la Información (OAI), cumple con el requerimiento de proveer las informaciones de carácter público, relativas a </w:t>
      </w:r>
      <w:r w:rsidR="00902287" w:rsidRPr="00084D33">
        <w:rPr>
          <w:rFonts w:eastAsia="Times New Roman" w:cs="Times New Roman"/>
          <w:szCs w:val="24"/>
          <w:lang w:val="es-ES" w:eastAsia="es-ES" w:bidi="es-ES"/>
        </w:rPr>
        <w:t>sus funciones y ejecutorias físicas -</w:t>
      </w:r>
      <w:r w:rsidRPr="00084D33">
        <w:rPr>
          <w:rFonts w:eastAsia="Times New Roman" w:cs="Times New Roman"/>
          <w:szCs w:val="24"/>
          <w:lang w:val="es-ES" w:eastAsia="es-ES" w:bidi="es-ES"/>
        </w:rPr>
        <w:t xml:space="preserve"> financiera</w:t>
      </w:r>
      <w:r w:rsidR="00902287" w:rsidRPr="00084D33">
        <w:rPr>
          <w:rFonts w:eastAsia="Times New Roman" w:cs="Times New Roman"/>
          <w:szCs w:val="24"/>
          <w:lang w:val="es-ES" w:eastAsia="es-ES" w:bidi="es-ES"/>
        </w:rPr>
        <w:t>s</w:t>
      </w:r>
      <w:r w:rsidRPr="00084D33">
        <w:rPr>
          <w:rFonts w:eastAsia="Times New Roman" w:cs="Times New Roman"/>
          <w:szCs w:val="24"/>
          <w:lang w:val="es-ES" w:eastAsia="es-ES" w:bidi="es-ES"/>
        </w:rPr>
        <w:t xml:space="preserve">, de naturaleza administrativa, servicios que ofrece, </w:t>
      </w:r>
      <w:r w:rsidR="00902287" w:rsidRPr="00084D33">
        <w:rPr>
          <w:rFonts w:eastAsia="Times New Roman" w:cs="Times New Roman"/>
          <w:szCs w:val="24"/>
          <w:lang w:val="es-ES" w:eastAsia="es-ES" w:bidi="es-ES"/>
        </w:rPr>
        <w:t xml:space="preserve">entre otras, </w:t>
      </w:r>
      <w:r w:rsidRPr="00084D33">
        <w:rPr>
          <w:rFonts w:eastAsia="Times New Roman" w:cs="Times New Roman"/>
          <w:szCs w:val="24"/>
          <w:lang w:val="es-ES" w:eastAsia="es-ES" w:bidi="es-ES"/>
        </w:rPr>
        <w:t xml:space="preserve">tal como lo establece la Ley General No.200-04 de Libre Acceso a la Información Pública y su Reglamento 130-05 para la administración pública, tanto </w:t>
      </w:r>
      <w:r w:rsidR="00902287" w:rsidRPr="00084D33">
        <w:rPr>
          <w:rFonts w:eastAsia="Times New Roman" w:cs="Times New Roman"/>
          <w:szCs w:val="24"/>
          <w:lang w:val="es-ES" w:eastAsia="es-ES" w:bidi="es-ES"/>
        </w:rPr>
        <w:t xml:space="preserve">para instituciones </w:t>
      </w:r>
      <w:r w:rsidRPr="00084D33">
        <w:rPr>
          <w:rFonts w:eastAsia="Times New Roman" w:cs="Times New Roman"/>
          <w:szCs w:val="24"/>
          <w:lang w:val="es-ES" w:eastAsia="es-ES" w:bidi="es-ES"/>
        </w:rPr>
        <w:t>centralizada</w:t>
      </w:r>
      <w:r w:rsidR="00902287" w:rsidRPr="00084D33">
        <w:rPr>
          <w:rFonts w:eastAsia="Times New Roman" w:cs="Times New Roman"/>
          <w:szCs w:val="24"/>
          <w:lang w:val="es-ES" w:eastAsia="es-ES" w:bidi="es-ES"/>
        </w:rPr>
        <w:t>s</w:t>
      </w:r>
      <w:r w:rsidRPr="00084D33">
        <w:rPr>
          <w:rFonts w:eastAsia="Times New Roman" w:cs="Times New Roman"/>
          <w:szCs w:val="24"/>
          <w:lang w:val="es-ES" w:eastAsia="es-ES" w:bidi="es-ES"/>
        </w:rPr>
        <w:t xml:space="preserve"> como descentralizada</w:t>
      </w:r>
      <w:r w:rsidR="00902287" w:rsidRPr="00084D33">
        <w:rPr>
          <w:rFonts w:eastAsia="Times New Roman" w:cs="Times New Roman"/>
          <w:szCs w:val="24"/>
          <w:lang w:val="es-ES" w:eastAsia="es-ES" w:bidi="es-ES"/>
        </w:rPr>
        <w:t>s</w:t>
      </w:r>
      <w:r w:rsidRPr="00084D33">
        <w:rPr>
          <w:rFonts w:eastAsia="Times New Roman" w:cs="Times New Roman"/>
          <w:szCs w:val="24"/>
          <w:lang w:val="es-ES" w:eastAsia="es-ES" w:bidi="es-ES"/>
        </w:rPr>
        <w:t>.</w:t>
      </w:r>
    </w:p>
    <w:p w14:paraId="7822B876" w14:textId="77777777" w:rsidR="003D10D9" w:rsidRPr="00084D33" w:rsidRDefault="003D10D9" w:rsidP="000A17C8">
      <w:pPr>
        <w:spacing w:after="160"/>
        <w:rPr>
          <w:rFonts w:eastAsia="Times New Roman" w:cs="Times New Roman"/>
          <w:szCs w:val="24"/>
          <w:lang w:val="es-ES" w:eastAsia="es-ES" w:bidi="es-ES"/>
        </w:rPr>
      </w:pPr>
    </w:p>
    <w:p w14:paraId="670B7349" w14:textId="0123F3FD" w:rsidR="003D10D9" w:rsidRPr="00084D33" w:rsidRDefault="003D10D9" w:rsidP="000A17C8">
      <w:pPr>
        <w:rPr>
          <w:rFonts w:eastAsia="Times New Roman" w:cs="Times New Roman"/>
          <w:szCs w:val="24"/>
          <w:lang w:val="es-ES" w:eastAsia="es-ES" w:bidi="es-ES"/>
        </w:rPr>
      </w:pPr>
      <w:r w:rsidRPr="00084D33">
        <w:rPr>
          <w:rFonts w:eastAsia="Times New Roman" w:cs="Times New Roman"/>
          <w:szCs w:val="24"/>
          <w:lang w:val="es-ES" w:eastAsia="es-ES" w:bidi="es-ES"/>
        </w:rPr>
        <w:t xml:space="preserve">El objetivo principal de la Oficina de Acceso a la Información (OAI), es </w:t>
      </w:r>
      <w:r w:rsidR="00902287" w:rsidRPr="00084D33">
        <w:rPr>
          <w:rFonts w:eastAsia="Times New Roman" w:cs="Times New Roman"/>
          <w:szCs w:val="24"/>
          <w:lang w:val="es-ES" w:eastAsia="es-ES" w:bidi="es-ES"/>
        </w:rPr>
        <w:t>i</w:t>
      </w:r>
      <w:r w:rsidRPr="00084D33">
        <w:rPr>
          <w:rFonts w:eastAsia="Times New Roman" w:cs="Times New Roman"/>
          <w:szCs w:val="24"/>
          <w:lang w:val="es-ES" w:eastAsia="es-ES" w:bidi="es-ES"/>
        </w:rPr>
        <w:t xml:space="preserve">mpulsar la cultura de la transparencia institucional dentro del MOPC, para colaborar en el desarrollo de un Estado eficiente, </w:t>
      </w:r>
      <w:r w:rsidR="00902287" w:rsidRPr="00084D33">
        <w:rPr>
          <w:rFonts w:eastAsia="Times New Roman" w:cs="Times New Roman"/>
          <w:szCs w:val="24"/>
          <w:lang w:val="es-ES" w:eastAsia="es-ES" w:bidi="es-ES"/>
        </w:rPr>
        <w:t>transparente</w:t>
      </w:r>
      <w:r w:rsidRPr="00084D33">
        <w:rPr>
          <w:rFonts w:eastAsia="Times New Roman" w:cs="Times New Roman"/>
          <w:szCs w:val="24"/>
          <w:lang w:val="es-ES" w:eastAsia="es-ES" w:bidi="es-ES"/>
        </w:rPr>
        <w:t xml:space="preserve"> y </w:t>
      </w:r>
      <w:r w:rsidR="00902287" w:rsidRPr="00084D33">
        <w:rPr>
          <w:rFonts w:eastAsia="Times New Roman" w:cs="Times New Roman"/>
          <w:szCs w:val="24"/>
          <w:lang w:val="es-ES" w:eastAsia="es-ES" w:bidi="es-ES"/>
        </w:rPr>
        <w:t>digno</w:t>
      </w:r>
      <w:r w:rsidRPr="00084D33">
        <w:rPr>
          <w:rFonts w:eastAsia="Times New Roman" w:cs="Times New Roman"/>
          <w:szCs w:val="24"/>
          <w:lang w:val="es-ES" w:eastAsia="es-ES" w:bidi="es-ES"/>
        </w:rPr>
        <w:t>, apegado a los valores de la Moral y la Ética.</w:t>
      </w:r>
    </w:p>
    <w:p w14:paraId="7A6F870F" w14:textId="56B5F5AC" w:rsidR="003D10D9" w:rsidRPr="00084D33" w:rsidRDefault="003D10D9" w:rsidP="00BC67CE">
      <w:pPr>
        <w:pStyle w:val="Textoindependiente"/>
        <w:spacing w:line="360" w:lineRule="auto"/>
        <w:jc w:val="both"/>
        <w:rPr>
          <w:color w:val="767171"/>
        </w:rPr>
      </w:pPr>
    </w:p>
    <w:p w14:paraId="386E550D" w14:textId="0882ABF9" w:rsidR="00EA569D" w:rsidRPr="00084D33" w:rsidRDefault="003F4A5D" w:rsidP="00500720">
      <w:pPr>
        <w:pStyle w:val="Lista2"/>
        <w:jc w:val="center"/>
        <w:rPr>
          <w:rFonts w:cs="Times New Roman"/>
          <w:b/>
        </w:rPr>
      </w:pPr>
      <w:bookmarkStart w:id="115" w:name="_Toc78583670"/>
      <w:r w:rsidRPr="00084D33">
        <w:rPr>
          <w:rFonts w:cs="Times New Roman"/>
          <w:b/>
        </w:rPr>
        <w:lastRenderedPageBreak/>
        <w:t>5.</w:t>
      </w:r>
      <w:r w:rsidR="00A053BB" w:rsidRPr="00084D33">
        <w:rPr>
          <w:rFonts w:cs="Times New Roman"/>
          <w:b/>
        </w:rPr>
        <w:t>3</w:t>
      </w:r>
      <w:r w:rsidRPr="00084D33">
        <w:rPr>
          <w:rFonts w:cs="Times New Roman"/>
          <w:b/>
        </w:rPr>
        <w:t xml:space="preserve"> </w:t>
      </w:r>
      <w:r w:rsidR="00C86E72" w:rsidRPr="00084D33">
        <w:rPr>
          <w:rFonts w:cs="Times New Roman"/>
          <w:b/>
        </w:rPr>
        <w:t>P</w:t>
      </w:r>
      <w:r w:rsidR="00D9762B" w:rsidRPr="00084D33">
        <w:rPr>
          <w:rFonts w:cs="Times New Roman"/>
          <w:b/>
        </w:rPr>
        <w:t>ortal Transparencia</w:t>
      </w:r>
    </w:p>
    <w:p w14:paraId="2D595925" w14:textId="77777777" w:rsidR="00EA569D" w:rsidRPr="00084D33" w:rsidRDefault="00EA569D" w:rsidP="00BC67CE">
      <w:pPr>
        <w:rPr>
          <w:rFonts w:cs="Times New Roman"/>
        </w:rPr>
      </w:pPr>
    </w:p>
    <w:p w14:paraId="74EBB3B8" w14:textId="2853FA2F" w:rsidR="00D9762B" w:rsidRPr="00084D33" w:rsidRDefault="00EA569D" w:rsidP="00BC67CE">
      <w:pPr>
        <w:pStyle w:val="Textoindependiente"/>
        <w:spacing w:line="360" w:lineRule="auto"/>
        <w:jc w:val="both"/>
        <w:rPr>
          <w:color w:val="767171"/>
        </w:rPr>
      </w:pPr>
      <w:r w:rsidRPr="00084D33">
        <w:rPr>
          <w:color w:val="767171"/>
        </w:rPr>
        <w:t xml:space="preserve">El </w:t>
      </w:r>
      <w:r w:rsidR="00873600" w:rsidRPr="00084D33">
        <w:rPr>
          <w:color w:val="767171"/>
        </w:rPr>
        <w:t>P</w:t>
      </w:r>
      <w:r w:rsidRPr="00084D33">
        <w:rPr>
          <w:color w:val="767171"/>
        </w:rPr>
        <w:t xml:space="preserve">ortal </w:t>
      </w:r>
      <w:r w:rsidR="00873600" w:rsidRPr="00084D33">
        <w:rPr>
          <w:color w:val="767171"/>
        </w:rPr>
        <w:t xml:space="preserve">de </w:t>
      </w:r>
      <w:r w:rsidRPr="00084D33">
        <w:rPr>
          <w:color w:val="767171"/>
        </w:rPr>
        <w:t>Transparencia del MOPC</w:t>
      </w:r>
      <w:r w:rsidR="00D9762B" w:rsidRPr="00084D33">
        <w:rPr>
          <w:color w:val="767171"/>
        </w:rPr>
        <w:t xml:space="preserve">, </w:t>
      </w:r>
      <w:r w:rsidR="00C86E72" w:rsidRPr="00084D33">
        <w:rPr>
          <w:color w:val="767171"/>
        </w:rPr>
        <w:t xml:space="preserve">se encuentra </w:t>
      </w:r>
      <w:r w:rsidR="00D9762B" w:rsidRPr="00084D33">
        <w:rPr>
          <w:color w:val="767171"/>
        </w:rPr>
        <w:t xml:space="preserve">a disposición de la </w:t>
      </w:r>
      <w:r w:rsidR="001F188D" w:rsidRPr="00084D33">
        <w:rPr>
          <w:color w:val="767171"/>
        </w:rPr>
        <w:t>ciudadanía</w:t>
      </w:r>
      <w:r w:rsidR="00D9762B" w:rsidRPr="00084D33">
        <w:rPr>
          <w:color w:val="767171"/>
        </w:rPr>
        <w:t xml:space="preserve"> de </w:t>
      </w:r>
      <w:r w:rsidR="00C86E72" w:rsidRPr="00084D33">
        <w:rPr>
          <w:color w:val="767171"/>
        </w:rPr>
        <w:t>manera</w:t>
      </w:r>
      <w:r w:rsidR="00D9762B" w:rsidRPr="00084D33">
        <w:rPr>
          <w:color w:val="767171"/>
        </w:rPr>
        <w:t xml:space="preserve"> permanente</w:t>
      </w:r>
      <w:r w:rsidR="00F8229A" w:rsidRPr="00084D33">
        <w:rPr>
          <w:color w:val="767171"/>
        </w:rPr>
        <w:t xml:space="preserve"> </w:t>
      </w:r>
      <w:r w:rsidR="001F188D" w:rsidRPr="00084D33">
        <w:rPr>
          <w:color w:val="767171"/>
        </w:rPr>
        <w:t xml:space="preserve">con las </w:t>
      </w:r>
      <w:r w:rsidR="00D9762B" w:rsidRPr="00084D33">
        <w:rPr>
          <w:color w:val="767171"/>
        </w:rPr>
        <w:t xml:space="preserve">informaciones </w:t>
      </w:r>
      <w:r w:rsidR="00F8229A" w:rsidRPr="00084D33">
        <w:rPr>
          <w:color w:val="767171"/>
        </w:rPr>
        <w:t xml:space="preserve">actualizadas que resulten de </w:t>
      </w:r>
      <w:r w:rsidR="00D9762B" w:rsidRPr="00084D33">
        <w:rPr>
          <w:color w:val="767171"/>
        </w:rPr>
        <w:t xml:space="preserve">interés público, las cuales </w:t>
      </w:r>
      <w:r w:rsidR="00F8229A" w:rsidRPr="00084D33">
        <w:rPr>
          <w:color w:val="767171"/>
        </w:rPr>
        <w:t xml:space="preserve">deben cumplir </w:t>
      </w:r>
      <w:r w:rsidR="00D9762B" w:rsidRPr="00084D33">
        <w:rPr>
          <w:color w:val="767171"/>
        </w:rPr>
        <w:t>con los requisitos de la Resolución 1-2013</w:t>
      </w:r>
      <w:r w:rsidR="00F8229A" w:rsidRPr="00084D33">
        <w:rPr>
          <w:color w:val="767171"/>
        </w:rPr>
        <w:t>, de</w:t>
      </w:r>
      <w:r w:rsidR="00D9762B" w:rsidRPr="00084D33">
        <w:rPr>
          <w:color w:val="767171"/>
        </w:rPr>
        <w:t xml:space="preserve"> la Dirección General de Ética e Integridad Gubernamental (DIGEID</w:t>
      </w:r>
      <w:r w:rsidR="001F188D" w:rsidRPr="00084D33">
        <w:rPr>
          <w:color w:val="767171"/>
        </w:rPr>
        <w:t xml:space="preserve">), </w:t>
      </w:r>
      <w:r w:rsidR="00873600" w:rsidRPr="00084D33">
        <w:rPr>
          <w:color w:val="767171"/>
        </w:rPr>
        <w:t xml:space="preserve">y </w:t>
      </w:r>
      <w:r w:rsidR="001F188D" w:rsidRPr="00084D33">
        <w:rPr>
          <w:color w:val="767171"/>
        </w:rPr>
        <w:t>contribuye</w:t>
      </w:r>
      <w:r w:rsidR="00873600" w:rsidRPr="00084D33">
        <w:rPr>
          <w:color w:val="767171"/>
        </w:rPr>
        <w:t xml:space="preserve">n a la vez, </w:t>
      </w:r>
      <w:r w:rsidR="00F8229A" w:rsidRPr="00084D33">
        <w:rPr>
          <w:color w:val="767171"/>
        </w:rPr>
        <w:t>con</w:t>
      </w:r>
      <w:r w:rsidR="001F188D" w:rsidRPr="00084D33">
        <w:rPr>
          <w:color w:val="767171"/>
        </w:rPr>
        <w:t xml:space="preserve"> los procesos de </w:t>
      </w:r>
      <w:r w:rsidR="00F8229A" w:rsidRPr="00084D33">
        <w:rPr>
          <w:color w:val="767171"/>
        </w:rPr>
        <w:t>evaluación mensual, garantizando</w:t>
      </w:r>
      <w:r w:rsidR="001F188D" w:rsidRPr="00084D33">
        <w:rPr>
          <w:color w:val="767171"/>
        </w:rPr>
        <w:t xml:space="preserve"> la estandarización de las informaciones en los portales electrónicos de las instituciones gubernamentales amparado </w:t>
      </w:r>
      <w:r w:rsidR="00524DC6" w:rsidRPr="00084D33">
        <w:rPr>
          <w:color w:val="767171"/>
        </w:rPr>
        <w:t xml:space="preserve">en </w:t>
      </w:r>
      <w:r w:rsidR="001F188D" w:rsidRPr="00084D33">
        <w:rPr>
          <w:color w:val="767171"/>
        </w:rPr>
        <w:t xml:space="preserve">la Ley General 200 - 04, </w:t>
      </w:r>
      <w:r w:rsidR="00F8229A" w:rsidRPr="00084D33">
        <w:rPr>
          <w:color w:val="767171"/>
        </w:rPr>
        <w:t>efectuando la</w:t>
      </w:r>
      <w:r w:rsidR="001F188D" w:rsidRPr="00084D33">
        <w:rPr>
          <w:color w:val="767171"/>
        </w:rPr>
        <w:t xml:space="preserve"> calific</w:t>
      </w:r>
      <w:r w:rsidR="00F8229A" w:rsidRPr="00084D33">
        <w:rPr>
          <w:color w:val="767171"/>
        </w:rPr>
        <w:t>aci</w:t>
      </w:r>
      <w:r w:rsidR="001F188D" w:rsidRPr="00084D33">
        <w:rPr>
          <w:color w:val="767171"/>
        </w:rPr>
        <w:t>ó</w:t>
      </w:r>
      <w:r w:rsidR="00F8229A" w:rsidRPr="00084D33">
        <w:rPr>
          <w:color w:val="767171"/>
        </w:rPr>
        <w:t xml:space="preserve">n de </w:t>
      </w:r>
      <w:r w:rsidR="001F188D" w:rsidRPr="00084D33">
        <w:rPr>
          <w:color w:val="767171"/>
        </w:rPr>
        <w:t>la gestión de transparencia del Ministerio de Obras P</w:t>
      </w:r>
      <w:r w:rsidR="00F8229A" w:rsidRPr="00084D33">
        <w:rPr>
          <w:color w:val="767171"/>
        </w:rPr>
        <w:t>ú</w:t>
      </w:r>
      <w:r w:rsidR="001F188D" w:rsidRPr="00084D33">
        <w:rPr>
          <w:color w:val="767171"/>
        </w:rPr>
        <w:t xml:space="preserve">blicas y </w:t>
      </w:r>
      <w:r w:rsidR="00F8229A" w:rsidRPr="00084D33">
        <w:rPr>
          <w:color w:val="767171"/>
        </w:rPr>
        <w:t>Comunicaciones</w:t>
      </w:r>
      <w:r w:rsidR="001F188D" w:rsidRPr="00084D33">
        <w:rPr>
          <w:color w:val="767171"/>
        </w:rPr>
        <w:t xml:space="preserve"> durante el periodo </w:t>
      </w:r>
      <w:r w:rsidR="000A17C8" w:rsidRPr="00084D33">
        <w:rPr>
          <w:color w:val="767171"/>
        </w:rPr>
        <w:t>enero-diciembre</w:t>
      </w:r>
      <w:r w:rsidR="005D7141" w:rsidRPr="00084D33">
        <w:rPr>
          <w:color w:val="767171"/>
        </w:rPr>
        <w:t xml:space="preserve"> del 2024</w:t>
      </w:r>
      <w:r w:rsidR="003E17FD" w:rsidRPr="00084D33">
        <w:rPr>
          <w:color w:val="767171"/>
        </w:rPr>
        <w:t>.</w:t>
      </w:r>
    </w:p>
    <w:p w14:paraId="75E5ED5D" w14:textId="77777777" w:rsidR="00BC67CE" w:rsidRPr="00084D33" w:rsidRDefault="00BC67CE" w:rsidP="00BC67CE">
      <w:pPr>
        <w:pStyle w:val="Textoindependiente"/>
        <w:spacing w:line="360" w:lineRule="auto"/>
        <w:jc w:val="both"/>
        <w:rPr>
          <w:color w:val="767171"/>
        </w:rPr>
      </w:pPr>
    </w:p>
    <w:p w14:paraId="5AA95431" w14:textId="1424ED71" w:rsidR="00BE3E0B" w:rsidRPr="00084D33" w:rsidRDefault="00BE3E0B" w:rsidP="00524DC6">
      <w:pPr>
        <w:pStyle w:val="Lista2"/>
        <w:rPr>
          <w:rFonts w:cs="Times New Roman"/>
          <w:b/>
        </w:rPr>
      </w:pPr>
      <w:bookmarkStart w:id="116" w:name="_Toc91264842"/>
      <w:bookmarkStart w:id="117" w:name="_Toc20898275"/>
      <w:bookmarkEnd w:id="115"/>
      <w:bookmarkEnd w:id="116"/>
    </w:p>
    <w:p w14:paraId="67B5B72E" w14:textId="77777777" w:rsidR="00500720" w:rsidRPr="00084D33" w:rsidRDefault="00500720" w:rsidP="00524DC6">
      <w:pPr>
        <w:pStyle w:val="Lista2"/>
        <w:rPr>
          <w:rFonts w:cs="Times New Roman"/>
          <w:b/>
        </w:rPr>
      </w:pPr>
    </w:p>
    <w:p w14:paraId="5EB9610B" w14:textId="0E88823E" w:rsidR="002B5C1B" w:rsidRPr="00084D33" w:rsidRDefault="0062108A" w:rsidP="00500720">
      <w:pPr>
        <w:pStyle w:val="Lista2"/>
        <w:jc w:val="center"/>
        <w:rPr>
          <w:rFonts w:cs="Times New Roman"/>
          <w:b/>
        </w:rPr>
      </w:pPr>
      <w:r w:rsidRPr="00084D33">
        <w:rPr>
          <w:rFonts w:cs="Times New Roman"/>
          <w:b/>
        </w:rPr>
        <w:t>5</w:t>
      </w:r>
      <w:r w:rsidR="003F4A5D" w:rsidRPr="00084D33">
        <w:rPr>
          <w:rFonts w:cs="Times New Roman"/>
          <w:b/>
        </w:rPr>
        <w:t>.</w:t>
      </w:r>
      <w:r w:rsidR="00A053BB" w:rsidRPr="00084D33">
        <w:rPr>
          <w:rFonts w:cs="Times New Roman"/>
          <w:b/>
        </w:rPr>
        <w:t>3.1</w:t>
      </w:r>
      <w:r w:rsidR="002B5C1B" w:rsidRPr="00084D33">
        <w:rPr>
          <w:rFonts w:cs="Times New Roman"/>
          <w:b/>
        </w:rPr>
        <w:t xml:space="preserve"> Cantidad de Solicitudes Ingresadas</w:t>
      </w:r>
      <w:bookmarkEnd w:id="117"/>
    </w:p>
    <w:p w14:paraId="5BD4210D" w14:textId="7C6EB2C4" w:rsidR="00BC67CE" w:rsidRPr="00084D33" w:rsidRDefault="00BC67CE" w:rsidP="00BC67CE">
      <w:pPr>
        <w:pStyle w:val="Textoindependienteprimerasangra2"/>
        <w:rPr>
          <w:rFonts w:cs="Times New Roman"/>
          <w:b/>
        </w:rPr>
      </w:pPr>
    </w:p>
    <w:p w14:paraId="2E187FA0" w14:textId="3C30AAF0" w:rsidR="009B3287" w:rsidRPr="00084D33" w:rsidRDefault="002B5C1B" w:rsidP="00BC67CE">
      <w:pPr>
        <w:pStyle w:val="Textoindependiente"/>
        <w:spacing w:line="360" w:lineRule="auto"/>
        <w:jc w:val="both"/>
        <w:rPr>
          <w:color w:val="767171"/>
        </w:rPr>
      </w:pPr>
      <w:r w:rsidRPr="00084D33">
        <w:rPr>
          <w:color w:val="767171"/>
        </w:rPr>
        <w:t>La Dirección de Libre Acceso a la Información Pública, Ética y Transparencia</w:t>
      </w:r>
      <w:r w:rsidR="00524DC6" w:rsidRPr="00084D33">
        <w:rPr>
          <w:color w:val="767171"/>
        </w:rPr>
        <w:t xml:space="preserve"> del MOPC</w:t>
      </w:r>
      <w:r w:rsidRPr="00084D33">
        <w:rPr>
          <w:color w:val="767171"/>
        </w:rPr>
        <w:t xml:space="preserve">, </w:t>
      </w:r>
      <w:r w:rsidR="00524DC6" w:rsidRPr="00084D33">
        <w:rPr>
          <w:color w:val="767171"/>
        </w:rPr>
        <w:t xml:space="preserve">recibió durante el periodo </w:t>
      </w:r>
      <w:r w:rsidR="000A17C8" w:rsidRPr="00084D33">
        <w:rPr>
          <w:color w:val="767171"/>
        </w:rPr>
        <w:t>enero-diciembre</w:t>
      </w:r>
      <w:r w:rsidR="005D7141" w:rsidRPr="00084D33">
        <w:rPr>
          <w:color w:val="767171"/>
        </w:rPr>
        <w:t xml:space="preserve"> del 2024</w:t>
      </w:r>
      <w:r w:rsidR="00524DC6" w:rsidRPr="00084D33">
        <w:rPr>
          <w:color w:val="767171"/>
        </w:rPr>
        <w:t xml:space="preserve">, a través del Portal Único (SAIP), </w:t>
      </w:r>
      <w:r w:rsidR="005D7141" w:rsidRPr="00084D33">
        <w:rPr>
          <w:color w:val="767171"/>
        </w:rPr>
        <w:t xml:space="preserve">un total de </w:t>
      </w:r>
      <w:r w:rsidR="008E7B31" w:rsidRPr="00084D33">
        <w:rPr>
          <w:color w:val="767171"/>
        </w:rPr>
        <w:t xml:space="preserve">seiscientas </w:t>
      </w:r>
      <w:r w:rsidR="00E55155" w:rsidRPr="00084D33">
        <w:rPr>
          <w:color w:val="767171"/>
        </w:rPr>
        <w:t>veintidós</w:t>
      </w:r>
      <w:r w:rsidR="008E7B31" w:rsidRPr="00084D33">
        <w:rPr>
          <w:color w:val="767171"/>
        </w:rPr>
        <w:t xml:space="preserve"> (622) </w:t>
      </w:r>
      <w:r w:rsidR="00524DC6" w:rsidRPr="00084D33">
        <w:rPr>
          <w:color w:val="767171"/>
        </w:rPr>
        <w:t>solicitudes de información</w:t>
      </w:r>
      <w:r w:rsidRPr="00084D33">
        <w:rPr>
          <w:color w:val="767171"/>
        </w:rPr>
        <w:t xml:space="preserve"> </w:t>
      </w:r>
      <w:r w:rsidR="00524DC6" w:rsidRPr="00084D33">
        <w:rPr>
          <w:color w:val="767171"/>
        </w:rPr>
        <w:t>relacionadas a las funciones y ejecutorias de</w:t>
      </w:r>
      <w:r w:rsidR="00FC303A" w:rsidRPr="00084D33">
        <w:rPr>
          <w:color w:val="767171"/>
        </w:rPr>
        <w:t xml:space="preserve"> </w:t>
      </w:r>
      <w:r w:rsidR="00524DC6" w:rsidRPr="00084D33">
        <w:rPr>
          <w:color w:val="767171"/>
        </w:rPr>
        <w:t>l</w:t>
      </w:r>
      <w:r w:rsidRPr="00084D33">
        <w:rPr>
          <w:color w:val="767171"/>
        </w:rPr>
        <w:t xml:space="preserve">a </w:t>
      </w:r>
      <w:r w:rsidR="00FC303A" w:rsidRPr="00084D33">
        <w:rPr>
          <w:color w:val="767171"/>
        </w:rPr>
        <w:t>institución.</w:t>
      </w:r>
    </w:p>
    <w:p w14:paraId="26A3A9F6" w14:textId="0FD2F978" w:rsidR="003F4A5D" w:rsidRPr="00084D33" w:rsidRDefault="003F4A5D" w:rsidP="00BC67CE">
      <w:pPr>
        <w:pStyle w:val="Textoindependiente"/>
        <w:spacing w:line="360" w:lineRule="auto"/>
        <w:jc w:val="both"/>
        <w:rPr>
          <w:color w:val="767171"/>
        </w:rPr>
      </w:pPr>
    </w:p>
    <w:p w14:paraId="2A6ADD65" w14:textId="21B23648" w:rsidR="009B3287" w:rsidRPr="00084D33" w:rsidRDefault="002B5C1B" w:rsidP="00BC67CE">
      <w:pPr>
        <w:pStyle w:val="Textoindependiente"/>
        <w:spacing w:line="360" w:lineRule="auto"/>
        <w:jc w:val="both"/>
        <w:rPr>
          <w:color w:val="767171"/>
        </w:rPr>
      </w:pPr>
      <w:r w:rsidRPr="00084D33">
        <w:rPr>
          <w:color w:val="767171"/>
        </w:rPr>
        <w:t xml:space="preserve">A continuación, presentamos las estadísticas </w:t>
      </w:r>
      <w:r w:rsidR="00FC303A" w:rsidRPr="00084D33">
        <w:rPr>
          <w:color w:val="767171"/>
        </w:rPr>
        <w:t>con el</w:t>
      </w:r>
      <w:r w:rsidRPr="00084D33">
        <w:rPr>
          <w:color w:val="767171"/>
        </w:rPr>
        <w:t xml:space="preserve"> estatus de las solicitudes de información organizadas según criterios. </w:t>
      </w:r>
    </w:p>
    <w:p w14:paraId="265B3CAF" w14:textId="1457657C" w:rsidR="00524DC6" w:rsidRPr="00084D33" w:rsidRDefault="008E7B31" w:rsidP="00BE3E0B">
      <w:pPr>
        <w:pStyle w:val="Textoindependiente"/>
        <w:spacing w:line="360" w:lineRule="auto"/>
        <w:ind w:left="-90"/>
        <w:jc w:val="both"/>
        <w:rPr>
          <w:color w:val="767171"/>
        </w:rPr>
      </w:pPr>
      <w:r w:rsidRPr="00084D33">
        <w:rPr>
          <w:noProof/>
          <w:color w:val="767171"/>
          <w:lang w:val="es-DO" w:eastAsia="es-DO" w:bidi="ar-SA"/>
        </w:rPr>
        <w:lastRenderedPageBreak/>
        <w:drawing>
          <wp:inline distT="0" distB="0" distL="0" distR="0" wp14:anchorId="14914DE2" wp14:editId="4D44BEA2">
            <wp:extent cx="5335467" cy="2017059"/>
            <wp:effectExtent l="0" t="0" r="0" b="254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8116" cy="2033182"/>
                    </a:xfrm>
                    <a:prstGeom prst="rect">
                      <a:avLst/>
                    </a:prstGeom>
                    <a:noFill/>
                    <a:ln>
                      <a:noFill/>
                    </a:ln>
                  </pic:spPr>
                </pic:pic>
              </a:graphicData>
            </a:graphic>
          </wp:inline>
        </w:drawing>
      </w:r>
      <w:r w:rsidR="005D7141" w:rsidRPr="00084D33">
        <w:rPr>
          <w:color w:val="767171"/>
        </w:rPr>
        <w:t xml:space="preserve"> </w:t>
      </w:r>
    </w:p>
    <w:p w14:paraId="17054640" w14:textId="2B8BFE09" w:rsidR="00DD228A" w:rsidRPr="00084D33" w:rsidRDefault="00DD228A" w:rsidP="002B5C1B">
      <w:pPr>
        <w:spacing w:after="160"/>
        <w:rPr>
          <w:rFonts w:eastAsia="Times New Roman" w:cs="Times New Roman"/>
          <w:b/>
          <w:spacing w:val="0"/>
          <w:szCs w:val="24"/>
          <w:lang w:val="es-ES"/>
        </w:rPr>
      </w:pPr>
    </w:p>
    <w:p w14:paraId="51A642E1" w14:textId="4B848363" w:rsidR="002B5C1B" w:rsidRPr="00084D33" w:rsidRDefault="00DD228A" w:rsidP="00BC67CE">
      <w:pPr>
        <w:pStyle w:val="Textoindependiente"/>
        <w:spacing w:line="360" w:lineRule="auto"/>
        <w:jc w:val="both"/>
        <w:rPr>
          <w:color w:val="767171"/>
        </w:rPr>
      </w:pPr>
      <w:r w:rsidRPr="00084D33">
        <w:rPr>
          <w:color w:val="767171"/>
        </w:rPr>
        <w:t>La siguiente gráfica, muestra las s</w:t>
      </w:r>
      <w:r w:rsidR="002B5C1B" w:rsidRPr="00084D33">
        <w:rPr>
          <w:color w:val="767171"/>
        </w:rPr>
        <w:t xml:space="preserve">olicitudes ingresadas </w:t>
      </w:r>
      <w:r w:rsidRPr="00084D33">
        <w:rPr>
          <w:color w:val="767171"/>
        </w:rPr>
        <w:t xml:space="preserve">a la institución durante el </w:t>
      </w:r>
      <w:r w:rsidR="00FC303A" w:rsidRPr="00084D33">
        <w:rPr>
          <w:color w:val="767171"/>
        </w:rPr>
        <w:t xml:space="preserve">período </w:t>
      </w:r>
      <w:r w:rsidR="000A17C8" w:rsidRPr="00084D33">
        <w:rPr>
          <w:color w:val="767171"/>
        </w:rPr>
        <w:t>enero-diciembre</w:t>
      </w:r>
      <w:r w:rsidR="005D7141" w:rsidRPr="00084D33">
        <w:rPr>
          <w:color w:val="767171"/>
        </w:rPr>
        <w:t xml:space="preserve"> 2024</w:t>
      </w:r>
      <w:r w:rsidR="002B5C1B" w:rsidRPr="00084D33">
        <w:rPr>
          <w:color w:val="767171"/>
        </w:rPr>
        <w:t>.</w:t>
      </w:r>
    </w:p>
    <w:p w14:paraId="364B1C51" w14:textId="77777777" w:rsidR="00524DC6" w:rsidRPr="00084D33" w:rsidRDefault="00524DC6" w:rsidP="00524DC6">
      <w:pPr>
        <w:rPr>
          <w:rFonts w:eastAsia="Times New Roman" w:cs="Times New Roman"/>
          <w:spacing w:val="0"/>
          <w:szCs w:val="24"/>
          <w:lang w:val="es-ES"/>
        </w:rPr>
      </w:pPr>
    </w:p>
    <w:p w14:paraId="2E16B659" w14:textId="5C7F2193" w:rsidR="009B3287" w:rsidRPr="00084D33" w:rsidRDefault="00B26F64" w:rsidP="00BE3E0B">
      <w:pPr>
        <w:spacing w:after="160"/>
        <w:ind w:left="-360"/>
        <w:rPr>
          <w:rFonts w:eastAsia="Times New Roman" w:cs="Times New Roman"/>
          <w:spacing w:val="0"/>
          <w:szCs w:val="24"/>
          <w:lang w:val="es-ES"/>
        </w:rPr>
      </w:pPr>
      <w:r w:rsidRPr="00084D33">
        <w:rPr>
          <w:rFonts w:eastAsia="Times New Roman" w:cs="Times New Roman"/>
          <w:noProof/>
          <w:spacing w:val="0"/>
          <w:szCs w:val="24"/>
          <w:lang w:eastAsia="es-DO"/>
        </w:rPr>
        <w:drawing>
          <wp:inline distT="0" distB="0" distL="0" distR="0" wp14:anchorId="2D62672C" wp14:editId="3A23481D">
            <wp:extent cx="5825565" cy="2660314"/>
            <wp:effectExtent l="0" t="0" r="3810" b="698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54371" cy="2673468"/>
                    </a:xfrm>
                    <a:prstGeom prst="rect">
                      <a:avLst/>
                    </a:prstGeom>
                    <a:noFill/>
                  </pic:spPr>
                </pic:pic>
              </a:graphicData>
            </a:graphic>
          </wp:inline>
        </w:drawing>
      </w:r>
    </w:p>
    <w:p w14:paraId="7F3D4DE4" w14:textId="75F36273" w:rsidR="00524DC6" w:rsidRPr="00084D33" w:rsidRDefault="00524DC6" w:rsidP="009A41B9">
      <w:pPr>
        <w:pStyle w:val="Lista2"/>
        <w:rPr>
          <w:rFonts w:cs="Times New Roman"/>
        </w:rPr>
      </w:pPr>
    </w:p>
    <w:p w14:paraId="1514CC3E" w14:textId="77777777" w:rsidR="00500720" w:rsidRPr="00084D33" w:rsidRDefault="00500720" w:rsidP="009A41B9">
      <w:pPr>
        <w:pStyle w:val="Lista2"/>
        <w:rPr>
          <w:rFonts w:cs="Times New Roman"/>
        </w:rPr>
      </w:pPr>
    </w:p>
    <w:p w14:paraId="420921FD" w14:textId="3574D83E" w:rsidR="002B5C1B" w:rsidRPr="00084D33" w:rsidRDefault="00EA569D" w:rsidP="00500720">
      <w:pPr>
        <w:pStyle w:val="Lista2"/>
        <w:jc w:val="center"/>
        <w:rPr>
          <w:rFonts w:cs="Times New Roman"/>
          <w:b/>
        </w:rPr>
      </w:pPr>
      <w:r w:rsidRPr="00084D33">
        <w:rPr>
          <w:rFonts w:cs="Times New Roman"/>
          <w:b/>
        </w:rPr>
        <w:t>5</w:t>
      </w:r>
      <w:r w:rsidR="00DD228A" w:rsidRPr="00084D33">
        <w:rPr>
          <w:rFonts w:cs="Times New Roman"/>
          <w:b/>
        </w:rPr>
        <w:t>.</w:t>
      </w:r>
      <w:r w:rsidR="00176054" w:rsidRPr="00084D33">
        <w:rPr>
          <w:rFonts w:cs="Times New Roman"/>
          <w:b/>
        </w:rPr>
        <w:t>3</w:t>
      </w:r>
      <w:r w:rsidR="000B46F0" w:rsidRPr="00084D33">
        <w:rPr>
          <w:rFonts w:cs="Times New Roman"/>
          <w:b/>
        </w:rPr>
        <w:t xml:space="preserve">.2 </w:t>
      </w:r>
      <w:r w:rsidR="002B5C1B" w:rsidRPr="00084D33">
        <w:rPr>
          <w:rFonts w:cs="Times New Roman"/>
          <w:b/>
        </w:rPr>
        <w:t xml:space="preserve">Solicitudes Ingresadas por </w:t>
      </w:r>
      <w:r w:rsidR="00FC303A" w:rsidRPr="00084D33">
        <w:rPr>
          <w:rFonts w:cs="Times New Roman"/>
          <w:b/>
        </w:rPr>
        <w:t>periodo mensual</w:t>
      </w:r>
    </w:p>
    <w:p w14:paraId="46F1D141" w14:textId="77777777" w:rsidR="00DD228A" w:rsidRPr="00084D33" w:rsidRDefault="00DD228A" w:rsidP="002B5C1B">
      <w:pPr>
        <w:spacing w:after="160" w:line="252" w:lineRule="auto"/>
        <w:rPr>
          <w:rFonts w:eastAsia="Times New Roman" w:cs="Times New Roman"/>
          <w:b/>
          <w:spacing w:val="0"/>
          <w:szCs w:val="24"/>
        </w:rPr>
      </w:pPr>
    </w:p>
    <w:p w14:paraId="7369CB03" w14:textId="33CFB508" w:rsidR="002B5C1B" w:rsidRPr="00084D33" w:rsidRDefault="00DD228A" w:rsidP="00BC67CE">
      <w:pPr>
        <w:pStyle w:val="Textoindependiente"/>
        <w:spacing w:line="360" w:lineRule="auto"/>
        <w:jc w:val="both"/>
        <w:rPr>
          <w:color w:val="767171"/>
        </w:rPr>
      </w:pPr>
      <w:r w:rsidRPr="00084D33">
        <w:rPr>
          <w:color w:val="767171"/>
        </w:rPr>
        <w:t>Los registros de</w:t>
      </w:r>
      <w:r w:rsidR="002B5C1B" w:rsidRPr="00084D33">
        <w:rPr>
          <w:color w:val="767171"/>
        </w:rPr>
        <w:t xml:space="preserve"> las solicitudes </w:t>
      </w:r>
      <w:r w:rsidRPr="00084D33">
        <w:rPr>
          <w:color w:val="767171"/>
        </w:rPr>
        <w:t xml:space="preserve">de información recibidas </w:t>
      </w:r>
      <w:r w:rsidR="00FC303A" w:rsidRPr="00084D33">
        <w:rPr>
          <w:color w:val="767171"/>
        </w:rPr>
        <w:t xml:space="preserve">por mes </w:t>
      </w:r>
      <w:r w:rsidRPr="00084D33">
        <w:rPr>
          <w:color w:val="767171"/>
        </w:rPr>
        <w:t>en la D</w:t>
      </w:r>
      <w:r w:rsidR="002B5C1B" w:rsidRPr="00084D33">
        <w:rPr>
          <w:color w:val="767171"/>
        </w:rPr>
        <w:t xml:space="preserve">irección de Libre Acceso a la Información Pública, </w:t>
      </w:r>
      <w:r w:rsidR="00FC303A" w:rsidRPr="00084D33">
        <w:rPr>
          <w:color w:val="767171"/>
        </w:rPr>
        <w:t xml:space="preserve">durante el </w:t>
      </w:r>
      <w:r w:rsidR="002B5C1B" w:rsidRPr="00084D33">
        <w:rPr>
          <w:color w:val="767171"/>
        </w:rPr>
        <w:t xml:space="preserve">periodo </w:t>
      </w:r>
      <w:r w:rsidR="000A17C8" w:rsidRPr="00084D33">
        <w:rPr>
          <w:color w:val="767171"/>
        </w:rPr>
        <w:t>enero-diciembre</w:t>
      </w:r>
      <w:r w:rsidR="005D7141" w:rsidRPr="00084D33">
        <w:rPr>
          <w:color w:val="767171"/>
        </w:rPr>
        <w:t xml:space="preserve"> del año 2024</w:t>
      </w:r>
      <w:r w:rsidR="00FC303A" w:rsidRPr="00084D33">
        <w:rPr>
          <w:color w:val="767171"/>
        </w:rPr>
        <w:t>, se presentan en la tabla siguiente:</w:t>
      </w:r>
    </w:p>
    <w:p w14:paraId="049DDDF1" w14:textId="77777777" w:rsidR="00FC303A" w:rsidRPr="00084D33" w:rsidRDefault="00FC303A" w:rsidP="002B5C1B">
      <w:pPr>
        <w:spacing w:after="160"/>
        <w:rPr>
          <w:rFonts w:eastAsia="Times New Roman" w:cs="Times New Roman"/>
          <w:spacing w:val="0"/>
          <w:szCs w:val="24"/>
          <w:lang w:val="es-ES"/>
        </w:rPr>
      </w:pPr>
    </w:p>
    <w:p w14:paraId="40C5E6FB" w14:textId="44F4F92A" w:rsidR="00DD228A" w:rsidRPr="00084D33" w:rsidRDefault="008E7B31" w:rsidP="005D7141">
      <w:pPr>
        <w:spacing w:after="160"/>
        <w:jc w:val="center"/>
        <w:rPr>
          <w:rFonts w:eastAsia="Times New Roman" w:cs="Times New Roman"/>
          <w:spacing w:val="0"/>
          <w:szCs w:val="24"/>
          <w:lang w:val="es-ES"/>
        </w:rPr>
      </w:pPr>
      <w:r w:rsidRPr="00084D33">
        <w:rPr>
          <w:noProof/>
          <w:lang w:eastAsia="es-DO"/>
        </w:rPr>
        <w:drawing>
          <wp:inline distT="0" distB="0" distL="0" distR="0" wp14:anchorId="0BA14764" wp14:editId="55EA4D93">
            <wp:extent cx="3455895" cy="4918488"/>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73573" cy="4943648"/>
                    </a:xfrm>
                    <a:prstGeom prst="rect">
                      <a:avLst/>
                    </a:prstGeom>
                    <a:noFill/>
                    <a:ln>
                      <a:noFill/>
                    </a:ln>
                  </pic:spPr>
                </pic:pic>
              </a:graphicData>
            </a:graphic>
          </wp:inline>
        </w:drawing>
      </w:r>
    </w:p>
    <w:p w14:paraId="693E7387" w14:textId="1ADA4728" w:rsidR="002B5C1B" w:rsidRPr="00084D33" w:rsidRDefault="00A11876" w:rsidP="00BC67CE">
      <w:pPr>
        <w:pStyle w:val="Textoindependiente"/>
        <w:spacing w:line="360" w:lineRule="auto"/>
        <w:jc w:val="both"/>
        <w:rPr>
          <w:color w:val="767171"/>
        </w:rPr>
      </w:pPr>
      <w:r w:rsidRPr="00084D33">
        <w:rPr>
          <w:color w:val="767171"/>
        </w:rPr>
        <w:t xml:space="preserve">La siguiente gráfica, muestra </w:t>
      </w:r>
      <w:r w:rsidR="00FC303A" w:rsidRPr="00084D33">
        <w:rPr>
          <w:color w:val="767171"/>
        </w:rPr>
        <w:t xml:space="preserve">en porcentaje, </w:t>
      </w:r>
      <w:r w:rsidRPr="00084D33">
        <w:rPr>
          <w:color w:val="767171"/>
        </w:rPr>
        <w:t>las s</w:t>
      </w:r>
      <w:r w:rsidR="002B5C1B" w:rsidRPr="00084D33">
        <w:rPr>
          <w:color w:val="767171"/>
        </w:rPr>
        <w:t>olicitudes ingresadas po</w:t>
      </w:r>
      <w:r w:rsidR="00362A4A" w:rsidRPr="00084D33">
        <w:rPr>
          <w:color w:val="767171"/>
        </w:rPr>
        <w:t>r mes al área de Transparencia de la institución:</w:t>
      </w:r>
    </w:p>
    <w:p w14:paraId="6C9E1D06" w14:textId="77777777" w:rsidR="00A11876" w:rsidRPr="00084D33" w:rsidRDefault="00A11876" w:rsidP="00BC67CE">
      <w:pPr>
        <w:spacing w:after="160"/>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BE2F37D" w14:textId="02B17E9C" w:rsidR="002B5C1B" w:rsidRPr="00084D33" w:rsidRDefault="008E7B31" w:rsidP="00B80DA9">
      <w:pPr>
        <w:spacing w:after="160" w:line="252" w:lineRule="auto"/>
        <w:jc w:val="center"/>
        <w:rPr>
          <w:rFonts w:eastAsia="Times New Roman" w:cs="Times New Roman"/>
          <w:spacing w:val="0"/>
          <w:szCs w:val="24"/>
          <w:lang w:val="es-ES"/>
        </w:rPr>
      </w:pPr>
      <w:r w:rsidRPr="00084D33">
        <w:rPr>
          <w:noProof/>
          <w:lang w:eastAsia="es-DO"/>
        </w:rPr>
        <w:lastRenderedPageBreak/>
        <w:drawing>
          <wp:inline distT="0" distB="0" distL="0" distR="0" wp14:anchorId="5205ED5D" wp14:editId="52D6B4BB">
            <wp:extent cx="5029200" cy="3926541"/>
            <wp:effectExtent l="0" t="0" r="0" b="1714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CA3B609" w14:textId="77777777" w:rsidR="002B5C1B" w:rsidRPr="00084D33" w:rsidRDefault="002B5C1B" w:rsidP="002B5C1B">
      <w:pPr>
        <w:spacing w:after="160" w:line="252" w:lineRule="auto"/>
        <w:rPr>
          <w:rFonts w:eastAsia="Times New Roman" w:cs="Times New Roman"/>
          <w:spacing w:val="0"/>
          <w:szCs w:val="24"/>
          <w:lang w:val="es-ES"/>
        </w:rPr>
      </w:pPr>
    </w:p>
    <w:p w14:paraId="5F8B56E0" w14:textId="77777777" w:rsidR="002B5C1B" w:rsidRPr="00084D33" w:rsidRDefault="002B5C1B" w:rsidP="002B5C1B">
      <w:pPr>
        <w:spacing w:after="160" w:line="252" w:lineRule="auto"/>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118" w:name="_Toc20898278"/>
    </w:p>
    <w:bookmarkEnd w:id="118"/>
    <w:p w14:paraId="5823840B" w14:textId="1AA38F47" w:rsidR="00A11876" w:rsidRPr="00084D33" w:rsidRDefault="00EA569D" w:rsidP="00EE2148">
      <w:pPr>
        <w:pStyle w:val="Lista2"/>
        <w:ind w:left="1418" w:hanging="1058"/>
        <w:jc w:val="center"/>
        <w:rPr>
          <w:rFonts w:cs="Times New Roman"/>
        </w:rPr>
      </w:pPr>
      <w:r w:rsidRPr="00084D33">
        <w:rPr>
          <w:rFonts w:cs="Times New Roman"/>
          <w:b/>
        </w:rPr>
        <w:t>5</w:t>
      </w:r>
      <w:r w:rsidR="00FC303A" w:rsidRPr="00084D33">
        <w:rPr>
          <w:rFonts w:cs="Times New Roman"/>
          <w:b/>
        </w:rPr>
        <w:t>.</w:t>
      </w:r>
      <w:r w:rsidR="000B46F0" w:rsidRPr="00084D33">
        <w:rPr>
          <w:rFonts w:cs="Times New Roman"/>
          <w:b/>
        </w:rPr>
        <w:t>3</w:t>
      </w:r>
      <w:r w:rsidR="00FC303A" w:rsidRPr="00084D33">
        <w:rPr>
          <w:rFonts w:cs="Times New Roman"/>
          <w:b/>
        </w:rPr>
        <w:t>.</w:t>
      </w:r>
      <w:r w:rsidR="00B80DA9" w:rsidRPr="00084D33">
        <w:rPr>
          <w:rFonts w:cs="Times New Roman"/>
          <w:b/>
        </w:rPr>
        <w:t>4</w:t>
      </w:r>
      <w:r w:rsidR="009A41B9" w:rsidRPr="00084D33">
        <w:rPr>
          <w:rFonts w:cs="Times New Roman"/>
        </w:rPr>
        <w:tab/>
      </w:r>
      <w:r w:rsidR="00DA5A0C" w:rsidRPr="00084D33">
        <w:rPr>
          <w:rFonts w:cs="Times New Roman"/>
          <w:b/>
        </w:rPr>
        <w:t>Resultados del Sistema de Quejas, Reclamaciones y</w:t>
      </w:r>
      <w:r w:rsidR="00BC577E" w:rsidRPr="00084D33">
        <w:rPr>
          <w:rFonts w:cs="Times New Roman"/>
          <w:b/>
        </w:rPr>
        <w:t xml:space="preserve"> </w:t>
      </w:r>
      <w:r w:rsidR="00DA5A0C" w:rsidRPr="00084D33">
        <w:rPr>
          <w:rFonts w:cs="Times New Roman"/>
          <w:b/>
        </w:rPr>
        <w:t xml:space="preserve"> Sugerencias (3-1-1)</w:t>
      </w:r>
    </w:p>
    <w:p w14:paraId="43205501" w14:textId="77777777" w:rsidR="00A11876" w:rsidRPr="00084D33" w:rsidRDefault="00A11876" w:rsidP="00A11876">
      <w:pPr>
        <w:spacing w:after="160" w:line="252" w:lineRule="auto"/>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F1F8ACF" w14:textId="4053878B" w:rsidR="0062108A" w:rsidRPr="00084D33" w:rsidRDefault="00DA5A0C" w:rsidP="00BC67CE">
      <w:pPr>
        <w:pStyle w:val="Textoindependiente"/>
        <w:spacing w:line="360" w:lineRule="auto"/>
        <w:jc w:val="both"/>
        <w:rPr>
          <w:color w:val="767171"/>
        </w:rPr>
      </w:pPr>
      <w:r w:rsidRPr="00084D33">
        <w:rPr>
          <w:color w:val="767171"/>
        </w:rPr>
        <w:t xml:space="preserve">El </w:t>
      </w:r>
      <w:r w:rsidR="00A11876" w:rsidRPr="00084D33">
        <w:rPr>
          <w:color w:val="767171"/>
        </w:rPr>
        <w:t>S</w:t>
      </w:r>
      <w:r w:rsidR="002B5C1B" w:rsidRPr="00084D33">
        <w:rPr>
          <w:color w:val="767171"/>
        </w:rPr>
        <w:t>istema 3</w:t>
      </w:r>
      <w:r w:rsidR="00523E1E" w:rsidRPr="00084D33">
        <w:rPr>
          <w:color w:val="767171"/>
        </w:rPr>
        <w:t>-</w:t>
      </w:r>
      <w:r w:rsidR="002B5C1B" w:rsidRPr="00084D33">
        <w:rPr>
          <w:color w:val="767171"/>
        </w:rPr>
        <w:t>1</w:t>
      </w:r>
      <w:r w:rsidR="00523E1E" w:rsidRPr="00084D33">
        <w:rPr>
          <w:color w:val="767171"/>
        </w:rPr>
        <w:t>-</w:t>
      </w:r>
      <w:r w:rsidR="002B5C1B" w:rsidRPr="00084D33">
        <w:rPr>
          <w:color w:val="767171"/>
        </w:rPr>
        <w:t xml:space="preserve">1 </w:t>
      </w:r>
      <w:r w:rsidR="00E55155" w:rsidRPr="00084D33">
        <w:rPr>
          <w:color w:val="767171"/>
        </w:rPr>
        <w:t>permite</w:t>
      </w:r>
      <w:r w:rsidR="00523E1E" w:rsidRPr="00084D33">
        <w:rPr>
          <w:color w:val="767171"/>
        </w:rPr>
        <w:t xml:space="preserve"> </w:t>
      </w:r>
      <w:r w:rsidR="0062108A" w:rsidRPr="00084D33">
        <w:rPr>
          <w:color w:val="767171"/>
        </w:rPr>
        <w:t xml:space="preserve">al ciudadano </w:t>
      </w:r>
      <w:r w:rsidR="002B5C1B" w:rsidRPr="00084D33">
        <w:rPr>
          <w:color w:val="767171"/>
        </w:rPr>
        <w:t>regis</w:t>
      </w:r>
      <w:r w:rsidR="00523E1E" w:rsidRPr="00084D33">
        <w:rPr>
          <w:color w:val="767171"/>
        </w:rPr>
        <w:t>trar d</w:t>
      </w:r>
      <w:r w:rsidR="002B5C1B" w:rsidRPr="00084D33">
        <w:rPr>
          <w:color w:val="767171"/>
        </w:rPr>
        <w:t xml:space="preserve">enuncias, </w:t>
      </w:r>
      <w:r w:rsidR="00523E1E" w:rsidRPr="00084D33">
        <w:rPr>
          <w:color w:val="767171"/>
        </w:rPr>
        <w:t>q</w:t>
      </w:r>
      <w:r w:rsidR="002B5C1B" w:rsidRPr="00084D33">
        <w:rPr>
          <w:color w:val="767171"/>
        </w:rPr>
        <w:t>uejas</w:t>
      </w:r>
      <w:r w:rsidR="00523E1E" w:rsidRPr="00084D33">
        <w:rPr>
          <w:color w:val="767171"/>
        </w:rPr>
        <w:t>, r</w:t>
      </w:r>
      <w:r w:rsidR="002B5C1B" w:rsidRPr="00084D33">
        <w:rPr>
          <w:color w:val="767171"/>
        </w:rPr>
        <w:t xml:space="preserve">eclamaciones y </w:t>
      </w:r>
      <w:r w:rsidR="00523E1E" w:rsidRPr="00084D33">
        <w:rPr>
          <w:color w:val="767171"/>
        </w:rPr>
        <w:t>s</w:t>
      </w:r>
      <w:r w:rsidR="002B5C1B" w:rsidRPr="00084D33">
        <w:rPr>
          <w:color w:val="767171"/>
        </w:rPr>
        <w:t xml:space="preserve">ugerencias </w:t>
      </w:r>
      <w:r w:rsidR="00523E1E" w:rsidRPr="00084D33">
        <w:rPr>
          <w:color w:val="767171"/>
        </w:rPr>
        <w:t xml:space="preserve">a cualquier entidad o servidor del estado dominicano, para que puedan ser canalizadas a las áreas </w:t>
      </w:r>
      <w:r w:rsidR="0062108A" w:rsidRPr="00084D33">
        <w:rPr>
          <w:color w:val="767171"/>
        </w:rPr>
        <w:t>y organismos correspondientes.</w:t>
      </w:r>
    </w:p>
    <w:p w14:paraId="47E7F579" w14:textId="77777777" w:rsidR="00BC67CE" w:rsidRPr="00084D33" w:rsidRDefault="00BC67CE" w:rsidP="00BC67CE">
      <w:pPr>
        <w:pStyle w:val="Textoindependiente"/>
        <w:spacing w:line="360" w:lineRule="auto"/>
        <w:jc w:val="both"/>
        <w:rPr>
          <w:color w:val="767171"/>
        </w:rPr>
      </w:pPr>
    </w:p>
    <w:p w14:paraId="49B5ED38" w14:textId="773C4015" w:rsidR="002B5C1B" w:rsidRPr="00084D33" w:rsidRDefault="002B5C1B" w:rsidP="00BC67CE">
      <w:pPr>
        <w:pStyle w:val="Textoindependiente"/>
        <w:spacing w:line="360" w:lineRule="auto"/>
        <w:jc w:val="both"/>
        <w:rPr>
          <w:color w:val="767171"/>
        </w:rPr>
      </w:pPr>
      <w:r w:rsidRPr="00084D33">
        <w:rPr>
          <w:color w:val="767171"/>
        </w:rPr>
        <w:t xml:space="preserve">En el informe correspondiente al periodo </w:t>
      </w:r>
      <w:r w:rsidR="001D3E75" w:rsidRPr="00084D33">
        <w:rPr>
          <w:color w:val="767171"/>
        </w:rPr>
        <w:t>enero</w:t>
      </w:r>
      <w:r w:rsidRPr="00084D33">
        <w:rPr>
          <w:color w:val="767171"/>
        </w:rPr>
        <w:t>-</w:t>
      </w:r>
      <w:r w:rsidR="00AF7F6E">
        <w:rPr>
          <w:color w:val="767171"/>
        </w:rPr>
        <w:t>dic</w:t>
      </w:r>
      <w:r w:rsidR="001D3E75" w:rsidRPr="00084D33">
        <w:rPr>
          <w:color w:val="767171"/>
        </w:rPr>
        <w:t>iembre</w:t>
      </w:r>
      <w:r w:rsidRPr="00084D33">
        <w:rPr>
          <w:color w:val="767171"/>
        </w:rPr>
        <w:t xml:space="preserve"> del año en curso, podemos reflejar a través de la Línea 311, la Oficina de Acceso a la Información Pública ha recibido </w:t>
      </w:r>
      <w:r w:rsidR="0062108A" w:rsidRPr="00084D33">
        <w:rPr>
          <w:color w:val="767171"/>
        </w:rPr>
        <w:t>las solicitudes siguientes</w:t>
      </w:r>
      <w:r w:rsidRPr="00084D33">
        <w:rPr>
          <w:color w:val="767171"/>
        </w:rPr>
        <w:t>:</w:t>
      </w:r>
    </w:p>
    <w:p w14:paraId="1C4DF20F" w14:textId="2AFF04DB" w:rsidR="002B5C1B" w:rsidRPr="00084D33" w:rsidRDefault="002B5C1B" w:rsidP="00BC67CE">
      <w:pPr>
        <w:spacing w:after="160"/>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05A25D8" w14:textId="77777777" w:rsidR="002B5C1B" w:rsidRPr="00084D33" w:rsidRDefault="002B5C1B" w:rsidP="002B5C1B">
      <w:pPr>
        <w:spacing w:after="160" w:line="252" w:lineRule="auto"/>
        <w:rPr>
          <w:rFonts w:eastAsia="Times New Roman" w:cs="Times New Roman"/>
          <w:b/>
          <w:bCs/>
          <w:spacing w:val="0"/>
          <w:szCs w:val="24"/>
        </w:rPr>
      </w:pPr>
    </w:p>
    <w:p w14:paraId="1D6A71DD" w14:textId="77777777" w:rsidR="002B5C1B" w:rsidRPr="00084D33" w:rsidRDefault="002B5C1B" w:rsidP="002B5C1B">
      <w:pPr>
        <w:spacing w:after="160" w:line="252" w:lineRule="auto"/>
        <w:jc w:val="left"/>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79EED14" w14:textId="108D34D3" w:rsidR="002B5C1B" w:rsidRPr="00084D33" w:rsidRDefault="00B80DA9" w:rsidP="002B5C1B">
      <w:pPr>
        <w:spacing w:after="160" w:line="252" w:lineRule="auto"/>
        <w:jc w:val="left"/>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084D33">
        <w:rPr>
          <w:noProof/>
          <w:lang w:eastAsia="es-DO"/>
        </w:rPr>
        <w:drawing>
          <wp:inline distT="0" distB="0" distL="0" distR="0" wp14:anchorId="69E379CB" wp14:editId="7F03DB50">
            <wp:extent cx="4859079" cy="3386576"/>
            <wp:effectExtent l="0" t="0" r="0" b="4445"/>
            <wp:docPr id="1398926598" name="Imagen 1398926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62107" cy="3388686"/>
                    </a:xfrm>
                    <a:prstGeom prst="rect">
                      <a:avLst/>
                    </a:prstGeom>
                    <a:noFill/>
                    <a:ln>
                      <a:noFill/>
                    </a:ln>
                  </pic:spPr>
                </pic:pic>
              </a:graphicData>
            </a:graphic>
          </wp:inline>
        </w:drawing>
      </w:r>
      <w:r w:rsidRPr="00084D33">
        <w:t xml:space="preserve"> </w:t>
      </w:r>
    </w:p>
    <w:p w14:paraId="46F9C632" w14:textId="60680585" w:rsidR="002B5C1B" w:rsidRPr="00084D33" w:rsidRDefault="002B5C1B" w:rsidP="002B5C1B">
      <w:pPr>
        <w:spacing w:after="160" w:line="252" w:lineRule="auto"/>
        <w:jc w:val="left"/>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1A8B5EE" w14:textId="77777777" w:rsidR="00FC303A" w:rsidRPr="00084D33" w:rsidRDefault="00FC303A" w:rsidP="002B5C1B">
      <w:pPr>
        <w:spacing w:after="160" w:line="252" w:lineRule="auto"/>
        <w:jc w:val="left"/>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1C57762" w14:textId="12C3FB43" w:rsidR="002B5C1B" w:rsidRPr="00084D33" w:rsidRDefault="00FC303A" w:rsidP="00FC303A">
      <w:pPr>
        <w:pStyle w:val="Lista"/>
        <w:ind w:firstLine="0"/>
        <w:rPr>
          <w:rFonts w:cs="Times New Roman"/>
          <w:lang w:val="es-ES"/>
        </w:rPr>
      </w:pPr>
      <w:r w:rsidRPr="00084D33">
        <w:rPr>
          <w:rFonts w:cs="Times New Roman"/>
          <w:lang w:val="es-ES"/>
        </w:rPr>
        <w:t>Las m</w:t>
      </w:r>
      <w:r w:rsidR="00244045" w:rsidRPr="00084D33">
        <w:rPr>
          <w:rFonts w:cs="Times New Roman"/>
          <w:lang w:val="es-ES"/>
        </w:rPr>
        <w:t>edici</w:t>
      </w:r>
      <w:r w:rsidRPr="00084D33">
        <w:rPr>
          <w:rFonts w:cs="Times New Roman"/>
          <w:lang w:val="es-ES"/>
        </w:rPr>
        <w:t>ones</w:t>
      </w:r>
      <w:r w:rsidR="00244045" w:rsidRPr="00084D33">
        <w:rPr>
          <w:rFonts w:cs="Times New Roman"/>
          <w:lang w:val="es-ES"/>
        </w:rPr>
        <w:t xml:space="preserve"> por plazos de entrega </w:t>
      </w:r>
      <w:r w:rsidR="008C2657" w:rsidRPr="00084D33">
        <w:rPr>
          <w:rFonts w:cs="Times New Roman"/>
          <w:lang w:val="es-ES"/>
        </w:rPr>
        <w:t xml:space="preserve">del </w:t>
      </w:r>
      <w:r w:rsidR="00244045" w:rsidRPr="00084D33">
        <w:rPr>
          <w:rFonts w:cs="Times New Roman"/>
          <w:lang w:val="es-ES"/>
        </w:rPr>
        <w:t>Sistema 3-1-1, se registra</w:t>
      </w:r>
      <w:r w:rsidR="008C2657" w:rsidRPr="00084D33">
        <w:rPr>
          <w:rFonts w:cs="Times New Roman"/>
          <w:lang w:val="es-ES"/>
        </w:rPr>
        <w:t>n</w:t>
      </w:r>
      <w:r w:rsidR="00244045" w:rsidRPr="00084D33">
        <w:rPr>
          <w:rFonts w:cs="Times New Roman"/>
          <w:lang w:val="es-ES"/>
        </w:rPr>
        <w:t xml:space="preserve"> en l</w:t>
      </w:r>
      <w:r w:rsidR="00EC25F9" w:rsidRPr="00084D33">
        <w:rPr>
          <w:rFonts w:cs="Times New Roman"/>
          <w:lang w:val="es-ES"/>
        </w:rPr>
        <w:t xml:space="preserve">a siguiente gráfica, las solicitudes ingresadas por mes, sobre </w:t>
      </w:r>
      <w:r w:rsidR="002B5C1B" w:rsidRPr="00084D33">
        <w:rPr>
          <w:rFonts w:cs="Times New Roman"/>
          <w:lang w:val="es-ES"/>
        </w:rPr>
        <w:t xml:space="preserve">Quejas, Reclamos </w:t>
      </w:r>
      <w:r w:rsidR="00EC25F9" w:rsidRPr="00084D33">
        <w:rPr>
          <w:rFonts w:cs="Times New Roman"/>
          <w:lang w:val="es-ES"/>
        </w:rPr>
        <w:t>y</w:t>
      </w:r>
      <w:r w:rsidR="002B5C1B" w:rsidRPr="00084D33">
        <w:rPr>
          <w:rFonts w:cs="Times New Roman"/>
          <w:lang w:val="es-ES"/>
        </w:rPr>
        <w:t xml:space="preserve"> Sugerencias</w:t>
      </w:r>
      <w:r w:rsidR="0062108A" w:rsidRPr="00084D33">
        <w:rPr>
          <w:rFonts w:cs="Times New Roman"/>
          <w:lang w:val="es-ES"/>
        </w:rPr>
        <w:t>:</w:t>
      </w:r>
      <w:r w:rsidR="00244045" w:rsidRPr="00084D33">
        <w:rPr>
          <w:rFonts w:cs="Times New Roman"/>
        </w:rPr>
        <w:t xml:space="preserve"> </w:t>
      </w:r>
    </w:p>
    <w:p w14:paraId="14BCA736" w14:textId="51D73FAE" w:rsidR="007A2113" w:rsidRPr="00084D33" w:rsidRDefault="00B80DA9" w:rsidP="00702682">
      <w:pPr>
        <w:spacing w:after="160"/>
        <w:rPr>
          <w:rFonts w:eastAsia="Times New Roman" w:cs="Times New Roman"/>
          <w:spacing w:val="0"/>
          <w:szCs w:val="24"/>
          <w:lang w:val="es-ES"/>
        </w:rPr>
      </w:pPr>
      <w:r w:rsidRPr="00084D33">
        <w:rPr>
          <w:rFonts w:eastAsia="Times New Roman" w:cs="Times New Roman"/>
          <w:noProof/>
          <w:spacing w:val="0"/>
          <w:szCs w:val="24"/>
          <w:lang w:eastAsia="es-DO"/>
        </w:rPr>
        <w:lastRenderedPageBreak/>
        <w:drawing>
          <wp:inline distT="0" distB="0" distL="0" distR="0" wp14:anchorId="568021E3" wp14:editId="4081C4C5">
            <wp:extent cx="4997055" cy="2785730"/>
            <wp:effectExtent l="0" t="0" r="0" b="0"/>
            <wp:docPr id="1398926599" name="Imagen 1398926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18245" cy="2797543"/>
                    </a:xfrm>
                    <a:prstGeom prst="rect">
                      <a:avLst/>
                    </a:prstGeom>
                    <a:noFill/>
                  </pic:spPr>
                </pic:pic>
              </a:graphicData>
            </a:graphic>
          </wp:inline>
        </w:drawing>
      </w:r>
    </w:p>
    <w:p w14:paraId="0B82C1C1" w14:textId="77777777" w:rsidR="00EE2148" w:rsidRPr="00084D33" w:rsidRDefault="00EE2148">
      <w:pPr>
        <w:spacing w:after="160" w:line="259" w:lineRule="auto"/>
        <w:jc w:val="left"/>
        <w:rPr>
          <w:rFonts w:cs="Times New Roman"/>
          <w:b/>
        </w:rPr>
      </w:pPr>
      <w:r w:rsidRPr="00084D33">
        <w:rPr>
          <w:rFonts w:cs="Times New Roman"/>
          <w:b/>
        </w:rPr>
        <w:br w:type="page"/>
      </w:r>
    </w:p>
    <w:p w14:paraId="14FDCA8C" w14:textId="081AE9AA" w:rsidR="002B5C1B" w:rsidRPr="00084D33" w:rsidRDefault="008C2657" w:rsidP="009A41B9">
      <w:pPr>
        <w:pStyle w:val="Lista"/>
        <w:rPr>
          <w:rFonts w:cs="Times New Roman"/>
          <w:b/>
        </w:rPr>
      </w:pPr>
      <w:r w:rsidRPr="00084D33">
        <w:rPr>
          <w:rFonts w:cs="Times New Roman"/>
          <w:b/>
        </w:rPr>
        <w:lastRenderedPageBreak/>
        <w:t>5</w:t>
      </w:r>
      <w:r w:rsidR="000B46F0" w:rsidRPr="00084D33">
        <w:rPr>
          <w:rFonts w:cs="Times New Roman"/>
          <w:b/>
        </w:rPr>
        <w:t>.3</w:t>
      </w:r>
      <w:r w:rsidRPr="00084D33">
        <w:rPr>
          <w:rFonts w:cs="Times New Roman"/>
          <w:b/>
        </w:rPr>
        <w:t>.</w:t>
      </w:r>
      <w:r w:rsidR="00176054" w:rsidRPr="00084D33">
        <w:rPr>
          <w:rFonts w:cs="Times New Roman"/>
          <w:b/>
        </w:rPr>
        <w:t>6</w:t>
      </w:r>
      <w:r w:rsidR="009A41B9" w:rsidRPr="00084D33">
        <w:rPr>
          <w:rFonts w:cs="Times New Roman"/>
          <w:b/>
        </w:rPr>
        <w:tab/>
      </w:r>
      <w:r w:rsidR="00425D37" w:rsidRPr="00084D33">
        <w:rPr>
          <w:rFonts w:cs="Times New Roman"/>
          <w:b/>
        </w:rPr>
        <w:t>Resultados de Mediciones del Portal de Transparencia</w:t>
      </w:r>
    </w:p>
    <w:p w14:paraId="675010A2" w14:textId="77777777" w:rsidR="002B5C1B" w:rsidRPr="00084D33" w:rsidRDefault="002B5C1B" w:rsidP="002B5C1B">
      <w:pPr>
        <w:spacing w:after="160" w:line="252" w:lineRule="auto"/>
        <w:rPr>
          <w:rFonts w:eastAsia="Times New Roman" w:cs="Times New Roman"/>
          <w:b/>
          <w:spacing w:val="0"/>
          <w:szCs w:val="24"/>
        </w:rPr>
      </w:pPr>
    </w:p>
    <w:p w14:paraId="7393FE17" w14:textId="650F66D3" w:rsidR="002B5C1B" w:rsidRPr="00084D33" w:rsidRDefault="002B5C1B" w:rsidP="00BC67CE">
      <w:pPr>
        <w:pStyle w:val="Textoindependiente"/>
        <w:spacing w:line="360" w:lineRule="auto"/>
        <w:jc w:val="both"/>
        <w:rPr>
          <w:color w:val="767171"/>
        </w:rPr>
      </w:pPr>
      <w:r w:rsidRPr="00084D33">
        <w:rPr>
          <w:color w:val="767171"/>
        </w:rPr>
        <w:t xml:space="preserve">Con el compromiso de coordinar y dirigir la recolección y el suministro de informaciones solicitadas por </w:t>
      </w:r>
      <w:r w:rsidR="00F13699" w:rsidRPr="00084D33">
        <w:rPr>
          <w:color w:val="767171"/>
        </w:rPr>
        <w:t>los ciudadanos</w:t>
      </w:r>
      <w:r w:rsidRPr="00084D33">
        <w:rPr>
          <w:color w:val="767171"/>
        </w:rPr>
        <w:t xml:space="preserve">, en el ejercicio de lo establecido en la Ley No.200-04 de Libre Acceso a la Información Pública, la Dirección de Transparencia del MOPC, ha creado un sistema de monitoreo que garantiza </w:t>
      </w:r>
      <w:r w:rsidR="00744CC8" w:rsidRPr="00084D33">
        <w:rPr>
          <w:color w:val="767171"/>
        </w:rPr>
        <w:t xml:space="preserve">el </w:t>
      </w:r>
      <w:r w:rsidRPr="00084D33">
        <w:rPr>
          <w:color w:val="767171"/>
        </w:rPr>
        <w:t>fiel cumplimien</w:t>
      </w:r>
      <w:r w:rsidR="002B4A10" w:rsidRPr="00084D33">
        <w:rPr>
          <w:color w:val="767171"/>
        </w:rPr>
        <w:t xml:space="preserve">to de sus funciones para </w:t>
      </w:r>
      <w:r w:rsidR="00744CC8" w:rsidRPr="00084D33">
        <w:rPr>
          <w:color w:val="767171"/>
        </w:rPr>
        <w:t xml:space="preserve">defender </w:t>
      </w:r>
      <w:r w:rsidRPr="00084D33">
        <w:rPr>
          <w:color w:val="767171"/>
        </w:rPr>
        <w:t>el derecho que tiene</w:t>
      </w:r>
      <w:r w:rsidR="00F13699" w:rsidRPr="00084D33">
        <w:rPr>
          <w:color w:val="767171"/>
        </w:rPr>
        <w:t>n</w:t>
      </w:r>
      <w:r w:rsidRPr="00084D33">
        <w:rPr>
          <w:color w:val="767171"/>
        </w:rPr>
        <w:t xml:space="preserve"> todos los ciudadanos de acceder a las informaciones registradas en todo tipo de formatos (escritos, grabados, ópticos</w:t>
      </w:r>
      <w:r w:rsidR="00F13699" w:rsidRPr="00084D33">
        <w:rPr>
          <w:color w:val="767171"/>
        </w:rPr>
        <w:t>, electrónicos, imágenes, etc.) de la institución.</w:t>
      </w:r>
    </w:p>
    <w:p w14:paraId="1AE893AE" w14:textId="77777777" w:rsidR="00BC67CE" w:rsidRPr="00084D33" w:rsidRDefault="00BC67CE" w:rsidP="00BC67CE">
      <w:pPr>
        <w:pStyle w:val="Textoindependiente"/>
        <w:spacing w:line="360" w:lineRule="auto"/>
        <w:jc w:val="both"/>
        <w:rPr>
          <w:color w:val="767171"/>
        </w:rPr>
      </w:pPr>
    </w:p>
    <w:p w14:paraId="69C63820" w14:textId="4E3F03C5" w:rsidR="00702682" w:rsidRPr="00084D33" w:rsidRDefault="004121DE" w:rsidP="00BC67CE">
      <w:pPr>
        <w:pStyle w:val="Textoindependiente"/>
        <w:spacing w:line="360" w:lineRule="auto"/>
        <w:jc w:val="both"/>
        <w:rPr>
          <w:color w:val="767171"/>
        </w:rPr>
      </w:pPr>
      <w:r w:rsidRPr="00084D33">
        <w:rPr>
          <w:color w:val="767171"/>
        </w:rPr>
        <w:t>Con la prestación de un servicio permanente y actualizado, se f</w:t>
      </w:r>
      <w:r w:rsidR="00F13699" w:rsidRPr="00084D33">
        <w:rPr>
          <w:color w:val="767171"/>
        </w:rPr>
        <w:t>ortalece</w:t>
      </w:r>
      <w:r w:rsidR="002B5C1B" w:rsidRPr="00084D33">
        <w:rPr>
          <w:color w:val="767171"/>
        </w:rPr>
        <w:t xml:space="preserve"> </w:t>
      </w:r>
      <w:r w:rsidR="00F13699" w:rsidRPr="00084D33">
        <w:rPr>
          <w:color w:val="767171"/>
        </w:rPr>
        <w:t>el derecho de la ciudadanía a</w:t>
      </w:r>
      <w:r w:rsidR="002B5C1B" w:rsidRPr="00084D33">
        <w:rPr>
          <w:color w:val="767171"/>
        </w:rPr>
        <w:t xml:space="preserve">l libre acceso </w:t>
      </w:r>
      <w:r w:rsidR="00F13699" w:rsidRPr="00084D33">
        <w:rPr>
          <w:color w:val="767171"/>
        </w:rPr>
        <w:t>de</w:t>
      </w:r>
      <w:r w:rsidR="002B5C1B" w:rsidRPr="00084D33">
        <w:rPr>
          <w:color w:val="767171"/>
        </w:rPr>
        <w:t xml:space="preserve"> la información </w:t>
      </w:r>
      <w:r w:rsidR="00F13699" w:rsidRPr="00084D33">
        <w:rPr>
          <w:color w:val="767171"/>
        </w:rPr>
        <w:t>pública</w:t>
      </w:r>
      <w:r w:rsidR="00EF43F3" w:rsidRPr="00084D33">
        <w:rPr>
          <w:color w:val="767171"/>
        </w:rPr>
        <w:t>,</w:t>
      </w:r>
      <w:r w:rsidR="00F13699" w:rsidRPr="00084D33">
        <w:rPr>
          <w:color w:val="767171"/>
        </w:rPr>
        <w:t xml:space="preserve"> </w:t>
      </w:r>
      <w:r w:rsidRPr="00084D33">
        <w:rPr>
          <w:color w:val="767171"/>
        </w:rPr>
        <w:t>lo que</w:t>
      </w:r>
      <w:r w:rsidR="00BC577E" w:rsidRPr="00084D33">
        <w:rPr>
          <w:color w:val="767171"/>
        </w:rPr>
        <w:t xml:space="preserve"> </w:t>
      </w:r>
      <w:r w:rsidR="002B5C1B" w:rsidRPr="00084D33">
        <w:rPr>
          <w:color w:val="767171"/>
        </w:rPr>
        <w:t xml:space="preserve">facilita a </w:t>
      </w:r>
      <w:r w:rsidR="00F13699" w:rsidRPr="00084D33">
        <w:rPr>
          <w:color w:val="767171"/>
        </w:rPr>
        <w:t>los usuarios el acceso a</w:t>
      </w:r>
      <w:r w:rsidR="002B5C1B" w:rsidRPr="00084D33">
        <w:rPr>
          <w:color w:val="767171"/>
        </w:rPr>
        <w:t xml:space="preserve"> las informaciones </w:t>
      </w:r>
      <w:r w:rsidR="00F13699" w:rsidRPr="00084D33">
        <w:rPr>
          <w:color w:val="767171"/>
        </w:rPr>
        <w:t xml:space="preserve">de las acciones desarrolladas por </w:t>
      </w:r>
      <w:r w:rsidR="00EF43F3" w:rsidRPr="00084D33">
        <w:rPr>
          <w:color w:val="767171"/>
        </w:rPr>
        <w:t xml:space="preserve">el </w:t>
      </w:r>
      <w:r w:rsidR="00E55155" w:rsidRPr="00084D33">
        <w:rPr>
          <w:color w:val="767171"/>
        </w:rPr>
        <w:t>ministerio</w:t>
      </w:r>
      <w:r w:rsidR="00EF43F3" w:rsidRPr="00084D33">
        <w:rPr>
          <w:color w:val="767171"/>
        </w:rPr>
        <w:t xml:space="preserve"> y sus </w:t>
      </w:r>
      <w:r w:rsidR="002B5C1B" w:rsidRPr="00084D33">
        <w:rPr>
          <w:color w:val="767171"/>
        </w:rPr>
        <w:t>servidores públicos.</w:t>
      </w:r>
      <w:r w:rsidR="00BC577E" w:rsidRPr="00084D33">
        <w:rPr>
          <w:color w:val="767171"/>
        </w:rPr>
        <w:t xml:space="preserve"> </w:t>
      </w:r>
      <w:r w:rsidR="002B5C1B" w:rsidRPr="00084D33">
        <w:rPr>
          <w:color w:val="767171"/>
        </w:rPr>
        <w:t xml:space="preserve">A continuación, presentamos </w:t>
      </w:r>
      <w:r w:rsidR="00744CC8" w:rsidRPr="00084D33">
        <w:rPr>
          <w:color w:val="767171"/>
        </w:rPr>
        <w:t xml:space="preserve">las estadísticas mensuales </w:t>
      </w:r>
      <w:r w:rsidR="002B5C1B" w:rsidRPr="00084D33">
        <w:rPr>
          <w:color w:val="767171"/>
        </w:rPr>
        <w:t xml:space="preserve">con los porcentajes obtenidos durante el </w:t>
      </w:r>
      <w:r w:rsidR="00744CC8" w:rsidRPr="00084D33">
        <w:rPr>
          <w:color w:val="767171"/>
        </w:rPr>
        <w:t xml:space="preserve">período </w:t>
      </w:r>
      <w:r w:rsidR="005517CA" w:rsidRPr="00084D33">
        <w:rPr>
          <w:color w:val="767171"/>
        </w:rPr>
        <w:t xml:space="preserve">de evaluación </w:t>
      </w:r>
      <w:r w:rsidR="000A17C8" w:rsidRPr="00084D33">
        <w:rPr>
          <w:color w:val="767171"/>
        </w:rPr>
        <w:t>enero-diciembre</w:t>
      </w:r>
      <w:r w:rsidR="002B5C1B" w:rsidRPr="00084D33">
        <w:rPr>
          <w:color w:val="767171"/>
        </w:rPr>
        <w:t xml:space="preserve"> </w:t>
      </w:r>
      <w:r w:rsidR="00744CC8" w:rsidRPr="00084D33">
        <w:rPr>
          <w:color w:val="767171"/>
        </w:rPr>
        <w:t xml:space="preserve">del año </w:t>
      </w:r>
      <w:r w:rsidR="002B5C1B" w:rsidRPr="00084D33">
        <w:rPr>
          <w:color w:val="767171"/>
        </w:rPr>
        <w:t>202</w:t>
      </w:r>
      <w:r w:rsidR="00B80DA9" w:rsidRPr="00084D33">
        <w:rPr>
          <w:color w:val="767171"/>
        </w:rPr>
        <w:t>4</w:t>
      </w:r>
      <w:r w:rsidR="002B5C1B" w:rsidRPr="00084D33">
        <w:rPr>
          <w:color w:val="767171"/>
        </w:rPr>
        <w:t>:</w:t>
      </w:r>
    </w:p>
    <w:p w14:paraId="5806FD2C" w14:textId="23BF6F5C" w:rsidR="00EF43F3" w:rsidRPr="00084D33" w:rsidRDefault="00EF43F3" w:rsidP="00BC67CE">
      <w:pPr>
        <w:pStyle w:val="Textoindependiente"/>
        <w:spacing w:line="360" w:lineRule="auto"/>
        <w:jc w:val="both"/>
        <w:rPr>
          <w:color w:val="767171"/>
        </w:rPr>
      </w:pPr>
    </w:p>
    <w:p w14:paraId="0E47A037" w14:textId="6B5566C5" w:rsidR="001430AA" w:rsidRPr="00084D33" w:rsidRDefault="00595ED8" w:rsidP="00BE3E0B">
      <w:pPr>
        <w:spacing w:after="160"/>
        <w:jc w:val="center"/>
        <w:rPr>
          <w:rFonts w:eastAsia="Times New Roman" w:cs="Times New Roman"/>
          <w:spacing w:val="0"/>
          <w:szCs w:val="24"/>
          <w:lang w:val="es-ES"/>
        </w:rPr>
      </w:pPr>
      <w:r w:rsidRPr="00084D33">
        <w:rPr>
          <w:noProof/>
          <w:lang w:eastAsia="es-DO"/>
        </w:rPr>
        <w:lastRenderedPageBreak/>
        <w:drawing>
          <wp:inline distT="0" distB="0" distL="0" distR="0" wp14:anchorId="7861FEE4" wp14:editId="41800C68">
            <wp:extent cx="3174715" cy="4477310"/>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3">
                      <a:extLst>
                        <a:ext uri="{28A0092B-C50C-407E-A947-70E740481C1C}">
                          <a14:useLocalDpi xmlns:a14="http://schemas.microsoft.com/office/drawing/2010/main" val="0"/>
                        </a:ext>
                      </a:extLst>
                    </a:blip>
                    <a:srcRect t="3479"/>
                    <a:stretch/>
                  </pic:blipFill>
                  <pic:spPr bwMode="auto">
                    <a:xfrm>
                      <a:off x="0" y="0"/>
                      <a:ext cx="3182825" cy="4488748"/>
                    </a:xfrm>
                    <a:prstGeom prst="rect">
                      <a:avLst/>
                    </a:prstGeom>
                    <a:noFill/>
                    <a:ln>
                      <a:noFill/>
                    </a:ln>
                    <a:extLst>
                      <a:ext uri="{53640926-AAD7-44D8-BBD7-CCE9431645EC}">
                        <a14:shadowObscured xmlns:a14="http://schemas.microsoft.com/office/drawing/2010/main"/>
                      </a:ext>
                    </a:extLst>
                  </pic:spPr>
                </pic:pic>
              </a:graphicData>
            </a:graphic>
          </wp:inline>
        </w:drawing>
      </w:r>
      <w:r w:rsidR="00B80DA9" w:rsidRPr="00084D33">
        <w:t xml:space="preserve"> </w:t>
      </w:r>
    </w:p>
    <w:p w14:paraId="552DDA4F" w14:textId="77777777" w:rsidR="008D3881" w:rsidRPr="00084D33" w:rsidRDefault="008D3881" w:rsidP="00BE3E0B">
      <w:pPr>
        <w:spacing w:after="160" w:line="240" w:lineRule="auto"/>
        <w:rPr>
          <w:rFonts w:eastAsia="Times New Roman" w:cs="Times New Roman"/>
          <w:spacing w:val="0"/>
          <w:szCs w:val="24"/>
          <w:lang w:val="es-ES"/>
        </w:rPr>
      </w:pPr>
    </w:p>
    <w:p w14:paraId="2F7C0A42" w14:textId="0C91847B" w:rsidR="002B5C1B" w:rsidRPr="00084D33" w:rsidRDefault="002B4A10" w:rsidP="009A41B9">
      <w:pPr>
        <w:pStyle w:val="Textoindependiente"/>
        <w:rPr>
          <w:color w:val="767171"/>
        </w:rPr>
      </w:pPr>
      <w:r w:rsidRPr="00084D33">
        <w:rPr>
          <w:color w:val="767171"/>
        </w:rPr>
        <w:t xml:space="preserve">La siguiente gráfica, muestra las </w:t>
      </w:r>
      <w:r w:rsidR="00744CC8" w:rsidRPr="00084D33">
        <w:rPr>
          <w:color w:val="767171"/>
        </w:rPr>
        <w:t>m</w:t>
      </w:r>
      <w:r w:rsidR="002B5C1B" w:rsidRPr="00084D33">
        <w:rPr>
          <w:color w:val="767171"/>
        </w:rPr>
        <w:t xml:space="preserve">ediciones </w:t>
      </w:r>
      <w:r w:rsidR="003E7F61" w:rsidRPr="00084D33">
        <w:rPr>
          <w:color w:val="767171"/>
        </w:rPr>
        <w:t>del Portal de T</w:t>
      </w:r>
      <w:r w:rsidR="002B5C1B" w:rsidRPr="00084D33">
        <w:rPr>
          <w:color w:val="767171"/>
        </w:rPr>
        <w:t>ransparencia</w:t>
      </w:r>
      <w:r w:rsidR="003E7F61" w:rsidRPr="00084D33">
        <w:rPr>
          <w:color w:val="767171"/>
        </w:rPr>
        <w:t xml:space="preserve"> durante el periodo </w:t>
      </w:r>
      <w:r w:rsidR="000A17C8" w:rsidRPr="00084D33">
        <w:rPr>
          <w:color w:val="767171"/>
        </w:rPr>
        <w:t>enero-diciembre</w:t>
      </w:r>
      <w:r w:rsidR="00B80DA9" w:rsidRPr="00084D33">
        <w:rPr>
          <w:color w:val="767171"/>
        </w:rPr>
        <w:t xml:space="preserve"> 2024</w:t>
      </w:r>
      <w:r w:rsidR="003E7F61" w:rsidRPr="00084D33">
        <w:rPr>
          <w:color w:val="767171"/>
        </w:rPr>
        <w:t>:</w:t>
      </w:r>
    </w:p>
    <w:p w14:paraId="44A25A45" w14:textId="77777777" w:rsidR="002B5C1B" w:rsidRPr="00084D33" w:rsidRDefault="002B5C1B" w:rsidP="002B5C1B">
      <w:pPr>
        <w:spacing w:after="160" w:line="252" w:lineRule="auto"/>
        <w:rPr>
          <w:rFonts w:eastAsia="Times New Roman" w:cs="Times New Roman"/>
          <w:spacing w:val="0"/>
          <w:szCs w:val="24"/>
        </w:rPr>
      </w:pPr>
    </w:p>
    <w:p w14:paraId="745023FA" w14:textId="0F26417F" w:rsidR="00BE3E0B" w:rsidRPr="00084D33" w:rsidRDefault="00B80DA9" w:rsidP="00BE3E0B">
      <w:pPr>
        <w:spacing w:after="160" w:line="252" w:lineRule="auto"/>
        <w:ind w:left="-360"/>
        <w:rPr>
          <w:rFonts w:eastAsia="Times New Roman" w:cs="Times New Roman"/>
          <w:spacing w:val="0"/>
          <w:szCs w:val="24"/>
        </w:rPr>
      </w:pPr>
      <w:r w:rsidRPr="00084D33">
        <w:rPr>
          <w:rFonts w:eastAsia="Times New Roman" w:cs="Times New Roman"/>
          <w:noProof/>
          <w:spacing w:val="0"/>
          <w:szCs w:val="24"/>
          <w:lang w:eastAsia="es-DO"/>
        </w:rPr>
        <w:drawing>
          <wp:inline distT="0" distB="0" distL="0" distR="0" wp14:anchorId="23DC12CA" wp14:editId="507E1C4E">
            <wp:extent cx="5681247" cy="2259106"/>
            <wp:effectExtent l="0" t="0" r="0" b="8255"/>
            <wp:docPr id="1398926604" name="Imagen 1398926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4">
                      <a:extLst>
                        <a:ext uri="{28A0092B-C50C-407E-A947-70E740481C1C}">
                          <a14:useLocalDpi xmlns:a14="http://schemas.microsoft.com/office/drawing/2010/main" val="0"/>
                        </a:ext>
                      </a:extLst>
                    </a:blip>
                    <a:srcRect t="3714" b="7126"/>
                    <a:stretch/>
                  </pic:blipFill>
                  <pic:spPr bwMode="auto">
                    <a:xfrm>
                      <a:off x="0" y="0"/>
                      <a:ext cx="5705675" cy="2268820"/>
                    </a:xfrm>
                    <a:prstGeom prst="rect">
                      <a:avLst/>
                    </a:prstGeom>
                    <a:noFill/>
                    <a:ln>
                      <a:noFill/>
                    </a:ln>
                    <a:extLst>
                      <a:ext uri="{53640926-AAD7-44D8-BBD7-CCE9431645EC}">
                        <a14:shadowObscured xmlns:a14="http://schemas.microsoft.com/office/drawing/2010/main"/>
                      </a:ext>
                    </a:extLst>
                  </pic:spPr>
                </pic:pic>
              </a:graphicData>
            </a:graphic>
          </wp:inline>
        </w:drawing>
      </w:r>
    </w:p>
    <w:p w14:paraId="104C65CA" w14:textId="717F14E8" w:rsidR="009032D1" w:rsidRPr="00084D33" w:rsidRDefault="009032D1" w:rsidP="00D131A1">
      <w:pPr>
        <w:pStyle w:val="Ttulo1"/>
        <w:numPr>
          <w:ilvl w:val="0"/>
          <w:numId w:val="12"/>
        </w:numPr>
        <w:spacing w:before="0"/>
        <w:ind w:left="709"/>
        <w:rPr>
          <w:rFonts w:cs="Times New Roman"/>
          <w:b/>
          <w:bCs/>
        </w:rPr>
      </w:pPr>
      <w:bookmarkStart w:id="119" w:name="_Toc186924374"/>
      <w:r w:rsidRPr="00084D33">
        <w:rPr>
          <w:rFonts w:cs="Times New Roman"/>
          <w:b/>
          <w:bCs/>
        </w:rPr>
        <w:lastRenderedPageBreak/>
        <w:t>Contrataciones y Adquisiciones</w:t>
      </w:r>
      <w:bookmarkEnd w:id="119"/>
    </w:p>
    <w:p w14:paraId="5DE9BFE3" w14:textId="77777777" w:rsidR="009032D1" w:rsidRPr="00084D33" w:rsidRDefault="009032D1" w:rsidP="009032D1">
      <w:pPr>
        <w:rPr>
          <w:rFonts w:eastAsia="Calibri" w:cs="Times New Roman"/>
          <w:sz w:val="18"/>
        </w:rPr>
      </w:pPr>
      <w:r w:rsidRPr="00084D33">
        <w:rPr>
          <w:rFonts w:eastAsia="Calibri" w:cs="Times New Roman"/>
          <w:noProof/>
          <w:sz w:val="18"/>
          <w:lang w:eastAsia="es-DO"/>
        </w:rPr>
        <mc:AlternateContent>
          <mc:Choice Requires="wps">
            <w:drawing>
              <wp:anchor distT="0" distB="0" distL="114300" distR="114300" simplePos="0" relativeHeight="251808768" behindDoc="0" locked="0" layoutInCell="1" allowOverlap="1" wp14:anchorId="0526A2B5" wp14:editId="363CBF23">
                <wp:simplePos x="0" y="0"/>
                <wp:positionH relativeFrom="margin">
                  <wp:posOffset>2254250</wp:posOffset>
                </wp:positionH>
                <wp:positionV relativeFrom="paragraph">
                  <wp:posOffset>100625</wp:posOffset>
                </wp:positionV>
                <wp:extent cx="463550" cy="0"/>
                <wp:effectExtent l="22860" t="15875" r="18415" b="22225"/>
                <wp:wrapNone/>
                <wp:docPr id="107374192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8CC57" id="Straight Connector 3" o:spid="_x0000_s1026" style="position:absolute;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" strokecolor="#ee2a24" strokeweight="2.25pt">
                <v:stroke joinstyle="miter"/>
                <w10:wrap anchorx="margin"/>
              </v:line>
            </w:pict>
          </mc:Fallback>
        </mc:AlternateContent>
      </w:r>
    </w:p>
    <w:p w14:paraId="6B734892" w14:textId="03CBC2D3" w:rsidR="009032D1" w:rsidRPr="00084D33" w:rsidRDefault="006C0CCA" w:rsidP="002E1C20">
      <w:pPr>
        <w:pStyle w:val="Continuarlista"/>
        <w:jc w:val="center"/>
        <w:rPr>
          <w:rFonts w:cs="Times New Roman"/>
        </w:rPr>
      </w:pPr>
      <w:r w:rsidRPr="00084D33">
        <w:rPr>
          <w:rFonts w:cs="Times New Roman"/>
        </w:rPr>
        <w:t>Memoria institucional 2024</w:t>
      </w:r>
    </w:p>
    <w:p w14:paraId="6F338859" w14:textId="77777777" w:rsidR="008216A2" w:rsidRPr="00084D33" w:rsidRDefault="008216A2" w:rsidP="002E1C20">
      <w:pPr>
        <w:pStyle w:val="Continuarlista"/>
        <w:jc w:val="center"/>
        <w:rPr>
          <w:rFonts w:cs="Times New Roman"/>
        </w:rPr>
      </w:pPr>
    </w:p>
    <w:p w14:paraId="35A9B5AA" w14:textId="5E19EA61" w:rsidR="009032D1" w:rsidRPr="00084D33" w:rsidRDefault="009032D1" w:rsidP="00D131A1">
      <w:pPr>
        <w:pStyle w:val="Ttulo1"/>
        <w:numPr>
          <w:ilvl w:val="1"/>
          <w:numId w:val="12"/>
        </w:numPr>
        <w:ind w:left="1440" w:hanging="720"/>
        <w:rPr>
          <w:rFonts w:cs="Times New Roman"/>
          <w:b/>
          <w:sz w:val="24"/>
        </w:rPr>
      </w:pPr>
      <w:bookmarkStart w:id="120" w:name="_Toc90929124"/>
      <w:bookmarkStart w:id="121" w:name="_Toc90929485"/>
      <w:bookmarkStart w:id="122" w:name="_Toc91264853"/>
      <w:bookmarkStart w:id="123" w:name="_Toc1381800"/>
      <w:bookmarkStart w:id="124" w:name="_Toc1418568"/>
      <w:bookmarkStart w:id="125" w:name="_Toc59361424"/>
      <w:bookmarkStart w:id="126" w:name="_Toc186924375"/>
      <w:bookmarkEnd w:id="120"/>
      <w:bookmarkEnd w:id="121"/>
      <w:bookmarkEnd w:id="122"/>
      <w:r w:rsidRPr="00084D33">
        <w:rPr>
          <w:rFonts w:cs="Times New Roman"/>
          <w:b/>
          <w:sz w:val="24"/>
        </w:rPr>
        <w:t>Plan Anual de Compras y Contrataciones (PACC)</w:t>
      </w:r>
      <w:bookmarkEnd w:id="123"/>
      <w:bookmarkEnd w:id="124"/>
      <w:bookmarkEnd w:id="125"/>
      <w:bookmarkEnd w:id="126"/>
    </w:p>
    <w:p w14:paraId="4AAB060F" w14:textId="77777777" w:rsidR="009032D1" w:rsidRPr="00084D33" w:rsidRDefault="009032D1" w:rsidP="00BC67CE">
      <w:pPr>
        <w:rPr>
          <w:rFonts w:cs="Times New Roman"/>
        </w:rPr>
      </w:pPr>
    </w:p>
    <w:p w14:paraId="1E145C58" w14:textId="04E33D5E" w:rsidR="009032D1" w:rsidRPr="00084D33" w:rsidRDefault="009032D1" w:rsidP="00BC67CE">
      <w:pPr>
        <w:pStyle w:val="Textoindependiente"/>
        <w:spacing w:line="360" w:lineRule="auto"/>
        <w:jc w:val="both"/>
        <w:rPr>
          <w:color w:val="767171"/>
        </w:rPr>
      </w:pPr>
      <w:r w:rsidRPr="00084D33">
        <w:rPr>
          <w:color w:val="767171"/>
        </w:rPr>
        <w:t xml:space="preserve">Durante el periodo </w:t>
      </w:r>
      <w:r w:rsidR="00B80DA9" w:rsidRPr="00084D33">
        <w:rPr>
          <w:color w:val="767171"/>
        </w:rPr>
        <w:t xml:space="preserve"> </w:t>
      </w:r>
      <w:r w:rsidR="000A17C8" w:rsidRPr="00084D33">
        <w:rPr>
          <w:color w:val="767171"/>
        </w:rPr>
        <w:t>enero-diciembre</w:t>
      </w:r>
      <w:r w:rsidR="00B80DA9" w:rsidRPr="00084D33">
        <w:rPr>
          <w:color w:val="767171"/>
        </w:rPr>
        <w:t xml:space="preserve"> del año 2024</w:t>
      </w:r>
      <w:r w:rsidRPr="00084D33">
        <w:rPr>
          <w:color w:val="767171"/>
        </w:rPr>
        <w:t xml:space="preserve">, el Ministerio de Obras Públicas y Comunicaciones (MOPC), de acuerdo a lo establecido en la Ley No. 340-06 sobre Compras y Contrataciones de Bienes, Servicios, Obras y Concesiones, llevó a efecto un total de </w:t>
      </w:r>
      <w:r w:rsidR="008333F3" w:rsidRPr="00084D33">
        <w:rPr>
          <w:color w:val="767171"/>
        </w:rPr>
        <w:t>Ochenta y Siete</w:t>
      </w:r>
      <w:r w:rsidRPr="00084D33">
        <w:rPr>
          <w:color w:val="767171"/>
        </w:rPr>
        <w:t xml:space="preserve"> (</w:t>
      </w:r>
      <w:r w:rsidR="008333F3" w:rsidRPr="00084D33">
        <w:rPr>
          <w:color w:val="767171"/>
        </w:rPr>
        <w:t>87</w:t>
      </w:r>
      <w:r w:rsidRPr="00084D33">
        <w:rPr>
          <w:color w:val="767171"/>
        </w:rPr>
        <w:t>) procesos, aplicando las modalidades de Licitación Pública Nacional (LPN), Compras Menores (CM), Compras D</w:t>
      </w:r>
      <w:r w:rsidR="00B80DA9" w:rsidRPr="00084D33">
        <w:rPr>
          <w:color w:val="767171"/>
        </w:rPr>
        <w:t>ebajo del Umbral</w:t>
      </w:r>
      <w:r w:rsidRPr="00084D33">
        <w:rPr>
          <w:color w:val="767171"/>
        </w:rPr>
        <w:t xml:space="preserve"> (CD), Comparación de Precios (CP), </w:t>
      </w:r>
      <w:r w:rsidR="00B80DA9" w:rsidRPr="00084D33">
        <w:rPr>
          <w:color w:val="767171"/>
        </w:rPr>
        <w:t>y Procesos Excepción (PE</w:t>
      </w:r>
      <w:r w:rsidRPr="00084D33">
        <w:rPr>
          <w:color w:val="767171"/>
        </w:rPr>
        <w:t xml:space="preserve">) para la adquisición de bienes, servicios, y obras, con una inversión ascendente a la suma de </w:t>
      </w:r>
      <w:r w:rsidR="00697260" w:rsidRPr="00084D33">
        <w:rPr>
          <w:color w:val="767171"/>
        </w:rPr>
        <w:t xml:space="preserve">Diez Mil Ciento Cuarenta y Nueve Millones Novecientos Sesenta y Cuatro Mil </w:t>
      </w:r>
      <w:r w:rsidR="00E55155" w:rsidRPr="00084D33">
        <w:rPr>
          <w:color w:val="767171"/>
        </w:rPr>
        <w:t>Novecientos</w:t>
      </w:r>
      <w:r w:rsidR="00697260" w:rsidRPr="00084D33">
        <w:rPr>
          <w:color w:val="767171"/>
        </w:rPr>
        <w:t xml:space="preserve"> Sesenta y Dos Pesos con 23/100(RD$10,149,964,962.23</w:t>
      </w:r>
      <w:r w:rsidRPr="00084D33">
        <w:rPr>
          <w:color w:val="767171"/>
        </w:rPr>
        <w:t xml:space="preserve">). </w:t>
      </w:r>
    </w:p>
    <w:p w14:paraId="2333A911" w14:textId="77777777" w:rsidR="00D83684" w:rsidRPr="00084D33" w:rsidRDefault="00D83684" w:rsidP="00BC67CE">
      <w:pPr>
        <w:rPr>
          <w:rFonts w:cs="Times New Roman"/>
        </w:rPr>
      </w:pPr>
    </w:p>
    <w:p w14:paraId="1D067906" w14:textId="470C3EAD" w:rsidR="009032D1" w:rsidRPr="00084D33" w:rsidRDefault="009032D1" w:rsidP="00D131A1">
      <w:pPr>
        <w:pStyle w:val="Ttulo1"/>
        <w:numPr>
          <w:ilvl w:val="1"/>
          <w:numId w:val="12"/>
        </w:numPr>
        <w:rPr>
          <w:rFonts w:cs="Times New Roman"/>
          <w:b/>
          <w:sz w:val="24"/>
        </w:rPr>
      </w:pPr>
      <w:bookmarkStart w:id="127" w:name="_Toc441696917"/>
      <w:bookmarkStart w:id="128" w:name="_Toc471986292"/>
      <w:bookmarkStart w:id="129" w:name="_Toc472434805"/>
      <w:bookmarkStart w:id="130" w:name="_Toc504947377"/>
      <w:bookmarkStart w:id="131" w:name="_Toc504947803"/>
      <w:bookmarkStart w:id="132" w:name="_Toc505070659"/>
      <w:bookmarkStart w:id="133" w:name="_Toc977044"/>
      <w:bookmarkStart w:id="134" w:name="_Toc1381801"/>
      <w:bookmarkStart w:id="135" w:name="_Toc59361425"/>
      <w:bookmarkStart w:id="136" w:name="_Toc186924376"/>
      <w:r w:rsidRPr="00084D33">
        <w:rPr>
          <w:rFonts w:cs="Times New Roman"/>
          <w:b/>
          <w:sz w:val="24"/>
        </w:rPr>
        <w:t xml:space="preserve">Plan de Compras Publicado Año </w:t>
      </w:r>
      <w:bookmarkEnd w:id="127"/>
      <w:bookmarkEnd w:id="128"/>
      <w:bookmarkEnd w:id="129"/>
      <w:bookmarkEnd w:id="130"/>
      <w:bookmarkEnd w:id="131"/>
      <w:bookmarkEnd w:id="132"/>
      <w:bookmarkEnd w:id="133"/>
      <w:r w:rsidRPr="00084D33">
        <w:rPr>
          <w:rFonts w:cs="Times New Roman"/>
          <w:b/>
          <w:sz w:val="24"/>
        </w:rPr>
        <w:t>202</w:t>
      </w:r>
      <w:bookmarkEnd w:id="134"/>
      <w:bookmarkEnd w:id="135"/>
      <w:r w:rsidR="00697260" w:rsidRPr="00084D33">
        <w:rPr>
          <w:rFonts w:cs="Times New Roman"/>
          <w:b/>
          <w:sz w:val="24"/>
        </w:rPr>
        <w:t>4</w:t>
      </w:r>
      <w:bookmarkEnd w:id="136"/>
    </w:p>
    <w:p w14:paraId="1C5DAECD" w14:textId="77777777" w:rsidR="009032D1" w:rsidRPr="00084D33" w:rsidRDefault="009032D1" w:rsidP="00BC67CE">
      <w:pPr>
        <w:rPr>
          <w:rFonts w:eastAsia="Calibri" w:cs="Times New Roman"/>
          <w:szCs w:val="24"/>
        </w:rPr>
      </w:pPr>
    </w:p>
    <w:p w14:paraId="5107BD39" w14:textId="65CDC4EB" w:rsidR="009032D1" w:rsidRPr="00084D33" w:rsidRDefault="009032D1" w:rsidP="00BC67CE">
      <w:pPr>
        <w:pStyle w:val="Textoindependiente"/>
        <w:spacing w:line="360" w:lineRule="auto"/>
        <w:jc w:val="both"/>
        <w:rPr>
          <w:color w:val="767171"/>
        </w:rPr>
      </w:pPr>
      <w:r w:rsidRPr="00084D33">
        <w:rPr>
          <w:color w:val="767171"/>
        </w:rPr>
        <w:t>En cumplimiento a los requerimientos de la Dirección General de Compras y Contrataciones (DGCC), el Ministerio de Obras Públicas y Comunicaciones (MOPC) publicó a través de la página web: mopc.gob.do, el Plan Anual de Compras y Contrataciones correspondiente al año 202</w:t>
      </w:r>
      <w:r w:rsidR="00697260" w:rsidRPr="00084D33">
        <w:rPr>
          <w:color w:val="767171"/>
        </w:rPr>
        <w:t>4</w:t>
      </w:r>
      <w:r w:rsidRPr="00084D33">
        <w:rPr>
          <w:color w:val="767171"/>
        </w:rPr>
        <w:t xml:space="preserve">, herramienta que define las necesidades de insumos (bienes, servicios y obras) de la institución que serán contratados durante el año fiscal vigente, conteniendo los procedimientos de gestión con los códigos del catálogo de bienes y servicios (CBS), nombre del artículo, unidad de medida, cantidad total estimada, precio unitario, monto total estimado; además contiene: </w:t>
      </w:r>
      <w:r w:rsidRPr="00084D33">
        <w:rPr>
          <w:color w:val="767171"/>
        </w:rPr>
        <w:lastRenderedPageBreak/>
        <w:t>nombre o referencia de contratación, finalidad de la contratación, objeto de contratación, procedimiento de selección, destinado a MIPYMES, código SNIP y la fuente de financiamiento para la ejecución de los mismos. (Ver anexo C)</w:t>
      </w:r>
      <w:r w:rsidR="00ED17F1" w:rsidRPr="00084D33">
        <w:rPr>
          <w:color w:val="767171"/>
        </w:rPr>
        <w:t>.</w:t>
      </w:r>
    </w:p>
    <w:p w14:paraId="3105E15A" w14:textId="6DDDA3B3" w:rsidR="00BC67CE" w:rsidRPr="00084D33" w:rsidRDefault="00BC67CE" w:rsidP="00BC67CE">
      <w:pPr>
        <w:pStyle w:val="Textoindependiente"/>
        <w:spacing w:line="360" w:lineRule="auto"/>
        <w:jc w:val="both"/>
        <w:rPr>
          <w:color w:val="767171"/>
        </w:rPr>
      </w:pPr>
    </w:p>
    <w:p w14:paraId="76CEABDD" w14:textId="77974D00" w:rsidR="009032D1" w:rsidRPr="00084D33" w:rsidRDefault="003D388A" w:rsidP="00D131A1">
      <w:pPr>
        <w:pStyle w:val="Ttulo1"/>
        <w:numPr>
          <w:ilvl w:val="1"/>
          <w:numId w:val="12"/>
        </w:numPr>
        <w:ind w:left="1620" w:hanging="630"/>
        <w:rPr>
          <w:rFonts w:cs="Times New Roman"/>
          <w:b/>
          <w:sz w:val="24"/>
        </w:rPr>
      </w:pPr>
      <w:bookmarkStart w:id="137" w:name="_Toc471986300"/>
      <w:bookmarkStart w:id="138" w:name="_Toc472434845"/>
      <w:bookmarkStart w:id="139" w:name="_Toc59361427"/>
      <w:r w:rsidRPr="00084D33">
        <w:rPr>
          <w:rFonts w:cs="Times New Roman"/>
          <w:b/>
          <w:sz w:val="24"/>
        </w:rPr>
        <w:t xml:space="preserve"> </w:t>
      </w:r>
      <w:bookmarkStart w:id="140" w:name="_Toc186924377"/>
      <w:r w:rsidR="009032D1" w:rsidRPr="00084D33">
        <w:rPr>
          <w:rFonts w:cs="Times New Roman"/>
          <w:b/>
          <w:sz w:val="24"/>
        </w:rPr>
        <w:t>Plan de Compras y Contrataciones Publicado</w:t>
      </w:r>
      <w:r w:rsidR="00BC577E" w:rsidRPr="00084D33">
        <w:rPr>
          <w:rFonts w:cs="Times New Roman"/>
          <w:b/>
          <w:sz w:val="24"/>
        </w:rPr>
        <w:t xml:space="preserve"> </w:t>
      </w:r>
      <w:r w:rsidR="009032D1" w:rsidRPr="00084D33">
        <w:rPr>
          <w:rFonts w:cs="Times New Roman"/>
          <w:b/>
          <w:sz w:val="24"/>
        </w:rPr>
        <w:t>Vs. Plan de Compras</w:t>
      </w:r>
      <w:bookmarkEnd w:id="137"/>
      <w:bookmarkEnd w:id="138"/>
      <w:r w:rsidR="009032D1" w:rsidRPr="00084D33">
        <w:rPr>
          <w:rFonts w:cs="Times New Roman"/>
          <w:b/>
          <w:sz w:val="24"/>
        </w:rPr>
        <w:t xml:space="preserve"> Ejecutado</w:t>
      </w:r>
      <w:bookmarkEnd w:id="139"/>
      <w:bookmarkEnd w:id="140"/>
    </w:p>
    <w:p w14:paraId="71A44727" w14:textId="77777777" w:rsidR="009032D1" w:rsidRPr="00084D33" w:rsidRDefault="009032D1" w:rsidP="00BC67CE">
      <w:pPr>
        <w:rPr>
          <w:rFonts w:cs="Times New Roman"/>
        </w:rPr>
      </w:pPr>
    </w:p>
    <w:p w14:paraId="5BBF1C5F" w14:textId="0B31CF62" w:rsidR="00EF43F3" w:rsidRPr="00084D33" w:rsidRDefault="00BE3E0B" w:rsidP="00BC67CE">
      <w:pPr>
        <w:pStyle w:val="Textoindependiente"/>
        <w:spacing w:line="360" w:lineRule="auto"/>
        <w:jc w:val="both"/>
        <w:rPr>
          <w:rFonts w:eastAsia="Calibri"/>
          <w:color w:val="767171"/>
        </w:rPr>
      </w:pPr>
      <w:r w:rsidRPr="00084D33">
        <w:rPr>
          <w:rFonts w:eastAsia="Calibri"/>
          <w:color w:val="767171"/>
        </w:rPr>
        <w:t>El Plan de Compras y Contrataciones del MOPC publicado para la adquisición de bienes y servicios (exceptuando la construcción de obras) para el año 202</w:t>
      </w:r>
      <w:r w:rsidR="00697260" w:rsidRPr="00084D33">
        <w:rPr>
          <w:rFonts w:eastAsia="Calibri"/>
          <w:color w:val="767171"/>
        </w:rPr>
        <w:t>4</w:t>
      </w:r>
      <w:r w:rsidRPr="00084D33">
        <w:rPr>
          <w:rFonts w:eastAsia="Calibri"/>
          <w:color w:val="767171"/>
        </w:rPr>
        <w:t>, ascendió RD$</w:t>
      </w:r>
      <w:r w:rsidR="00697260" w:rsidRPr="00084D33">
        <w:rPr>
          <w:rFonts w:eastAsia="Calibri"/>
          <w:color w:val="767171"/>
        </w:rPr>
        <w:t>164,187,037.77</w:t>
      </w:r>
      <w:r w:rsidR="00697260" w:rsidRPr="00084D33">
        <w:rPr>
          <w:rFonts w:ascii="Calibri" w:hAnsi="Calibri"/>
          <w:color w:val="767171"/>
          <w:spacing w:val="0"/>
          <w:sz w:val="18"/>
          <w:szCs w:val="18"/>
          <w:lang w:val="es-DO" w:eastAsia="es-DO"/>
        </w:rPr>
        <w:t xml:space="preserve"> </w:t>
      </w:r>
      <w:r w:rsidRPr="00084D33">
        <w:rPr>
          <w:rFonts w:eastAsia="Calibri"/>
          <w:color w:val="767171"/>
        </w:rPr>
        <w:t>(</w:t>
      </w:r>
      <w:r w:rsidR="00697260" w:rsidRPr="00084D33">
        <w:rPr>
          <w:rFonts w:eastAsia="Calibri"/>
          <w:color w:val="767171"/>
        </w:rPr>
        <w:t>Ciento Sesenta y Cuatro Millones C</w:t>
      </w:r>
      <w:r w:rsidRPr="00084D33">
        <w:rPr>
          <w:rFonts w:eastAsia="Calibri"/>
          <w:color w:val="767171"/>
        </w:rPr>
        <w:t>iento</w:t>
      </w:r>
      <w:r w:rsidR="00697260" w:rsidRPr="00084D33">
        <w:rPr>
          <w:rFonts w:eastAsia="Calibri"/>
          <w:color w:val="767171"/>
        </w:rPr>
        <w:t xml:space="preserve"> Ochenta y Siete Mil Treinta y Siete Pesos con 77</w:t>
      </w:r>
      <w:r w:rsidRPr="00084D33">
        <w:rPr>
          <w:rFonts w:eastAsia="Calibri"/>
          <w:color w:val="767171"/>
        </w:rPr>
        <w:t xml:space="preserve">/100) y el Plan de Compras ejecutado para el periodo </w:t>
      </w:r>
      <w:r w:rsidR="00B5550F" w:rsidRPr="00084D33">
        <w:rPr>
          <w:rFonts w:eastAsia="Calibri"/>
          <w:color w:val="767171"/>
        </w:rPr>
        <w:t>enero – diciembre</w:t>
      </w:r>
      <w:r w:rsidRPr="00084D33">
        <w:rPr>
          <w:rFonts w:eastAsia="Calibri"/>
          <w:color w:val="767171"/>
        </w:rPr>
        <w:t xml:space="preserve"> del 202</w:t>
      </w:r>
      <w:r w:rsidR="00697260" w:rsidRPr="00084D33">
        <w:rPr>
          <w:rFonts w:eastAsia="Calibri"/>
          <w:color w:val="767171"/>
        </w:rPr>
        <w:t>4</w:t>
      </w:r>
      <w:r w:rsidRPr="00084D33">
        <w:rPr>
          <w:rFonts w:eastAsia="Calibri"/>
          <w:color w:val="767171"/>
        </w:rPr>
        <w:t xml:space="preserve">, alcanzó la suma de </w:t>
      </w:r>
      <w:r w:rsidR="008333F3" w:rsidRPr="00084D33">
        <w:rPr>
          <w:color w:val="767171"/>
        </w:rPr>
        <w:t xml:space="preserve">Diez Mil Ciento Cuarenta y Nueve Millones Novecientos Sesenta y Cuatro Mil </w:t>
      </w:r>
      <w:r w:rsidR="00E55155" w:rsidRPr="00084D33">
        <w:rPr>
          <w:color w:val="767171"/>
        </w:rPr>
        <w:t>Novecientos</w:t>
      </w:r>
      <w:r w:rsidR="008333F3" w:rsidRPr="00084D33">
        <w:rPr>
          <w:color w:val="767171"/>
        </w:rPr>
        <w:t xml:space="preserve"> Sesenta y Dos Pesos con 23/100 (RD$10,149,964,962.23), </w:t>
      </w:r>
      <w:r w:rsidRPr="00084D33">
        <w:rPr>
          <w:rFonts w:eastAsia="Calibri"/>
          <w:color w:val="767171"/>
        </w:rPr>
        <w:t>considerando la inversión realizada en obras de infraestructuras viales y de edificaciones</w:t>
      </w:r>
    </w:p>
    <w:p w14:paraId="0B51F46F" w14:textId="77777777" w:rsidR="00BE3E0B" w:rsidRPr="00084D33" w:rsidRDefault="00BE3E0B" w:rsidP="00BC67CE">
      <w:pPr>
        <w:pStyle w:val="Textoindependiente"/>
        <w:spacing w:line="360" w:lineRule="auto"/>
        <w:jc w:val="both"/>
        <w:rPr>
          <w:color w:val="767171"/>
        </w:rPr>
      </w:pPr>
    </w:p>
    <w:p w14:paraId="679ABD3D" w14:textId="58435DBE" w:rsidR="009032D1" w:rsidRPr="00084D33" w:rsidRDefault="009032D1" w:rsidP="00D131A1">
      <w:pPr>
        <w:pStyle w:val="Ttulo1"/>
        <w:numPr>
          <w:ilvl w:val="1"/>
          <w:numId w:val="12"/>
        </w:numPr>
        <w:ind w:left="-720" w:firstLine="1440"/>
        <w:rPr>
          <w:rFonts w:cs="Times New Roman"/>
          <w:b/>
          <w:sz w:val="24"/>
        </w:rPr>
      </w:pPr>
      <w:bookmarkStart w:id="141" w:name="_Toc186924378"/>
      <w:r w:rsidRPr="00084D33">
        <w:rPr>
          <w:rFonts w:cs="Times New Roman"/>
          <w:b/>
          <w:sz w:val="24"/>
        </w:rPr>
        <w:t>Relación de Licitaciones Públicas Nacionales</w:t>
      </w:r>
      <w:bookmarkEnd w:id="141"/>
    </w:p>
    <w:p w14:paraId="365AB4DD" w14:textId="77777777" w:rsidR="009032D1" w:rsidRPr="00084D33" w:rsidRDefault="009032D1" w:rsidP="00BC67CE">
      <w:pPr>
        <w:rPr>
          <w:rFonts w:cs="Times New Roman"/>
        </w:rPr>
      </w:pPr>
    </w:p>
    <w:p w14:paraId="50D944BF" w14:textId="04E2B79B" w:rsidR="009032D1" w:rsidRPr="00084D33" w:rsidRDefault="009032D1" w:rsidP="00BC67CE">
      <w:pPr>
        <w:pStyle w:val="Textoindependiente"/>
        <w:spacing w:line="360" w:lineRule="auto"/>
        <w:jc w:val="both"/>
        <w:rPr>
          <w:color w:val="767171"/>
        </w:rPr>
      </w:pPr>
      <w:r w:rsidRPr="00084D33">
        <w:rPr>
          <w:color w:val="767171"/>
        </w:rPr>
        <w:t xml:space="preserve">Las Licitaciones Públicas </w:t>
      </w:r>
      <w:r w:rsidR="00E55155" w:rsidRPr="00084D33">
        <w:rPr>
          <w:color w:val="767171"/>
        </w:rPr>
        <w:t>Nacionales</w:t>
      </w:r>
      <w:r w:rsidR="008216A2" w:rsidRPr="00084D33">
        <w:rPr>
          <w:color w:val="767171"/>
        </w:rPr>
        <w:t xml:space="preserve"> (LPN) </w:t>
      </w:r>
      <w:r w:rsidRPr="00084D33">
        <w:rPr>
          <w:color w:val="767171"/>
        </w:rPr>
        <w:t xml:space="preserve">realizadas por el Ministerio de Obras Públicas y Comunicaciones (MOPC), durante el periodo </w:t>
      </w:r>
      <w:r w:rsidR="00B5550F" w:rsidRPr="00084D33">
        <w:rPr>
          <w:rFonts w:eastAsia="Calibri"/>
          <w:color w:val="767171"/>
        </w:rPr>
        <w:t>enero – diciembre</w:t>
      </w:r>
      <w:r w:rsidR="00697260" w:rsidRPr="00084D33">
        <w:rPr>
          <w:rFonts w:eastAsia="Calibri"/>
          <w:color w:val="767171"/>
        </w:rPr>
        <w:t xml:space="preserve"> 2024</w:t>
      </w:r>
      <w:r w:rsidRPr="00084D33">
        <w:rPr>
          <w:color w:val="767171"/>
        </w:rPr>
        <w:t>, corr</w:t>
      </w:r>
      <w:r w:rsidR="0059219B" w:rsidRPr="00084D33">
        <w:rPr>
          <w:color w:val="767171"/>
        </w:rPr>
        <w:t>esponden a nueve procesos (9</w:t>
      </w:r>
      <w:r w:rsidRPr="00084D33">
        <w:rPr>
          <w:color w:val="767171"/>
        </w:rPr>
        <w:t>) de Licitaciones Públicas Nacionales (LPN), los cuales presentan la condición actual siguiente:</w:t>
      </w:r>
    </w:p>
    <w:p w14:paraId="174A3D0F" w14:textId="17DE0A74" w:rsidR="002E1C20" w:rsidRPr="00084D33" w:rsidRDefault="002E1C20" w:rsidP="00BC67CE">
      <w:pPr>
        <w:pStyle w:val="Textoindependiente"/>
        <w:spacing w:line="360" w:lineRule="auto"/>
        <w:jc w:val="both"/>
        <w:rPr>
          <w:color w:val="767171"/>
        </w:rPr>
      </w:pPr>
    </w:p>
    <w:p w14:paraId="3F90741D" w14:textId="0D93CC69" w:rsidR="009032D1" w:rsidRPr="00084D33" w:rsidRDefault="00E55155" w:rsidP="00BE3E0B">
      <w:pPr>
        <w:pStyle w:val="Estilo1-Vietas-Parrafo"/>
        <w:ind w:left="900"/>
      </w:pPr>
      <w:r w:rsidRPr="00084D33">
        <w:t>Adjudicados:</w:t>
      </w:r>
      <w:r w:rsidR="008216A2" w:rsidRPr="00084D33">
        <w:t xml:space="preserve"> </w:t>
      </w:r>
      <w:r w:rsidR="009032D1" w:rsidRPr="00084D33">
        <w:t xml:space="preserve">Catorce (14) </w:t>
      </w:r>
    </w:p>
    <w:p w14:paraId="23C348F7" w14:textId="15566FB0" w:rsidR="009032D1" w:rsidRPr="00084D33" w:rsidRDefault="008216A2" w:rsidP="00BE3E0B">
      <w:pPr>
        <w:pStyle w:val="Estilo1-Vietas-Parrafo"/>
        <w:ind w:left="900"/>
      </w:pPr>
      <w:r w:rsidRPr="00084D33">
        <w:t xml:space="preserve">No concluidos: </w:t>
      </w:r>
      <w:r w:rsidR="009032D1" w:rsidRPr="00084D33">
        <w:t xml:space="preserve">Dos (2) </w:t>
      </w:r>
    </w:p>
    <w:p w14:paraId="3A598E82" w14:textId="77777777" w:rsidR="00F1473E" w:rsidRPr="00084D33" w:rsidRDefault="00F1473E" w:rsidP="00071FA3">
      <w:pPr>
        <w:pStyle w:val="Firma"/>
        <w:spacing w:line="360" w:lineRule="auto"/>
        <w:ind w:left="810"/>
        <w:rPr>
          <w:rFonts w:cs="Times New Roman"/>
        </w:rPr>
      </w:pPr>
    </w:p>
    <w:p w14:paraId="575C33D2" w14:textId="0ABE0D31" w:rsidR="009032D1" w:rsidRPr="00084D33" w:rsidRDefault="009032D1" w:rsidP="00BC67CE">
      <w:pPr>
        <w:pStyle w:val="Textoindependiente"/>
        <w:spacing w:line="360" w:lineRule="auto"/>
        <w:jc w:val="both"/>
        <w:rPr>
          <w:color w:val="767171"/>
        </w:rPr>
      </w:pPr>
      <w:r w:rsidRPr="00084D33">
        <w:rPr>
          <w:color w:val="767171"/>
        </w:rPr>
        <w:lastRenderedPageBreak/>
        <w:t xml:space="preserve">A continuación, presentamos los procesos realizados y adjudicados durante </w:t>
      </w:r>
      <w:r w:rsidR="00ED17F1" w:rsidRPr="00084D33">
        <w:rPr>
          <w:color w:val="767171"/>
        </w:rPr>
        <w:t xml:space="preserve">periodo </w:t>
      </w:r>
      <w:r w:rsidR="001D3E75" w:rsidRPr="00084D33">
        <w:rPr>
          <w:color w:val="767171"/>
        </w:rPr>
        <w:t>enero</w:t>
      </w:r>
      <w:r w:rsidR="00ED17F1" w:rsidRPr="00084D33">
        <w:rPr>
          <w:color w:val="767171"/>
        </w:rPr>
        <w:t xml:space="preserve"> – </w:t>
      </w:r>
      <w:r w:rsidR="001D3E75" w:rsidRPr="00084D33">
        <w:rPr>
          <w:color w:val="767171"/>
        </w:rPr>
        <w:t>diciembre</w:t>
      </w:r>
      <w:r w:rsidR="00ED17F1" w:rsidRPr="00084D33">
        <w:rPr>
          <w:color w:val="767171"/>
        </w:rPr>
        <w:t xml:space="preserve"> del</w:t>
      </w:r>
      <w:r w:rsidRPr="00084D33">
        <w:rPr>
          <w:color w:val="767171"/>
        </w:rPr>
        <w:t xml:space="preserve"> presente año.</w:t>
      </w:r>
    </w:p>
    <w:p w14:paraId="484697E6" w14:textId="1C09912D" w:rsidR="008333F3" w:rsidRPr="00084D33" w:rsidRDefault="008333F3" w:rsidP="00BE3E0B">
      <w:pPr>
        <w:pStyle w:val="Textoindependiente"/>
        <w:spacing w:line="360" w:lineRule="auto"/>
        <w:jc w:val="both"/>
        <w:rPr>
          <w:color w:val="767171"/>
        </w:rPr>
      </w:pPr>
    </w:p>
    <w:p w14:paraId="09A2A68E" w14:textId="65E3331D" w:rsidR="00BE3E0B" w:rsidRPr="00084D33" w:rsidRDefault="0059219B" w:rsidP="00BE3E0B">
      <w:pPr>
        <w:pStyle w:val="Textoindependiente"/>
        <w:spacing w:line="360" w:lineRule="auto"/>
        <w:jc w:val="both"/>
        <w:rPr>
          <w:color w:val="767171"/>
        </w:rPr>
      </w:pPr>
      <w:r w:rsidRPr="00084D33">
        <w:rPr>
          <w:noProof/>
          <w:color w:val="767171"/>
          <w:lang w:val="es-DO" w:eastAsia="es-DO" w:bidi="ar-SA"/>
        </w:rPr>
        <w:drawing>
          <wp:inline distT="0" distB="0" distL="0" distR="0" wp14:anchorId="12FF58C3" wp14:editId="59904D07">
            <wp:extent cx="5029200" cy="7156494"/>
            <wp:effectExtent l="0" t="0" r="0" b="0"/>
            <wp:docPr id="1398926611" name="Imagen 1398926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29200" cy="7156494"/>
                    </a:xfrm>
                    <a:prstGeom prst="rect">
                      <a:avLst/>
                    </a:prstGeom>
                    <a:noFill/>
                    <a:ln>
                      <a:noFill/>
                    </a:ln>
                  </pic:spPr>
                </pic:pic>
              </a:graphicData>
            </a:graphic>
          </wp:inline>
        </w:drawing>
      </w:r>
      <w:r w:rsidR="008333F3" w:rsidRPr="00084D33">
        <w:rPr>
          <w:color w:val="767171"/>
        </w:rPr>
        <w:t xml:space="preserve"> </w:t>
      </w:r>
    </w:p>
    <w:p w14:paraId="3FDC556D" w14:textId="743985F4" w:rsidR="00BE3E0B" w:rsidRPr="00084D33" w:rsidRDefault="00BE3E0B" w:rsidP="00BE3E0B">
      <w:pPr>
        <w:pStyle w:val="Textoindependiente"/>
        <w:spacing w:line="360" w:lineRule="auto"/>
        <w:jc w:val="both"/>
        <w:rPr>
          <w:rFonts w:eastAsia="Calibri"/>
          <w:color w:val="767171"/>
        </w:rPr>
      </w:pPr>
    </w:p>
    <w:p w14:paraId="02C60726" w14:textId="77777777" w:rsidR="00BE3E0B" w:rsidRPr="00084D33" w:rsidRDefault="00BE3E0B" w:rsidP="00BE3E0B">
      <w:pPr>
        <w:pStyle w:val="Textoindependiente"/>
        <w:spacing w:line="360" w:lineRule="auto"/>
        <w:jc w:val="both"/>
        <w:rPr>
          <w:rFonts w:eastAsia="Calibri"/>
          <w:color w:val="767171"/>
        </w:rPr>
      </w:pPr>
    </w:p>
    <w:p w14:paraId="020CFA66" w14:textId="5FBAF4C2" w:rsidR="00BE3E0B" w:rsidRPr="00084D33" w:rsidRDefault="0059219B" w:rsidP="00BE3E0B">
      <w:pPr>
        <w:pStyle w:val="Textoindependiente"/>
        <w:spacing w:line="360" w:lineRule="auto"/>
        <w:jc w:val="both"/>
        <w:rPr>
          <w:rFonts w:eastAsia="Calibri"/>
          <w:color w:val="767171"/>
        </w:rPr>
      </w:pPr>
      <w:r w:rsidRPr="00084D33">
        <w:rPr>
          <w:rFonts w:eastAsia="Calibri"/>
          <w:noProof/>
          <w:color w:val="767171"/>
          <w:lang w:val="es-DO" w:eastAsia="es-DO" w:bidi="ar-SA"/>
        </w:rPr>
        <w:drawing>
          <wp:inline distT="0" distB="0" distL="0" distR="0" wp14:anchorId="2A9127CE" wp14:editId="51277D3C">
            <wp:extent cx="5028505" cy="4152900"/>
            <wp:effectExtent l="0" t="0" r="1270" b="0"/>
            <wp:docPr id="1398926614" name="Imagen 1398926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8410" cy="4161080"/>
                    </a:xfrm>
                    <a:prstGeom prst="rect">
                      <a:avLst/>
                    </a:prstGeom>
                    <a:noFill/>
                    <a:ln>
                      <a:noFill/>
                    </a:ln>
                  </pic:spPr>
                </pic:pic>
              </a:graphicData>
            </a:graphic>
          </wp:inline>
        </w:drawing>
      </w:r>
      <w:r w:rsidRPr="00084D33">
        <w:rPr>
          <w:rFonts w:eastAsia="Calibri"/>
          <w:color w:val="767171"/>
        </w:rPr>
        <w:t xml:space="preserve"> </w:t>
      </w:r>
      <w:r w:rsidRPr="00084D33">
        <w:rPr>
          <w:rFonts w:eastAsia="Calibri"/>
          <w:noProof/>
          <w:color w:val="767171"/>
          <w:lang w:val="es-DO" w:eastAsia="es-DO" w:bidi="ar-SA"/>
        </w:rPr>
        <w:lastRenderedPageBreak/>
        <w:drawing>
          <wp:inline distT="0" distB="0" distL="0" distR="0" wp14:anchorId="54822B3E" wp14:editId="6AC82819">
            <wp:extent cx="5028752" cy="7696200"/>
            <wp:effectExtent l="0" t="0" r="635" b="0"/>
            <wp:docPr id="1398926615" name="Imagen 1398926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30883" cy="7699461"/>
                    </a:xfrm>
                    <a:prstGeom prst="rect">
                      <a:avLst/>
                    </a:prstGeom>
                    <a:noFill/>
                    <a:ln>
                      <a:noFill/>
                    </a:ln>
                  </pic:spPr>
                </pic:pic>
              </a:graphicData>
            </a:graphic>
          </wp:inline>
        </w:drawing>
      </w:r>
    </w:p>
    <w:p w14:paraId="224CB2B6" w14:textId="760B753D" w:rsidR="0059219B" w:rsidRPr="00084D33" w:rsidRDefault="0059219B" w:rsidP="00BE3E0B">
      <w:pPr>
        <w:pStyle w:val="Textoindependiente"/>
        <w:spacing w:line="360" w:lineRule="auto"/>
        <w:jc w:val="both"/>
        <w:rPr>
          <w:rFonts w:eastAsia="Calibri"/>
          <w:color w:val="767171"/>
        </w:rPr>
      </w:pPr>
    </w:p>
    <w:p w14:paraId="5EA5E4C3" w14:textId="0513858D" w:rsidR="0059219B" w:rsidRPr="00084D33" w:rsidRDefault="0059219B" w:rsidP="00BE3E0B">
      <w:pPr>
        <w:pStyle w:val="Textoindependiente"/>
        <w:spacing w:line="360" w:lineRule="auto"/>
        <w:jc w:val="both"/>
        <w:rPr>
          <w:rFonts w:eastAsia="Calibri"/>
          <w:color w:val="767171"/>
        </w:rPr>
      </w:pPr>
      <w:r w:rsidRPr="00084D33">
        <w:rPr>
          <w:rFonts w:eastAsia="Calibri"/>
          <w:noProof/>
          <w:color w:val="767171"/>
          <w:lang w:val="es-DO" w:eastAsia="es-DO" w:bidi="ar-SA"/>
        </w:rPr>
        <w:lastRenderedPageBreak/>
        <w:drawing>
          <wp:inline distT="0" distB="0" distL="0" distR="0" wp14:anchorId="3A1260CA" wp14:editId="77C350A0">
            <wp:extent cx="5027930" cy="3781425"/>
            <wp:effectExtent l="0" t="0" r="1270" b="0"/>
            <wp:docPr id="1398926616" name="Imagen 1398926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0355" cy="3790770"/>
                    </a:xfrm>
                    <a:prstGeom prst="rect">
                      <a:avLst/>
                    </a:prstGeom>
                    <a:noFill/>
                    <a:ln>
                      <a:noFill/>
                    </a:ln>
                  </pic:spPr>
                </pic:pic>
              </a:graphicData>
            </a:graphic>
          </wp:inline>
        </w:drawing>
      </w:r>
    </w:p>
    <w:p w14:paraId="58F7198F" w14:textId="77777777" w:rsidR="0059219B" w:rsidRPr="00084D33" w:rsidRDefault="0059219B" w:rsidP="00BE3E0B">
      <w:pPr>
        <w:pStyle w:val="Textoindependiente"/>
        <w:spacing w:line="360" w:lineRule="auto"/>
        <w:jc w:val="both"/>
        <w:rPr>
          <w:rFonts w:eastAsia="Calibri"/>
          <w:color w:val="767171"/>
        </w:rPr>
      </w:pPr>
    </w:p>
    <w:p w14:paraId="309D9748" w14:textId="1F92D298" w:rsidR="0059219B" w:rsidRPr="00084D33" w:rsidRDefault="0059219B" w:rsidP="00BE3E0B">
      <w:pPr>
        <w:pStyle w:val="Textoindependiente"/>
        <w:spacing w:line="360" w:lineRule="auto"/>
        <w:jc w:val="both"/>
        <w:rPr>
          <w:rFonts w:eastAsia="Calibri"/>
          <w:color w:val="767171"/>
        </w:rPr>
      </w:pPr>
      <w:r w:rsidRPr="00084D33">
        <w:rPr>
          <w:rFonts w:eastAsia="Calibri"/>
          <w:noProof/>
          <w:color w:val="767171"/>
          <w:lang w:val="es-DO" w:eastAsia="es-DO" w:bidi="ar-SA"/>
        </w:rPr>
        <w:drawing>
          <wp:inline distT="0" distB="0" distL="0" distR="0" wp14:anchorId="41D892A5" wp14:editId="2C7E9B89">
            <wp:extent cx="5028717" cy="3781425"/>
            <wp:effectExtent l="0" t="0" r="635" b="0"/>
            <wp:docPr id="1398926618" name="Imagen 1398926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29960" cy="3782360"/>
                    </a:xfrm>
                    <a:prstGeom prst="rect">
                      <a:avLst/>
                    </a:prstGeom>
                    <a:noFill/>
                    <a:ln>
                      <a:noFill/>
                    </a:ln>
                  </pic:spPr>
                </pic:pic>
              </a:graphicData>
            </a:graphic>
          </wp:inline>
        </w:drawing>
      </w:r>
    </w:p>
    <w:p w14:paraId="27490699" w14:textId="77777777" w:rsidR="0059219B" w:rsidRPr="00084D33" w:rsidRDefault="0059219B" w:rsidP="0059219B">
      <w:pPr>
        <w:spacing w:after="160" w:line="259" w:lineRule="auto"/>
        <w:jc w:val="left"/>
        <w:rPr>
          <w:rFonts w:eastAsia="Calibri"/>
        </w:rPr>
      </w:pPr>
      <w:r w:rsidRPr="00084D33">
        <w:rPr>
          <w:noProof/>
          <w:lang w:eastAsia="es-DO"/>
        </w:rPr>
        <w:lastRenderedPageBreak/>
        <w:drawing>
          <wp:inline distT="0" distB="0" distL="0" distR="0" wp14:anchorId="61F22770" wp14:editId="25C61B47">
            <wp:extent cx="5029200" cy="1932881"/>
            <wp:effectExtent l="0" t="0" r="0" b="0"/>
            <wp:docPr id="1398926619" name="Imagen 1398926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29200" cy="1932881"/>
                    </a:xfrm>
                    <a:prstGeom prst="rect">
                      <a:avLst/>
                    </a:prstGeom>
                    <a:noFill/>
                    <a:ln>
                      <a:noFill/>
                    </a:ln>
                  </pic:spPr>
                </pic:pic>
              </a:graphicData>
            </a:graphic>
          </wp:inline>
        </w:drawing>
      </w:r>
    </w:p>
    <w:p w14:paraId="2A141735" w14:textId="77777777" w:rsidR="0059219B" w:rsidRPr="00084D33" w:rsidRDefault="0059219B" w:rsidP="0059219B">
      <w:pPr>
        <w:spacing w:after="160" w:line="259" w:lineRule="auto"/>
        <w:jc w:val="left"/>
        <w:rPr>
          <w:rFonts w:eastAsia="Calibri"/>
        </w:rPr>
      </w:pPr>
    </w:p>
    <w:p w14:paraId="776EFCE4" w14:textId="4AE81577" w:rsidR="00981E88" w:rsidRPr="00084D33" w:rsidRDefault="00981E88">
      <w:pPr>
        <w:spacing w:after="160" w:line="259" w:lineRule="auto"/>
        <w:jc w:val="left"/>
        <w:rPr>
          <w:rFonts w:eastAsia="Calibri"/>
        </w:rPr>
      </w:pPr>
      <w:r w:rsidRPr="00084D33">
        <w:rPr>
          <w:rFonts w:eastAsia="Calibri"/>
        </w:rPr>
        <w:br w:type="page"/>
      </w:r>
    </w:p>
    <w:p w14:paraId="448C42F5" w14:textId="0F35E2C6" w:rsidR="00981E88" w:rsidRPr="00084D33" w:rsidRDefault="00981E88" w:rsidP="0059219B">
      <w:pPr>
        <w:spacing w:after="160" w:line="259" w:lineRule="auto"/>
        <w:jc w:val="left"/>
        <w:rPr>
          <w:rFonts w:eastAsia="Calibri"/>
        </w:rPr>
      </w:pPr>
      <w:r w:rsidRPr="00084D33">
        <w:rPr>
          <w:noProof/>
          <w:lang w:eastAsia="es-DO"/>
        </w:rPr>
        <w:lastRenderedPageBreak/>
        <w:drawing>
          <wp:inline distT="0" distB="0" distL="0" distR="0" wp14:anchorId="73524ADB" wp14:editId="709F2617">
            <wp:extent cx="5029060" cy="7620000"/>
            <wp:effectExtent l="0" t="0" r="635" b="0"/>
            <wp:docPr id="1398926620" name="Imagen 1398926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32170" cy="7624713"/>
                    </a:xfrm>
                    <a:prstGeom prst="rect">
                      <a:avLst/>
                    </a:prstGeom>
                    <a:noFill/>
                    <a:ln>
                      <a:noFill/>
                    </a:ln>
                  </pic:spPr>
                </pic:pic>
              </a:graphicData>
            </a:graphic>
          </wp:inline>
        </w:drawing>
      </w:r>
    </w:p>
    <w:p w14:paraId="21498B51" w14:textId="77777777" w:rsidR="00981E88" w:rsidRPr="00084D33" w:rsidRDefault="00981E88">
      <w:pPr>
        <w:spacing w:after="160" w:line="259" w:lineRule="auto"/>
        <w:jc w:val="left"/>
        <w:rPr>
          <w:rFonts w:eastAsia="Calibri"/>
        </w:rPr>
      </w:pPr>
      <w:r w:rsidRPr="00084D33">
        <w:rPr>
          <w:rFonts w:eastAsia="Calibri"/>
        </w:rPr>
        <w:br w:type="page"/>
      </w:r>
    </w:p>
    <w:p w14:paraId="682C86A2" w14:textId="480C6B1E" w:rsidR="0059219B" w:rsidRPr="00084D33" w:rsidRDefault="00981E88" w:rsidP="0059219B">
      <w:pPr>
        <w:spacing w:after="160" w:line="259" w:lineRule="auto"/>
        <w:jc w:val="left"/>
        <w:rPr>
          <w:rFonts w:eastAsia="Calibri"/>
        </w:rPr>
      </w:pPr>
      <w:r w:rsidRPr="00084D33">
        <w:rPr>
          <w:noProof/>
          <w:lang w:eastAsia="es-DO"/>
        </w:rPr>
        <w:lastRenderedPageBreak/>
        <w:drawing>
          <wp:inline distT="0" distB="0" distL="0" distR="0" wp14:anchorId="13E54FA7" wp14:editId="432D162E">
            <wp:extent cx="5029200" cy="7600950"/>
            <wp:effectExtent l="0" t="0" r="0" b="0"/>
            <wp:docPr id="1398926621" name="Imagen 139892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29200" cy="7600950"/>
                    </a:xfrm>
                    <a:prstGeom prst="rect">
                      <a:avLst/>
                    </a:prstGeom>
                    <a:noFill/>
                    <a:ln>
                      <a:noFill/>
                    </a:ln>
                  </pic:spPr>
                </pic:pic>
              </a:graphicData>
            </a:graphic>
          </wp:inline>
        </w:drawing>
      </w:r>
    </w:p>
    <w:p w14:paraId="1F7629F4" w14:textId="33BE3059" w:rsidR="00981E88" w:rsidRPr="00084D33" w:rsidRDefault="00981E88" w:rsidP="0059219B">
      <w:pPr>
        <w:spacing w:after="160" w:line="259" w:lineRule="auto"/>
        <w:jc w:val="left"/>
        <w:rPr>
          <w:rFonts w:eastAsia="Calibri"/>
        </w:rPr>
      </w:pPr>
    </w:p>
    <w:p w14:paraId="2251832D" w14:textId="2FE3AEFB" w:rsidR="00981E88" w:rsidRPr="00084D33" w:rsidRDefault="00981E88" w:rsidP="0059219B">
      <w:pPr>
        <w:spacing w:after="160" w:line="259" w:lineRule="auto"/>
        <w:jc w:val="left"/>
        <w:rPr>
          <w:rFonts w:eastAsia="Calibri"/>
        </w:rPr>
      </w:pPr>
      <w:r w:rsidRPr="00084D33">
        <w:rPr>
          <w:noProof/>
          <w:lang w:eastAsia="es-DO"/>
        </w:rPr>
        <w:lastRenderedPageBreak/>
        <w:drawing>
          <wp:inline distT="0" distB="0" distL="0" distR="0" wp14:anchorId="7E6B35AF" wp14:editId="7B2A6A6B">
            <wp:extent cx="5029200" cy="7886700"/>
            <wp:effectExtent l="0" t="0" r="0" b="0"/>
            <wp:docPr id="1398926624" name="Imagen 1398926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29200" cy="7886700"/>
                    </a:xfrm>
                    <a:prstGeom prst="rect">
                      <a:avLst/>
                    </a:prstGeom>
                    <a:noFill/>
                    <a:ln>
                      <a:noFill/>
                    </a:ln>
                  </pic:spPr>
                </pic:pic>
              </a:graphicData>
            </a:graphic>
          </wp:inline>
        </w:drawing>
      </w:r>
    </w:p>
    <w:p w14:paraId="4CBC9652" w14:textId="71D6735F" w:rsidR="00981E88" w:rsidRPr="00084D33" w:rsidRDefault="00981E88" w:rsidP="0059219B">
      <w:pPr>
        <w:spacing w:after="160" w:line="259" w:lineRule="auto"/>
        <w:jc w:val="left"/>
        <w:rPr>
          <w:rFonts w:eastAsia="Calibri"/>
        </w:rPr>
      </w:pPr>
    </w:p>
    <w:p w14:paraId="4B14E598" w14:textId="639AA173" w:rsidR="00981E88" w:rsidRPr="00084D33" w:rsidRDefault="00981E88" w:rsidP="0059219B">
      <w:pPr>
        <w:spacing w:after="160" w:line="259" w:lineRule="auto"/>
        <w:jc w:val="left"/>
        <w:rPr>
          <w:rFonts w:eastAsia="Calibri"/>
        </w:rPr>
      </w:pPr>
      <w:r w:rsidRPr="00084D33">
        <w:rPr>
          <w:noProof/>
          <w:lang w:eastAsia="es-DO"/>
        </w:rPr>
        <w:drawing>
          <wp:inline distT="0" distB="0" distL="0" distR="0" wp14:anchorId="25DDFF3E" wp14:editId="0407E5EC">
            <wp:extent cx="5028734" cy="4895850"/>
            <wp:effectExtent l="0" t="0" r="635" b="0"/>
            <wp:docPr id="1398926625" name="Imagen 1398926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29876" cy="4896962"/>
                    </a:xfrm>
                    <a:prstGeom prst="rect">
                      <a:avLst/>
                    </a:prstGeom>
                    <a:noFill/>
                    <a:ln>
                      <a:noFill/>
                    </a:ln>
                  </pic:spPr>
                </pic:pic>
              </a:graphicData>
            </a:graphic>
          </wp:inline>
        </w:drawing>
      </w:r>
    </w:p>
    <w:p w14:paraId="46EEDA5F" w14:textId="5AD5515C" w:rsidR="00981E88" w:rsidRPr="00084D33" w:rsidRDefault="00BE3E0B">
      <w:pPr>
        <w:spacing w:after="160" w:line="259" w:lineRule="auto"/>
        <w:jc w:val="left"/>
        <w:rPr>
          <w:rFonts w:eastAsia="Calibri"/>
        </w:rPr>
      </w:pPr>
      <w:r w:rsidRPr="00084D33">
        <w:rPr>
          <w:rFonts w:eastAsia="Calibri"/>
        </w:rPr>
        <w:br w:type="page"/>
      </w:r>
      <w:r w:rsidR="00981E88" w:rsidRPr="00084D33">
        <w:rPr>
          <w:noProof/>
          <w:lang w:eastAsia="es-DO"/>
        </w:rPr>
        <w:lastRenderedPageBreak/>
        <w:drawing>
          <wp:inline distT="0" distB="0" distL="0" distR="0" wp14:anchorId="0B012620" wp14:editId="196B1E05">
            <wp:extent cx="5028949" cy="7981950"/>
            <wp:effectExtent l="0" t="0" r="635" b="0"/>
            <wp:docPr id="1398926626" name="Imagen 1398926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32272" cy="7987225"/>
                    </a:xfrm>
                    <a:prstGeom prst="rect">
                      <a:avLst/>
                    </a:prstGeom>
                    <a:noFill/>
                    <a:ln>
                      <a:noFill/>
                    </a:ln>
                  </pic:spPr>
                </pic:pic>
              </a:graphicData>
            </a:graphic>
          </wp:inline>
        </w:drawing>
      </w:r>
      <w:r w:rsidR="00981E88" w:rsidRPr="00084D33">
        <w:rPr>
          <w:rFonts w:eastAsia="Calibri"/>
        </w:rPr>
        <w:br w:type="page"/>
      </w:r>
    </w:p>
    <w:p w14:paraId="4F108B64" w14:textId="0D264DE7" w:rsidR="00BE3E0B" w:rsidRPr="00084D33" w:rsidRDefault="00981E88" w:rsidP="00BE3E0B">
      <w:pPr>
        <w:spacing w:after="160" w:line="259" w:lineRule="auto"/>
        <w:jc w:val="left"/>
        <w:rPr>
          <w:rFonts w:eastAsia="Calibri" w:cs="Times New Roman"/>
          <w:szCs w:val="24"/>
          <w:lang w:val="es-ES" w:eastAsia="es-ES" w:bidi="es-ES"/>
        </w:rPr>
      </w:pPr>
      <w:r w:rsidRPr="00084D33">
        <w:rPr>
          <w:noProof/>
          <w:lang w:eastAsia="es-DO"/>
        </w:rPr>
        <w:lastRenderedPageBreak/>
        <w:drawing>
          <wp:inline distT="0" distB="0" distL="0" distR="0" wp14:anchorId="439A38E3" wp14:editId="17718F44">
            <wp:extent cx="5029092" cy="8001000"/>
            <wp:effectExtent l="0" t="0" r="635" b="0"/>
            <wp:docPr id="1398926627" name="Imagen 139892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31835" cy="8005364"/>
                    </a:xfrm>
                    <a:prstGeom prst="rect">
                      <a:avLst/>
                    </a:prstGeom>
                    <a:noFill/>
                    <a:ln>
                      <a:noFill/>
                    </a:ln>
                  </pic:spPr>
                </pic:pic>
              </a:graphicData>
            </a:graphic>
          </wp:inline>
        </w:drawing>
      </w:r>
    </w:p>
    <w:p w14:paraId="11874839" w14:textId="7210173D" w:rsidR="00981E88" w:rsidRPr="00084D33" w:rsidRDefault="00981E88" w:rsidP="00BE3E0B">
      <w:pPr>
        <w:spacing w:after="160" w:line="259" w:lineRule="auto"/>
        <w:jc w:val="left"/>
        <w:rPr>
          <w:rFonts w:eastAsia="Calibri" w:cs="Times New Roman"/>
          <w:szCs w:val="24"/>
          <w:lang w:val="es-ES" w:eastAsia="es-ES" w:bidi="es-ES"/>
        </w:rPr>
      </w:pPr>
      <w:r w:rsidRPr="00084D33">
        <w:rPr>
          <w:noProof/>
          <w:lang w:eastAsia="es-DO"/>
        </w:rPr>
        <w:lastRenderedPageBreak/>
        <w:drawing>
          <wp:inline distT="0" distB="0" distL="0" distR="0" wp14:anchorId="7A910E9F" wp14:editId="2FBB7B09">
            <wp:extent cx="5028914" cy="7886700"/>
            <wp:effectExtent l="0" t="0" r="635" b="0"/>
            <wp:docPr id="1398926628" name="Imagen 1398926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30945" cy="7889885"/>
                    </a:xfrm>
                    <a:prstGeom prst="rect">
                      <a:avLst/>
                    </a:prstGeom>
                    <a:noFill/>
                    <a:ln>
                      <a:noFill/>
                    </a:ln>
                  </pic:spPr>
                </pic:pic>
              </a:graphicData>
            </a:graphic>
          </wp:inline>
        </w:drawing>
      </w:r>
    </w:p>
    <w:p w14:paraId="6E5870E6" w14:textId="1F35CEDC" w:rsidR="00981E88" w:rsidRPr="00084D33" w:rsidRDefault="00981E88" w:rsidP="00BE3E0B">
      <w:pPr>
        <w:spacing w:after="160" w:line="259" w:lineRule="auto"/>
        <w:jc w:val="left"/>
        <w:rPr>
          <w:rFonts w:eastAsia="Calibri" w:cs="Times New Roman"/>
          <w:szCs w:val="24"/>
          <w:lang w:val="es-ES" w:eastAsia="es-ES" w:bidi="es-ES"/>
        </w:rPr>
      </w:pPr>
      <w:r w:rsidRPr="00084D33">
        <w:rPr>
          <w:noProof/>
          <w:lang w:eastAsia="es-DO"/>
        </w:rPr>
        <w:lastRenderedPageBreak/>
        <w:drawing>
          <wp:inline distT="0" distB="0" distL="0" distR="0" wp14:anchorId="21F39563" wp14:editId="65A4158B">
            <wp:extent cx="5029158" cy="7953375"/>
            <wp:effectExtent l="0" t="0" r="635" b="0"/>
            <wp:docPr id="1398926629" name="Imagen 139892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30386" cy="7955317"/>
                    </a:xfrm>
                    <a:prstGeom prst="rect">
                      <a:avLst/>
                    </a:prstGeom>
                    <a:noFill/>
                    <a:ln>
                      <a:noFill/>
                    </a:ln>
                  </pic:spPr>
                </pic:pic>
              </a:graphicData>
            </a:graphic>
          </wp:inline>
        </w:drawing>
      </w:r>
    </w:p>
    <w:p w14:paraId="543C4BA4" w14:textId="3442F734" w:rsidR="00BE3E0B" w:rsidRPr="00084D33" w:rsidRDefault="00981E88" w:rsidP="00BE3E0B">
      <w:pPr>
        <w:pStyle w:val="Textoindependiente"/>
        <w:spacing w:line="360" w:lineRule="auto"/>
        <w:jc w:val="both"/>
        <w:rPr>
          <w:rFonts w:eastAsia="Calibri"/>
          <w:color w:val="767171"/>
        </w:rPr>
      </w:pPr>
      <w:r w:rsidRPr="00084D33">
        <w:rPr>
          <w:rFonts w:eastAsia="Calibri"/>
          <w:noProof/>
          <w:color w:val="767171"/>
          <w:lang w:val="es-DO" w:eastAsia="es-DO" w:bidi="ar-SA"/>
        </w:rPr>
        <w:lastRenderedPageBreak/>
        <w:drawing>
          <wp:inline distT="0" distB="0" distL="0" distR="0" wp14:anchorId="24C1A101" wp14:editId="5B36885B">
            <wp:extent cx="5029183" cy="5743575"/>
            <wp:effectExtent l="0" t="0" r="635" b="0"/>
            <wp:docPr id="1398926630" name="Imagen 139892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35384" cy="5750657"/>
                    </a:xfrm>
                    <a:prstGeom prst="rect">
                      <a:avLst/>
                    </a:prstGeom>
                    <a:noFill/>
                    <a:ln>
                      <a:noFill/>
                    </a:ln>
                  </pic:spPr>
                </pic:pic>
              </a:graphicData>
            </a:graphic>
          </wp:inline>
        </w:drawing>
      </w:r>
    </w:p>
    <w:p w14:paraId="282EC2AC" w14:textId="1F59439C" w:rsidR="00981E88" w:rsidRPr="00084D33" w:rsidRDefault="00BE3E0B">
      <w:pPr>
        <w:spacing w:after="160" w:line="259" w:lineRule="auto"/>
        <w:jc w:val="left"/>
        <w:rPr>
          <w:rFonts w:eastAsia="Calibri"/>
        </w:rPr>
      </w:pPr>
      <w:r w:rsidRPr="00084D33">
        <w:rPr>
          <w:rFonts w:eastAsia="Calibri"/>
        </w:rPr>
        <w:br w:type="page"/>
      </w:r>
    </w:p>
    <w:p w14:paraId="5E17A772" w14:textId="08641D12" w:rsidR="00BE3E0B" w:rsidRPr="00084D33" w:rsidRDefault="00981E88" w:rsidP="00BE3E0B">
      <w:pPr>
        <w:spacing w:after="160" w:line="259" w:lineRule="auto"/>
        <w:jc w:val="left"/>
        <w:rPr>
          <w:rFonts w:eastAsia="Calibri" w:cs="Times New Roman"/>
          <w:szCs w:val="24"/>
          <w:lang w:val="es-ES" w:eastAsia="es-ES" w:bidi="es-ES"/>
        </w:rPr>
      </w:pPr>
      <w:r w:rsidRPr="00084D33">
        <w:rPr>
          <w:noProof/>
          <w:lang w:eastAsia="es-DO"/>
        </w:rPr>
        <w:lastRenderedPageBreak/>
        <w:drawing>
          <wp:inline distT="0" distB="0" distL="0" distR="0" wp14:anchorId="0F7212CB" wp14:editId="1C3FFB7E">
            <wp:extent cx="5028565" cy="7648575"/>
            <wp:effectExtent l="0" t="0" r="635" b="9525"/>
            <wp:docPr id="1398926631" name="Imagen 1398926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36321" cy="7660372"/>
                    </a:xfrm>
                    <a:prstGeom prst="rect">
                      <a:avLst/>
                    </a:prstGeom>
                    <a:noFill/>
                    <a:ln>
                      <a:noFill/>
                    </a:ln>
                  </pic:spPr>
                </pic:pic>
              </a:graphicData>
            </a:graphic>
          </wp:inline>
        </w:drawing>
      </w:r>
    </w:p>
    <w:p w14:paraId="24EF1023" w14:textId="65B19723" w:rsidR="00BE3E0B" w:rsidRPr="00084D33" w:rsidRDefault="00BE3E0B" w:rsidP="00BE3E0B">
      <w:pPr>
        <w:pStyle w:val="Textoindependiente"/>
        <w:spacing w:line="360" w:lineRule="auto"/>
        <w:jc w:val="both"/>
        <w:rPr>
          <w:rFonts w:eastAsia="Calibri"/>
          <w:color w:val="767171"/>
        </w:rPr>
      </w:pPr>
    </w:p>
    <w:p w14:paraId="024AC56B" w14:textId="5AC45051" w:rsidR="00BE3E0B" w:rsidRPr="00084D33" w:rsidRDefault="00981E88" w:rsidP="00BE3E0B">
      <w:pPr>
        <w:pStyle w:val="Textoindependiente"/>
        <w:spacing w:line="360" w:lineRule="auto"/>
        <w:jc w:val="both"/>
        <w:rPr>
          <w:rFonts w:eastAsia="Calibri"/>
          <w:color w:val="767171"/>
        </w:rPr>
      </w:pPr>
      <w:r w:rsidRPr="00084D33">
        <w:rPr>
          <w:rFonts w:eastAsia="Calibri"/>
          <w:noProof/>
          <w:color w:val="767171"/>
          <w:lang w:val="es-DO" w:eastAsia="es-DO" w:bidi="ar-SA"/>
        </w:rPr>
        <w:lastRenderedPageBreak/>
        <w:drawing>
          <wp:inline distT="0" distB="0" distL="0" distR="0" wp14:anchorId="4F74983D" wp14:editId="6FC62184">
            <wp:extent cx="5028796" cy="4848225"/>
            <wp:effectExtent l="0" t="0" r="635" b="0"/>
            <wp:docPr id="1398926632" name="Imagen 1398926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29893" cy="4849283"/>
                    </a:xfrm>
                    <a:prstGeom prst="rect">
                      <a:avLst/>
                    </a:prstGeom>
                    <a:noFill/>
                    <a:ln>
                      <a:noFill/>
                    </a:ln>
                  </pic:spPr>
                </pic:pic>
              </a:graphicData>
            </a:graphic>
          </wp:inline>
        </w:drawing>
      </w:r>
    </w:p>
    <w:p w14:paraId="09843DEA" w14:textId="18672592" w:rsidR="00BE3E0B" w:rsidRPr="00084D33" w:rsidRDefault="00BE3E0B" w:rsidP="00BE3E0B">
      <w:pPr>
        <w:pStyle w:val="Textoindependiente"/>
        <w:spacing w:line="360" w:lineRule="auto"/>
        <w:jc w:val="both"/>
        <w:rPr>
          <w:rFonts w:eastAsia="Calibri"/>
          <w:color w:val="767171"/>
        </w:rPr>
      </w:pPr>
    </w:p>
    <w:p w14:paraId="3147FBA6" w14:textId="77777777" w:rsidR="00BE3E0B" w:rsidRPr="00084D33" w:rsidRDefault="00BE3E0B" w:rsidP="00BE3E0B">
      <w:pPr>
        <w:spacing w:after="160" w:line="259" w:lineRule="auto"/>
        <w:jc w:val="left"/>
        <w:rPr>
          <w:rFonts w:eastAsia="Calibri" w:cs="Times New Roman"/>
          <w:szCs w:val="24"/>
          <w:lang w:val="es-ES" w:eastAsia="es-ES" w:bidi="es-ES"/>
        </w:rPr>
      </w:pPr>
      <w:r w:rsidRPr="00084D33">
        <w:rPr>
          <w:rFonts w:eastAsia="Calibri"/>
        </w:rPr>
        <w:br w:type="page"/>
      </w:r>
    </w:p>
    <w:p w14:paraId="36970703" w14:textId="77777777" w:rsidR="00BE3E0B" w:rsidRPr="00084D33" w:rsidRDefault="00BE3E0B" w:rsidP="00BE3E0B">
      <w:pPr>
        <w:spacing w:after="160" w:line="259" w:lineRule="auto"/>
        <w:jc w:val="left"/>
        <w:rPr>
          <w:rFonts w:eastAsia="Calibri" w:cs="Times New Roman"/>
          <w:szCs w:val="24"/>
          <w:lang w:val="es-ES" w:eastAsia="es-ES" w:bidi="es-ES"/>
        </w:rPr>
      </w:pPr>
      <w:r w:rsidRPr="00084D33">
        <w:rPr>
          <w:noProof/>
          <w:lang w:eastAsia="es-DO"/>
        </w:rPr>
        <w:lastRenderedPageBreak/>
        <w:drawing>
          <wp:inline distT="0" distB="0" distL="0" distR="0" wp14:anchorId="1246FBCA" wp14:editId="48362A42">
            <wp:extent cx="5029018" cy="7675123"/>
            <wp:effectExtent l="0" t="0" r="635" b="2540"/>
            <wp:docPr id="1073741927" name="Imagen 107374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33730" cy="7682315"/>
                    </a:xfrm>
                    <a:prstGeom prst="rect">
                      <a:avLst/>
                    </a:prstGeom>
                    <a:noFill/>
                    <a:ln>
                      <a:noFill/>
                    </a:ln>
                  </pic:spPr>
                </pic:pic>
              </a:graphicData>
            </a:graphic>
          </wp:inline>
        </w:drawing>
      </w:r>
      <w:r w:rsidRPr="00084D33">
        <w:rPr>
          <w:rFonts w:eastAsia="Calibri"/>
        </w:rPr>
        <w:br w:type="page"/>
      </w:r>
    </w:p>
    <w:p w14:paraId="5AF4BE4D" w14:textId="77777777" w:rsidR="00BE3E0B" w:rsidRPr="00084D33" w:rsidRDefault="00BE3E0B" w:rsidP="00BE3E0B">
      <w:pPr>
        <w:pStyle w:val="Textoindependiente"/>
        <w:spacing w:line="360" w:lineRule="auto"/>
        <w:jc w:val="both"/>
        <w:rPr>
          <w:rFonts w:eastAsia="Calibri"/>
          <w:color w:val="767171"/>
        </w:rPr>
      </w:pPr>
      <w:r w:rsidRPr="00084D33">
        <w:rPr>
          <w:rFonts w:eastAsia="Calibri"/>
          <w:noProof/>
          <w:color w:val="767171"/>
          <w:lang w:val="es-DO" w:eastAsia="es-DO" w:bidi="ar-SA"/>
        </w:rPr>
        <w:lastRenderedPageBreak/>
        <w:drawing>
          <wp:inline distT="0" distB="0" distL="0" distR="0" wp14:anchorId="60FFF074" wp14:editId="55B8811C">
            <wp:extent cx="5029200" cy="3558457"/>
            <wp:effectExtent l="0" t="0" r="0" b="4445"/>
            <wp:docPr id="1073741928" name="Imagen 107374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29200" cy="3558457"/>
                    </a:xfrm>
                    <a:prstGeom prst="rect">
                      <a:avLst/>
                    </a:prstGeom>
                    <a:noFill/>
                    <a:ln>
                      <a:noFill/>
                    </a:ln>
                  </pic:spPr>
                </pic:pic>
              </a:graphicData>
            </a:graphic>
          </wp:inline>
        </w:drawing>
      </w:r>
    </w:p>
    <w:p w14:paraId="7A35835C" w14:textId="77777777" w:rsidR="00BE3E0B" w:rsidRPr="00084D33" w:rsidRDefault="00BE3E0B" w:rsidP="00BE3E0B">
      <w:pPr>
        <w:pStyle w:val="Textoindependiente"/>
        <w:spacing w:line="360" w:lineRule="auto"/>
        <w:jc w:val="both"/>
        <w:rPr>
          <w:rFonts w:eastAsia="Calibri"/>
          <w:color w:val="767171"/>
        </w:rPr>
      </w:pPr>
    </w:p>
    <w:p w14:paraId="71FD5622" w14:textId="77777777" w:rsidR="00BE3E0B" w:rsidRPr="00084D33" w:rsidRDefault="00BE3E0B" w:rsidP="00BE3E0B">
      <w:pPr>
        <w:pStyle w:val="Textoindependiente"/>
        <w:spacing w:line="360" w:lineRule="auto"/>
        <w:jc w:val="both"/>
        <w:rPr>
          <w:rFonts w:eastAsia="Calibri"/>
          <w:color w:val="767171"/>
        </w:rPr>
      </w:pPr>
      <w:r w:rsidRPr="00084D33">
        <w:rPr>
          <w:rFonts w:eastAsia="Calibri"/>
          <w:noProof/>
          <w:color w:val="767171"/>
          <w:lang w:val="es-DO" w:eastAsia="es-DO" w:bidi="ar-SA"/>
        </w:rPr>
        <w:drawing>
          <wp:inline distT="0" distB="0" distL="0" distR="0" wp14:anchorId="223DE963" wp14:editId="3C2F491E">
            <wp:extent cx="5028276" cy="4075889"/>
            <wp:effectExtent l="0" t="0" r="1270" b="1270"/>
            <wp:docPr id="1073741929" name="Imagen 107374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rotWithShape="1">
                    <a:blip r:embed="rId64">
                      <a:extLst>
                        <a:ext uri="{28A0092B-C50C-407E-A947-70E740481C1C}">
                          <a14:useLocalDpi xmlns:a14="http://schemas.microsoft.com/office/drawing/2010/main" val="0"/>
                        </a:ext>
                      </a:extLst>
                    </a:blip>
                    <a:srcRect t="1" b="43284"/>
                    <a:stretch/>
                  </pic:blipFill>
                  <pic:spPr bwMode="auto">
                    <a:xfrm>
                      <a:off x="0" y="0"/>
                      <a:ext cx="5029200" cy="4076638"/>
                    </a:xfrm>
                    <a:prstGeom prst="rect">
                      <a:avLst/>
                    </a:prstGeom>
                    <a:noFill/>
                    <a:ln>
                      <a:noFill/>
                    </a:ln>
                    <a:extLst>
                      <a:ext uri="{53640926-AAD7-44D8-BBD7-CCE9431645EC}">
                        <a14:shadowObscured xmlns:a14="http://schemas.microsoft.com/office/drawing/2010/main"/>
                      </a:ext>
                    </a:extLst>
                  </pic:spPr>
                </pic:pic>
              </a:graphicData>
            </a:graphic>
          </wp:inline>
        </w:drawing>
      </w:r>
    </w:p>
    <w:p w14:paraId="1EDE3DFB" w14:textId="77777777" w:rsidR="00BE3E0B" w:rsidRPr="00084D33" w:rsidRDefault="00BE3E0B" w:rsidP="00BE3E0B">
      <w:pPr>
        <w:spacing w:after="160" w:line="259" w:lineRule="auto"/>
        <w:jc w:val="left"/>
        <w:rPr>
          <w:rFonts w:eastAsia="Calibri" w:cs="Times New Roman"/>
          <w:szCs w:val="24"/>
          <w:lang w:val="es-ES" w:eastAsia="es-ES" w:bidi="es-ES"/>
        </w:rPr>
      </w:pPr>
      <w:r w:rsidRPr="00084D33">
        <w:rPr>
          <w:noProof/>
          <w:lang w:eastAsia="es-DO"/>
        </w:rPr>
        <w:lastRenderedPageBreak/>
        <w:drawing>
          <wp:inline distT="0" distB="0" distL="0" distR="0" wp14:anchorId="7D14C8AE" wp14:editId="2163B1AD">
            <wp:extent cx="5029046" cy="7538936"/>
            <wp:effectExtent l="0" t="0" r="635" b="5080"/>
            <wp:docPr id="1073741930" name="Imagen 107374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36902" cy="7550712"/>
                    </a:xfrm>
                    <a:prstGeom prst="rect">
                      <a:avLst/>
                    </a:prstGeom>
                    <a:noFill/>
                    <a:ln>
                      <a:noFill/>
                    </a:ln>
                  </pic:spPr>
                </pic:pic>
              </a:graphicData>
            </a:graphic>
          </wp:inline>
        </w:drawing>
      </w:r>
    </w:p>
    <w:p w14:paraId="4EFC81C0" w14:textId="77777777" w:rsidR="00BE3E0B" w:rsidRPr="00084D33" w:rsidRDefault="00BE3E0B" w:rsidP="00BE3E0B">
      <w:pPr>
        <w:pStyle w:val="Textoindependiente"/>
        <w:spacing w:line="360" w:lineRule="auto"/>
        <w:jc w:val="both"/>
        <w:rPr>
          <w:rFonts w:eastAsia="Calibri"/>
          <w:color w:val="767171"/>
        </w:rPr>
      </w:pPr>
    </w:p>
    <w:p w14:paraId="480A8C19" w14:textId="77777777" w:rsidR="00BE3E0B" w:rsidRPr="00084D33" w:rsidRDefault="00BE3E0B" w:rsidP="00BE3E0B">
      <w:pPr>
        <w:pStyle w:val="Textoindependiente"/>
        <w:spacing w:line="360" w:lineRule="auto"/>
        <w:jc w:val="both"/>
        <w:rPr>
          <w:rFonts w:eastAsia="Calibri"/>
          <w:color w:val="767171"/>
        </w:rPr>
      </w:pPr>
      <w:r w:rsidRPr="00084D33">
        <w:rPr>
          <w:rFonts w:eastAsia="Calibri"/>
          <w:noProof/>
          <w:color w:val="767171"/>
          <w:lang w:val="es-DO" w:eastAsia="es-DO" w:bidi="ar-SA"/>
        </w:rPr>
        <w:lastRenderedPageBreak/>
        <w:drawing>
          <wp:inline distT="0" distB="0" distL="0" distR="0" wp14:anchorId="08A3F412" wp14:editId="14D70F30">
            <wp:extent cx="5029200" cy="5453917"/>
            <wp:effectExtent l="0" t="0" r="0" b="0"/>
            <wp:docPr id="1073741932" name="Imagen 107374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29200" cy="5453917"/>
                    </a:xfrm>
                    <a:prstGeom prst="rect">
                      <a:avLst/>
                    </a:prstGeom>
                    <a:noFill/>
                    <a:ln>
                      <a:noFill/>
                    </a:ln>
                  </pic:spPr>
                </pic:pic>
              </a:graphicData>
            </a:graphic>
          </wp:inline>
        </w:drawing>
      </w:r>
    </w:p>
    <w:p w14:paraId="57AD83C1" w14:textId="77777777" w:rsidR="00BE3E0B" w:rsidRPr="00084D33" w:rsidRDefault="00BE3E0B" w:rsidP="00BE3E0B">
      <w:pPr>
        <w:spacing w:after="160" w:line="259" w:lineRule="auto"/>
        <w:jc w:val="left"/>
        <w:rPr>
          <w:rFonts w:eastAsia="Calibri" w:cs="Times New Roman"/>
          <w:szCs w:val="24"/>
          <w:highlight w:val="yellow"/>
          <w:lang w:val="es-ES" w:eastAsia="es-ES" w:bidi="es-ES"/>
        </w:rPr>
      </w:pPr>
    </w:p>
    <w:p w14:paraId="6FEC6E00" w14:textId="66C18596" w:rsidR="009032D1" w:rsidRPr="00084D33" w:rsidRDefault="009032D1" w:rsidP="009032D1">
      <w:pPr>
        <w:spacing w:after="160" w:line="259" w:lineRule="auto"/>
        <w:jc w:val="left"/>
        <w:rPr>
          <w:rFonts w:eastAsia="Calibri" w:cs="Times New Roman"/>
          <w:szCs w:val="24"/>
          <w:highlight w:val="yellow"/>
          <w:lang w:val="es-ES" w:eastAsia="es-ES" w:bidi="es-ES"/>
        </w:rPr>
      </w:pPr>
    </w:p>
    <w:p w14:paraId="5CC87916" w14:textId="74DEBA11" w:rsidR="009032D1" w:rsidRPr="00084D33" w:rsidRDefault="009032D1" w:rsidP="00D131A1">
      <w:pPr>
        <w:pStyle w:val="Ttulo1"/>
        <w:numPr>
          <w:ilvl w:val="1"/>
          <w:numId w:val="12"/>
        </w:numPr>
        <w:ind w:left="360" w:firstLine="540"/>
        <w:rPr>
          <w:rFonts w:cs="Times New Roman"/>
          <w:b/>
          <w:sz w:val="24"/>
        </w:rPr>
      </w:pPr>
      <w:bookmarkStart w:id="142" w:name="_Toc471986303"/>
      <w:bookmarkStart w:id="143" w:name="_Toc472434848"/>
      <w:bookmarkStart w:id="144" w:name="_Toc60223789"/>
      <w:bookmarkStart w:id="145" w:name="_Toc186924379"/>
      <w:r w:rsidRPr="00084D33">
        <w:rPr>
          <w:rFonts w:cs="Times New Roman"/>
          <w:b/>
          <w:sz w:val="24"/>
        </w:rPr>
        <w:t>Número y Mo</w:t>
      </w:r>
      <w:r w:rsidR="00587239" w:rsidRPr="00084D33">
        <w:rPr>
          <w:rFonts w:cs="Times New Roman"/>
          <w:b/>
          <w:sz w:val="24"/>
        </w:rPr>
        <w:t>nto de Adquisiciones Realizadas</w:t>
      </w:r>
      <w:r w:rsidR="00BC577E" w:rsidRPr="00084D33">
        <w:rPr>
          <w:rFonts w:cs="Times New Roman"/>
          <w:b/>
          <w:sz w:val="24"/>
        </w:rPr>
        <w:t xml:space="preserve"> </w:t>
      </w:r>
      <w:r w:rsidRPr="00084D33">
        <w:rPr>
          <w:rFonts w:cs="Times New Roman"/>
          <w:b/>
          <w:sz w:val="24"/>
        </w:rPr>
        <w:t>por Modalidad</w:t>
      </w:r>
      <w:bookmarkEnd w:id="142"/>
      <w:bookmarkEnd w:id="143"/>
      <w:bookmarkEnd w:id="144"/>
      <w:bookmarkEnd w:id="145"/>
      <w:r w:rsidRPr="00084D33">
        <w:rPr>
          <w:rFonts w:cs="Times New Roman"/>
          <w:b/>
          <w:sz w:val="24"/>
        </w:rPr>
        <w:t xml:space="preserve"> </w:t>
      </w:r>
    </w:p>
    <w:p w14:paraId="11DA1644" w14:textId="0CB8F84B" w:rsidR="009032D1" w:rsidRPr="00084D33" w:rsidRDefault="009032D1" w:rsidP="009032D1">
      <w:pPr>
        <w:pStyle w:val="Textoindependiente"/>
        <w:rPr>
          <w:color w:val="767171"/>
          <w:lang w:val="es-DO"/>
        </w:rPr>
      </w:pPr>
    </w:p>
    <w:p w14:paraId="2F1A0B0C" w14:textId="77777777" w:rsidR="003D388A" w:rsidRPr="00084D33" w:rsidRDefault="003D388A" w:rsidP="009032D1">
      <w:pPr>
        <w:pStyle w:val="Textoindependiente"/>
        <w:rPr>
          <w:color w:val="767171"/>
          <w:lang w:val="es-DO"/>
        </w:rPr>
      </w:pPr>
    </w:p>
    <w:p w14:paraId="7694D6F0" w14:textId="61CE111C" w:rsidR="009032D1" w:rsidRPr="00084D33" w:rsidRDefault="009032D1" w:rsidP="004271AF">
      <w:pPr>
        <w:pStyle w:val="Textoindependiente"/>
        <w:spacing w:line="360" w:lineRule="auto"/>
        <w:jc w:val="both"/>
        <w:rPr>
          <w:color w:val="767171"/>
        </w:rPr>
      </w:pPr>
      <w:r w:rsidRPr="00084D33">
        <w:rPr>
          <w:color w:val="767171"/>
        </w:rPr>
        <w:t xml:space="preserve">En síntesis, el MOPC durante el periodo </w:t>
      </w:r>
      <w:r w:rsidR="001D3E75" w:rsidRPr="00084D33">
        <w:rPr>
          <w:color w:val="767171"/>
        </w:rPr>
        <w:t>enero</w:t>
      </w:r>
      <w:r w:rsidRPr="00084D33">
        <w:rPr>
          <w:color w:val="767171"/>
        </w:rPr>
        <w:t xml:space="preserve"> – </w:t>
      </w:r>
      <w:r w:rsidR="001D3E75" w:rsidRPr="00084D33">
        <w:rPr>
          <w:color w:val="767171"/>
        </w:rPr>
        <w:t>diciembre</w:t>
      </w:r>
      <w:r w:rsidRPr="00084D33">
        <w:rPr>
          <w:color w:val="767171"/>
        </w:rPr>
        <w:t xml:space="preserve"> del </w:t>
      </w:r>
      <w:r w:rsidR="00F43D7E" w:rsidRPr="00084D33">
        <w:rPr>
          <w:color w:val="767171"/>
        </w:rPr>
        <w:t>2024</w:t>
      </w:r>
      <w:r w:rsidRPr="00084D33">
        <w:rPr>
          <w:color w:val="767171"/>
        </w:rPr>
        <w:t xml:space="preserve">, realizó </w:t>
      </w:r>
      <w:r w:rsidR="008216A2" w:rsidRPr="00084D33">
        <w:rPr>
          <w:color w:val="767171"/>
        </w:rPr>
        <w:t>varias adquisiciones</w:t>
      </w:r>
      <w:r w:rsidRPr="00084D33">
        <w:rPr>
          <w:color w:val="767171"/>
        </w:rPr>
        <w:t xml:space="preserve"> concernientes a las diferentes modalidades llevadas a efecto, por un monto total de RD$10,775,925,135.98 (Diez Mil Setecientos Setenta y Cinco Millones Novecientos Veinticinco Mil Ciento Treinta y </w:t>
      </w:r>
      <w:r w:rsidRPr="00084D33">
        <w:rPr>
          <w:color w:val="767171"/>
        </w:rPr>
        <w:lastRenderedPageBreak/>
        <w:t xml:space="preserve">Cinco Pesos con 98/100), las cuales se resumen a continuación: </w:t>
      </w:r>
    </w:p>
    <w:p w14:paraId="556F1380" w14:textId="77777777" w:rsidR="00F9578E" w:rsidRPr="00084D33" w:rsidRDefault="00F9578E" w:rsidP="004271AF">
      <w:pPr>
        <w:pStyle w:val="Textoindependiente"/>
        <w:spacing w:line="360" w:lineRule="auto"/>
        <w:jc w:val="both"/>
        <w:rPr>
          <w:color w:val="767171"/>
        </w:rPr>
      </w:pPr>
    </w:p>
    <w:p w14:paraId="64C60D64" w14:textId="0EECA5EE" w:rsidR="009032D1" w:rsidRPr="00084D33" w:rsidRDefault="00181D1F" w:rsidP="00D131A1">
      <w:pPr>
        <w:pStyle w:val="Listaconvietas2"/>
        <w:numPr>
          <w:ilvl w:val="0"/>
          <w:numId w:val="7"/>
        </w:numPr>
        <w:rPr>
          <w:rFonts w:cs="Times New Roman"/>
        </w:rPr>
      </w:pPr>
      <w:r w:rsidRPr="00084D33">
        <w:rPr>
          <w:rFonts w:cs="Times New Roman"/>
        </w:rPr>
        <w:t>Nueve (9</w:t>
      </w:r>
      <w:r w:rsidR="009032D1" w:rsidRPr="00084D33">
        <w:rPr>
          <w:rFonts w:cs="Times New Roman"/>
        </w:rPr>
        <w:t>) Licitaciones Públicas Nacionales</w:t>
      </w:r>
      <w:r w:rsidR="008216A2" w:rsidRPr="00084D33">
        <w:rPr>
          <w:rFonts w:cs="Times New Roman"/>
        </w:rPr>
        <w:t xml:space="preserve"> (LPN)</w:t>
      </w:r>
      <w:r w:rsidR="009032D1" w:rsidRPr="00084D33">
        <w:rPr>
          <w:rFonts w:cs="Times New Roman"/>
        </w:rPr>
        <w:t xml:space="preserve">, por valor de </w:t>
      </w:r>
      <w:r w:rsidRPr="00084D33">
        <w:rPr>
          <w:rFonts w:cs="Times New Roman"/>
        </w:rPr>
        <w:t xml:space="preserve">RD$9,888,171,679.44 </w:t>
      </w:r>
      <w:r w:rsidR="009032D1" w:rsidRPr="00084D33">
        <w:rPr>
          <w:rFonts w:cs="Times New Roman"/>
        </w:rPr>
        <w:t>(</w:t>
      </w:r>
      <w:r w:rsidRPr="00084D33">
        <w:rPr>
          <w:rFonts w:cs="Times New Roman"/>
        </w:rPr>
        <w:t>Nueve</w:t>
      </w:r>
      <w:r w:rsidR="009032D1" w:rsidRPr="00084D33">
        <w:rPr>
          <w:rFonts w:cs="Times New Roman"/>
        </w:rPr>
        <w:t xml:space="preserve"> Mil </w:t>
      </w:r>
      <w:r w:rsidRPr="00084D33">
        <w:rPr>
          <w:rFonts w:cs="Times New Roman"/>
        </w:rPr>
        <w:t>Ochocientos</w:t>
      </w:r>
      <w:r w:rsidR="009032D1" w:rsidRPr="00084D33">
        <w:rPr>
          <w:rFonts w:cs="Times New Roman"/>
        </w:rPr>
        <w:t xml:space="preserve"> Ochenta y </w:t>
      </w:r>
      <w:r w:rsidRPr="00084D33">
        <w:rPr>
          <w:rFonts w:cs="Times New Roman"/>
        </w:rPr>
        <w:t>Ocho</w:t>
      </w:r>
      <w:r w:rsidR="009032D1" w:rsidRPr="00084D33">
        <w:rPr>
          <w:rFonts w:cs="Times New Roman"/>
        </w:rPr>
        <w:t xml:space="preserve"> Millones </w:t>
      </w:r>
      <w:r w:rsidRPr="00084D33">
        <w:rPr>
          <w:rFonts w:cs="Times New Roman"/>
        </w:rPr>
        <w:t xml:space="preserve">Ciento </w:t>
      </w:r>
      <w:r w:rsidR="00E55155" w:rsidRPr="00084D33">
        <w:rPr>
          <w:rFonts w:cs="Times New Roman"/>
        </w:rPr>
        <w:t>Setenta</w:t>
      </w:r>
      <w:r w:rsidR="009032D1" w:rsidRPr="00084D33">
        <w:rPr>
          <w:rFonts w:cs="Times New Roman"/>
        </w:rPr>
        <w:t xml:space="preserve"> </w:t>
      </w:r>
      <w:r w:rsidRPr="00084D33">
        <w:rPr>
          <w:rFonts w:cs="Times New Roman"/>
        </w:rPr>
        <w:t>y Un</w:t>
      </w:r>
      <w:r w:rsidR="009032D1" w:rsidRPr="00084D33">
        <w:rPr>
          <w:rFonts w:cs="Times New Roman"/>
        </w:rPr>
        <w:t xml:space="preserve"> Mil </w:t>
      </w:r>
      <w:r w:rsidRPr="00084D33">
        <w:rPr>
          <w:rFonts w:cs="Times New Roman"/>
        </w:rPr>
        <w:t>Seiscientos Setenta y Nueve Pesos con 4</w:t>
      </w:r>
      <w:r w:rsidR="009032D1" w:rsidRPr="00084D33">
        <w:rPr>
          <w:rFonts w:cs="Times New Roman"/>
        </w:rPr>
        <w:t>4/100);</w:t>
      </w:r>
    </w:p>
    <w:p w14:paraId="6FFE2CCE" w14:textId="77777777" w:rsidR="003A74EC" w:rsidRPr="00084D33" w:rsidRDefault="003A74EC" w:rsidP="003A74EC">
      <w:pPr>
        <w:spacing w:line="240" w:lineRule="auto"/>
        <w:ind w:left="360"/>
        <w:rPr>
          <w:rFonts w:cs="Times New Roman"/>
        </w:rPr>
      </w:pPr>
    </w:p>
    <w:p w14:paraId="216346E8" w14:textId="4E5F568C" w:rsidR="009032D1" w:rsidRPr="00084D33" w:rsidRDefault="00181D1F" w:rsidP="00D131A1">
      <w:pPr>
        <w:pStyle w:val="Listaconvietas2"/>
        <w:numPr>
          <w:ilvl w:val="0"/>
          <w:numId w:val="7"/>
        </w:numPr>
        <w:rPr>
          <w:rFonts w:cs="Times New Roman"/>
        </w:rPr>
      </w:pPr>
      <w:r w:rsidRPr="00084D33">
        <w:rPr>
          <w:rFonts w:cs="Times New Roman"/>
        </w:rPr>
        <w:t>C</w:t>
      </w:r>
      <w:r w:rsidR="009032D1" w:rsidRPr="00084D33">
        <w:rPr>
          <w:rFonts w:cs="Times New Roman"/>
        </w:rPr>
        <w:t xml:space="preserve">inco (5) procesos </w:t>
      </w:r>
      <w:r w:rsidR="008216A2" w:rsidRPr="00084D33">
        <w:rPr>
          <w:rFonts w:cs="Times New Roman"/>
        </w:rPr>
        <w:t>de</w:t>
      </w:r>
      <w:r w:rsidR="009032D1" w:rsidRPr="00084D33">
        <w:rPr>
          <w:rFonts w:cs="Times New Roman"/>
        </w:rPr>
        <w:t xml:space="preserve"> Comparación de Precios, por un monto de </w:t>
      </w:r>
      <w:r w:rsidRPr="00084D33">
        <w:rPr>
          <w:rFonts w:cs="Times New Roman"/>
        </w:rPr>
        <w:t xml:space="preserve">RD$12,301,109.00 </w:t>
      </w:r>
      <w:r w:rsidR="009032D1" w:rsidRPr="00084D33">
        <w:rPr>
          <w:rFonts w:cs="Times New Roman"/>
        </w:rPr>
        <w:t>(</w:t>
      </w:r>
      <w:r w:rsidRPr="00084D33">
        <w:rPr>
          <w:rFonts w:cs="Times New Roman"/>
        </w:rPr>
        <w:t>Doce Millones Trescientos Un Mil Ciento Nueve Pesos con 00</w:t>
      </w:r>
      <w:r w:rsidR="009032D1" w:rsidRPr="00084D33">
        <w:rPr>
          <w:rFonts w:cs="Times New Roman"/>
        </w:rPr>
        <w:t>/100);</w:t>
      </w:r>
    </w:p>
    <w:p w14:paraId="18B25A1B" w14:textId="763B4542" w:rsidR="003A74EC" w:rsidRPr="00084D33" w:rsidRDefault="003A74EC" w:rsidP="003A74EC">
      <w:pPr>
        <w:ind w:left="360"/>
        <w:rPr>
          <w:rFonts w:cs="Times New Roman"/>
        </w:rPr>
      </w:pPr>
    </w:p>
    <w:p w14:paraId="43DFE792" w14:textId="6C9FE953" w:rsidR="009032D1" w:rsidRPr="00084D33" w:rsidRDefault="009032D1" w:rsidP="00D131A1">
      <w:pPr>
        <w:pStyle w:val="Listaconvietas2"/>
        <w:numPr>
          <w:ilvl w:val="0"/>
          <w:numId w:val="7"/>
        </w:numPr>
        <w:rPr>
          <w:rFonts w:cs="Times New Roman"/>
        </w:rPr>
      </w:pPr>
      <w:r w:rsidRPr="00084D33">
        <w:rPr>
          <w:rFonts w:cs="Times New Roman"/>
        </w:rPr>
        <w:t xml:space="preserve">Cero (0) Sorteo de Obras; </w:t>
      </w:r>
    </w:p>
    <w:p w14:paraId="4DC7150E" w14:textId="77777777" w:rsidR="003A74EC" w:rsidRPr="00084D33" w:rsidRDefault="003A74EC" w:rsidP="003A74EC">
      <w:pPr>
        <w:spacing w:line="240" w:lineRule="auto"/>
        <w:ind w:left="360"/>
        <w:rPr>
          <w:rFonts w:cs="Times New Roman"/>
        </w:rPr>
      </w:pPr>
    </w:p>
    <w:p w14:paraId="40DC81E6" w14:textId="06E4FAE5" w:rsidR="00181D1F" w:rsidRPr="00084D33" w:rsidRDefault="00181D1F" w:rsidP="00D131A1">
      <w:pPr>
        <w:pStyle w:val="Listaconvietas2"/>
        <w:numPr>
          <w:ilvl w:val="0"/>
          <w:numId w:val="7"/>
        </w:numPr>
        <w:rPr>
          <w:rFonts w:cs="Times New Roman"/>
        </w:rPr>
      </w:pPr>
      <w:r w:rsidRPr="00084D33">
        <w:rPr>
          <w:rFonts w:cs="Times New Roman"/>
        </w:rPr>
        <w:t>Cuarenta y Seis (46) procesos por Excepción, por un monto de RD$222,949,932.36 (</w:t>
      </w:r>
      <w:r w:rsidR="00E55155" w:rsidRPr="00084D33">
        <w:rPr>
          <w:rFonts w:cs="Times New Roman"/>
        </w:rPr>
        <w:t>Doscientos</w:t>
      </w:r>
      <w:r w:rsidRPr="00084D33">
        <w:rPr>
          <w:rFonts w:cs="Times New Roman"/>
        </w:rPr>
        <w:t xml:space="preserve"> </w:t>
      </w:r>
      <w:r w:rsidR="00E55155" w:rsidRPr="00084D33">
        <w:rPr>
          <w:rFonts w:cs="Times New Roman"/>
        </w:rPr>
        <w:t>Veintidós</w:t>
      </w:r>
      <w:r w:rsidRPr="00084D33">
        <w:rPr>
          <w:rFonts w:cs="Times New Roman"/>
        </w:rPr>
        <w:t xml:space="preserve"> Millones Novecientos Cuarenta y Nueve Mil Novecientos Treinta y Dos Pesos con 36/100);</w:t>
      </w:r>
    </w:p>
    <w:p w14:paraId="097D991D" w14:textId="3615091A" w:rsidR="00181D1F" w:rsidRPr="00084D33" w:rsidRDefault="00181D1F" w:rsidP="00181D1F">
      <w:pPr>
        <w:ind w:left="360"/>
      </w:pPr>
    </w:p>
    <w:p w14:paraId="6CF46DF6" w14:textId="573FD481" w:rsidR="00181D1F" w:rsidRPr="00084D33" w:rsidRDefault="00181D1F" w:rsidP="00D131A1">
      <w:pPr>
        <w:pStyle w:val="Listaconvietas2"/>
        <w:numPr>
          <w:ilvl w:val="0"/>
          <w:numId w:val="7"/>
        </w:numPr>
        <w:rPr>
          <w:rFonts w:cs="Times New Roman"/>
        </w:rPr>
      </w:pPr>
      <w:r w:rsidRPr="00084D33">
        <w:rPr>
          <w:rFonts w:cs="Times New Roman"/>
        </w:rPr>
        <w:t>Veinte (20) procesos por Compras Menores, por la suma de RD$25,363,786.43  (Veinticinco Millones Trescientos Sesenta y Tres Mil Setecientos Ochenta y Seis Pesos con 43/100);</w:t>
      </w:r>
    </w:p>
    <w:p w14:paraId="600D6C70" w14:textId="77777777" w:rsidR="00181D1F" w:rsidRPr="00084D33" w:rsidRDefault="00181D1F" w:rsidP="00181D1F">
      <w:pPr>
        <w:pStyle w:val="Listaconvietas2"/>
        <w:numPr>
          <w:ilvl w:val="0"/>
          <w:numId w:val="0"/>
        </w:numPr>
        <w:ind w:left="720"/>
        <w:rPr>
          <w:rFonts w:cs="Times New Roman"/>
        </w:rPr>
      </w:pPr>
    </w:p>
    <w:p w14:paraId="072AB5DB" w14:textId="77777777" w:rsidR="00181D1F" w:rsidRPr="00084D33" w:rsidRDefault="00181D1F" w:rsidP="00D131A1">
      <w:pPr>
        <w:pStyle w:val="Listaconvietas2"/>
        <w:numPr>
          <w:ilvl w:val="0"/>
          <w:numId w:val="7"/>
        </w:numPr>
      </w:pPr>
      <w:r w:rsidRPr="00084D33">
        <w:rPr>
          <w:rFonts w:cs="Times New Roman"/>
        </w:rPr>
        <w:t>Siete (7) procesos por Compras Directas, por valor de RD$1,178,455.00 (Un Millón Ciento Setenta y Ocho Mil Cuatrocientos Cincuenta y Cinco Pesos con 00/100).</w:t>
      </w:r>
    </w:p>
    <w:p w14:paraId="4BF8049F" w14:textId="77777777" w:rsidR="00181D1F" w:rsidRPr="00084D33" w:rsidRDefault="00181D1F" w:rsidP="00181D1F">
      <w:pPr>
        <w:ind w:left="360"/>
      </w:pPr>
    </w:p>
    <w:p w14:paraId="284BFDD3" w14:textId="77777777" w:rsidR="003A74EC" w:rsidRPr="00084D33" w:rsidRDefault="003A74EC" w:rsidP="008216A2">
      <w:pPr>
        <w:ind w:left="1380" w:hanging="360"/>
        <w:rPr>
          <w:rFonts w:cs="Times New Roman"/>
        </w:rPr>
      </w:pPr>
    </w:p>
    <w:p w14:paraId="67B0F7F6" w14:textId="77777777" w:rsidR="003A74EC" w:rsidRPr="00084D33" w:rsidRDefault="003A74EC" w:rsidP="00F9578E">
      <w:pPr>
        <w:ind w:left="1380" w:hanging="360"/>
        <w:rPr>
          <w:rFonts w:cs="Times New Roman"/>
        </w:rPr>
      </w:pPr>
    </w:p>
    <w:p w14:paraId="1A26C28F" w14:textId="77777777" w:rsidR="003A74EC" w:rsidRPr="00084D33" w:rsidRDefault="003A74EC" w:rsidP="003A74EC">
      <w:pPr>
        <w:ind w:left="360"/>
        <w:rPr>
          <w:rFonts w:cs="Times New Roman"/>
        </w:rPr>
      </w:pPr>
    </w:p>
    <w:p w14:paraId="55B4DDFA" w14:textId="77777777" w:rsidR="009032D1" w:rsidRPr="00084D33" w:rsidRDefault="009032D1" w:rsidP="009032D1">
      <w:pPr>
        <w:pStyle w:val="Textoindependiente"/>
        <w:spacing w:line="360" w:lineRule="auto"/>
        <w:ind w:left="714"/>
        <w:jc w:val="both"/>
        <w:rPr>
          <w:color w:val="767171"/>
        </w:rPr>
      </w:pPr>
    </w:p>
    <w:p w14:paraId="16B494B8" w14:textId="0A54DC42" w:rsidR="009032D1" w:rsidRPr="00084D33" w:rsidRDefault="009032D1" w:rsidP="00D131A1">
      <w:pPr>
        <w:pStyle w:val="Ttulo1"/>
        <w:numPr>
          <w:ilvl w:val="2"/>
          <w:numId w:val="12"/>
        </w:numPr>
        <w:rPr>
          <w:b/>
          <w:sz w:val="24"/>
          <w:szCs w:val="24"/>
        </w:rPr>
      </w:pPr>
      <w:bookmarkStart w:id="146" w:name="_Toc186924380"/>
      <w:r w:rsidRPr="00084D33">
        <w:rPr>
          <w:b/>
          <w:sz w:val="24"/>
          <w:szCs w:val="24"/>
        </w:rPr>
        <w:lastRenderedPageBreak/>
        <w:t>Resumen de Compras y Contrataciones por Tipo de Modalidad realizadas</w:t>
      </w:r>
      <w:bookmarkEnd w:id="146"/>
      <w:r w:rsidRPr="00084D33">
        <w:rPr>
          <w:b/>
          <w:sz w:val="24"/>
          <w:szCs w:val="24"/>
        </w:rPr>
        <w:t xml:space="preserve"> </w:t>
      </w:r>
    </w:p>
    <w:p w14:paraId="28BA029B" w14:textId="77777777" w:rsidR="009032D1" w:rsidRPr="00084D33" w:rsidRDefault="009032D1" w:rsidP="009032D1">
      <w:pPr>
        <w:rPr>
          <w:rFonts w:cs="Times New Roman"/>
        </w:rPr>
      </w:pPr>
    </w:p>
    <w:p w14:paraId="0302AAC9" w14:textId="145EF9C4" w:rsidR="009032D1" w:rsidRPr="00084D33" w:rsidRDefault="009032D1" w:rsidP="00C771EC">
      <w:pPr>
        <w:pStyle w:val="Textoindependiente"/>
        <w:spacing w:line="360" w:lineRule="auto"/>
        <w:jc w:val="both"/>
        <w:rPr>
          <w:color w:val="767171"/>
        </w:rPr>
      </w:pPr>
      <w:r w:rsidRPr="00084D33">
        <w:rPr>
          <w:color w:val="767171"/>
        </w:rPr>
        <w:t xml:space="preserve">Los procesos de Compras y Contrataciones realizados en el periodo </w:t>
      </w:r>
      <w:r w:rsidR="001D3E75" w:rsidRPr="00084D33">
        <w:rPr>
          <w:color w:val="767171"/>
        </w:rPr>
        <w:t>enero</w:t>
      </w:r>
      <w:r w:rsidRPr="00084D33">
        <w:rPr>
          <w:color w:val="767171"/>
        </w:rPr>
        <w:t xml:space="preserve"> – </w:t>
      </w:r>
      <w:r w:rsidR="001D3E75" w:rsidRPr="00084D33">
        <w:rPr>
          <w:color w:val="767171"/>
        </w:rPr>
        <w:t>diciembre</w:t>
      </w:r>
      <w:r w:rsidRPr="00084D33">
        <w:rPr>
          <w:color w:val="767171"/>
        </w:rPr>
        <w:t xml:space="preserve"> del </w:t>
      </w:r>
      <w:r w:rsidR="00F43D7E" w:rsidRPr="00084D33">
        <w:rPr>
          <w:color w:val="767171"/>
        </w:rPr>
        <w:t>2024</w:t>
      </w:r>
      <w:r w:rsidRPr="00084D33">
        <w:rPr>
          <w:color w:val="767171"/>
        </w:rPr>
        <w:t xml:space="preserve">y los montos contratados por tipo de modalidad, se presentan en el cuadro y gráfico siguientes: </w:t>
      </w:r>
    </w:p>
    <w:p w14:paraId="185E9685" w14:textId="2B83115D" w:rsidR="009032D1" w:rsidRPr="00084D33" w:rsidRDefault="009032D1" w:rsidP="009032D1">
      <w:pPr>
        <w:spacing w:line="240" w:lineRule="auto"/>
        <w:rPr>
          <w:rFonts w:cs="Times New Roman"/>
          <w:highlight w:val="yellow"/>
        </w:rPr>
      </w:pPr>
    </w:p>
    <w:p w14:paraId="7FC13A51" w14:textId="0514A6D1" w:rsidR="009032D1" w:rsidRPr="00084D33" w:rsidRDefault="008333F3" w:rsidP="009032D1">
      <w:pPr>
        <w:jc w:val="center"/>
        <w:rPr>
          <w:rFonts w:cs="Times New Roman"/>
        </w:rPr>
      </w:pPr>
      <w:r w:rsidRPr="00084D33">
        <w:rPr>
          <w:noProof/>
          <w:lang w:eastAsia="es-DO"/>
        </w:rPr>
        <w:drawing>
          <wp:inline distT="0" distB="0" distL="0" distR="0" wp14:anchorId="47C2566F" wp14:editId="1E2F1F8A">
            <wp:extent cx="5029200" cy="4952011"/>
            <wp:effectExtent l="0" t="0" r="0" b="1270"/>
            <wp:docPr id="1398926606" name="Imagen 1398926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29200" cy="4952011"/>
                    </a:xfrm>
                    <a:prstGeom prst="rect">
                      <a:avLst/>
                    </a:prstGeom>
                    <a:noFill/>
                    <a:ln>
                      <a:noFill/>
                    </a:ln>
                  </pic:spPr>
                </pic:pic>
              </a:graphicData>
            </a:graphic>
          </wp:inline>
        </w:drawing>
      </w:r>
      <w:r w:rsidR="009032D1" w:rsidRPr="00084D33">
        <w:rPr>
          <w:rFonts w:cs="Times New Roman"/>
        </w:rPr>
        <w:t xml:space="preserve"> </w:t>
      </w:r>
    </w:p>
    <w:p w14:paraId="32E729A4" w14:textId="2EBB35E4" w:rsidR="009032D1" w:rsidRPr="00084D33" w:rsidRDefault="009032D1" w:rsidP="009032D1">
      <w:pPr>
        <w:jc w:val="center"/>
        <w:rPr>
          <w:rFonts w:cs="Times New Roman"/>
        </w:rPr>
      </w:pPr>
    </w:p>
    <w:p w14:paraId="5F0F4045" w14:textId="77777777" w:rsidR="00E9164E" w:rsidRPr="00084D33" w:rsidRDefault="00E9164E" w:rsidP="009032D1">
      <w:pPr>
        <w:jc w:val="center"/>
        <w:rPr>
          <w:rFonts w:cs="Times New Roman"/>
        </w:rPr>
      </w:pPr>
    </w:p>
    <w:p w14:paraId="693547ED" w14:textId="148CF956" w:rsidR="009032D1" w:rsidRPr="00084D33" w:rsidRDefault="00F43D7E" w:rsidP="009032D1">
      <w:pPr>
        <w:jc w:val="center"/>
        <w:rPr>
          <w:rFonts w:cs="Times New Roman"/>
        </w:rPr>
      </w:pPr>
      <w:r w:rsidRPr="00084D33">
        <w:rPr>
          <w:rFonts w:cs="Times New Roman"/>
          <w:noProof/>
          <w:lang w:eastAsia="es-DO"/>
        </w:rPr>
        <w:lastRenderedPageBreak/>
        <w:drawing>
          <wp:inline distT="0" distB="0" distL="0" distR="0" wp14:anchorId="3DD6A497" wp14:editId="5C782FE6">
            <wp:extent cx="5260209" cy="2078182"/>
            <wp:effectExtent l="0" t="0" r="0" b="0"/>
            <wp:docPr id="1398926633" name="Imagen 1398926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74359" cy="2123280"/>
                    </a:xfrm>
                    <a:prstGeom prst="rect">
                      <a:avLst/>
                    </a:prstGeom>
                    <a:noFill/>
                  </pic:spPr>
                </pic:pic>
              </a:graphicData>
            </a:graphic>
          </wp:inline>
        </w:drawing>
      </w:r>
    </w:p>
    <w:p w14:paraId="3C1536A6" w14:textId="77777777" w:rsidR="009032D1" w:rsidRPr="00084D33" w:rsidRDefault="009032D1" w:rsidP="009032D1">
      <w:pPr>
        <w:jc w:val="center"/>
        <w:rPr>
          <w:rFonts w:cs="Times New Roman"/>
        </w:rPr>
      </w:pPr>
    </w:p>
    <w:p w14:paraId="14DE5932" w14:textId="77777777" w:rsidR="009032D1" w:rsidRPr="00084D33" w:rsidRDefault="009032D1" w:rsidP="009032D1">
      <w:pPr>
        <w:pStyle w:val="Textoindependiente"/>
        <w:rPr>
          <w:color w:val="767171"/>
          <w:lang w:val="es-DO"/>
        </w:rPr>
      </w:pPr>
    </w:p>
    <w:p w14:paraId="3110934E" w14:textId="77777777" w:rsidR="009032D1" w:rsidRPr="00084D33" w:rsidRDefault="009032D1" w:rsidP="009032D1">
      <w:pPr>
        <w:pStyle w:val="Textoindependiente"/>
        <w:jc w:val="center"/>
        <w:rPr>
          <w:color w:val="767171"/>
          <w:lang w:val="es-DO"/>
        </w:rPr>
      </w:pPr>
    </w:p>
    <w:p w14:paraId="5F833605" w14:textId="2DD4A3D3" w:rsidR="009032D1" w:rsidRPr="00084D33" w:rsidRDefault="009032D1" w:rsidP="00D131A1">
      <w:pPr>
        <w:pStyle w:val="Ttulo1"/>
        <w:numPr>
          <w:ilvl w:val="1"/>
          <w:numId w:val="12"/>
        </w:numPr>
        <w:ind w:left="1350" w:hanging="900"/>
        <w:rPr>
          <w:rFonts w:cs="Times New Roman"/>
          <w:b/>
          <w:sz w:val="24"/>
        </w:rPr>
      </w:pPr>
      <w:bookmarkStart w:id="147" w:name="_Toc441696915"/>
      <w:bookmarkStart w:id="148" w:name="_Toc471986290"/>
      <w:bookmarkStart w:id="149" w:name="_Toc472434804"/>
      <w:bookmarkStart w:id="150" w:name="_Toc504947382"/>
      <w:bookmarkStart w:id="151" w:name="_Toc504947808"/>
      <w:bookmarkStart w:id="152" w:name="_Toc505070664"/>
      <w:bookmarkStart w:id="153" w:name="_Toc977049"/>
      <w:bookmarkStart w:id="154" w:name="_Toc1381804"/>
      <w:bookmarkStart w:id="155" w:name="_Toc60223791"/>
      <w:bookmarkStart w:id="156" w:name="_Toc186924381"/>
      <w:r w:rsidRPr="00084D33">
        <w:rPr>
          <w:rFonts w:cs="Times New Roman"/>
          <w:b/>
          <w:sz w:val="24"/>
        </w:rPr>
        <w:t xml:space="preserve">Resumen de Compras y Contrataciones realizadas por tipo de empresas en el año </w:t>
      </w:r>
      <w:bookmarkEnd w:id="147"/>
      <w:bookmarkEnd w:id="148"/>
      <w:bookmarkEnd w:id="149"/>
      <w:bookmarkEnd w:id="150"/>
      <w:bookmarkEnd w:id="151"/>
      <w:bookmarkEnd w:id="152"/>
      <w:bookmarkEnd w:id="153"/>
      <w:r w:rsidRPr="00084D33">
        <w:rPr>
          <w:rFonts w:cs="Times New Roman"/>
          <w:b/>
          <w:sz w:val="24"/>
        </w:rPr>
        <w:t>202</w:t>
      </w:r>
      <w:bookmarkEnd w:id="154"/>
      <w:bookmarkEnd w:id="155"/>
      <w:r w:rsidR="00F43D7E" w:rsidRPr="00084D33">
        <w:rPr>
          <w:rFonts w:cs="Times New Roman"/>
          <w:b/>
          <w:sz w:val="24"/>
        </w:rPr>
        <w:t>4</w:t>
      </w:r>
      <w:bookmarkEnd w:id="156"/>
      <w:r w:rsidRPr="00084D33">
        <w:rPr>
          <w:rFonts w:cs="Times New Roman"/>
          <w:b/>
          <w:sz w:val="24"/>
        </w:rPr>
        <w:t xml:space="preserve"> </w:t>
      </w:r>
    </w:p>
    <w:p w14:paraId="47BC485D" w14:textId="77777777" w:rsidR="009032D1" w:rsidRPr="00084D33" w:rsidRDefault="009032D1" w:rsidP="009032D1">
      <w:pPr>
        <w:rPr>
          <w:rFonts w:cs="Times New Roman"/>
        </w:rPr>
      </w:pPr>
    </w:p>
    <w:p w14:paraId="1D30FCDE" w14:textId="5603D781" w:rsidR="009032D1" w:rsidRPr="00084D33" w:rsidRDefault="009032D1" w:rsidP="00C771EC">
      <w:pPr>
        <w:pStyle w:val="Textoindependiente"/>
        <w:spacing w:line="360" w:lineRule="auto"/>
        <w:jc w:val="both"/>
        <w:rPr>
          <w:color w:val="767171"/>
        </w:rPr>
      </w:pPr>
      <w:r w:rsidRPr="00084D33">
        <w:rPr>
          <w:color w:val="767171"/>
        </w:rPr>
        <w:t xml:space="preserve">El </w:t>
      </w:r>
      <w:r w:rsidR="00E9164E" w:rsidRPr="00084D33">
        <w:rPr>
          <w:color w:val="767171"/>
        </w:rPr>
        <w:t>Ministerio de Obras Publicas y C</w:t>
      </w:r>
      <w:r w:rsidRPr="00084D33">
        <w:rPr>
          <w:color w:val="767171"/>
        </w:rPr>
        <w:t>omunicaciones (MOPC)</w:t>
      </w:r>
      <w:r w:rsidR="00E9164E" w:rsidRPr="00084D33">
        <w:rPr>
          <w:color w:val="767171"/>
        </w:rPr>
        <w:t>,</w:t>
      </w:r>
      <w:r w:rsidRPr="00084D33">
        <w:rPr>
          <w:color w:val="767171"/>
        </w:rPr>
        <w:t xml:space="preserve"> realizó compras y contrataciones en el periodo </w:t>
      </w:r>
      <w:r w:rsidR="001D3E75" w:rsidRPr="00084D33">
        <w:rPr>
          <w:color w:val="767171"/>
        </w:rPr>
        <w:t>enero</w:t>
      </w:r>
      <w:r w:rsidR="00F43D7E" w:rsidRPr="00084D33">
        <w:rPr>
          <w:color w:val="767171"/>
        </w:rPr>
        <w:t xml:space="preserve"> - </w:t>
      </w:r>
      <w:r w:rsidR="00B5550F" w:rsidRPr="00084D33">
        <w:rPr>
          <w:color w:val="767171"/>
        </w:rPr>
        <w:t>diciembre</w:t>
      </w:r>
      <w:r w:rsidRPr="00084D33">
        <w:rPr>
          <w:color w:val="767171"/>
        </w:rPr>
        <w:t xml:space="preserve"> del 202</w:t>
      </w:r>
      <w:r w:rsidR="00F43D7E" w:rsidRPr="00084D33">
        <w:rPr>
          <w:color w:val="767171"/>
        </w:rPr>
        <w:t>4</w:t>
      </w:r>
      <w:r w:rsidRPr="00084D33">
        <w:rPr>
          <w:color w:val="767171"/>
        </w:rPr>
        <w:t>, de acuerdo a la clasificación de los proveedores en las categorías siguientes: a) Grandes Empresas (GE); b) Medianas, Pequeñas y Micros Empresas (MIPYMES); y, c) Empresas No Clasificadas (NC), cuyos montos contratados por tipo de empresas, se presentan en el cuadro siguiente:</w:t>
      </w:r>
    </w:p>
    <w:p w14:paraId="7B618565" w14:textId="126BC425" w:rsidR="009032D1" w:rsidRPr="00084D33" w:rsidRDefault="009032D1" w:rsidP="009032D1">
      <w:pPr>
        <w:rPr>
          <w:rFonts w:cs="Times New Roman"/>
          <w:b/>
        </w:rPr>
      </w:pPr>
    </w:p>
    <w:p w14:paraId="3A7DF237" w14:textId="6DD5D6EB" w:rsidR="009032D1" w:rsidRPr="00084D33" w:rsidRDefault="00F43D7E" w:rsidP="003D388A">
      <w:pPr>
        <w:jc w:val="center"/>
        <w:rPr>
          <w:rFonts w:cs="Times New Roman"/>
        </w:rPr>
      </w:pPr>
      <w:r w:rsidRPr="00084D33">
        <w:rPr>
          <w:noProof/>
          <w:lang w:eastAsia="es-DO"/>
        </w:rPr>
        <w:lastRenderedPageBreak/>
        <w:drawing>
          <wp:inline distT="0" distB="0" distL="0" distR="0" wp14:anchorId="22A9C659" wp14:editId="5482991F">
            <wp:extent cx="5028837" cy="4280452"/>
            <wp:effectExtent l="0" t="0" r="635" b="6350"/>
            <wp:docPr id="1398926634" name="Imagen 1398926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33289" cy="4284241"/>
                    </a:xfrm>
                    <a:prstGeom prst="rect">
                      <a:avLst/>
                    </a:prstGeom>
                    <a:noFill/>
                    <a:ln>
                      <a:noFill/>
                    </a:ln>
                  </pic:spPr>
                </pic:pic>
              </a:graphicData>
            </a:graphic>
          </wp:inline>
        </w:drawing>
      </w:r>
      <w:r w:rsidR="009032D1" w:rsidRPr="00084D33">
        <w:rPr>
          <w:rFonts w:cs="Times New Roman"/>
        </w:rPr>
        <w:t xml:space="preserve"> </w:t>
      </w:r>
    </w:p>
    <w:p w14:paraId="42070A29" w14:textId="29085A56" w:rsidR="003D388A" w:rsidRPr="00084D33" w:rsidRDefault="003D388A" w:rsidP="003D388A">
      <w:pPr>
        <w:jc w:val="center"/>
        <w:rPr>
          <w:rFonts w:cs="Times New Roman"/>
        </w:rPr>
      </w:pPr>
    </w:p>
    <w:p w14:paraId="0CC2038C" w14:textId="7C5945A4" w:rsidR="009032D1" w:rsidRPr="00084D33" w:rsidRDefault="00F43D7E" w:rsidP="009032D1">
      <w:pPr>
        <w:jc w:val="center"/>
        <w:rPr>
          <w:rFonts w:cs="Times New Roman"/>
        </w:rPr>
      </w:pPr>
      <w:r w:rsidRPr="00084D33">
        <w:rPr>
          <w:rFonts w:cs="Times New Roman"/>
          <w:noProof/>
          <w:lang w:eastAsia="es-DO"/>
        </w:rPr>
        <w:drawing>
          <wp:inline distT="0" distB="0" distL="0" distR="0" wp14:anchorId="3A19BD63" wp14:editId="6B084DF0">
            <wp:extent cx="4992436" cy="3403222"/>
            <wp:effectExtent l="0" t="0" r="0" b="6985"/>
            <wp:docPr id="1398926635" name="Imagen 139892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996121" cy="3405734"/>
                    </a:xfrm>
                    <a:prstGeom prst="rect">
                      <a:avLst/>
                    </a:prstGeom>
                    <a:noFill/>
                  </pic:spPr>
                </pic:pic>
              </a:graphicData>
            </a:graphic>
          </wp:inline>
        </w:drawing>
      </w:r>
    </w:p>
    <w:p w14:paraId="0B47B880" w14:textId="7DFA725E" w:rsidR="00013D69" w:rsidRPr="00084D33" w:rsidRDefault="00C33965" w:rsidP="00D131A1">
      <w:pPr>
        <w:pStyle w:val="Ttulo1"/>
        <w:numPr>
          <w:ilvl w:val="0"/>
          <w:numId w:val="12"/>
        </w:numPr>
        <w:spacing w:before="0"/>
        <w:rPr>
          <w:rFonts w:cs="Times New Roman"/>
          <w:b/>
          <w:bCs/>
        </w:rPr>
      </w:pPr>
      <w:bookmarkStart w:id="157" w:name="_Toc1381812"/>
      <w:bookmarkStart w:id="158" w:name="_Toc1418575"/>
      <w:bookmarkStart w:id="159" w:name="_Toc59361437"/>
      <w:bookmarkStart w:id="160" w:name="_Toc186924382"/>
      <w:r w:rsidRPr="00084D33">
        <w:rPr>
          <w:rFonts w:cs="Times New Roman"/>
          <w:b/>
          <w:bCs/>
        </w:rPr>
        <w:lastRenderedPageBreak/>
        <w:t>Otras Acciones Desarrolladas</w:t>
      </w:r>
      <w:bookmarkEnd w:id="157"/>
      <w:bookmarkEnd w:id="158"/>
      <w:bookmarkEnd w:id="159"/>
      <w:bookmarkEnd w:id="160"/>
    </w:p>
    <w:p w14:paraId="597DBDA5" w14:textId="77777777" w:rsidR="00013D69" w:rsidRPr="00084D33" w:rsidRDefault="00013D69" w:rsidP="00013D69">
      <w:pPr>
        <w:rPr>
          <w:rFonts w:eastAsia="Calibri" w:cs="Times New Roman"/>
          <w:sz w:val="18"/>
        </w:rPr>
      </w:pPr>
      <w:r w:rsidRPr="00084D33">
        <w:rPr>
          <w:rFonts w:eastAsia="Calibri" w:cs="Times New Roman"/>
          <w:noProof/>
          <w:sz w:val="18"/>
          <w:lang w:eastAsia="es-DO"/>
        </w:rPr>
        <mc:AlternateContent>
          <mc:Choice Requires="wps">
            <w:drawing>
              <wp:anchor distT="0" distB="0" distL="114300" distR="114300" simplePos="0" relativeHeight="251804672" behindDoc="0" locked="0" layoutInCell="1" allowOverlap="1" wp14:anchorId="2AD968CF" wp14:editId="7196876A">
                <wp:simplePos x="0" y="0"/>
                <wp:positionH relativeFrom="margin">
                  <wp:posOffset>2254250</wp:posOffset>
                </wp:positionH>
                <wp:positionV relativeFrom="paragraph">
                  <wp:posOffset>100625</wp:posOffset>
                </wp:positionV>
                <wp:extent cx="463550" cy="0"/>
                <wp:effectExtent l="22860" t="15875" r="18415" b="22225"/>
                <wp:wrapNone/>
                <wp:docPr id="10737419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6E2CB" id="Straight Connector 3" o:spid="_x0000_s1026" style="position:absolute;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" strokecolor="#ee2a24" strokeweight="2.25pt">
                <v:stroke joinstyle="miter"/>
                <w10:wrap anchorx="margin"/>
              </v:line>
            </w:pict>
          </mc:Fallback>
        </mc:AlternateContent>
      </w:r>
    </w:p>
    <w:p w14:paraId="47E15728" w14:textId="33CC73D6" w:rsidR="00013D69" w:rsidRPr="00084D33" w:rsidRDefault="006C0CCA" w:rsidP="0056596B">
      <w:pPr>
        <w:pStyle w:val="Continuarlista"/>
        <w:jc w:val="center"/>
        <w:rPr>
          <w:rFonts w:cs="Times New Roman"/>
        </w:rPr>
      </w:pPr>
      <w:r w:rsidRPr="00084D33">
        <w:rPr>
          <w:rFonts w:cs="Times New Roman"/>
        </w:rPr>
        <w:t>Memoria institucional 2024</w:t>
      </w:r>
    </w:p>
    <w:p w14:paraId="362EE3C9" w14:textId="77777777" w:rsidR="004C7FB8" w:rsidRPr="00084D33" w:rsidRDefault="004C7FB8" w:rsidP="004F5872">
      <w:pPr>
        <w:pStyle w:val="Textoindependiente"/>
        <w:rPr>
          <w:rFonts w:eastAsiaTheme="majorEastAsia"/>
          <w:color w:val="767171"/>
        </w:rPr>
      </w:pPr>
      <w:bookmarkStart w:id="161" w:name="_Toc90929133"/>
      <w:bookmarkStart w:id="162" w:name="_Toc90929494"/>
      <w:bookmarkStart w:id="163" w:name="_Toc1381813"/>
      <w:bookmarkStart w:id="164" w:name="_Toc1418576"/>
      <w:bookmarkStart w:id="165" w:name="_Toc59361438"/>
      <w:bookmarkEnd w:id="161"/>
      <w:bookmarkEnd w:id="162"/>
    </w:p>
    <w:p w14:paraId="2D5C3A31" w14:textId="365AB90B" w:rsidR="00C33965" w:rsidRPr="00084D33" w:rsidRDefault="00C33965" w:rsidP="00D131A1">
      <w:pPr>
        <w:pStyle w:val="Ttulo1"/>
        <w:numPr>
          <w:ilvl w:val="1"/>
          <w:numId w:val="12"/>
        </w:numPr>
        <w:rPr>
          <w:b/>
          <w:sz w:val="24"/>
        </w:rPr>
      </w:pPr>
      <w:bookmarkStart w:id="166" w:name="_Toc91264862"/>
      <w:bookmarkStart w:id="167" w:name="_Toc186924383"/>
      <w:bookmarkEnd w:id="166"/>
      <w:r w:rsidRPr="00084D33">
        <w:rPr>
          <w:b/>
          <w:sz w:val="24"/>
        </w:rPr>
        <w:t>Contribución a los Objetivos de Desarrollo Sostenible (ODS), Agenda 2030</w:t>
      </w:r>
      <w:bookmarkEnd w:id="163"/>
      <w:bookmarkEnd w:id="164"/>
      <w:bookmarkEnd w:id="165"/>
      <w:bookmarkEnd w:id="167"/>
    </w:p>
    <w:p w14:paraId="463127FE" w14:textId="77777777" w:rsidR="00C33965" w:rsidRPr="00084D33" w:rsidRDefault="00C33965" w:rsidP="00C771EC">
      <w:pPr>
        <w:rPr>
          <w:rFonts w:cs="Times New Roman"/>
        </w:rPr>
      </w:pPr>
    </w:p>
    <w:p w14:paraId="4FDBAB35" w14:textId="7266AD34" w:rsidR="00F13A4D" w:rsidRPr="00084D33" w:rsidRDefault="00F13A4D" w:rsidP="00F13A4D">
      <w:pPr>
        <w:pStyle w:val="Textoindependiente"/>
        <w:spacing w:line="360" w:lineRule="auto"/>
        <w:jc w:val="both"/>
        <w:rPr>
          <w:color w:val="767171"/>
        </w:rPr>
      </w:pPr>
      <w:r w:rsidRPr="00084D33">
        <w:rPr>
          <w:color w:val="767171"/>
        </w:rPr>
        <w:t xml:space="preserve">Durante el periodo enero-diciembre del año 2024, el </w:t>
      </w:r>
      <w:r w:rsidR="00E55155" w:rsidRPr="00084D33">
        <w:rPr>
          <w:color w:val="767171"/>
        </w:rPr>
        <w:t>Ministerio</w:t>
      </w:r>
      <w:r w:rsidRPr="00084D33">
        <w:rPr>
          <w:color w:val="767171"/>
        </w:rPr>
        <w:t xml:space="preserve"> de Obras Públicas y Comunicaciones (MOPC), al seleccionar las ejecutorias prioritarias, consideró los planes enunciados en los Objetivos de Desarrollo Sostenible (ODS), que contribuyan con el desarrollo humano de manera sostenible, unificando esfuerzos conjuntamente con otras instituciones del Estado Dominicano, el sector privado y la sociedad civil, específicamente en la mejora de la red vial urbana y rural, en la reparación de edificaciones públicas, viviendas en condiciones vulnerables y deplorables; además, los programas de asistencias viales y sociales que ofrece a los usuarios de la infraestructura vial, incrementando la seguridad de los usuarios y las obras que tiene programadas para reducir la vulnerabilidad de las infraestructuras ante la ocurrencia de fenómenos atmosféricos, entre otras acciones; favoreciendo una población objetivo aproximada de 9.2 millones de personas, lo que ha impactado en el saneamiento ambiental y en la reducción de enfermedades, en las áreas de influencia de las obras realizadas.</w:t>
      </w:r>
    </w:p>
    <w:p w14:paraId="3943DEEE" w14:textId="77777777" w:rsidR="00F13A4D" w:rsidRPr="00084D33" w:rsidRDefault="00F13A4D" w:rsidP="00F13A4D">
      <w:pPr>
        <w:pStyle w:val="Textoindependiente"/>
        <w:spacing w:line="360" w:lineRule="auto"/>
        <w:jc w:val="both"/>
        <w:rPr>
          <w:color w:val="767171"/>
        </w:rPr>
      </w:pPr>
    </w:p>
    <w:p w14:paraId="28ECA281" w14:textId="51F05C2A" w:rsidR="00013D69" w:rsidRPr="00084D33" w:rsidRDefault="00F13A4D" w:rsidP="00F13A4D">
      <w:pPr>
        <w:pStyle w:val="Textoindependiente"/>
        <w:spacing w:line="360" w:lineRule="auto"/>
        <w:jc w:val="both"/>
        <w:rPr>
          <w:color w:val="767171"/>
        </w:rPr>
      </w:pPr>
      <w:r w:rsidRPr="00084D33">
        <w:rPr>
          <w:color w:val="767171"/>
        </w:rPr>
        <w:t xml:space="preserve">Entre las principales actuaciones del MOPC durante el periodo enero-diciembre del 2024, se destacan las intervenciones a la infraestructura de la red vial a nivel nacional, la cual ha generado aproximadamente unos </w:t>
      </w:r>
      <w:r w:rsidRPr="00084D33">
        <w:rPr>
          <w:rFonts w:eastAsia="Calibri"/>
          <w:color w:val="767171"/>
        </w:rPr>
        <w:t xml:space="preserve">265,098 empleos directos y 331,373 empleos indirectos, </w:t>
      </w:r>
      <w:r w:rsidRPr="00084D33">
        <w:rPr>
          <w:color w:val="767171"/>
        </w:rPr>
        <w:t>reactivando la economía, contribuyendo a reducir la pobreza extrema y a mejorar la calidad de vida de la población económicamente más deprimida del país</w:t>
      </w:r>
      <w:r w:rsidR="00013D69" w:rsidRPr="00084D33">
        <w:rPr>
          <w:color w:val="767171"/>
        </w:rPr>
        <w:t>.</w:t>
      </w:r>
    </w:p>
    <w:p w14:paraId="6635733D" w14:textId="7AFC11FE" w:rsidR="00C33965" w:rsidRPr="00084D33" w:rsidRDefault="00C33965" w:rsidP="00D131A1">
      <w:pPr>
        <w:pStyle w:val="Ttulo1"/>
        <w:numPr>
          <w:ilvl w:val="1"/>
          <w:numId w:val="12"/>
        </w:numPr>
        <w:rPr>
          <w:b/>
          <w:sz w:val="24"/>
        </w:rPr>
      </w:pPr>
      <w:bookmarkStart w:id="168" w:name="_Toc472434785"/>
      <w:bookmarkStart w:id="169" w:name="_Toc471986274"/>
      <w:bookmarkStart w:id="170" w:name="_Toc1418577"/>
      <w:bookmarkStart w:id="171" w:name="_Toc59361439"/>
      <w:bookmarkStart w:id="172" w:name="_Toc186924384"/>
      <w:r w:rsidRPr="00084D33">
        <w:rPr>
          <w:b/>
          <w:sz w:val="24"/>
        </w:rPr>
        <w:lastRenderedPageBreak/>
        <w:t>Impacto de las Ejecutorias en Políticas Transversales de la Estrategia Nacional de Desarrollo (END)</w:t>
      </w:r>
      <w:bookmarkEnd w:id="168"/>
      <w:bookmarkEnd w:id="169"/>
      <w:bookmarkEnd w:id="170"/>
      <w:bookmarkEnd w:id="171"/>
      <w:bookmarkEnd w:id="172"/>
    </w:p>
    <w:p w14:paraId="2B92E033" w14:textId="77777777" w:rsidR="00C33965" w:rsidRPr="00084D33" w:rsidRDefault="00C33965" w:rsidP="00C771EC">
      <w:pPr>
        <w:rPr>
          <w:rFonts w:cs="Times New Roman"/>
        </w:rPr>
      </w:pPr>
    </w:p>
    <w:p w14:paraId="3CAFD3BA" w14:textId="408B2284" w:rsidR="00C33965" w:rsidRPr="00084D33" w:rsidRDefault="00C33965" w:rsidP="00D131A1">
      <w:pPr>
        <w:pStyle w:val="Ttulo2"/>
        <w:numPr>
          <w:ilvl w:val="1"/>
          <w:numId w:val="4"/>
        </w:numPr>
        <w:spacing w:line="360" w:lineRule="auto"/>
        <w:ind w:left="0" w:firstLine="0"/>
        <w:jc w:val="both"/>
        <w:rPr>
          <w:rFonts w:cs="Times New Roman"/>
          <w:b/>
        </w:rPr>
      </w:pPr>
      <w:bookmarkStart w:id="173" w:name="_Toc472434786"/>
      <w:bookmarkStart w:id="174" w:name="_Toc471986275"/>
      <w:bookmarkStart w:id="175" w:name="_Toc1418578"/>
      <w:bookmarkStart w:id="176" w:name="_Toc59361440"/>
      <w:bookmarkStart w:id="177" w:name="_Toc156240585"/>
      <w:bookmarkStart w:id="178" w:name="_Toc186924385"/>
      <w:r w:rsidRPr="00084D33">
        <w:rPr>
          <w:rFonts w:cs="Times New Roman"/>
          <w:b/>
        </w:rPr>
        <w:t>Género</w:t>
      </w:r>
      <w:bookmarkEnd w:id="173"/>
      <w:bookmarkEnd w:id="174"/>
      <w:bookmarkEnd w:id="175"/>
      <w:bookmarkEnd w:id="176"/>
      <w:bookmarkEnd w:id="177"/>
      <w:bookmarkEnd w:id="178"/>
    </w:p>
    <w:p w14:paraId="405A602F" w14:textId="77777777" w:rsidR="00C33965" w:rsidRPr="00084D33" w:rsidRDefault="00C33965" w:rsidP="00C771EC">
      <w:pPr>
        <w:rPr>
          <w:rFonts w:cs="Times New Roman"/>
        </w:rPr>
      </w:pPr>
    </w:p>
    <w:p w14:paraId="3DD695E2" w14:textId="35A023D5" w:rsidR="00013D69" w:rsidRPr="00084D33" w:rsidRDefault="00F13A4D" w:rsidP="00C771EC">
      <w:pPr>
        <w:pStyle w:val="Textoindependiente"/>
        <w:spacing w:line="360" w:lineRule="auto"/>
        <w:jc w:val="both"/>
        <w:rPr>
          <w:color w:val="767171"/>
        </w:rPr>
      </w:pPr>
      <w:r w:rsidRPr="00084D33">
        <w:rPr>
          <w:color w:val="767171"/>
        </w:rPr>
        <w:t xml:space="preserve">El Ministerio de Obras Públicas y Comunicaciones (MOPC), durante el período enero-diciembre del año 2024, continuó </w:t>
      </w:r>
      <w:r w:rsidR="00013D69" w:rsidRPr="00084D33">
        <w:rPr>
          <w:color w:val="767171"/>
        </w:rPr>
        <w:t>promoviendo un plan de acción que contempla una cultura de equidad y género, con la aplicación de mecanismos que faciliten la inserción de la mujer en el mercado laboral sin ningún tipo de discriminación, no excluyendo ninguna persona por su género en la captación de personal para optar por empleos en la institución y permitiendo además, la participación igualitaria en los procesos de licitaciones para la adquisición de bienes y la ejecución de obras públicas a nivel nacional.</w:t>
      </w:r>
    </w:p>
    <w:p w14:paraId="3642F057" w14:textId="77777777" w:rsidR="0056596B" w:rsidRPr="00084D33" w:rsidRDefault="0056596B" w:rsidP="00CC105A"/>
    <w:p w14:paraId="0DE07B8B" w14:textId="77777777" w:rsidR="00F13A4D" w:rsidRPr="00084D33" w:rsidRDefault="00F13A4D" w:rsidP="00CC105A"/>
    <w:p w14:paraId="0BE9350C" w14:textId="775FAE93" w:rsidR="00C33965" w:rsidRPr="00084D33" w:rsidRDefault="00C33965" w:rsidP="00D131A1">
      <w:pPr>
        <w:pStyle w:val="Ttulo2"/>
        <w:numPr>
          <w:ilvl w:val="1"/>
          <w:numId w:val="4"/>
        </w:numPr>
        <w:spacing w:line="360" w:lineRule="auto"/>
        <w:ind w:left="0" w:firstLine="0"/>
        <w:jc w:val="both"/>
        <w:rPr>
          <w:rFonts w:cs="Times New Roman"/>
          <w:b/>
        </w:rPr>
      </w:pPr>
      <w:bookmarkStart w:id="179" w:name="_Toc472434787"/>
      <w:bookmarkStart w:id="180" w:name="_Toc471986276"/>
      <w:bookmarkStart w:id="181" w:name="_Toc1418579"/>
      <w:bookmarkStart w:id="182" w:name="_Toc59361441"/>
      <w:bookmarkStart w:id="183" w:name="_Toc156240586"/>
      <w:bookmarkStart w:id="184" w:name="_Toc186924386"/>
      <w:r w:rsidRPr="00084D33">
        <w:rPr>
          <w:rFonts w:cs="Times New Roman"/>
          <w:b/>
        </w:rPr>
        <w:t>Sostenibilidad Ambiental</w:t>
      </w:r>
      <w:bookmarkEnd w:id="179"/>
      <w:bookmarkEnd w:id="180"/>
      <w:bookmarkEnd w:id="181"/>
      <w:bookmarkEnd w:id="182"/>
      <w:bookmarkEnd w:id="183"/>
      <w:bookmarkEnd w:id="184"/>
      <w:r w:rsidRPr="00084D33">
        <w:rPr>
          <w:rFonts w:cs="Times New Roman"/>
          <w:b/>
        </w:rPr>
        <w:t xml:space="preserve"> </w:t>
      </w:r>
    </w:p>
    <w:p w14:paraId="0CA4BD51" w14:textId="77777777" w:rsidR="00C33965" w:rsidRPr="00084D33" w:rsidRDefault="00C33965" w:rsidP="00C771EC">
      <w:pPr>
        <w:rPr>
          <w:rFonts w:cs="Times New Roman"/>
          <w:lang w:eastAsia="es-DO"/>
        </w:rPr>
      </w:pPr>
    </w:p>
    <w:p w14:paraId="46589412" w14:textId="3D01ECA6" w:rsidR="00013D69" w:rsidRPr="00084D33" w:rsidRDefault="00F13A4D" w:rsidP="00C771EC">
      <w:pPr>
        <w:pStyle w:val="Textoindependiente"/>
        <w:spacing w:line="360" w:lineRule="auto"/>
        <w:jc w:val="both"/>
        <w:rPr>
          <w:color w:val="767171"/>
        </w:rPr>
      </w:pPr>
      <w:r w:rsidRPr="00084D33">
        <w:rPr>
          <w:color w:val="767171"/>
        </w:rPr>
        <w:t>Continuidad en la gestión ambiental de los proyectos que realiza el MOPC, acatando las directrices de las normas que establece la Ley No. 64-00, referente a la Conservación, Mejoramiento y Restauración del Medio Ambiente y Recursos Naturales y en coordinación con el Ministerio de Medio Ambiente y Recursos Naturales (MIMARENA) como órgano rector  de las normas requeridas para una correcta ejecución de los proyectos, contemplando todas las medidas de prevención, control y mitigación previstas en los planes de Gestión Ambiental de los mismos. De esta forma, en observancia a las normas establecidas  previo al inicio de la ejecución de los proyectos de inversión, se gestionan los permisos y/o licencias ambientales correspondientes, para establecer los impactos negativos a mitigar durante el proceso constructivo y operativo de las obras</w:t>
      </w:r>
      <w:r w:rsidR="00013D69" w:rsidRPr="00084D33">
        <w:rPr>
          <w:color w:val="767171"/>
        </w:rPr>
        <w:t>.</w:t>
      </w:r>
    </w:p>
    <w:p w14:paraId="1AA44D12" w14:textId="51FACE74" w:rsidR="00C33965" w:rsidRPr="00084D33" w:rsidRDefault="00C33965" w:rsidP="00D131A1">
      <w:pPr>
        <w:pStyle w:val="Ttulo2"/>
        <w:numPr>
          <w:ilvl w:val="1"/>
          <w:numId w:val="4"/>
        </w:numPr>
        <w:spacing w:line="360" w:lineRule="auto"/>
        <w:ind w:left="0" w:firstLine="0"/>
        <w:jc w:val="both"/>
        <w:rPr>
          <w:rFonts w:cs="Times New Roman"/>
          <w:b/>
        </w:rPr>
      </w:pPr>
      <w:bookmarkStart w:id="185" w:name="_Toc472434788"/>
      <w:bookmarkStart w:id="186" w:name="_Toc471986277"/>
      <w:bookmarkStart w:id="187" w:name="_Toc1418580"/>
      <w:bookmarkStart w:id="188" w:name="_Toc59361442"/>
      <w:bookmarkStart w:id="189" w:name="_Toc156240587"/>
      <w:bookmarkStart w:id="190" w:name="_Toc186924387"/>
      <w:r w:rsidRPr="00084D33">
        <w:rPr>
          <w:rFonts w:cs="Times New Roman"/>
          <w:b/>
        </w:rPr>
        <w:lastRenderedPageBreak/>
        <w:t>Cohesión Territorial</w:t>
      </w:r>
      <w:bookmarkEnd w:id="185"/>
      <w:bookmarkEnd w:id="186"/>
      <w:bookmarkEnd w:id="187"/>
      <w:bookmarkEnd w:id="188"/>
      <w:bookmarkEnd w:id="189"/>
      <w:bookmarkEnd w:id="190"/>
      <w:r w:rsidRPr="00084D33">
        <w:rPr>
          <w:rFonts w:cs="Times New Roman"/>
          <w:b/>
        </w:rPr>
        <w:t xml:space="preserve"> </w:t>
      </w:r>
    </w:p>
    <w:p w14:paraId="2C2D5A85" w14:textId="77777777" w:rsidR="00C33965" w:rsidRPr="00084D33" w:rsidRDefault="00C33965" w:rsidP="00C771EC">
      <w:pPr>
        <w:rPr>
          <w:rFonts w:cs="Times New Roman"/>
          <w:lang w:eastAsia="es-DO"/>
        </w:rPr>
      </w:pPr>
    </w:p>
    <w:p w14:paraId="5760C3AA" w14:textId="05E8CBA0" w:rsidR="00013D69" w:rsidRPr="00084D33" w:rsidRDefault="00013D69" w:rsidP="00C771EC">
      <w:pPr>
        <w:pStyle w:val="Textoindependiente"/>
        <w:spacing w:line="360" w:lineRule="auto"/>
        <w:jc w:val="both"/>
        <w:rPr>
          <w:color w:val="767171"/>
        </w:rPr>
      </w:pPr>
      <w:r w:rsidRPr="00084D33">
        <w:rPr>
          <w:color w:val="767171"/>
        </w:rPr>
        <w:t xml:space="preserve">El Ministerio de Obras Públicas y Comunicaciones (MOPC), propicia un patrón de desarrollo con mayor cohesión territorial, con la ejecución de proyectos de construcción y reconstrucción de </w:t>
      </w:r>
      <w:r w:rsidR="00CC105A" w:rsidRPr="00084D33">
        <w:rPr>
          <w:color w:val="767171"/>
        </w:rPr>
        <w:t xml:space="preserve">la </w:t>
      </w:r>
      <w:r w:rsidRPr="00084D33">
        <w:rPr>
          <w:color w:val="767171"/>
        </w:rPr>
        <w:t xml:space="preserve">infraestructura vial </w:t>
      </w:r>
      <w:r w:rsidR="00CC105A" w:rsidRPr="00084D33">
        <w:rPr>
          <w:color w:val="767171"/>
        </w:rPr>
        <w:t xml:space="preserve">rural, </w:t>
      </w:r>
      <w:r w:rsidRPr="00084D33">
        <w:rPr>
          <w:color w:val="767171"/>
        </w:rPr>
        <w:t xml:space="preserve">que </w:t>
      </w:r>
      <w:r w:rsidR="00CC105A" w:rsidRPr="00084D33">
        <w:rPr>
          <w:color w:val="767171"/>
        </w:rPr>
        <w:t xml:space="preserve">permitirá </w:t>
      </w:r>
      <w:r w:rsidRPr="00084D33">
        <w:rPr>
          <w:color w:val="767171"/>
        </w:rPr>
        <w:t xml:space="preserve">mejorar la </w:t>
      </w:r>
      <w:r w:rsidR="00464E43" w:rsidRPr="00084D33">
        <w:rPr>
          <w:color w:val="767171"/>
        </w:rPr>
        <w:t xml:space="preserve">conexión </w:t>
      </w:r>
      <w:r w:rsidRPr="00084D33">
        <w:rPr>
          <w:color w:val="767171"/>
        </w:rPr>
        <w:t>entre las distintas regiones del país, al incrementar la movilidad y reducir el tiempo de recorrido entre los territorios enlazados, generando las condiciones favorables para el intercambio comercial de forma segura, rápida y confortable, reduciendo los costos de operación vehicular, el tiempo de viaje, el número de accidentes y los impactos ambientales negativos.</w:t>
      </w:r>
    </w:p>
    <w:p w14:paraId="7AE1BCE0" w14:textId="77777777" w:rsidR="00C771EC" w:rsidRPr="00084D33" w:rsidRDefault="00C771EC" w:rsidP="00C771EC">
      <w:pPr>
        <w:pStyle w:val="Textoindependiente"/>
        <w:spacing w:line="360" w:lineRule="auto"/>
        <w:jc w:val="both"/>
        <w:rPr>
          <w:color w:val="767171"/>
        </w:rPr>
      </w:pPr>
    </w:p>
    <w:p w14:paraId="2FC80776" w14:textId="707D1857" w:rsidR="00013D69" w:rsidRPr="00084D33" w:rsidRDefault="00F13A4D" w:rsidP="00C771EC">
      <w:pPr>
        <w:pStyle w:val="Textoindependiente"/>
        <w:spacing w:line="360" w:lineRule="auto"/>
        <w:jc w:val="both"/>
        <w:rPr>
          <w:color w:val="767171"/>
        </w:rPr>
      </w:pPr>
      <w:r w:rsidRPr="00084D33">
        <w:rPr>
          <w:color w:val="767171"/>
        </w:rPr>
        <w:t xml:space="preserve">La ejecución continua del Ministerio de Obras Públicas y Comunicaciones (MOPC) de los denominados “macro-proyectos”, es un objetivo prioritario en la agenda de políticas públicas que contribuye a incrementar la integración o cohesión territorial del país. Durante el periodo enero-diciembre del 2024, se concluyeron  y/o se encuentran en proceso de ejecución importantes proyectos de infraestructura vial en las diferentes regiones del país, entre los cuales se destacan: a) Reconstrucción de la capa de rodadura de la Autopista Juan Pablo Duarte (Marginales, Elevados, Control de accesos, etc.), Multiprovincial; b) Construcción Avenida de Circunvalación de Baní; c) Construcción Avenida de Circunvalación Nuevo Camino, en Los Alcarrizos; d) Construcción Avenida de Circunvalación de San Francisco de Macorís; e) Construcción Avenida de Circunvalación de Navarrete; f) Mejoramiento del Puerto de Manzanillo y sus vías de conectividad, Provincia Montecristi; g) Construcción Solución Vial Prolongación Av. 27 de Febrero - Av. Isabel Aguiar (Paso Inferior, tipo trinchera), conectando con la 6 de Noviembre, en el Distrito Nacional;  h)  Ampliación Vial Km 9 de la Autopista Duarte con Avenida Gregorio Luperón, Municipio Santo Domingo Norte; i) Programa de Rehabilitación y Mantenimiento de Carreteras (117 km) y Caminos Vecinales (884 km) a </w:t>
      </w:r>
      <w:r w:rsidRPr="00084D33">
        <w:rPr>
          <w:color w:val="767171"/>
        </w:rPr>
        <w:lastRenderedPageBreak/>
        <w:t>nivel nacional; j) Programa de Mejoramiento de Obras Públicas para reducir riesgos de desastres en el contexto del cambio climático a nivel nacional; k) Programa de Desarrollo Agroforestal Sostenible,  entre otros</w:t>
      </w:r>
      <w:r w:rsidR="00013D69" w:rsidRPr="00084D33">
        <w:rPr>
          <w:color w:val="767171"/>
        </w:rPr>
        <w:t>.</w:t>
      </w:r>
    </w:p>
    <w:p w14:paraId="476709F2" w14:textId="061EE011" w:rsidR="00BE02B6" w:rsidRPr="00084D33" w:rsidRDefault="00BE02B6" w:rsidP="00C771EC">
      <w:pPr>
        <w:rPr>
          <w:rFonts w:cs="Times New Roman"/>
        </w:rPr>
      </w:pPr>
    </w:p>
    <w:p w14:paraId="04366751" w14:textId="49317CB3" w:rsidR="00E00356" w:rsidRPr="00084D33" w:rsidRDefault="00E00356">
      <w:pPr>
        <w:spacing w:after="160" w:line="259" w:lineRule="auto"/>
        <w:jc w:val="left"/>
        <w:rPr>
          <w:rFonts w:cs="Times New Roman"/>
        </w:rPr>
      </w:pPr>
    </w:p>
    <w:p w14:paraId="4D5D0A12" w14:textId="1BB4466D" w:rsidR="00C33965" w:rsidRPr="00084D33" w:rsidRDefault="00C33965" w:rsidP="00D131A1">
      <w:pPr>
        <w:pStyle w:val="Ttulo2"/>
        <w:numPr>
          <w:ilvl w:val="1"/>
          <w:numId w:val="4"/>
        </w:numPr>
        <w:spacing w:line="360" w:lineRule="auto"/>
        <w:ind w:left="0" w:firstLine="0"/>
        <w:jc w:val="both"/>
        <w:rPr>
          <w:rFonts w:cs="Times New Roman"/>
          <w:b/>
        </w:rPr>
      </w:pPr>
      <w:bookmarkStart w:id="191" w:name="_Toc472434789"/>
      <w:bookmarkStart w:id="192" w:name="_Toc471986278"/>
      <w:bookmarkStart w:id="193" w:name="_Toc1418581"/>
      <w:bookmarkStart w:id="194" w:name="_Toc59361443"/>
      <w:bookmarkStart w:id="195" w:name="_Toc156240588"/>
      <w:bookmarkStart w:id="196" w:name="_Toc186924388"/>
      <w:r w:rsidRPr="00084D33">
        <w:rPr>
          <w:rFonts w:cs="Times New Roman"/>
          <w:b/>
        </w:rPr>
        <w:t>Participación en Políticas Públicas</w:t>
      </w:r>
      <w:bookmarkEnd w:id="191"/>
      <w:bookmarkEnd w:id="192"/>
      <w:bookmarkEnd w:id="193"/>
      <w:bookmarkEnd w:id="194"/>
      <w:bookmarkEnd w:id="195"/>
      <w:bookmarkEnd w:id="196"/>
    </w:p>
    <w:p w14:paraId="55576285" w14:textId="680F9DF2" w:rsidR="00D618EB" w:rsidRPr="00084D33" w:rsidRDefault="00D618EB" w:rsidP="00D618EB">
      <w:pPr>
        <w:pStyle w:val="Textoindependiente"/>
        <w:spacing w:line="360" w:lineRule="auto"/>
        <w:jc w:val="both"/>
        <w:rPr>
          <w:color w:val="767171"/>
        </w:rPr>
      </w:pPr>
      <w:r w:rsidRPr="00084D33">
        <w:rPr>
          <w:rFonts w:eastAsiaTheme="minorHAnsi"/>
          <w:color w:val="767171"/>
          <w:szCs w:val="22"/>
          <w:lang w:val="es-DO" w:eastAsia="es-DO" w:bidi="ar-SA"/>
        </w:rPr>
        <w:t>El</w:t>
      </w:r>
      <w:r w:rsidRPr="00084D33">
        <w:rPr>
          <w:color w:val="767171"/>
        </w:rPr>
        <w:t xml:space="preserve"> Ministerio de Obras Públicas y Comunicaciones (MOPC) continuó durante el año 2024, aplicando en sus ejecutorias las  políticas públicas definidas por El Gobierno Dominicano para las instituciones, entre las cuales se destacan las siguientes:</w:t>
      </w:r>
    </w:p>
    <w:p w14:paraId="146B6561" w14:textId="77777777" w:rsidR="00D618EB" w:rsidRPr="00084D33" w:rsidRDefault="00D618EB" w:rsidP="00D618EB">
      <w:pPr>
        <w:pStyle w:val="Textoindependiente"/>
        <w:spacing w:line="360" w:lineRule="auto"/>
        <w:jc w:val="both"/>
        <w:rPr>
          <w:color w:val="767171"/>
        </w:rPr>
      </w:pPr>
    </w:p>
    <w:p w14:paraId="771D04A4" w14:textId="77777777" w:rsidR="00D618EB" w:rsidRPr="00084D33" w:rsidRDefault="00D618EB" w:rsidP="00D618EB">
      <w:pPr>
        <w:spacing w:line="240" w:lineRule="auto"/>
        <w:ind w:left="360"/>
        <w:rPr>
          <w:rFonts w:cs="Times New Roman"/>
        </w:rPr>
      </w:pPr>
    </w:p>
    <w:p w14:paraId="75BEDF19" w14:textId="6106D2F2"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Plan de Asistencia y Protección Vial en los principales corredores urbanos y rurales del país, se ejecuta conjuntamente con la Dirección General de Seguridad de Tránsito y Transporte Terrestre (DIGESETT) de la Policía Nacional;</w:t>
      </w:r>
    </w:p>
    <w:p w14:paraId="3681B639"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Plan de Seguridad Ciudadana, se lleva a efecto en coordinación con el Ministerio de Defensa (MIDEF);</w:t>
      </w:r>
    </w:p>
    <w:p w14:paraId="755A2488"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Sistema Nacional de Atención a las Emergencias y Seguridad 911, se realiza en coordinación con las instituciones relacionadas: Ministerio de la Presidencia, Ministerio de Interior y Policía, Procuraduría General de la República, Ministerio de Salud Pública y Asistencia Social, Policía Nacional, ONAMET, INDOTEL, OPTIC, Liga Municipal, Defensa Civil, Dominicana GOB, entre otras; </w:t>
      </w:r>
    </w:p>
    <w:p w14:paraId="7680795D"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Acuerdo entre el Ministerio de Obras Publicas y Comunicaciones (MOPC) y la Oficina Nacional de Evaluación Sísmica y Vulnerabilidad de Infraestructura y Edificaciones (ONESVIE), para el mantenimiento oportuno de los puentes del país y la evaluación de la vulnerabilidad de los mismos, que permitirán </w:t>
      </w:r>
      <w:r w:rsidRPr="00084D33">
        <w:rPr>
          <w:rFonts w:eastAsia="Times New Roman" w:cs="Times New Roman"/>
          <w:szCs w:val="24"/>
          <w:lang w:val="es-ES" w:eastAsia="es-ES" w:bidi="es-ES"/>
        </w:rPr>
        <w:lastRenderedPageBreak/>
        <w:t xml:space="preserve">desarrollar estrategias conjuntas para mejorar cada una de las estructuras. </w:t>
      </w:r>
    </w:p>
    <w:p w14:paraId="1F4D6836"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Sistema Tecnologías de la Información y Comunicación (TIC) y el Sistema de Gobierno Electrónico implementado en el MOPC, en coordinación con las instituciones relacionadas: Ministerio de la Presidencia, OPTIC, y todas las instituciones gubernamentales; </w:t>
      </w:r>
    </w:p>
    <w:p w14:paraId="5E483819"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Sistema de Monitoreo y Medición de la Gestión Pública (SMMGP), instrumento para controlar y evaluar las acciones desarrolladas por las instituciones gubernamentales durante un periodo de tiempo establecido.</w:t>
      </w:r>
    </w:p>
    <w:p w14:paraId="139D005C"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Sistema de Monitoreo de la Administración Pública (SISMAP), proceso de evaluación del desempeño por competencias, establecido por el Ministerio de Administración Pública (MAP) para las instituciones gubernamentales.</w:t>
      </w:r>
    </w:p>
    <w:p w14:paraId="32A927A6"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Medidas de Control Medio-Ambientales para los proyectos en ejecución del MOPC, en coordinación con el Ministerio de Medio Ambiente y Recursos Naturales (MIMARENA);</w:t>
      </w:r>
    </w:p>
    <w:p w14:paraId="51514162"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Plan de Mejora de la infraestructura vial en zonas turísticas del país, en coordinación con el Ministerio de Turismo (MITUR) y con los Ayuntamientos Provinciales; </w:t>
      </w:r>
    </w:p>
    <w:p w14:paraId="5F34EF1C"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Participación en el cumplimiento de la política nacional de movilidad, transporte terrestre nacional e internacional, tránsito y seguridad vial con el Instituto Nacional de Tránsito y Transporte Terrestre (INTRANT), entre otras. </w:t>
      </w:r>
    </w:p>
    <w:p w14:paraId="1E800C4C" w14:textId="5DD7832D" w:rsidR="00013D69" w:rsidRPr="00084D33" w:rsidRDefault="00013D69" w:rsidP="00C771EC">
      <w:pPr>
        <w:pStyle w:val="Textoindependiente"/>
        <w:spacing w:line="360" w:lineRule="auto"/>
        <w:jc w:val="both"/>
        <w:rPr>
          <w:color w:val="767171"/>
        </w:rPr>
      </w:pPr>
    </w:p>
    <w:p w14:paraId="2A749030" w14:textId="77777777" w:rsidR="00071FA3" w:rsidRPr="00084D33" w:rsidRDefault="00071FA3" w:rsidP="00071FA3">
      <w:pPr>
        <w:spacing w:line="240" w:lineRule="auto"/>
        <w:ind w:left="360"/>
        <w:rPr>
          <w:rFonts w:cs="Times New Roman"/>
        </w:rPr>
      </w:pPr>
    </w:p>
    <w:p w14:paraId="017574E8" w14:textId="20AE3B42" w:rsidR="00C33965" w:rsidRPr="00084D33" w:rsidRDefault="00C33965" w:rsidP="00434A4D">
      <w:pPr>
        <w:rPr>
          <w:rFonts w:cs="Times New Roman"/>
        </w:rPr>
      </w:pPr>
    </w:p>
    <w:p w14:paraId="57241A15" w14:textId="77777777" w:rsidR="00E00356" w:rsidRPr="00084D33" w:rsidRDefault="00E00356" w:rsidP="00434A4D">
      <w:pPr>
        <w:rPr>
          <w:rFonts w:cs="Times New Roman"/>
        </w:rPr>
      </w:pPr>
    </w:p>
    <w:p w14:paraId="12128894" w14:textId="5B437723" w:rsidR="00C33965" w:rsidRPr="00084D33" w:rsidRDefault="00C33965" w:rsidP="00D131A1">
      <w:pPr>
        <w:pStyle w:val="Ttulo2"/>
        <w:numPr>
          <w:ilvl w:val="1"/>
          <w:numId w:val="4"/>
        </w:numPr>
        <w:spacing w:line="360" w:lineRule="auto"/>
        <w:ind w:left="0" w:firstLine="0"/>
        <w:rPr>
          <w:rFonts w:cs="Times New Roman"/>
          <w:b/>
        </w:rPr>
      </w:pPr>
      <w:r w:rsidRPr="00084D33">
        <w:rPr>
          <w:rFonts w:cs="Times New Roman"/>
        </w:rPr>
        <w:lastRenderedPageBreak/>
        <w:t xml:space="preserve"> </w:t>
      </w:r>
      <w:bookmarkStart w:id="197" w:name="_Toc1418582"/>
      <w:bookmarkStart w:id="198" w:name="_Toc59361444"/>
      <w:bookmarkStart w:id="199" w:name="_Toc156240589"/>
      <w:bookmarkStart w:id="200" w:name="_Toc186924389"/>
      <w:r w:rsidRPr="00084D33">
        <w:rPr>
          <w:rFonts w:cs="Times New Roman"/>
          <w:b/>
        </w:rPr>
        <w:t xml:space="preserve">Medidas de Políticas Sectoriales </w:t>
      </w:r>
      <w:r w:rsidR="001D3E75" w:rsidRPr="00084D33">
        <w:rPr>
          <w:rFonts w:cs="Times New Roman"/>
          <w:b/>
        </w:rPr>
        <w:t>Enero</w:t>
      </w:r>
      <w:r w:rsidRPr="00084D33">
        <w:rPr>
          <w:rFonts w:cs="Times New Roman"/>
          <w:b/>
        </w:rPr>
        <w:t>-</w:t>
      </w:r>
      <w:r w:rsidR="001D3E75" w:rsidRPr="00084D33">
        <w:rPr>
          <w:rFonts w:cs="Times New Roman"/>
          <w:b/>
        </w:rPr>
        <w:t>Diciembre</w:t>
      </w:r>
      <w:r w:rsidR="00BE02B6" w:rsidRPr="00084D33">
        <w:rPr>
          <w:rFonts w:cs="Times New Roman"/>
          <w:b/>
        </w:rPr>
        <w:t xml:space="preserve"> </w:t>
      </w:r>
      <w:bookmarkEnd w:id="197"/>
      <w:bookmarkEnd w:id="198"/>
      <w:r w:rsidR="00F43D7E" w:rsidRPr="00084D33">
        <w:rPr>
          <w:rFonts w:cs="Times New Roman"/>
          <w:b/>
        </w:rPr>
        <w:t>2024</w:t>
      </w:r>
      <w:bookmarkEnd w:id="199"/>
      <w:bookmarkEnd w:id="200"/>
    </w:p>
    <w:p w14:paraId="6C0E5441" w14:textId="095D5F5E" w:rsidR="00C33965" w:rsidRPr="00084D33" w:rsidRDefault="00C33965" w:rsidP="00434A4D">
      <w:pPr>
        <w:rPr>
          <w:rFonts w:cs="Times New Roman"/>
        </w:rPr>
      </w:pPr>
    </w:p>
    <w:p w14:paraId="58CD5B13" w14:textId="77FA46AD" w:rsidR="006B18E7" w:rsidRPr="00084D33" w:rsidRDefault="006B18E7" w:rsidP="00C771EC">
      <w:pPr>
        <w:pStyle w:val="Textoindependiente"/>
        <w:spacing w:line="360" w:lineRule="auto"/>
        <w:jc w:val="both"/>
        <w:rPr>
          <w:color w:val="767171"/>
        </w:rPr>
      </w:pPr>
      <w:r w:rsidRPr="00084D33">
        <w:rPr>
          <w:color w:val="767171"/>
        </w:rPr>
        <w:t xml:space="preserve">Durante el periodo </w:t>
      </w:r>
      <w:r w:rsidR="000A17C8" w:rsidRPr="00084D33">
        <w:rPr>
          <w:color w:val="767171"/>
        </w:rPr>
        <w:t>enero-diciembre</w:t>
      </w:r>
      <w:r w:rsidR="006C0CCA" w:rsidRPr="00084D33">
        <w:rPr>
          <w:color w:val="767171"/>
        </w:rPr>
        <w:t xml:space="preserve"> del año 2024</w:t>
      </w:r>
      <w:r w:rsidRPr="00084D33">
        <w:rPr>
          <w:color w:val="767171"/>
        </w:rPr>
        <w:t>, el Ministerio de Obras Pú</w:t>
      </w:r>
      <w:r w:rsidR="00D618EB" w:rsidRPr="00084D33">
        <w:rPr>
          <w:color w:val="767171"/>
        </w:rPr>
        <w:t>blicas y Comunicaciones (MOPC), continuó sus ejecutorias aplicando las políticas del subsector transporte terrestre que impactan significativamente en los usuarios del referido subsector. Entre las medidas de políticas sectoriales implementadas por la institución en el año en curso, se destacan</w:t>
      </w:r>
      <w:r w:rsidRPr="00084D33">
        <w:rPr>
          <w:color w:val="767171"/>
        </w:rPr>
        <w:t>:</w:t>
      </w:r>
    </w:p>
    <w:p w14:paraId="19BE8A5B" w14:textId="77777777" w:rsidR="00C771EC" w:rsidRPr="00084D33" w:rsidRDefault="00C771EC" w:rsidP="00C771EC">
      <w:pPr>
        <w:pStyle w:val="Textoindependiente"/>
        <w:spacing w:line="360" w:lineRule="auto"/>
        <w:jc w:val="both"/>
        <w:rPr>
          <w:color w:val="767171"/>
        </w:rPr>
      </w:pPr>
    </w:p>
    <w:p w14:paraId="00E4EE7B" w14:textId="1F627584"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Mejora progresiva de la red vial pavimentada urbana e interurbana y apoyo al mantenimiento de la red terciaria, específicamente carreteras locales y caminos vecinales.</w:t>
      </w:r>
      <w:r w:rsidR="004C6A3C" w:rsidRPr="00084D33">
        <w:rPr>
          <w:rFonts w:eastAsia="Times New Roman" w:cs="Times New Roman"/>
          <w:szCs w:val="24"/>
          <w:lang w:val="es-ES" w:eastAsia="es-ES" w:bidi="es-ES"/>
        </w:rPr>
        <w:t xml:space="preserve"> </w:t>
      </w:r>
    </w:p>
    <w:p w14:paraId="5E1F8BDA" w14:textId="0695FF48"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Fortalecer la accesibilidad territorial, básicamente en los centros rurales y urbanos estratégicos para el desarrollo y seguridad de los usuarios.</w:t>
      </w:r>
    </w:p>
    <w:p w14:paraId="19FD3EC5" w14:textId="09B066E4" w:rsidR="003F7B5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Mejora de la movilidad urbana en las principales ciudades del país.</w:t>
      </w:r>
    </w:p>
    <w:p w14:paraId="1DE31AC4" w14:textId="4CA33DA6"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Sostenibilidad e </w:t>
      </w:r>
      <w:r w:rsidR="00632724" w:rsidRPr="00084D33">
        <w:rPr>
          <w:rFonts w:eastAsia="Times New Roman" w:cs="Times New Roman"/>
          <w:szCs w:val="24"/>
          <w:lang w:val="es-ES" w:eastAsia="es-ES" w:bidi="es-ES"/>
        </w:rPr>
        <w:t>i</w:t>
      </w:r>
      <w:r w:rsidRPr="00084D33">
        <w:rPr>
          <w:rFonts w:eastAsia="Times New Roman" w:cs="Times New Roman"/>
          <w:szCs w:val="24"/>
          <w:lang w:val="es-ES" w:eastAsia="es-ES" w:bidi="es-ES"/>
        </w:rPr>
        <w:t xml:space="preserve">ncremento de las Asistencias Viales que proporcionan seguridad personal y vial a los usuarios en los </w:t>
      </w:r>
      <w:r w:rsidR="00105A52" w:rsidRPr="00084D33">
        <w:rPr>
          <w:rFonts w:eastAsia="Times New Roman" w:cs="Times New Roman"/>
          <w:szCs w:val="24"/>
          <w:lang w:val="es-ES" w:eastAsia="es-ES" w:bidi="es-ES"/>
        </w:rPr>
        <w:t xml:space="preserve">corredores viales urbanos y rurales </w:t>
      </w:r>
      <w:r w:rsidRPr="00084D33">
        <w:rPr>
          <w:rFonts w:eastAsia="Times New Roman" w:cs="Times New Roman"/>
          <w:szCs w:val="24"/>
          <w:lang w:val="es-ES" w:eastAsia="es-ES" w:bidi="es-ES"/>
        </w:rPr>
        <w:t>que opera COMIPOL / MOPC.</w:t>
      </w:r>
    </w:p>
    <w:p w14:paraId="3F521C3F" w14:textId="38B98D09"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Ponderar el análisis técnico con los procedimientos internacionalmente vigentes sobre la vulnerabilidad y riesgos para reducir los impactos en la infraestructura de transporte frente a la ocurrencia de fenómenos naturales.</w:t>
      </w:r>
    </w:p>
    <w:p w14:paraId="416456E7" w14:textId="7A084BC2" w:rsidR="00F46715" w:rsidRPr="00084D33" w:rsidRDefault="00F46715"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Fortalecer la seguridad de los usuarios con la construcción de edificios de parqueos en el Distrito Nacional y en las principales ciudades del país</w:t>
      </w:r>
      <w:r w:rsidR="00D618EB" w:rsidRPr="00084D33">
        <w:rPr>
          <w:rFonts w:eastAsia="Times New Roman" w:cs="Times New Roman"/>
          <w:szCs w:val="24"/>
          <w:lang w:val="es-ES" w:eastAsia="es-ES" w:bidi="es-ES"/>
        </w:rPr>
        <w:t>, entre otras</w:t>
      </w:r>
      <w:r w:rsidRPr="00084D33">
        <w:rPr>
          <w:rFonts w:eastAsia="Times New Roman" w:cs="Times New Roman"/>
          <w:szCs w:val="24"/>
          <w:lang w:val="es-ES" w:eastAsia="es-ES" w:bidi="es-ES"/>
        </w:rPr>
        <w:t>.</w:t>
      </w:r>
    </w:p>
    <w:p w14:paraId="61DB895D" w14:textId="77777777" w:rsidR="003F7B57" w:rsidRPr="00084D33" w:rsidRDefault="003F7B57" w:rsidP="00730B29">
      <w:pPr>
        <w:spacing w:after="160" w:line="240" w:lineRule="auto"/>
        <w:rPr>
          <w:rFonts w:cs="Times New Roman"/>
          <w:szCs w:val="24"/>
        </w:rPr>
      </w:pPr>
    </w:p>
    <w:p w14:paraId="6135C699" w14:textId="222AF2C4" w:rsidR="006B18E7" w:rsidRPr="00084D33" w:rsidRDefault="00632724" w:rsidP="009A41B9">
      <w:pPr>
        <w:pStyle w:val="Lista"/>
        <w:rPr>
          <w:rFonts w:cs="Times New Roman"/>
          <w:szCs w:val="24"/>
        </w:rPr>
      </w:pPr>
      <w:r w:rsidRPr="00084D33">
        <w:rPr>
          <w:rFonts w:cs="Times New Roman"/>
        </w:rPr>
        <w:lastRenderedPageBreak/>
        <w:t>e</w:t>
      </w:r>
      <w:r w:rsidRPr="00084D33">
        <w:rPr>
          <w:rFonts w:cs="Times New Roman"/>
          <w:szCs w:val="24"/>
        </w:rPr>
        <w:t>.1</w:t>
      </w:r>
      <w:r w:rsidR="009A41B9" w:rsidRPr="00084D33">
        <w:rPr>
          <w:rFonts w:cs="Times New Roman"/>
          <w:szCs w:val="24"/>
        </w:rPr>
        <w:tab/>
      </w:r>
      <w:r w:rsidR="006B18E7" w:rsidRPr="00084D33">
        <w:rPr>
          <w:rFonts w:cs="Times New Roman"/>
          <w:szCs w:val="24"/>
        </w:rPr>
        <w:t xml:space="preserve">En la mejora progresiva de la red vial durante el año </w:t>
      </w:r>
      <w:r w:rsidR="00F43D7E" w:rsidRPr="00084D33">
        <w:rPr>
          <w:rFonts w:cs="Times New Roman"/>
          <w:szCs w:val="24"/>
        </w:rPr>
        <w:t>2024</w:t>
      </w:r>
      <w:r w:rsidR="006B18E7" w:rsidRPr="00084D33">
        <w:rPr>
          <w:rFonts w:cs="Times New Roman"/>
          <w:szCs w:val="24"/>
        </w:rPr>
        <w:t xml:space="preserve">, </w:t>
      </w:r>
      <w:r w:rsidR="00D618EB" w:rsidRPr="00084D33">
        <w:rPr>
          <w:rFonts w:cs="Times New Roman"/>
          <w:szCs w:val="24"/>
        </w:rPr>
        <w:t>se intervinieron alrededor de 6,174 kilómetros de Carreteras, Calles</w:t>
      </w:r>
      <w:r w:rsidR="006B18E7" w:rsidRPr="00084D33">
        <w:rPr>
          <w:rFonts w:cs="Times New Roman"/>
          <w:szCs w:val="24"/>
        </w:rPr>
        <w:t>, Avenidas y Caminos V</w:t>
      </w:r>
      <w:r w:rsidR="00D618EB" w:rsidRPr="00084D33">
        <w:rPr>
          <w:rFonts w:cs="Times New Roman"/>
          <w:szCs w:val="24"/>
        </w:rPr>
        <w:t>ecinales a nivel nacional</w:t>
      </w:r>
      <w:r w:rsidR="006B18E7" w:rsidRPr="00084D33">
        <w:rPr>
          <w:rFonts w:cs="Times New Roman"/>
          <w:szCs w:val="24"/>
        </w:rPr>
        <w:t>.</w:t>
      </w:r>
    </w:p>
    <w:p w14:paraId="3050E713" w14:textId="77777777" w:rsidR="004E5BD7" w:rsidRPr="00084D33" w:rsidRDefault="004E5BD7" w:rsidP="009A41B9">
      <w:pPr>
        <w:pStyle w:val="Lista"/>
        <w:rPr>
          <w:rFonts w:cs="Times New Roman"/>
          <w:szCs w:val="24"/>
        </w:rPr>
      </w:pPr>
    </w:p>
    <w:p w14:paraId="07999B93" w14:textId="564AE955" w:rsidR="006B18E7" w:rsidRPr="00084D33" w:rsidRDefault="00632724" w:rsidP="009A41B9">
      <w:pPr>
        <w:pStyle w:val="Lista"/>
        <w:rPr>
          <w:rFonts w:cs="Times New Roman"/>
          <w:szCs w:val="24"/>
        </w:rPr>
      </w:pPr>
      <w:r w:rsidRPr="00084D33">
        <w:rPr>
          <w:rFonts w:cs="Times New Roman"/>
          <w:szCs w:val="24"/>
        </w:rPr>
        <w:t>e.2</w:t>
      </w:r>
      <w:r w:rsidR="009A41B9" w:rsidRPr="00084D33">
        <w:rPr>
          <w:rFonts w:cs="Times New Roman"/>
          <w:szCs w:val="24"/>
        </w:rPr>
        <w:tab/>
      </w:r>
      <w:r w:rsidR="006B18E7" w:rsidRPr="00084D33">
        <w:rPr>
          <w:rFonts w:cs="Times New Roman"/>
          <w:szCs w:val="24"/>
        </w:rPr>
        <w:t xml:space="preserve">Para </w:t>
      </w:r>
      <w:r w:rsidR="00D618EB" w:rsidRPr="00084D33">
        <w:rPr>
          <w:rFonts w:cs="Times New Roman"/>
          <w:szCs w:val="24"/>
        </w:rPr>
        <w:t xml:space="preserve">el incremento de la movilidad urbana, el MOPC continua la  ejecución de importantes proyectos de </w:t>
      </w:r>
      <w:r w:rsidR="00E55155" w:rsidRPr="00084D33">
        <w:rPr>
          <w:rFonts w:cs="Times New Roman"/>
          <w:szCs w:val="24"/>
        </w:rPr>
        <w:t>infraestructura</w:t>
      </w:r>
      <w:r w:rsidR="00D618EB" w:rsidRPr="00084D33">
        <w:rPr>
          <w:rFonts w:cs="Times New Roman"/>
          <w:szCs w:val="24"/>
        </w:rPr>
        <w:t xml:space="preserve"> vial localizados en las principales ciudades del país, que contribuirán a optimizar la accesibilidad y conexión entre las ciudades y regiones de los usuarios, entre los cuales se destacan</w:t>
      </w:r>
      <w:r w:rsidR="006B18E7" w:rsidRPr="00084D33">
        <w:rPr>
          <w:rFonts w:cs="Times New Roman"/>
          <w:szCs w:val="24"/>
        </w:rPr>
        <w:t>:</w:t>
      </w:r>
    </w:p>
    <w:p w14:paraId="2C76168F" w14:textId="77777777" w:rsidR="004E5BD7" w:rsidRPr="00084D33" w:rsidRDefault="004E5BD7" w:rsidP="00D618EB">
      <w:pPr>
        <w:spacing w:after="160"/>
        <w:rPr>
          <w:rFonts w:eastAsia="Times New Roman" w:cs="Times New Roman"/>
          <w:szCs w:val="24"/>
          <w:lang w:eastAsia="es-ES" w:bidi="es-ES"/>
        </w:rPr>
      </w:pPr>
    </w:p>
    <w:p w14:paraId="10B35DE6"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Rehabilitación de la Autopista Duarte (Marginales, Elevados, Control de accesos, etc.); Condición actual: Ejecución.</w:t>
      </w:r>
    </w:p>
    <w:p w14:paraId="4C2600B1"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Construcción Avenida de Circunvalación de Baní, Provincia Peravia; Condición actual: Ejecución.</w:t>
      </w:r>
    </w:p>
    <w:p w14:paraId="68F572B8"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Construcción Avenida de Circunvalación Nuevo Camino, en Los Alcarrizos, Provincia Santo Domingo; Condición actual: Ejecución.</w:t>
      </w:r>
    </w:p>
    <w:p w14:paraId="2B3EF6AE"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Construcción Avenida de Circunvalación de San Francisco de Macorís, Provincia Duarte; Condición actual: Ejecución.</w:t>
      </w:r>
    </w:p>
    <w:p w14:paraId="298A3207"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Construcción de la Circunvalación Cruce de Chero-Cruce de Estancia Nueva en Moca, Provincia Espaillat; Condición actual: Ejecución.</w:t>
      </w:r>
    </w:p>
    <w:p w14:paraId="35ADEE97"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Construcción entrada a la ciudad de Samaná, Provincia Samaná. Condición actual: Ejecución.</w:t>
      </w:r>
    </w:p>
    <w:p w14:paraId="6CA6EB99" w14:textId="77777777" w:rsidR="00D618EB"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Construcción Solución Vial Prolongación Av. 27 de Febrero - Av. Isabel Aguiar (Paso Inferior, tipo trinchera), conectando con la 6 de Noviembre, en el Distrito Nacional; Condición actual: Ejecución</w:t>
      </w:r>
    </w:p>
    <w:p w14:paraId="3E49690F" w14:textId="2687E844" w:rsidR="00F46715" w:rsidRPr="00084D33" w:rsidRDefault="00D618EB"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lastRenderedPageBreak/>
        <w:t xml:space="preserve">Construcción </w:t>
      </w:r>
      <w:r w:rsidR="00E55155" w:rsidRPr="00084D33">
        <w:rPr>
          <w:rFonts w:eastAsia="Times New Roman" w:cs="Times New Roman"/>
          <w:szCs w:val="24"/>
          <w:lang w:val="es-ES" w:eastAsia="es-ES" w:bidi="es-ES"/>
        </w:rPr>
        <w:t>Solución</w:t>
      </w:r>
      <w:r w:rsidRPr="00084D33">
        <w:rPr>
          <w:rFonts w:eastAsia="Times New Roman" w:cs="Times New Roman"/>
          <w:szCs w:val="24"/>
          <w:lang w:val="es-ES" w:eastAsia="es-ES" w:bidi="es-ES"/>
        </w:rPr>
        <w:t xml:space="preserve"> del km 9 de la Autopista Duarte, Provincia Santo Domingo; Condición actual: Ejecución, entre otros</w:t>
      </w:r>
      <w:r w:rsidR="00B162B6" w:rsidRPr="00084D33">
        <w:rPr>
          <w:rFonts w:eastAsia="Times New Roman" w:cs="Times New Roman"/>
          <w:szCs w:val="24"/>
          <w:lang w:val="es-ES" w:eastAsia="es-ES" w:bidi="es-ES"/>
        </w:rPr>
        <w:t>.</w:t>
      </w:r>
    </w:p>
    <w:p w14:paraId="1EC92679" w14:textId="420A3323" w:rsidR="006B18E7" w:rsidRPr="00084D33" w:rsidRDefault="006B18E7" w:rsidP="00D34A19">
      <w:pPr>
        <w:spacing w:after="160"/>
        <w:rPr>
          <w:rFonts w:eastAsia="Times New Roman" w:cs="Times New Roman"/>
          <w:szCs w:val="24"/>
          <w:lang w:val="es-ES" w:eastAsia="es-ES" w:bidi="es-ES"/>
        </w:rPr>
      </w:pPr>
    </w:p>
    <w:p w14:paraId="7D6EBDB3" w14:textId="77777777" w:rsidR="00F46715" w:rsidRPr="00084D33" w:rsidRDefault="00F46715" w:rsidP="00730B29">
      <w:pPr>
        <w:spacing w:after="160" w:line="240" w:lineRule="auto"/>
        <w:rPr>
          <w:rFonts w:cs="Times New Roman"/>
          <w:szCs w:val="24"/>
        </w:rPr>
      </w:pPr>
    </w:p>
    <w:p w14:paraId="76BC846F" w14:textId="16541D13" w:rsidR="00C27F24" w:rsidRPr="00084D33" w:rsidRDefault="00632724" w:rsidP="009A41B9">
      <w:pPr>
        <w:pStyle w:val="Lista"/>
        <w:rPr>
          <w:rFonts w:cs="Times New Roman"/>
          <w:szCs w:val="24"/>
        </w:rPr>
      </w:pPr>
      <w:r w:rsidRPr="00084D33">
        <w:rPr>
          <w:rFonts w:cs="Times New Roman"/>
          <w:szCs w:val="24"/>
        </w:rPr>
        <w:t>e.3</w:t>
      </w:r>
      <w:r w:rsidR="009A41B9" w:rsidRPr="00084D33">
        <w:rPr>
          <w:rFonts w:cs="Times New Roman"/>
          <w:szCs w:val="24"/>
        </w:rPr>
        <w:tab/>
      </w:r>
      <w:r w:rsidR="006B18E7" w:rsidRPr="00084D33">
        <w:rPr>
          <w:rFonts w:cs="Times New Roman"/>
          <w:szCs w:val="24"/>
        </w:rPr>
        <w:t xml:space="preserve">La </w:t>
      </w:r>
      <w:r w:rsidR="00D34A19" w:rsidRPr="00084D33">
        <w:rPr>
          <w:rFonts w:cs="Times New Roman"/>
          <w:szCs w:val="24"/>
        </w:rPr>
        <w:t xml:space="preserve">seguridad vial de los usuarios en los principales corredores rurales y urbanos del país es una de las medidas de políticas sectoriales del Ministerio de Obras Públicas y Comunicaciones (MOPC) al proporcionar aproximadamente </w:t>
      </w:r>
      <w:r w:rsidR="00D34A19" w:rsidRPr="00084D33">
        <w:rPr>
          <w:rFonts w:eastAsia="Calibri"/>
        </w:rPr>
        <w:t xml:space="preserve">269,771 </w:t>
      </w:r>
      <w:r w:rsidR="00D34A19" w:rsidRPr="00084D33">
        <w:rPr>
          <w:rFonts w:cs="Times New Roman"/>
          <w:szCs w:val="24"/>
        </w:rPr>
        <w:t>asistencias por diferentes causas a los usuarios que recorren el sistema vial rural del país durante el periodo enero-diciembre del año 2024</w:t>
      </w:r>
      <w:r w:rsidR="006B18E7" w:rsidRPr="00084D33">
        <w:rPr>
          <w:rFonts w:cs="Times New Roman"/>
          <w:szCs w:val="24"/>
        </w:rPr>
        <w:t>.</w:t>
      </w:r>
    </w:p>
    <w:p w14:paraId="6FFAA56E" w14:textId="77777777" w:rsidR="00C27F24" w:rsidRPr="00084D33" w:rsidRDefault="00C27F24" w:rsidP="009A41B9">
      <w:pPr>
        <w:pStyle w:val="Lista"/>
        <w:rPr>
          <w:rFonts w:cs="Times New Roman"/>
          <w:szCs w:val="24"/>
        </w:rPr>
      </w:pPr>
    </w:p>
    <w:p w14:paraId="1D782B03" w14:textId="77777777" w:rsidR="00C27F24" w:rsidRPr="00084D33" w:rsidRDefault="009A41B9" w:rsidP="00C27F24">
      <w:pPr>
        <w:spacing w:after="160" w:line="240" w:lineRule="auto"/>
        <w:rPr>
          <w:rFonts w:cs="Times New Roman"/>
          <w:szCs w:val="24"/>
        </w:rPr>
      </w:pPr>
      <w:r w:rsidRPr="00084D33">
        <w:rPr>
          <w:rFonts w:cs="Times New Roman"/>
          <w:szCs w:val="24"/>
        </w:rPr>
        <w:tab/>
      </w:r>
    </w:p>
    <w:p w14:paraId="75700641" w14:textId="61CB7091" w:rsidR="00EB75F9" w:rsidRPr="00084D33" w:rsidRDefault="00C27F24" w:rsidP="00C27F24">
      <w:pPr>
        <w:pStyle w:val="Lista"/>
        <w:rPr>
          <w:rFonts w:cs="Times New Roman"/>
          <w:szCs w:val="24"/>
        </w:rPr>
      </w:pPr>
      <w:r w:rsidRPr="00084D33">
        <w:rPr>
          <w:rFonts w:cs="Times New Roman"/>
          <w:szCs w:val="24"/>
        </w:rPr>
        <w:t>e.4</w:t>
      </w:r>
      <w:r w:rsidRPr="00084D33">
        <w:rPr>
          <w:rFonts w:cs="Times New Roman"/>
          <w:szCs w:val="24"/>
        </w:rPr>
        <w:tab/>
      </w:r>
      <w:r w:rsidR="00632724" w:rsidRPr="00084D33">
        <w:rPr>
          <w:rFonts w:cs="Times New Roman"/>
          <w:szCs w:val="24"/>
        </w:rPr>
        <w:t xml:space="preserve">El </w:t>
      </w:r>
      <w:r w:rsidR="00D34A19" w:rsidRPr="00084D33">
        <w:rPr>
          <w:rFonts w:cs="Times New Roman"/>
          <w:szCs w:val="24"/>
        </w:rPr>
        <w:t>MOPC continuó durante el periodo enero-diciembre del año 2024, realizando las políticas sectoriales necesarias para proveer acciones oportunas con relación a la evaluación de la vulnerabilidad y riesgos de la infraestructura vial y de edificaciones, que permitan disminuir en la población afectada, los posibles daños ante la ocurrencia de fenómenos atmosféricos. Entre las acciones implementadas, se destacan</w:t>
      </w:r>
      <w:r w:rsidR="006B18E7" w:rsidRPr="00084D33">
        <w:rPr>
          <w:rFonts w:cs="Times New Roman"/>
          <w:szCs w:val="24"/>
        </w:rPr>
        <w:t>:</w:t>
      </w:r>
    </w:p>
    <w:p w14:paraId="47E4DD2C" w14:textId="77777777" w:rsidR="00EB75F9" w:rsidRPr="00084D33" w:rsidRDefault="00EB75F9" w:rsidP="00EB75F9">
      <w:pPr>
        <w:spacing w:after="160"/>
        <w:rPr>
          <w:rFonts w:cs="Times New Roman"/>
          <w:szCs w:val="24"/>
        </w:rPr>
      </w:pPr>
    </w:p>
    <w:p w14:paraId="4FAB3D2E" w14:textId="72D59EDB"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Identificación de los puntos críticos en las carreteras para proporcionar soluciones por diferentes causas: puntos críticos de drenaje, por trabajos de excavación para la instalación soterrada de Fibra Óptica, etc.</w:t>
      </w:r>
    </w:p>
    <w:p w14:paraId="5E7081B3" w14:textId="1F2FC866"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Habilitación de las vías alternas y mantenimiento del tránsito en las vías existentes.</w:t>
      </w:r>
    </w:p>
    <w:p w14:paraId="53F9358E" w14:textId="5EBBF183"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lastRenderedPageBreak/>
        <w:t>Desvíos temporales, aplicación de medidas de seguridad, señalización adecuada y remoción de materiales. Restauración del paso definitivo.</w:t>
      </w:r>
    </w:p>
    <w:p w14:paraId="00C6D826" w14:textId="74211812"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Saneamiento y restablecimiento de los sistemas de drenaje.</w:t>
      </w:r>
      <w:r w:rsidR="004C6A3C" w:rsidRPr="00084D33">
        <w:rPr>
          <w:rFonts w:eastAsia="Times New Roman" w:cs="Times New Roman"/>
          <w:szCs w:val="24"/>
          <w:lang w:val="es-ES" w:eastAsia="es-ES" w:bidi="es-ES"/>
        </w:rPr>
        <w:t xml:space="preserve"> </w:t>
      </w:r>
    </w:p>
    <w:p w14:paraId="3C5EF036" w14:textId="33AFC8CC" w:rsidR="006B18E7" w:rsidRPr="00084D33" w:rsidRDefault="00D34A19"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Colocación de</w:t>
      </w:r>
      <w:r w:rsidR="006B18E7" w:rsidRPr="00084D33">
        <w:rPr>
          <w:rFonts w:eastAsia="Times New Roman" w:cs="Times New Roman"/>
          <w:szCs w:val="24"/>
          <w:lang w:val="es-ES" w:eastAsia="es-ES" w:bidi="es-ES"/>
        </w:rPr>
        <w:t xml:space="preserve"> sacos, muros u otros dispositivos que operen como barreras temporales</w:t>
      </w:r>
      <w:r w:rsidRPr="00084D33">
        <w:rPr>
          <w:rFonts w:eastAsia="Times New Roman" w:cs="Times New Roman"/>
          <w:szCs w:val="24"/>
          <w:lang w:val="es-ES" w:eastAsia="es-ES" w:bidi="es-ES"/>
        </w:rPr>
        <w:t xml:space="preserve"> en las vías rurales</w:t>
      </w:r>
      <w:r w:rsidR="006B18E7" w:rsidRPr="00084D33">
        <w:rPr>
          <w:rFonts w:eastAsia="Times New Roman" w:cs="Times New Roman"/>
          <w:szCs w:val="24"/>
          <w:lang w:val="es-ES" w:eastAsia="es-ES" w:bidi="es-ES"/>
        </w:rPr>
        <w:t>.</w:t>
      </w:r>
    </w:p>
    <w:p w14:paraId="19BC0861" w14:textId="2C44F997"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Sustitución y/o reforzamiento de los muros de contención.</w:t>
      </w:r>
    </w:p>
    <w:p w14:paraId="7F149FEA" w14:textId="0AEB67D7"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 xml:space="preserve">Limpieza </w:t>
      </w:r>
      <w:r w:rsidR="00D34A19" w:rsidRPr="00084D33">
        <w:rPr>
          <w:rFonts w:eastAsia="Times New Roman" w:cs="Times New Roman"/>
          <w:szCs w:val="24"/>
          <w:lang w:val="es-ES" w:eastAsia="es-ES" w:bidi="es-ES"/>
        </w:rPr>
        <w:t xml:space="preserve">de alcantarillas, relleno y compactación en aproches y construcción de alcantarilla cajón en diferentes puntos </w:t>
      </w:r>
      <w:r w:rsidR="00E55155" w:rsidRPr="00084D33">
        <w:rPr>
          <w:rFonts w:eastAsia="Times New Roman" w:cs="Times New Roman"/>
          <w:szCs w:val="24"/>
          <w:lang w:val="es-ES" w:eastAsia="es-ES" w:bidi="es-ES"/>
        </w:rPr>
        <w:t>críticos</w:t>
      </w:r>
      <w:r w:rsidRPr="00084D33">
        <w:rPr>
          <w:rFonts w:eastAsia="Times New Roman" w:cs="Times New Roman"/>
          <w:szCs w:val="24"/>
          <w:lang w:val="es-ES" w:eastAsia="es-ES" w:bidi="es-ES"/>
        </w:rPr>
        <w:t>.</w:t>
      </w:r>
    </w:p>
    <w:p w14:paraId="3EBC17EA" w14:textId="06C84960"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Canalización de ríos y rellenos compactados en aproches de puentes.</w:t>
      </w:r>
    </w:p>
    <w:p w14:paraId="60480403" w14:textId="47CDD301"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Identificar y mitigar los impactos negativos al medio ambiente provocados por los desastres naturales (erosión de los suelos, contaminación de las aguas y afectación de la capa vegetal).</w:t>
      </w:r>
    </w:p>
    <w:p w14:paraId="7A85095F" w14:textId="71039619"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Reparación y/o construcción (en caso de daños irreparables) de viviendas, hospitales, escuelas, iglesias y oficinas gubernamentales afectadas por los desastres naturales.</w:t>
      </w:r>
    </w:p>
    <w:p w14:paraId="1D311C22" w14:textId="49D9A02D" w:rsidR="006B18E7" w:rsidRPr="00084D33" w:rsidRDefault="006B18E7" w:rsidP="007202A9">
      <w:pPr>
        <w:numPr>
          <w:ilvl w:val="0"/>
          <w:numId w:val="25"/>
        </w:numPr>
        <w:spacing w:after="160"/>
        <w:ind w:left="1080"/>
        <w:rPr>
          <w:rFonts w:eastAsia="Times New Roman" w:cs="Times New Roman"/>
          <w:szCs w:val="24"/>
          <w:lang w:val="es-ES" w:eastAsia="es-ES" w:bidi="es-ES"/>
        </w:rPr>
      </w:pPr>
      <w:r w:rsidRPr="00084D33">
        <w:rPr>
          <w:rFonts w:eastAsia="Times New Roman" w:cs="Times New Roman"/>
          <w:szCs w:val="24"/>
          <w:lang w:val="es-ES" w:eastAsia="es-ES" w:bidi="es-ES"/>
        </w:rPr>
        <w:t>Activación del Comité de Emergencia y Sala de Crisis del MOPC, en el cual se recogen las incidencias para ir en socorro de las comunidades afectadas y de los Planes Operativos de Emergencia y de Contingencias del MOPC, entre otros.</w:t>
      </w:r>
    </w:p>
    <w:p w14:paraId="3CE2BB56" w14:textId="77777777" w:rsidR="00A93815" w:rsidRPr="00084D33" w:rsidRDefault="00A93815" w:rsidP="0056596B">
      <w:pPr>
        <w:pStyle w:val="Listaconvietas2"/>
        <w:numPr>
          <w:ilvl w:val="0"/>
          <w:numId w:val="0"/>
        </w:numPr>
        <w:ind w:left="360"/>
        <w:rPr>
          <w:rFonts w:cs="Times New Roman"/>
          <w:szCs w:val="24"/>
        </w:rPr>
      </w:pPr>
    </w:p>
    <w:p w14:paraId="5C651329" w14:textId="5DFCA4EC" w:rsidR="006B18E7" w:rsidRPr="00084D33" w:rsidRDefault="006B18E7" w:rsidP="0056596B">
      <w:pPr>
        <w:pStyle w:val="Listaconvietas2"/>
        <w:numPr>
          <w:ilvl w:val="0"/>
          <w:numId w:val="0"/>
        </w:numPr>
        <w:spacing w:line="276" w:lineRule="auto"/>
        <w:ind w:left="360"/>
        <w:rPr>
          <w:rFonts w:cs="Times New Roman"/>
          <w:szCs w:val="24"/>
        </w:rPr>
      </w:pPr>
    </w:p>
    <w:p w14:paraId="2C9CF3AC" w14:textId="77777777" w:rsidR="006B18E7" w:rsidRPr="00084D33" w:rsidRDefault="006B18E7" w:rsidP="006B18E7">
      <w:pPr>
        <w:spacing w:after="160"/>
        <w:jc w:val="left"/>
        <w:rPr>
          <w:rFonts w:cs="Times New Roman"/>
          <w:szCs w:val="24"/>
        </w:rPr>
      </w:pPr>
      <w:r w:rsidRPr="00084D33">
        <w:rPr>
          <w:rFonts w:cs="Times New Roman"/>
          <w:szCs w:val="24"/>
        </w:rPr>
        <w:br w:type="page"/>
      </w:r>
    </w:p>
    <w:p w14:paraId="4BEEFFE1" w14:textId="77777777" w:rsidR="00C33965" w:rsidRPr="00084D33" w:rsidRDefault="00C33965" w:rsidP="00434A4D">
      <w:pPr>
        <w:pStyle w:val="Textoindependiente"/>
        <w:spacing w:line="360" w:lineRule="auto"/>
        <w:ind w:left="720"/>
        <w:jc w:val="both"/>
        <w:rPr>
          <w:color w:val="767171"/>
        </w:rPr>
      </w:pPr>
    </w:p>
    <w:bookmarkStart w:id="201" w:name="_Toc441696936"/>
    <w:bookmarkStart w:id="202" w:name="_Toc1418598"/>
    <w:bookmarkStart w:id="203" w:name="_Toc59361468"/>
    <w:bookmarkStart w:id="204" w:name="_Toc186924390"/>
    <w:p w14:paraId="373ACA93" w14:textId="16CB7089" w:rsidR="006B18E7" w:rsidRPr="00084D33" w:rsidRDefault="00AD199B" w:rsidP="00D131A1">
      <w:pPr>
        <w:pStyle w:val="Ttulo1"/>
        <w:numPr>
          <w:ilvl w:val="0"/>
          <w:numId w:val="12"/>
        </w:numPr>
        <w:spacing w:before="0"/>
        <w:rPr>
          <w:rFonts w:cs="Times New Roman"/>
          <w:b/>
          <w:bCs/>
        </w:rPr>
      </w:pPr>
      <w:r w:rsidRPr="00084D33">
        <w:rPr>
          <w:rFonts w:cs="Times New Roman"/>
          <w:b/>
          <w:bCs/>
          <w:noProof/>
          <w:lang w:eastAsia="es-DO"/>
        </w:rPr>
        <mc:AlternateContent>
          <mc:Choice Requires="wps">
            <w:drawing>
              <wp:anchor distT="0" distB="0" distL="114300" distR="114300" simplePos="0" relativeHeight="251792384" behindDoc="1" locked="0" layoutInCell="1" allowOverlap="1" wp14:anchorId="3E577C94" wp14:editId="3D53218B">
                <wp:simplePos x="0" y="0"/>
                <wp:positionH relativeFrom="column">
                  <wp:posOffset>2362200</wp:posOffset>
                </wp:positionH>
                <wp:positionV relativeFrom="paragraph">
                  <wp:posOffset>271145</wp:posOffset>
                </wp:positionV>
                <wp:extent cx="539750" cy="0"/>
                <wp:effectExtent l="0" t="19050" r="31750" b="19050"/>
                <wp:wrapNone/>
                <wp:docPr id="1073741838" name="Conector recto 107374183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95F91" id="Conector recto 1073741838"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21.35pt" to="22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" strokecolor="red" strokeweight="2.5pt">
                <v:stroke joinstyle="miter"/>
              </v:line>
            </w:pict>
          </mc:Fallback>
        </mc:AlternateContent>
      </w:r>
      <w:r w:rsidRPr="00084D33">
        <w:rPr>
          <w:rFonts w:cs="Times New Roman"/>
          <w:b/>
          <w:bCs/>
        </w:rPr>
        <w:t>PROYECCIONES</w:t>
      </w:r>
      <w:bookmarkEnd w:id="201"/>
      <w:r w:rsidRPr="00084D33">
        <w:rPr>
          <w:rFonts w:cs="Times New Roman"/>
          <w:b/>
          <w:bCs/>
        </w:rPr>
        <w:t xml:space="preserve"> AL PRÓXIMO AÑO</w:t>
      </w:r>
      <w:bookmarkEnd w:id="202"/>
      <w:bookmarkEnd w:id="203"/>
      <w:bookmarkEnd w:id="204"/>
    </w:p>
    <w:p w14:paraId="657A37A0" w14:textId="20B38986" w:rsidR="006B18E7" w:rsidRPr="00084D33" w:rsidRDefault="006B18E7" w:rsidP="006B18E7">
      <w:pPr>
        <w:rPr>
          <w:rFonts w:eastAsia="Calibri" w:cs="Times New Roman"/>
          <w:sz w:val="18"/>
        </w:rPr>
      </w:pPr>
    </w:p>
    <w:p w14:paraId="1CB4E73E" w14:textId="3A9BE082" w:rsidR="006B18E7" w:rsidRPr="00084D33" w:rsidRDefault="006C0CCA" w:rsidP="001D2609">
      <w:pPr>
        <w:pStyle w:val="Continuarlista"/>
        <w:jc w:val="center"/>
        <w:rPr>
          <w:rFonts w:cs="Times New Roman"/>
        </w:rPr>
      </w:pPr>
      <w:r w:rsidRPr="00084D33">
        <w:rPr>
          <w:rFonts w:cs="Times New Roman"/>
        </w:rPr>
        <w:t>Memoria institucional 202</w:t>
      </w:r>
      <w:r w:rsidR="000F7B77">
        <w:rPr>
          <w:rFonts w:cs="Times New Roman"/>
        </w:rPr>
        <w:t>4</w:t>
      </w:r>
    </w:p>
    <w:p w14:paraId="6E24E94A" w14:textId="77777777" w:rsidR="00E00356" w:rsidRPr="00084D33" w:rsidRDefault="00E00356" w:rsidP="001D2609">
      <w:pPr>
        <w:pStyle w:val="Textoindependiente"/>
        <w:spacing w:line="360" w:lineRule="auto"/>
        <w:jc w:val="both"/>
        <w:rPr>
          <w:color w:val="767171"/>
        </w:rPr>
      </w:pPr>
    </w:p>
    <w:p w14:paraId="4EFF0D7E" w14:textId="61EE95A4" w:rsidR="001D2609" w:rsidRPr="00084D33" w:rsidRDefault="00E00356" w:rsidP="001D2609">
      <w:pPr>
        <w:pStyle w:val="Textoindependiente"/>
        <w:spacing w:line="360" w:lineRule="auto"/>
        <w:jc w:val="both"/>
        <w:rPr>
          <w:color w:val="767171"/>
        </w:rPr>
      </w:pPr>
      <w:r w:rsidRPr="00084D33">
        <w:rPr>
          <w:color w:val="767171"/>
        </w:rPr>
        <w:t>El Ministerio de Obras Públicas y Comunicaciones (MOPC) proyecta en el Plan de Inversión Anual  para el año 2025</w:t>
      </w:r>
      <w:r w:rsidR="000F7B77">
        <w:rPr>
          <w:color w:val="767171"/>
        </w:rPr>
        <w:t xml:space="preserve"> con quinientos cuatro (504) proyectos</w:t>
      </w:r>
      <w:r w:rsidRPr="00084D33">
        <w:rPr>
          <w:color w:val="767171"/>
        </w:rPr>
        <w:t>,</w:t>
      </w:r>
      <w:r w:rsidR="000F7B77">
        <w:rPr>
          <w:color w:val="767171"/>
        </w:rPr>
        <w:t xml:space="preserve"> con monto total ascendente a la suma de RD$33,080,189,419.00 (Treinta y Tres Mil Ochenta Millones Ciento Ochenta y Nueve Mil Cuatrocientos Diecinueve Pesos con 00/100), conteniendo</w:t>
      </w:r>
      <w:r w:rsidRPr="00084D33">
        <w:rPr>
          <w:color w:val="767171"/>
        </w:rPr>
        <w:t xml:space="preserve"> los programas y proyectos nuevos y de arrastre que permitirán continuar las ejecutorias que  contribuirán al bienestar de la población y al desarrollo sostenido de la nación, las cuales se vinculan con los Objetivos Globales del Gobierno del Lic. Luis Abinader Corona para el periodo 2024-2028, la Estrategia Nacional de Desarrollo (END) 2030 y los Objetivos de Desarrollo Sostenible (ODS), entre los cuales se destacan:</w:t>
      </w:r>
    </w:p>
    <w:p w14:paraId="1C96C896" w14:textId="01057E5A" w:rsidR="002B6890" w:rsidRPr="00084D33" w:rsidRDefault="008B29B7" w:rsidP="00D131A1">
      <w:pPr>
        <w:pStyle w:val="Lista2"/>
        <w:numPr>
          <w:ilvl w:val="0"/>
          <w:numId w:val="5"/>
        </w:numPr>
        <w:spacing w:before="240" w:after="120"/>
        <w:rPr>
          <w:rFonts w:cs="Times New Roman"/>
        </w:rPr>
      </w:pPr>
      <w:r w:rsidRPr="00084D33">
        <w:rPr>
          <w:rFonts w:cs="Times New Roman"/>
        </w:rPr>
        <w:t>Plan Nacional de Asfaltado;</w:t>
      </w:r>
    </w:p>
    <w:p w14:paraId="4ACD04EF" w14:textId="77777777" w:rsidR="005F79CF" w:rsidRPr="00084D33" w:rsidRDefault="005F79CF" w:rsidP="005F79CF">
      <w:pPr>
        <w:pStyle w:val="Lista2"/>
        <w:spacing w:before="240" w:after="120"/>
        <w:ind w:firstLine="0"/>
        <w:rPr>
          <w:rFonts w:cs="Times New Roman"/>
        </w:rPr>
      </w:pPr>
    </w:p>
    <w:p w14:paraId="5908ABEA" w14:textId="0F2FC2F5" w:rsidR="00AD199B" w:rsidRPr="00084D33" w:rsidRDefault="005F7024" w:rsidP="00D131A1">
      <w:pPr>
        <w:pStyle w:val="Lista2"/>
        <w:numPr>
          <w:ilvl w:val="0"/>
          <w:numId w:val="5"/>
        </w:numPr>
        <w:spacing w:before="240" w:after="120"/>
        <w:rPr>
          <w:rFonts w:cs="Times New Roman"/>
        </w:rPr>
      </w:pPr>
      <w:r w:rsidRPr="00084D33">
        <w:rPr>
          <w:rFonts w:cs="Times New Roman"/>
        </w:rPr>
        <w:t>Programa de Mantenimiento Vial a nivel nacional;</w:t>
      </w:r>
    </w:p>
    <w:p w14:paraId="3656FD0F" w14:textId="77777777" w:rsidR="005F79CF" w:rsidRPr="00084D33" w:rsidRDefault="005F79CF" w:rsidP="005F79CF">
      <w:pPr>
        <w:pStyle w:val="Lista2"/>
        <w:spacing w:before="240" w:after="120"/>
        <w:ind w:firstLine="0"/>
        <w:rPr>
          <w:rFonts w:cs="Times New Roman"/>
        </w:rPr>
      </w:pPr>
    </w:p>
    <w:p w14:paraId="3CB822E0" w14:textId="2B809E10" w:rsidR="00AD199B" w:rsidRPr="00084D33" w:rsidRDefault="00AD199B" w:rsidP="00D131A1">
      <w:pPr>
        <w:pStyle w:val="Lista2"/>
        <w:numPr>
          <w:ilvl w:val="0"/>
          <w:numId w:val="5"/>
        </w:numPr>
        <w:spacing w:before="240" w:after="120"/>
        <w:rPr>
          <w:rFonts w:cs="Times New Roman"/>
        </w:rPr>
      </w:pPr>
      <w:r w:rsidRPr="00084D33">
        <w:rPr>
          <w:rFonts w:cs="Times New Roman"/>
        </w:rPr>
        <w:t>Programa Comunitario Acción Vial (Peón Caminero)</w:t>
      </w:r>
      <w:r w:rsidR="008B29B7" w:rsidRPr="00084D33">
        <w:rPr>
          <w:rFonts w:cs="Times New Roman"/>
        </w:rPr>
        <w:t>;</w:t>
      </w:r>
    </w:p>
    <w:p w14:paraId="003CA2A9" w14:textId="77777777" w:rsidR="00C41A96" w:rsidRPr="00084D33" w:rsidRDefault="00C41A96" w:rsidP="00C41A96">
      <w:pPr>
        <w:pStyle w:val="Lista2"/>
        <w:spacing w:before="240" w:after="120"/>
        <w:ind w:firstLine="0"/>
        <w:rPr>
          <w:rFonts w:cs="Times New Roman"/>
        </w:rPr>
      </w:pPr>
    </w:p>
    <w:p w14:paraId="51882615" w14:textId="10ECD0AC" w:rsidR="00C41A96" w:rsidRPr="00084D33" w:rsidRDefault="00AD199B" w:rsidP="00D131A1">
      <w:pPr>
        <w:pStyle w:val="Lista2"/>
        <w:numPr>
          <w:ilvl w:val="0"/>
          <w:numId w:val="5"/>
        </w:numPr>
        <w:spacing w:before="240" w:after="120"/>
        <w:rPr>
          <w:rFonts w:cs="Times New Roman"/>
        </w:rPr>
      </w:pPr>
      <w:r w:rsidRPr="00084D33">
        <w:rPr>
          <w:rFonts w:cs="Times New Roman"/>
        </w:rPr>
        <w:t>Programa Preservación, Recuperación y Seguridad Vial</w:t>
      </w:r>
      <w:r w:rsidR="002B6890" w:rsidRPr="00084D33">
        <w:rPr>
          <w:rFonts w:cs="Times New Roman"/>
        </w:rPr>
        <w:t xml:space="preserve"> en Corredores Urbanos e Interurbanos;</w:t>
      </w:r>
    </w:p>
    <w:p w14:paraId="680E016B" w14:textId="77777777" w:rsidR="00C41A96" w:rsidRPr="00084D33" w:rsidRDefault="00C41A96" w:rsidP="00C41A96">
      <w:pPr>
        <w:pStyle w:val="Lista2"/>
        <w:spacing w:before="240" w:after="120"/>
        <w:ind w:firstLine="0"/>
        <w:rPr>
          <w:rFonts w:cs="Times New Roman"/>
        </w:rPr>
      </w:pPr>
    </w:p>
    <w:p w14:paraId="575EA4BC" w14:textId="372DF4D5" w:rsidR="00AD199B" w:rsidRPr="00084D33" w:rsidRDefault="00AD199B" w:rsidP="00D131A1">
      <w:pPr>
        <w:pStyle w:val="Lista2"/>
        <w:numPr>
          <w:ilvl w:val="0"/>
          <w:numId w:val="5"/>
        </w:numPr>
        <w:spacing w:before="240" w:after="120"/>
        <w:rPr>
          <w:rFonts w:cs="Times New Roman"/>
        </w:rPr>
      </w:pPr>
      <w:r w:rsidRPr="00084D33">
        <w:rPr>
          <w:rFonts w:cs="Times New Roman"/>
        </w:rPr>
        <w:t>Plan de Señalización Vial</w:t>
      </w:r>
      <w:r w:rsidR="002B6890" w:rsidRPr="00084D33">
        <w:rPr>
          <w:rFonts w:cs="Times New Roman"/>
        </w:rPr>
        <w:t xml:space="preserve"> a nivel nacional;</w:t>
      </w:r>
    </w:p>
    <w:p w14:paraId="79166EAF" w14:textId="77777777" w:rsidR="00C41A96" w:rsidRPr="00084D33" w:rsidRDefault="00C41A96" w:rsidP="00C41A96">
      <w:pPr>
        <w:pStyle w:val="Lista2"/>
        <w:spacing w:before="240" w:after="120"/>
        <w:ind w:firstLine="0"/>
        <w:rPr>
          <w:rFonts w:cs="Times New Roman"/>
        </w:rPr>
      </w:pPr>
    </w:p>
    <w:p w14:paraId="40266CE3" w14:textId="3490471D" w:rsidR="002B6890" w:rsidRPr="00084D33" w:rsidRDefault="002B6890" w:rsidP="00D131A1">
      <w:pPr>
        <w:pStyle w:val="Lista2"/>
        <w:numPr>
          <w:ilvl w:val="0"/>
          <w:numId w:val="5"/>
        </w:numPr>
        <w:spacing w:before="240" w:after="120"/>
        <w:rPr>
          <w:rFonts w:cs="Times New Roman"/>
        </w:rPr>
      </w:pPr>
      <w:r w:rsidRPr="00084D33">
        <w:rPr>
          <w:rFonts w:cs="Times New Roman"/>
        </w:rPr>
        <w:t>Plan de Mantenimiento de Túneles y Elevados;</w:t>
      </w:r>
    </w:p>
    <w:p w14:paraId="1E04E613" w14:textId="77777777" w:rsidR="00C41A96" w:rsidRPr="00084D33" w:rsidRDefault="00C41A96" w:rsidP="00C41A96">
      <w:pPr>
        <w:pStyle w:val="Lista2"/>
        <w:spacing w:before="240" w:after="120"/>
        <w:ind w:firstLine="0"/>
        <w:rPr>
          <w:rFonts w:cs="Times New Roman"/>
        </w:rPr>
      </w:pPr>
    </w:p>
    <w:p w14:paraId="42A766E4" w14:textId="24CC12D3" w:rsidR="00AD199B" w:rsidRPr="00084D33" w:rsidRDefault="00AD199B" w:rsidP="00D131A1">
      <w:pPr>
        <w:pStyle w:val="Lista2"/>
        <w:numPr>
          <w:ilvl w:val="0"/>
          <w:numId w:val="5"/>
        </w:numPr>
        <w:spacing w:before="240" w:after="120"/>
        <w:rPr>
          <w:rFonts w:cs="Times New Roman"/>
        </w:rPr>
      </w:pPr>
      <w:r w:rsidRPr="00084D33">
        <w:rPr>
          <w:rFonts w:cs="Times New Roman"/>
        </w:rPr>
        <w:lastRenderedPageBreak/>
        <w:t>Programa de Construcción y Reconstrucción de Edificaciones Públicas</w:t>
      </w:r>
      <w:r w:rsidR="00EC2DB1" w:rsidRPr="00084D33">
        <w:rPr>
          <w:rFonts w:cs="Times New Roman"/>
        </w:rPr>
        <w:t xml:space="preserve">, </w:t>
      </w:r>
      <w:r w:rsidR="002B6890" w:rsidRPr="00084D33">
        <w:rPr>
          <w:rFonts w:cs="Times New Roman"/>
        </w:rPr>
        <w:t>entre otros.</w:t>
      </w:r>
    </w:p>
    <w:p w14:paraId="2B232148" w14:textId="0081BE94" w:rsidR="00AD199B" w:rsidRPr="00084D33" w:rsidRDefault="00AD199B" w:rsidP="00434A4D">
      <w:pPr>
        <w:rPr>
          <w:rFonts w:cs="Times New Roman"/>
          <w:lang w:val="es-ES" w:eastAsia="es-DO"/>
        </w:rPr>
      </w:pPr>
    </w:p>
    <w:p w14:paraId="073301CB" w14:textId="0F79AAA8" w:rsidR="00086E16" w:rsidRPr="00084D33" w:rsidRDefault="00E00356" w:rsidP="001D2609">
      <w:pPr>
        <w:pStyle w:val="Textoindependiente"/>
        <w:spacing w:line="360" w:lineRule="auto"/>
        <w:jc w:val="both"/>
        <w:rPr>
          <w:color w:val="767171"/>
        </w:rPr>
      </w:pPr>
      <w:r w:rsidRPr="00084D33">
        <w:rPr>
          <w:color w:val="767171"/>
        </w:rPr>
        <w:t xml:space="preserve">Entre los principales proyectos a ejecutar a corto y mediano plazo, la institución se plantea,  la terminación de importantes proyectos en ejecución e iniciar nuevos, específicamente en el sector transporte, edificaciones públicas y de índole social, con el propósito de mejorar la calidad de vida de los beneficiarios de los </w:t>
      </w:r>
      <w:r w:rsidR="00E55155" w:rsidRPr="00084D33">
        <w:rPr>
          <w:color w:val="767171"/>
        </w:rPr>
        <w:t>mismos en</w:t>
      </w:r>
      <w:r w:rsidRPr="00084D33">
        <w:rPr>
          <w:color w:val="767171"/>
        </w:rPr>
        <w:t xml:space="preserve"> todo el territorio nacional.  Entre los proyectos del sector transporte que tienen prioridad para ejecutarse en el próximo año, se destacan os siguientes</w:t>
      </w:r>
      <w:r w:rsidR="00086E16" w:rsidRPr="00084D33">
        <w:rPr>
          <w:color w:val="767171"/>
        </w:rPr>
        <w:t>:</w:t>
      </w:r>
    </w:p>
    <w:p w14:paraId="20F192C2" w14:textId="77777777" w:rsidR="001D2609" w:rsidRPr="00084D33" w:rsidRDefault="001D2609" w:rsidP="001D2609">
      <w:pPr>
        <w:pStyle w:val="Textoindependiente"/>
        <w:spacing w:line="360" w:lineRule="auto"/>
        <w:jc w:val="both"/>
        <w:rPr>
          <w:color w:val="767171"/>
        </w:rPr>
      </w:pPr>
    </w:p>
    <w:p w14:paraId="1913843E"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Mejoramiento del Puerto de Manzanillo y sus vías de conectividad, Provincia Montecristi;</w:t>
      </w:r>
    </w:p>
    <w:p w14:paraId="1CC4FD2A"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 Reconstrucción de la capa de rodadura de la Autopista Juan Pablo Duarte (Marginales, Elevados, Control de accesos, etc.), Multiprovincial;</w:t>
      </w:r>
    </w:p>
    <w:p w14:paraId="4C310867"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Construcción Puente Levadizo en sustitución al flotante sobre el Río Ozama entre Av. Caamaño Deñó con Av. Malecón, Provincia Santo Domingo;</w:t>
      </w:r>
    </w:p>
    <w:p w14:paraId="101C3096" w14:textId="65C3AB8D"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Construcción Paso a Desnivel soterrado en la intersección de las Avenidas </w:t>
      </w:r>
      <w:r w:rsidR="00E55155" w:rsidRPr="00084D33">
        <w:rPr>
          <w:rFonts w:eastAsia="Times New Roman" w:cs="Times New Roman"/>
          <w:szCs w:val="24"/>
          <w:lang w:val="es-ES" w:eastAsia="es-ES" w:bidi="es-ES"/>
        </w:rPr>
        <w:t>Luperón</w:t>
      </w:r>
      <w:r w:rsidRPr="00084D33">
        <w:rPr>
          <w:rFonts w:eastAsia="Times New Roman" w:cs="Times New Roman"/>
          <w:szCs w:val="24"/>
          <w:lang w:val="es-ES" w:eastAsia="es-ES" w:bidi="es-ES"/>
        </w:rPr>
        <w:t xml:space="preserve"> con 27 de Febrero, Provincia Santo Domingo;</w:t>
      </w:r>
    </w:p>
    <w:p w14:paraId="2480A3D0"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Ampliación Puente Francisco Jacinto Peynado que une al Distrito Nacional con el Municipio Santo Domingo Norte;</w:t>
      </w:r>
    </w:p>
    <w:p w14:paraId="76193AAD"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Reconstrucción del Puente Sabaneta de Cangrejo sobre el Río Camú, Municipios Villa Montellano y Sosúa, Provincia Puerto Plata;</w:t>
      </w:r>
    </w:p>
    <w:p w14:paraId="40ECF011"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lastRenderedPageBreak/>
        <w:t>Construcción Avenida Circunvalación Norte en el Municipio Villa Bisonó (Navarrete), Provincia Santiago;</w:t>
      </w:r>
    </w:p>
    <w:p w14:paraId="5CC28155"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Construcción Solución Vial Prolongación Av. 27 de Febrero - Av. Isabel Aguiar (Paso Inferior, tipo trinchera), conectando con la 6 de Noviembre, en el Distrito Nacional; </w:t>
      </w:r>
    </w:p>
    <w:p w14:paraId="2CE88CD2"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Construcción Avenida Expreso Nuevo Camino (Prof.  Juan Bosch), Municipio Los Alcarrizos, Provincia Santo </w:t>
      </w:r>
      <w:bookmarkStart w:id="205" w:name="_GoBack"/>
      <w:bookmarkEnd w:id="205"/>
      <w:r w:rsidRPr="00084D33">
        <w:rPr>
          <w:rFonts w:eastAsia="Times New Roman" w:cs="Times New Roman"/>
          <w:szCs w:val="24"/>
          <w:lang w:val="es-ES" w:eastAsia="es-ES" w:bidi="es-ES"/>
        </w:rPr>
        <w:t>Domingo;</w:t>
      </w:r>
    </w:p>
    <w:p w14:paraId="706F2030"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Terminación Construcción Avenida de Circunvalación de Bani, Provincia Peravia;</w:t>
      </w:r>
    </w:p>
    <w:p w14:paraId="7232D1B6" w14:textId="7774B0D6"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Construcción Avenida de Circunvalación de San Francisco de </w:t>
      </w:r>
      <w:r w:rsidR="00E55155" w:rsidRPr="00084D33">
        <w:rPr>
          <w:rFonts w:eastAsia="Times New Roman" w:cs="Times New Roman"/>
          <w:szCs w:val="24"/>
          <w:lang w:val="es-ES" w:eastAsia="es-ES" w:bidi="es-ES"/>
        </w:rPr>
        <w:t>Macorís</w:t>
      </w:r>
      <w:r w:rsidRPr="00084D33">
        <w:rPr>
          <w:rFonts w:eastAsia="Times New Roman" w:cs="Times New Roman"/>
          <w:szCs w:val="24"/>
          <w:lang w:val="es-ES" w:eastAsia="es-ES" w:bidi="es-ES"/>
        </w:rPr>
        <w:t>,  Provincia Duarte;</w:t>
      </w:r>
    </w:p>
    <w:p w14:paraId="22A4321F"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Construcción Malecón de Nagua, Provincia María Trinidad Sánchez);</w:t>
      </w:r>
    </w:p>
    <w:p w14:paraId="1023A49C" w14:textId="56026140"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 xml:space="preserve">Ampliación de la Avenida Gregorio Luperón </w:t>
      </w:r>
      <w:r w:rsidR="00E55155" w:rsidRPr="00084D33">
        <w:rPr>
          <w:rFonts w:eastAsia="Times New Roman" w:cs="Times New Roman"/>
          <w:szCs w:val="24"/>
          <w:lang w:val="es-ES" w:eastAsia="es-ES" w:bidi="es-ES"/>
        </w:rPr>
        <w:t>desde la</w:t>
      </w:r>
      <w:r w:rsidRPr="00084D33">
        <w:rPr>
          <w:rFonts w:eastAsia="Times New Roman" w:cs="Times New Roman"/>
          <w:szCs w:val="24"/>
          <w:lang w:val="es-ES" w:eastAsia="es-ES" w:bidi="es-ES"/>
        </w:rPr>
        <w:t xml:space="preserve"> Avenida Estrella Sadhalá hasta la Avenida Circunvalación Norte, Municipio Santiago de los Caballeros, Provincia Santiago;</w:t>
      </w:r>
    </w:p>
    <w:p w14:paraId="426EA3E0" w14:textId="77777777"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Reconstrucción Carretera Barahona – Enriquillo, Provincia Barahona;</w:t>
      </w:r>
    </w:p>
    <w:p w14:paraId="4C9553A9" w14:textId="2991B2DA" w:rsidR="00E00356" w:rsidRPr="00084D33" w:rsidRDefault="00E00356" w:rsidP="007202A9">
      <w:pPr>
        <w:numPr>
          <w:ilvl w:val="0"/>
          <w:numId w:val="25"/>
        </w:numPr>
        <w:spacing w:after="160"/>
        <w:rPr>
          <w:rFonts w:eastAsia="Times New Roman" w:cs="Times New Roman"/>
          <w:szCs w:val="24"/>
          <w:lang w:val="es-ES" w:eastAsia="es-ES" w:bidi="es-ES"/>
        </w:rPr>
      </w:pPr>
      <w:r w:rsidRPr="00084D33">
        <w:rPr>
          <w:rFonts w:eastAsia="Times New Roman" w:cs="Times New Roman"/>
          <w:szCs w:val="24"/>
          <w:lang w:val="es-ES" w:eastAsia="es-ES" w:bidi="es-ES"/>
        </w:rPr>
        <w:t>Reconstrucción de la Carretera Enriquillo – Pedernales, Provincias Barahona y Pedernales, entre otros.</w:t>
      </w:r>
    </w:p>
    <w:p w14:paraId="52406D95" w14:textId="4F79165E" w:rsidR="009D2B08" w:rsidRPr="00084D33" w:rsidRDefault="009D2B08" w:rsidP="009D2B08">
      <w:pPr>
        <w:pStyle w:val="Listaconvietas2"/>
        <w:numPr>
          <w:ilvl w:val="0"/>
          <w:numId w:val="0"/>
        </w:numPr>
        <w:ind w:left="1080"/>
        <w:rPr>
          <w:rFonts w:cs="Times New Roman"/>
        </w:rPr>
      </w:pPr>
    </w:p>
    <w:p w14:paraId="735BE49E" w14:textId="77777777" w:rsidR="00C41A96" w:rsidRPr="00084D33" w:rsidRDefault="00C41A96" w:rsidP="009D2B08">
      <w:pPr>
        <w:pStyle w:val="Listaconvietas2"/>
        <w:numPr>
          <w:ilvl w:val="0"/>
          <w:numId w:val="0"/>
        </w:numPr>
        <w:ind w:left="1080"/>
        <w:rPr>
          <w:rFonts w:cs="Times New Roman"/>
        </w:rPr>
      </w:pPr>
    </w:p>
    <w:p w14:paraId="4354662A" w14:textId="77777777" w:rsidR="00E00356" w:rsidRPr="00084D33" w:rsidRDefault="00E00356" w:rsidP="00E00356">
      <w:pPr>
        <w:spacing w:line="456" w:lineRule="auto"/>
        <w:rPr>
          <w:rFonts w:eastAsia="Times New Roman" w:cs="Times New Roman"/>
          <w:szCs w:val="24"/>
          <w:lang w:val="es-ES" w:eastAsia="es-ES" w:bidi="es-ES"/>
        </w:rPr>
      </w:pPr>
      <w:r w:rsidRPr="00084D33">
        <w:rPr>
          <w:rFonts w:eastAsia="Times New Roman" w:cs="Times New Roman"/>
          <w:szCs w:val="24"/>
          <w:lang w:val="es-ES" w:eastAsia="es-ES" w:bidi="es-ES"/>
        </w:rPr>
        <w:t>Además, para el año 2025, el MOPC tiene proyectado la terminación de importantes obras de Construcción y Reparación de Edificaciones Públicas, entre las cuales citamos las siguientes:</w:t>
      </w:r>
    </w:p>
    <w:p w14:paraId="17E02EC1" w14:textId="77777777" w:rsidR="00E00356" w:rsidRPr="00084D33" w:rsidRDefault="00E00356" w:rsidP="00E00356">
      <w:pPr>
        <w:spacing w:line="456" w:lineRule="auto"/>
        <w:rPr>
          <w:rFonts w:eastAsia="Times New Roman" w:cs="Times New Roman"/>
          <w:szCs w:val="24"/>
          <w:lang w:val="es-ES" w:eastAsia="es-ES" w:bidi="es-ES"/>
        </w:rPr>
      </w:pPr>
    </w:p>
    <w:p w14:paraId="0E6E5F42" w14:textId="77777777" w:rsidR="00E00356" w:rsidRPr="00084D33" w:rsidRDefault="00E00356" w:rsidP="007202A9">
      <w:pPr>
        <w:keepNext/>
        <w:keepLines/>
        <w:numPr>
          <w:ilvl w:val="1"/>
          <w:numId w:val="37"/>
        </w:numPr>
        <w:spacing w:after="160" w:line="480" w:lineRule="auto"/>
        <w:outlineLvl w:val="0"/>
        <w:rPr>
          <w:rFonts w:cs="Times New Roman"/>
        </w:rPr>
      </w:pPr>
      <w:bookmarkStart w:id="206" w:name="_Toc186924391"/>
      <w:r w:rsidRPr="00084D33">
        <w:rPr>
          <w:rFonts w:cs="Times New Roman"/>
        </w:rPr>
        <w:t>Construcción Edificios de Parqueos públicos contemplados en el Plan Parqueat-RD a nivel nacional; entre otras.</w:t>
      </w:r>
      <w:bookmarkEnd w:id="206"/>
    </w:p>
    <w:p w14:paraId="7FCA9753" w14:textId="77777777" w:rsidR="00E00356" w:rsidRPr="00084D33" w:rsidRDefault="00E00356" w:rsidP="007202A9">
      <w:pPr>
        <w:keepNext/>
        <w:keepLines/>
        <w:numPr>
          <w:ilvl w:val="1"/>
          <w:numId w:val="37"/>
        </w:numPr>
        <w:spacing w:after="160" w:line="480" w:lineRule="auto"/>
        <w:outlineLvl w:val="0"/>
        <w:rPr>
          <w:rFonts w:eastAsia="Times New Roman" w:cs="Times New Roman"/>
          <w:szCs w:val="24"/>
          <w:lang w:val="es-ES" w:eastAsia="es-ES" w:bidi="es-ES"/>
        </w:rPr>
      </w:pPr>
      <w:bookmarkStart w:id="207" w:name="_Toc186924392"/>
      <w:r w:rsidRPr="00084D33">
        <w:rPr>
          <w:rFonts w:eastAsia="Times New Roman" w:cs="Times New Roman"/>
          <w:szCs w:val="24"/>
          <w:lang w:val="es-ES" w:eastAsia="es-ES" w:bidi="es-ES"/>
        </w:rPr>
        <w:t>Terminación Construcción y Reparación de Dos (2) Niveles al Edificio que aloja el Instituto Dominicano de Cardiología (IDC), ubicado en el Sector Los Ríos, Santo Domingo;</w:t>
      </w:r>
      <w:bookmarkEnd w:id="207"/>
    </w:p>
    <w:p w14:paraId="4A4476A6" w14:textId="77777777" w:rsidR="00E00356" w:rsidRPr="00084D33" w:rsidRDefault="00E00356" w:rsidP="007202A9">
      <w:pPr>
        <w:keepNext/>
        <w:keepLines/>
        <w:numPr>
          <w:ilvl w:val="1"/>
          <w:numId w:val="37"/>
        </w:numPr>
        <w:spacing w:after="160" w:line="480" w:lineRule="auto"/>
        <w:outlineLvl w:val="0"/>
        <w:rPr>
          <w:rFonts w:eastAsia="Times New Roman" w:cs="Times New Roman"/>
          <w:szCs w:val="24"/>
          <w:lang w:val="es-ES" w:eastAsia="es-ES" w:bidi="es-ES"/>
        </w:rPr>
      </w:pPr>
      <w:bookmarkStart w:id="208" w:name="_Toc186924393"/>
      <w:r w:rsidRPr="00084D33">
        <w:rPr>
          <w:rFonts w:eastAsia="Times New Roman" w:cs="Times New Roman"/>
          <w:szCs w:val="24"/>
          <w:lang w:val="es-ES" w:eastAsia="es-ES" w:bidi="es-ES"/>
        </w:rPr>
        <w:t>Terminación Construcción Palacio de Justicia ubicado en el Municipio Santo Domingo Este, Provincia Santo Domingo;</w:t>
      </w:r>
      <w:bookmarkEnd w:id="208"/>
    </w:p>
    <w:p w14:paraId="4024AF41" w14:textId="77777777" w:rsidR="00E00356" w:rsidRPr="00084D33" w:rsidRDefault="00E00356" w:rsidP="007202A9">
      <w:pPr>
        <w:keepNext/>
        <w:keepLines/>
        <w:numPr>
          <w:ilvl w:val="1"/>
          <w:numId w:val="37"/>
        </w:numPr>
        <w:spacing w:after="160" w:line="259" w:lineRule="auto"/>
        <w:jc w:val="left"/>
        <w:outlineLvl w:val="0"/>
        <w:rPr>
          <w:rFonts w:eastAsia="Times New Roman" w:cs="Times New Roman"/>
          <w:szCs w:val="24"/>
          <w:lang w:val="es-ES" w:eastAsia="es-ES" w:bidi="es-ES"/>
        </w:rPr>
      </w:pPr>
      <w:bookmarkStart w:id="209" w:name="_Toc186924394"/>
      <w:r w:rsidRPr="00084D33">
        <w:rPr>
          <w:rFonts w:eastAsia="Times New Roman" w:cs="Times New Roman"/>
          <w:szCs w:val="24"/>
          <w:lang w:val="es-ES" w:eastAsia="es-ES" w:bidi="es-ES"/>
        </w:rPr>
        <w:t>Construcción Matadero de Barahona, Provincia Barahona;</w:t>
      </w:r>
      <w:bookmarkEnd w:id="209"/>
      <w:r w:rsidRPr="00084D33">
        <w:rPr>
          <w:rFonts w:eastAsia="Times New Roman" w:cs="Times New Roman"/>
          <w:szCs w:val="24"/>
          <w:lang w:val="es-ES" w:eastAsia="es-ES" w:bidi="es-ES"/>
        </w:rPr>
        <w:t xml:space="preserve"> </w:t>
      </w:r>
    </w:p>
    <w:p w14:paraId="31C35628" w14:textId="77777777" w:rsidR="00E00356" w:rsidRPr="00084D33" w:rsidRDefault="00E00356" w:rsidP="00C517AE">
      <w:pPr>
        <w:ind w:left="1440"/>
      </w:pPr>
    </w:p>
    <w:p w14:paraId="151DB1CC" w14:textId="01F21BE4" w:rsidR="00BE3E0B" w:rsidRPr="00084D33" w:rsidRDefault="00E00356" w:rsidP="007202A9">
      <w:pPr>
        <w:keepNext/>
        <w:keepLines/>
        <w:numPr>
          <w:ilvl w:val="1"/>
          <w:numId w:val="37"/>
        </w:numPr>
        <w:spacing w:after="160" w:line="480" w:lineRule="auto"/>
        <w:outlineLvl w:val="0"/>
        <w:rPr>
          <w:rFonts w:eastAsia="Times New Roman" w:cs="Times New Roman"/>
          <w:szCs w:val="24"/>
          <w:lang w:val="es-ES" w:eastAsia="es-ES" w:bidi="es-ES"/>
        </w:rPr>
      </w:pPr>
      <w:bookmarkStart w:id="210" w:name="_Toc186924395"/>
      <w:r w:rsidRPr="00084D33">
        <w:rPr>
          <w:rFonts w:eastAsia="Times New Roman" w:cs="Times New Roman"/>
          <w:szCs w:val="24"/>
          <w:lang w:val="es-ES" w:eastAsia="es-ES" w:bidi="es-ES"/>
        </w:rPr>
        <w:t>Remodelación Oficinas del Tribunal Constitucional en Santo Domingo Norte, entre otras.</w:t>
      </w:r>
      <w:bookmarkEnd w:id="210"/>
      <w:r w:rsidR="00BE3E0B" w:rsidRPr="00084D33">
        <w:br w:type="page"/>
      </w:r>
    </w:p>
    <w:p w14:paraId="415C5F4E" w14:textId="40B882F7" w:rsidR="00FC67F6" w:rsidRPr="00084D33" w:rsidRDefault="00FC67F6" w:rsidP="00BE3E0B">
      <w:pPr>
        <w:spacing w:after="160" w:line="259" w:lineRule="auto"/>
        <w:jc w:val="left"/>
      </w:pPr>
    </w:p>
    <w:p w14:paraId="41EDD59B" w14:textId="0CDD8F69" w:rsidR="007038A2" w:rsidRPr="00084D33" w:rsidRDefault="007038A2" w:rsidP="00434A4D">
      <w:pPr>
        <w:jc w:val="center"/>
        <w:rPr>
          <w:rFonts w:cs="Times New Roman"/>
          <w:lang w:eastAsia="es-ES" w:bidi="es-ES"/>
        </w:rPr>
      </w:pPr>
    </w:p>
    <w:p w14:paraId="510BB4C6" w14:textId="411D12B4" w:rsidR="00A759C5" w:rsidRPr="00084D33" w:rsidRDefault="00A759C5" w:rsidP="00434A4D">
      <w:pPr>
        <w:jc w:val="center"/>
        <w:rPr>
          <w:rFonts w:cs="Times New Roman"/>
          <w:lang w:eastAsia="es-ES" w:bidi="es-ES"/>
        </w:rPr>
      </w:pPr>
    </w:p>
    <w:p w14:paraId="53BFC5FF" w14:textId="2BEE6BAE" w:rsidR="00A759C5" w:rsidRPr="00084D33" w:rsidRDefault="00A759C5" w:rsidP="00D131A1">
      <w:pPr>
        <w:pStyle w:val="Ttulo1"/>
        <w:numPr>
          <w:ilvl w:val="0"/>
          <w:numId w:val="12"/>
        </w:numPr>
        <w:spacing w:before="0"/>
        <w:jc w:val="both"/>
        <w:rPr>
          <w:rFonts w:cs="Times New Roman"/>
          <w:b/>
          <w:bCs/>
        </w:rPr>
      </w:pPr>
      <w:bookmarkStart w:id="211" w:name="_Toc78583679"/>
      <w:bookmarkStart w:id="212" w:name="_Toc186924396"/>
      <w:r w:rsidRPr="00084D33">
        <w:rPr>
          <w:rFonts w:cs="Times New Roman"/>
          <w:b/>
          <w:bCs/>
        </w:rPr>
        <w:t>ANEXOS</w:t>
      </w:r>
      <w:bookmarkEnd w:id="211"/>
      <w:bookmarkEnd w:id="212"/>
    </w:p>
    <w:p w14:paraId="6B5036FF" w14:textId="278F787F" w:rsidR="00965B4A" w:rsidRPr="00084D33" w:rsidRDefault="00965B4A" w:rsidP="00965B4A">
      <w:pPr>
        <w:rPr>
          <w:b/>
        </w:rPr>
      </w:pPr>
    </w:p>
    <w:p w14:paraId="6724032C" w14:textId="77777777" w:rsidR="00923FB7" w:rsidRPr="00084D33" w:rsidRDefault="00A8219B">
      <w:pPr>
        <w:spacing w:after="160" w:line="259" w:lineRule="auto"/>
        <w:jc w:val="left"/>
        <w:rPr>
          <w:rFonts w:cs="Times New Roman"/>
          <w:sz w:val="10"/>
          <w:szCs w:val="24"/>
        </w:rPr>
        <w:sectPr w:rsidR="00923FB7" w:rsidRPr="00084D33" w:rsidSect="00CE0103">
          <w:footerReference w:type="default" r:id="rId71"/>
          <w:pgSz w:w="12240" w:h="15840" w:code="1"/>
          <w:pgMar w:top="1440" w:right="2160" w:bottom="1699" w:left="2160" w:header="706" w:footer="176" w:gutter="0"/>
          <w:pgNumType w:start="2"/>
          <w:cols w:space="708"/>
          <w:docGrid w:linePitch="360"/>
        </w:sectPr>
      </w:pPr>
      <w:r w:rsidRPr="00084D33">
        <w:rPr>
          <w:rFonts w:cs="Times New Roman"/>
          <w:sz w:val="10"/>
          <w:szCs w:val="24"/>
        </w:rPr>
        <w:br w:type="page"/>
      </w:r>
    </w:p>
    <w:p w14:paraId="44989067" w14:textId="771B997B" w:rsidR="00401CA2" w:rsidRPr="00084D33" w:rsidRDefault="00401CA2" w:rsidP="00D131A1">
      <w:pPr>
        <w:pStyle w:val="Ttulo1"/>
        <w:numPr>
          <w:ilvl w:val="1"/>
          <w:numId w:val="6"/>
        </w:numPr>
        <w:spacing w:after="240" w:line="259" w:lineRule="auto"/>
        <w:rPr>
          <w:rFonts w:cs="Times New Roman"/>
          <w:b/>
          <w:spacing w:val="20"/>
          <w:sz w:val="24"/>
          <w:szCs w:val="24"/>
        </w:rPr>
      </w:pPr>
      <w:bookmarkStart w:id="213" w:name="_Toc186924397"/>
      <w:bookmarkStart w:id="214" w:name="_Toc78583680"/>
      <w:r w:rsidRPr="00084D33">
        <w:rPr>
          <w:rFonts w:cs="Times New Roman"/>
          <w:b/>
          <w:spacing w:val="20"/>
          <w:sz w:val="24"/>
          <w:szCs w:val="24"/>
        </w:rPr>
        <w:lastRenderedPageBreak/>
        <w:t>Matriz de Logros Relevantes MOPC - Datos Cuantitativos</w:t>
      </w:r>
      <w:r w:rsidR="00BC577E" w:rsidRPr="00084D33">
        <w:rPr>
          <w:rFonts w:cs="Times New Roman"/>
          <w:b/>
          <w:spacing w:val="20"/>
          <w:sz w:val="24"/>
          <w:szCs w:val="24"/>
        </w:rPr>
        <w:t xml:space="preserve"> </w:t>
      </w:r>
      <w:r w:rsidRPr="00084D33">
        <w:rPr>
          <w:rFonts w:cs="Times New Roman"/>
          <w:b/>
          <w:spacing w:val="20"/>
          <w:sz w:val="24"/>
          <w:szCs w:val="24"/>
        </w:rPr>
        <w:t xml:space="preserve">(Enero - </w:t>
      </w:r>
      <w:r w:rsidR="00B5550F" w:rsidRPr="00084D33">
        <w:rPr>
          <w:rFonts w:cs="Times New Roman"/>
          <w:b/>
          <w:spacing w:val="20"/>
          <w:sz w:val="24"/>
          <w:szCs w:val="24"/>
        </w:rPr>
        <w:t>Dic</w:t>
      </w:r>
      <w:r w:rsidRPr="00084D33">
        <w:rPr>
          <w:rFonts w:cs="Times New Roman"/>
          <w:b/>
          <w:spacing w:val="20"/>
          <w:sz w:val="24"/>
          <w:szCs w:val="24"/>
        </w:rPr>
        <w:t xml:space="preserve">iembre </w:t>
      </w:r>
      <w:r w:rsidR="00F43D7E" w:rsidRPr="00084D33">
        <w:rPr>
          <w:rFonts w:cs="Times New Roman"/>
          <w:b/>
          <w:spacing w:val="20"/>
          <w:sz w:val="24"/>
          <w:szCs w:val="24"/>
        </w:rPr>
        <w:t>2024</w:t>
      </w:r>
      <w:r w:rsidRPr="00084D33">
        <w:rPr>
          <w:rFonts w:cs="Times New Roman"/>
          <w:b/>
          <w:spacing w:val="20"/>
          <w:sz w:val="24"/>
          <w:szCs w:val="24"/>
        </w:rPr>
        <w:t>)</w:t>
      </w:r>
      <w:bookmarkEnd w:id="213"/>
    </w:p>
    <w:p w14:paraId="66D6F276" w14:textId="4BBFD2A0" w:rsidR="00EF098D" w:rsidRPr="00084D33" w:rsidRDefault="00C4067A" w:rsidP="00EF098D">
      <w:r w:rsidRPr="00084D33">
        <w:rPr>
          <w:noProof/>
          <w:lang w:eastAsia="es-DO"/>
        </w:rPr>
        <w:drawing>
          <wp:inline distT="0" distB="0" distL="0" distR="0" wp14:anchorId="0A43B85B" wp14:editId="2CB8DECD">
            <wp:extent cx="10971870" cy="5654040"/>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975180" cy="5655746"/>
                    </a:xfrm>
                    <a:prstGeom prst="rect">
                      <a:avLst/>
                    </a:prstGeom>
                    <a:noFill/>
                    <a:ln>
                      <a:noFill/>
                    </a:ln>
                  </pic:spPr>
                </pic:pic>
              </a:graphicData>
            </a:graphic>
          </wp:inline>
        </w:drawing>
      </w:r>
    </w:p>
    <w:p w14:paraId="77AEEB27" w14:textId="77777777" w:rsidR="003935FB" w:rsidRPr="00084D33" w:rsidRDefault="003935FB">
      <w:pPr>
        <w:spacing w:after="160" w:line="259" w:lineRule="auto"/>
        <w:jc w:val="left"/>
        <w:rPr>
          <w:rFonts w:eastAsiaTheme="majorEastAsia" w:cs="Times New Roman"/>
          <w:b/>
          <w:spacing w:val="20"/>
          <w:kern w:val="38"/>
          <w:szCs w:val="24"/>
        </w:rPr>
      </w:pPr>
      <w:r w:rsidRPr="00084D33">
        <w:rPr>
          <w:rFonts w:eastAsiaTheme="majorEastAsia" w:cs="Times New Roman"/>
          <w:b/>
          <w:spacing w:val="20"/>
          <w:kern w:val="38"/>
          <w:szCs w:val="24"/>
        </w:rPr>
        <w:br w:type="page"/>
      </w:r>
    </w:p>
    <w:p w14:paraId="34FEEFFD" w14:textId="36792F09" w:rsidR="00BE3E0B" w:rsidRPr="00084D33" w:rsidRDefault="00A759C5" w:rsidP="00D131A1">
      <w:pPr>
        <w:pStyle w:val="Ttulo1"/>
        <w:numPr>
          <w:ilvl w:val="1"/>
          <w:numId w:val="6"/>
        </w:numPr>
        <w:spacing w:after="240" w:line="259" w:lineRule="auto"/>
        <w:rPr>
          <w:rFonts w:cs="Times New Roman"/>
          <w:b/>
          <w:spacing w:val="20"/>
          <w:sz w:val="24"/>
          <w:szCs w:val="24"/>
        </w:rPr>
      </w:pPr>
      <w:bookmarkStart w:id="215" w:name="_Toc186924398"/>
      <w:r w:rsidRPr="00084D33">
        <w:rPr>
          <w:rFonts w:cs="Times New Roman"/>
          <w:b/>
          <w:spacing w:val="20"/>
          <w:sz w:val="24"/>
          <w:szCs w:val="24"/>
        </w:rPr>
        <w:lastRenderedPageBreak/>
        <w:t>Matriz de principales indicadores de gestión</w:t>
      </w:r>
      <w:bookmarkEnd w:id="214"/>
      <w:r w:rsidR="00113B89" w:rsidRPr="00084D33">
        <w:rPr>
          <w:rFonts w:cs="Times New Roman"/>
          <w:b/>
          <w:spacing w:val="20"/>
          <w:sz w:val="24"/>
          <w:szCs w:val="24"/>
        </w:rPr>
        <w:t xml:space="preserve"> </w:t>
      </w:r>
      <w:r w:rsidR="007364E0" w:rsidRPr="00084D33">
        <w:rPr>
          <w:rFonts w:cs="Times New Roman"/>
          <w:b/>
          <w:spacing w:val="20"/>
          <w:sz w:val="24"/>
          <w:szCs w:val="24"/>
        </w:rPr>
        <w:t>por procesos</w:t>
      </w:r>
      <w:bookmarkEnd w:id="215"/>
    </w:p>
    <w:p w14:paraId="61B91DE9" w14:textId="77777777" w:rsidR="009408AF" w:rsidRPr="00084D33" w:rsidRDefault="009408AF" w:rsidP="009925BA">
      <w:pPr>
        <w:ind w:left="-540"/>
        <w:jc w:val="center"/>
      </w:pPr>
    </w:p>
    <w:p w14:paraId="082B4E1E" w14:textId="7F0A237C" w:rsidR="00CB4B6C" w:rsidRPr="00084D33" w:rsidRDefault="009408AF" w:rsidP="009925BA">
      <w:pPr>
        <w:ind w:left="-540"/>
        <w:jc w:val="center"/>
      </w:pPr>
      <w:r w:rsidRPr="00084D33">
        <w:rPr>
          <w:noProof/>
          <w:lang w:eastAsia="es-DO"/>
        </w:rPr>
        <w:drawing>
          <wp:inline distT="0" distB="0" distL="0" distR="0" wp14:anchorId="4300564A" wp14:editId="7EFB33AA">
            <wp:extent cx="9641840" cy="522732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648441" cy="5230899"/>
                    </a:xfrm>
                    <a:prstGeom prst="rect">
                      <a:avLst/>
                    </a:prstGeom>
                    <a:noFill/>
                    <a:ln>
                      <a:noFill/>
                    </a:ln>
                  </pic:spPr>
                </pic:pic>
              </a:graphicData>
            </a:graphic>
          </wp:inline>
        </w:drawing>
      </w:r>
    </w:p>
    <w:p w14:paraId="06E0D64C" w14:textId="05F9F859" w:rsidR="009925BA" w:rsidRPr="00084D33" w:rsidRDefault="009925BA" w:rsidP="009925BA">
      <w:pPr>
        <w:ind w:left="-540"/>
        <w:jc w:val="center"/>
      </w:pPr>
    </w:p>
    <w:p w14:paraId="238FCEC3" w14:textId="59FC83AF" w:rsidR="007364E0" w:rsidRPr="00084D33" w:rsidRDefault="007364E0" w:rsidP="00D131A1">
      <w:pPr>
        <w:pStyle w:val="Ttulo1"/>
        <w:numPr>
          <w:ilvl w:val="1"/>
          <w:numId w:val="6"/>
        </w:numPr>
        <w:spacing w:line="259" w:lineRule="auto"/>
        <w:ind w:left="426"/>
        <w:rPr>
          <w:rFonts w:cs="Times New Roman"/>
          <w:b/>
          <w:spacing w:val="20"/>
          <w:sz w:val="24"/>
          <w:szCs w:val="24"/>
        </w:rPr>
      </w:pPr>
      <w:bookmarkStart w:id="216" w:name="_Toc186924399"/>
      <w:r w:rsidRPr="00084D33">
        <w:rPr>
          <w:rFonts w:cs="Times New Roman"/>
          <w:b/>
          <w:spacing w:val="20"/>
          <w:sz w:val="24"/>
          <w:szCs w:val="24"/>
        </w:rPr>
        <w:lastRenderedPageBreak/>
        <w:t xml:space="preserve">Matriz índice de </w:t>
      </w:r>
      <w:r w:rsidR="00203AFF" w:rsidRPr="00084D33">
        <w:rPr>
          <w:rFonts w:cs="Times New Roman"/>
          <w:b/>
          <w:spacing w:val="20"/>
          <w:sz w:val="24"/>
          <w:szCs w:val="24"/>
        </w:rPr>
        <w:t>gestión presupuestaria anual (IG</w:t>
      </w:r>
      <w:r w:rsidRPr="00084D33">
        <w:rPr>
          <w:rFonts w:cs="Times New Roman"/>
          <w:b/>
          <w:spacing w:val="20"/>
          <w:sz w:val="24"/>
          <w:szCs w:val="24"/>
        </w:rPr>
        <w:t>P)</w:t>
      </w:r>
      <w:bookmarkEnd w:id="216"/>
      <w:r w:rsidRPr="00084D33">
        <w:rPr>
          <w:rFonts w:cs="Times New Roman"/>
          <w:b/>
          <w:spacing w:val="20"/>
          <w:sz w:val="24"/>
          <w:szCs w:val="24"/>
        </w:rPr>
        <w:t xml:space="preserve"> </w:t>
      </w:r>
    </w:p>
    <w:p w14:paraId="2AC13B64" w14:textId="5D9CF0DF" w:rsidR="00B30614" w:rsidRPr="00084D33" w:rsidRDefault="00B30614" w:rsidP="00B30614"/>
    <w:p w14:paraId="68D174C6" w14:textId="590C363A" w:rsidR="00B30614" w:rsidRPr="00084D33" w:rsidRDefault="00B30614" w:rsidP="00B30614">
      <w:pPr>
        <w:jc w:val="center"/>
      </w:pPr>
      <w:r w:rsidRPr="00084D33">
        <w:t xml:space="preserve">Desempeño de la Producción Institucional (Enero - </w:t>
      </w:r>
      <w:r w:rsidR="00B5550F" w:rsidRPr="00084D33">
        <w:t>Dic</w:t>
      </w:r>
      <w:r w:rsidR="009C3496" w:rsidRPr="00084D33">
        <w:t>i</w:t>
      </w:r>
      <w:r w:rsidRPr="00084D33">
        <w:t>embre</w:t>
      </w:r>
      <w:r w:rsidR="00BC577E" w:rsidRPr="00084D33">
        <w:t xml:space="preserve"> </w:t>
      </w:r>
      <w:r w:rsidR="00F43D7E" w:rsidRPr="00084D33">
        <w:t>2024</w:t>
      </w:r>
      <w:r w:rsidRPr="00084D33">
        <w:t>)</w:t>
      </w:r>
    </w:p>
    <w:p w14:paraId="5EFBCBFB" w14:textId="4B11D974" w:rsidR="007364E0" w:rsidRPr="00084D33" w:rsidRDefault="00EB7C54" w:rsidP="00EB7C54">
      <w:pPr>
        <w:jc w:val="center"/>
      </w:pPr>
      <w:r w:rsidRPr="00084D33">
        <w:rPr>
          <w:noProof/>
          <w:lang w:eastAsia="es-DO"/>
        </w:rPr>
        <w:drawing>
          <wp:inline distT="0" distB="0" distL="0" distR="0" wp14:anchorId="7F2FCC70" wp14:editId="67C2F42C">
            <wp:extent cx="8839200" cy="5515429"/>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851692" cy="5523224"/>
                    </a:xfrm>
                    <a:prstGeom prst="rect">
                      <a:avLst/>
                    </a:prstGeom>
                    <a:noFill/>
                    <a:ln>
                      <a:noFill/>
                    </a:ln>
                  </pic:spPr>
                </pic:pic>
              </a:graphicData>
            </a:graphic>
          </wp:inline>
        </w:drawing>
      </w:r>
    </w:p>
    <w:p w14:paraId="1E257BF1" w14:textId="29CD8CA7" w:rsidR="00923FB7" w:rsidRPr="00084D33" w:rsidRDefault="00923FB7" w:rsidP="00575D78">
      <w:pPr>
        <w:spacing w:after="160" w:line="259" w:lineRule="auto"/>
        <w:jc w:val="left"/>
        <w:rPr>
          <w:noProof/>
          <w:lang w:eastAsia="es-DO"/>
        </w:rPr>
        <w:sectPr w:rsidR="00923FB7" w:rsidRPr="00084D33" w:rsidSect="00426C6C">
          <w:headerReference w:type="default" r:id="rId75"/>
          <w:footerReference w:type="default" r:id="rId76"/>
          <w:pgSz w:w="20160" w:h="12240" w:orient="landscape" w:code="5"/>
          <w:pgMar w:top="547" w:right="1440" w:bottom="1526" w:left="1440" w:header="446" w:footer="0" w:gutter="0"/>
          <w:cols w:space="708"/>
          <w:docGrid w:linePitch="360"/>
        </w:sectPr>
      </w:pPr>
    </w:p>
    <w:p w14:paraId="3E86C922" w14:textId="6ED21DCB" w:rsidR="007364E0" w:rsidRPr="00084D33" w:rsidRDefault="007364E0" w:rsidP="00D131A1">
      <w:pPr>
        <w:pStyle w:val="Ttulo1"/>
        <w:numPr>
          <w:ilvl w:val="1"/>
          <w:numId w:val="6"/>
        </w:numPr>
        <w:spacing w:line="259" w:lineRule="auto"/>
        <w:rPr>
          <w:rFonts w:cs="Times New Roman"/>
          <w:b/>
          <w:spacing w:val="20"/>
          <w:sz w:val="24"/>
          <w:szCs w:val="24"/>
        </w:rPr>
      </w:pPr>
      <w:bookmarkStart w:id="217" w:name="_Toc186924400"/>
      <w:bookmarkStart w:id="218" w:name="_Toc1418571"/>
      <w:bookmarkStart w:id="219" w:name="_Toc59361431"/>
      <w:r w:rsidRPr="00084D33">
        <w:rPr>
          <w:rFonts w:cs="Times New Roman"/>
          <w:b/>
          <w:spacing w:val="20"/>
          <w:sz w:val="24"/>
          <w:szCs w:val="24"/>
        </w:rPr>
        <w:lastRenderedPageBreak/>
        <w:t>Plan Anual de Compras</w:t>
      </w:r>
      <w:r w:rsidR="00D14588" w:rsidRPr="00084D33">
        <w:rPr>
          <w:rFonts w:cs="Times New Roman"/>
          <w:b/>
          <w:spacing w:val="20"/>
          <w:sz w:val="24"/>
          <w:szCs w:val="24"/>
        </w:rPr>
        <w:t xml:space="preserve"> MOPC Año 202</w:t>
      </w:r>
      <w:r w:rsidR="00697260" w:rsidRPr="00084D33">
        <w:rPr>
          <w:rFonts w:cs="Times New Roman"/>
          <w:b/>
          <w:spacing w:val="20"/>
          <w:sz w:val="24"/>
          <w:szCs w:val="24"/>
        </w:rPr>
        <w:t>4</w:t>
      </w:r>
      <w:bookmarkEnd w:id="217"/>
    </w:p>
    <w:tbl>
      <w:tblPr>
        <w:tblW w:w="8615" w:type="dxa"/>
        <w:tblCellMar>
          <w:left w:w="70" w:type="dxa"/>
          <w:right w:w="70" w:type="dxa"/>
        </w:tblCellMar>
        <w:tblLook w:val="04A0" w:firstRow="1" w:lastRow="0" w:firstColumn="1" w:lastColumn="0" w:noHBand="0" w:noVBand="1"/>
      </w:tblPr>
      <w:tblGrid>
        <w:gridCol w:w="228"/>
        <w:gridCol w:w="4902"/>
        <w:gridCol w:w="3240"/>
        <w:gridCol w:w="9"/>
        <w:gridCol w:w="227"/>
        <w:gridCol w:w="9"/>
      </w:tblGrid>
      <w:tr w:rsidR="00697260" w:rsidRPr="001625B6" w14:paraId="4DF35DF2"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2CB421E1"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nil"/>
              <w:bottom w:val="nil"/>
              <w:right w:val="nil"/>
            </w:tcBorders>
            <w:shd w:val="clear" w:color="auto" w:fill="auto"/>
            <w:vAlign w:val="bottom"/>
            <w:hideMark/>
          </w:tcPr>
          <w:p w14:paraId="15847A6D" w14:textId="77777777" w:rsidR="00697260" w:rsidRPr="001625B6" w:rsidRDefault="00697260" w:rsidP="00F43D7E">
            <w:pPr>
              <w:spacing w:line="240" w:lineRule="auto"/>
              <w:rPr>
                <w:rFonts w:eastAsia="Times New Roman"/>
                <w:color w:val="auto"/>
                <w:spacing w:val="0"/>
                <w:sz w:val="18"/>
                <w:szCs w:val="18"/>
                <w:lang w:eastAsia="es-DO"/>
              </w:rPr>
            </w:pPr>
          </w:p>
        </w:tc>
        <w:tc>
          <w:tcPr>
            <w:tcW w:w="3240" w:type="dxa"/>
            <w:tcBorders>
              <w:top w:val="nil"/>
              <w:left w:val="nil"/>
              <w:bottom w:val="nil"/>
              <w:right w:val="nil"/>
            </w:tcBorders>
            <w:shd w:val="clear" w:color="auto" w:fill="auto"/>
            <w:noWrap/>
            <w:vAlign w:val="bottom"/>
            <w:hideMark/>
          </w:tcPr>
          <w:p w14:paraId="1659583B" w14:textId="77777777" w:rsidR="00697260" w:rsidRPr="001625B6" w:rsidRDefault="00697260" w:rsidP="00F43D7E">
            <w:pPr>
              <w:spacing w:line="240" w:lineRule="auto"/>
              <w:rPr>
                <w:rFonts w:eastAsia="Times New Roman"/>
                <w:color w:val="auto"/>
                <w:spacing w:val="0"/>
                <w:sz w:val="18"/>
                <w:szCs w:val="18"/>
                <w:lang w:eastAsia="es-DO"/>
              </w:rPr>
            </w:pPr>
          </w:p>
        </w:tc>
        <w:tc>
          <w:tcPr>
            <w:tcW w:w="236" w:type="dxa"/>
            <w:gridSpan w:val="2"/>
            <w:tcBorders>
              <w:top w:val="nil"/>
              <w:left w:val="nil"/>
              <w:bottom w:val="nil"/>
              <w:right w:val="nil"/>
            </w:tcBorders>
            <w:shd w:val="clear" w:color="auto" w:fill="auto"/>
            <w:noWrap/>
            <w:vAlign w:val="bottom"/>
            <w:hideMark/>
          </w:tcPr>
          <w:p w14:paraId="7C9A7E7C" w14:textId="77777777" w:rsidR="00697260" w:rsidRPr="001625B6" w:rsidRDefault="00697260" w:rsidP="00F43D7E">
            <w:pPr>
              <w:spacing w:line="240" w:lineRule="auto"/>
              <w:rPr>
                <w:rFonts w:eastAsia="Times New Roman"/>
                <w:color w:val="auto"/>
                <w:spacing w:val="0"/>
                <w:sz w:val="18"/>
                <w:szCs w:val="18"/>
                <w:lang w:eastAsia="es-DO"/>
              </w:rPr>
            </w:pPr>
          </w:p>
        </w:tc>
      </w:tr>
      <w:tr w:rsidR="00697260" w:rsidRPr="001625B6" w14:paraId="392CAF42"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0C67F358"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nil"/>
              <w:bottom w:val="nil"/>
              <w:right w:val="nil"/>
            </w:tcBorders>
            <w:shd w:val="clear" w:color="auto" w:fill="auto"/>
            <w:vAlign w:val="bottom"/>
            <w:hideMark/>
          </w:tcPr>
          <w:p w14:paraId="0AEF3610" w14:textId="77777777" w:rsidR="00697260" w:rsidRPr="001625B6" w:rsidRDefault="00697260" w:rsidP="00F43D7E">
            <w:pPr>
              <w:spacing w:line="240" w:lineRule="auto"/>
              <w:rPr>
                <w:rFonts w:eastAsia="Times New Roman"/>
                <w:color w:val="auto"/>
                <w:spacing w:val="0"/>
                <w:sz w:val="18"/>
                <w:szCs w:val="18"/>
                <w:lang w:eastAsia="es-DO"/>
              </w:rPr>
            </w:pPr>
          </w:p>
        </w:tc>
        <w:tc>
          <w:tcPr>
            <w:tcW w:w="3240" w:type="dxa"/>
            <w:tcBorders>
              <w:top w:val="nil"/>
              <w:left w:val="nil"/>
              <w:bottom w:val="nil"/>
              <w:right w:val="nil"/>
            </w:tcBorders>
            <w:shd w:val="clear" w:color="auto" w:fill="auto"/>
            <w:noWrap/>
            <w:vAlign w:val="bottom"/>
            <w:hideMark/>
          </w:tcPr>
          <w:p w14:paraId="15F9B50B" w14:textId="77777777" w:rsidR="00697260" w:rsidRPr="001625B6" w:rsidRDefault="00697260" w:rsidP="00F43D7E">
            <w:pPr>
              <w:spacing w:line="240" w:lineRule="auto"/>
              <w:rPr>
                <w:rFonts w:eastAsia="Times New Roman"/>
                <w:color w:val="auto"/>
                <w:spacing w:val="0"/>
                <w:sz w:val="18"/>
                <w:szCs w:val="18"/>
                <w:lang w:eastAsia="es-DO"/>
              </w:rPr>
            </w:pPr>
          </w:p>
        </w:tc>
        <w:tc>
          <w:tcPr>
            <w:tcW w:w="236" w:type="dxa"/>
            <w:gridSpan w:val="2"/>
            <w:tcBorders>
              <w:top w:val="nil"/>
              <w:left w:val="nil"/>
              <w:bottom w:val="nil"/>
              <w:right w:val="nil"/>
            </w:tcBorders>
            <w:shd w:val="clear" w:color="auto" w:fill="auto"/>
            <w:noWrap/>
            <w:vAlign w:val="bottom"/>
            <w:hideMark/>
          </w:tcPr>
          <w:p w14:paraId="27A32770" w14:textId="77777777" w:rsidR="00697260" w:rsidRPr="001625B6" w:rsidRDefault="00697260" w:rsidP="00F43D7E">
            <w:pPr>
              <w:spacing w:line="240" w:lineRule="auto"/>
              <w:rPr>
                <w:rFonts w:eastAsia="Times New Roman"/>
                <w:color w:val="auto"/>
                <w:spacing w:val="0"/>
                <w:sz w:val="18"/>
                <w:szCs w:val="18"/>
                <w:lang w:eastAsia="es-DO"/>
              </w:rPr>
            </w:pPr>
          </w:p>
        </w:tc>
      </w:tr>
      <w:tr w:rsidR="00697260" w:rsidRPr="001625B6" w14:paraId="6D98413A"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024C39F7"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nil"/>
              <w:bottom w:val="nil"/>
              <w:right w:val="nil"/>
            </w:tcBorders>
            <w:shd w:val="clear" w:color="auto" w:fill="auto"/>
            <w:vAlign w:val="bottom"/>
            <w:hideMark/>
          </w:tcPr>
          <w:p w14:paraId="41587B0B" w14:textId="77777777" w:rsidR="00697260" w:rsidRPr="001625B6" w:rsidRDefault="00697260" w:rsidP="00F43D7E">
            <w:pPr>
              <w:spacing w:line="240" w:lineRule="auto"/>
              <w:rPr>
                <w:rFonts w:eastAsia="Times New Roman"/>
                <w:color w:val="auto"/>
                <w:spacing w:val="0"/>
                <w:sz w:val="18"/>
                <w:szCs w:val="18"/>
                <w:lang w:eastAsia="es-DO"/>
              </w:rPr>
            </w:pPr>
          </w:p>
        </w:tc>
        <w:tc>
          <w:tcPr>
            <w:tcW w:w="3240" w:type="dxa"/>
            <w:tcBorders>
              <w:top w:val="nil"/>
              <w:left w:val="nil"/>
              <w:bottom w:val="nil"/>
              <w:right w:val="nil"/>
            </w:tcBorders>
            <w:shd w:val="clear" w:color="auto" w:fill="auto"/>
            <w:noWrap/>
            <w:vAlign w:val="bottom"/>
            <w:hideMark/>
          </w:tcPr>
          <w:p w14:paraId="7A752551" w14:textId="77777777" w:rsidR="00697260" w:rsidRPr="001625B6" w:rsidRDefault="00697260" w:rsidP="00F43D7E">
            <w:pPr>
              <w:spacing w:line="240" w:lineRule="auto"/>
              <w:rPr>
                <w:rFonts w:eastAsia="Times New Roman"/>
                <w:color w:val="auto"/>
                <w:spacing w:val="0"/>
                <w:sz w:val="18"/>
                <w:szCs w:val="18"/>
                <w:lang w:eastAsia="es-DO"/>
              </w:rPr>
            </w:pPr>
          </w:p>
        </w:tc>
        <w:tc>
          <w:tcPr>
            <w:tcW w:w="236" w:type="dxa"/>
            <w:gridSpan w:val="2"/>
            <w:tcBorders>
              <w:top w:val="nil"/>
              <w:left w:val="nil"/>
              <w:bottom w:val="nil"/>
              <w:right w:val="nil"/>
            </w:tcBorders>
            <w:shd w:val="clear" w:color="auto" w:fill="auto"/>
            <w:noWrap/>
            <w:vAlign w:val="bottom"/>
            <w:hideMark/>
          </w:tcPr>
          <w:p w14:paraId="7B25A0D7" w14:textId="77777777" w:rsidR="00697260" w:rsidRPr="001625B6" w:rsidRDefault="00697260" w:rsidP="00F43D7E">
            <w:pPr>
              <w:spacing w:line="240" w:lineRule="auto"/>
              <w:rPr>
                <w:rFonts w:eastAsia="Times New Roman"/>
                <w:color w:val="auto"/>
                <w:spacing w:val="0"/>
                <w:sz w:val="18"/>
                <w:szCs w:val="18"/>
                <w:lang w:eastAsia="es-DO"/>
              </w:rPr>
            </w:pPr>
          </w:p>
        </w:tc>
      </w:tr>
      <w:tr w:rsidR="00697260" w:rsidRPr="001625B6" w14:paraId="37D6629B"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050B4848"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nil"/>
              <w:bottom w:val="nil"/>
              <w:right w:val="nil"/>
            </w:tcBorders>
            <w:shd w:val="clear" w:color="auto" w:fill="auto"/>
            <w:vAlign w:val="bottom"/>
            <w:hideMark/>
          </w:tcPr>
          <w:p w14:paraId="1CE0AF86" w14:textId="77777777" w:rsidR="00697260" w:rsidRPr="001625B6" w:rsidRDefault="00697260" w:rsidP="00F43D7E">
            <w:pPr>
              <w:spacing w:line="240" w:lineRule="auto"/>
              <w:rPr>
                <w:rFonts w:eastAsia="Times New Roman"/>
                <w:color w:val="auto"/>
                <w:spacing w:val="0"/>
                <w:sz w:val="18"/>
                <w:szCs w:val="18"/>
                <w:lang w:eastAsia="es-DO"/>
              </w:rPr>
            </w:pPr>
            <w:r w:rsidRPr="001625B6">
              <w:rPr>
                <w:rFonts w:ascii="Calibri" w:eastAsia="Times New Roman" w:hAnsi="Calibri"/>
                <w:noProof/>
                <w:color w:val="000000"/>
                <w:spacing w:val="0"/>
                <w:sz w:val="18"/>
                <w:szCs w:val="18"/>
                <w:lang w:eastAsia="es-DO"/>
              </w:rPr>
              <w:drawing>
                <wp:anchor distT="0" distB="0" distL="114300" distR="114300" simplePos="0" relativeHeight="251810816" behindDoc="0" locked="0" layoutInCell="1" allowOverlap="1" wp14:anchorId="22986F74" wp14:editId="4CF88982">
                  <wp:simplePos x="0" y="0"/>
                  <wp:positionH relativeFrom="column">
                    <wp:posOffset>-635</wp:posOffset>
                  </wp:positionH>
                  <wp:positionV relativeFrom="paragraph">
                    <wp:posOffset>-332105</wp:posOffset>
                  </wp:positionV>
                  <wp:extent cx="2470785" cy="427355"/>
                  <wp:effectExtent l="0" t="0" r="5715" b="0"/>
                  <wp:wrapNone/>
                  <wp:docPr id="208" name="Imagen 208">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00000000-0008-0000-0000-000006000000}"/>
                              </a:ext>
                            </a:extLst>
                          </pic:cNvPr>
                          <pic:cNvPicPr>
                            <a:picLocks noChangeAspect="1"/>
                          </pic:cNvPicPr>
                        </pic:nvPicPr>
                        <pic:blipFill>
                          <a:blip r:embed="rId77"/>
                          <a:stretch>
                            <a:fillRect/>
                          </a:stretch>
                        </pic:blipFill>
                        <pic:spPr>
                          <a:xfrm>
                            <a:off x="0" y="0"/>
                            <a:ext cx="2470785" cy="427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40" w:type="dxa"/>
            <w:tcBorders>
              <w:top w:val="nil"/>
              <w:left w:val="nil"/>
              <w:bottom w:val="nil"/>
              <w:right w:val="nil"/>
            </w:tcBorders>
            <w:shd w:val="clear" w:color="auto" w:fill="auto"/>
            <w:noWrap/>
            <w:vAlign w:val="bottom"/>
            <w:hideMark/>
          </w:tcPr>
          <w:p w14:paraId="72BA7873" w14:textId="77777777" w:rsidR="00697260" w:rsidRPr="001625B6" w:rsidRDefault="00697260" w:rsidP="00F43D7E">
            <w:pPr>
              <w:spacing w:line="240" w:lineRule="auto"/>
              <w:rPr>
                <w:rFonts w:eastAsia="Times New Roman"/>
                <w:color w:val="auto"/>
                <w:spacing w:val="0"/>
                <w:sz w:val="18"/>
                <w:szCs w:val="18"/>
                <w:lang w:eastAsia="es-DO"/>
              </w:rPr>
            </w:pPr>
          </w:p>
        </w:tc>
        <w:tc>
          <w:tcPr>
            <w:tcW w:w="236" w:type="dxa"/>
            <w:gridSpan w:val="2"/>
            <w:tcBorders>
              <w:top w:val="nil"/>
              <w:left w:val="nil"/>
              <w:bottom w:val="nil"/>
              <w:right w:val="nil"/>
            </w:tcBorders>
            <w:shd w:val="clear" w:color="auto" w:fill="auto"/>
            <w:noWrap/>
            <w:vAlign w:val="bottom"/>
            <w:hideMark/>
          </w:tcPr>
          <w:p w14:paraId="76ABCCA2" w14:textId="77777777" w:rsidR="00697260" w:rsidRPr="001625B6" w:rsidRDefault="00697260" w:rsidP="00F43D7E">
            <w:pPr>
              <w:spacing w:line="240" w:lineRule="auto"/>
              <w:rPr>
                <w:rFonts w:eastAsia="Times New Roman"/>
                <w:color w:val="auto"/>
                <w:spacing w:val="0"/>
                <w:sz w:val="18"/>
                <w:szCs w:val="18"/>
                <w:lang w:eastAsia="es-DO"/>
              </w:rPr>
            </w:pPr>
          </w:p>
        </w:tc>
      </w:tr>
      <w:tr w:rsidR="00697260" w:rsidRPr="001625B6" w14:paraId="0C7D131F" w14:textId="77777777" w:rsidTr="00F43D7E">
        <w:trPr>
          <w:trHeight w:val="202"/>
        </w:trPr>
        <w:tc>
          <w:tcPr>
            <w:tcW w:w="228" w:type="dxa"/>
            <w:tcBorders>
              <w:top w:val="nil"/>
              <w:left w:val="nil"/>
              <w:bottom w:val="nil"/>
              <w:right w:val="nil"/>
            </w:tcBorders>
            <w:shd w:val="clear" w:color="auto" w:fill="auto"/>
            <w:noWrap/>
            <w:vAlign w:val="bottom"/>
            <w:hideMark/>
          </w:tcPr>
          <w:p w14:paraId="3691A29C" w14:textId="77777777" w:rsidR="00697260" w:rsidRPr="001625B6" w:rsidRDefault="00697260" w:rsidP="00F43D7E">
            <w:pPr>
              <w:spacing w:line="240" w:lineRule="auto"/>
              <w:rPr>
                <w:rFonts w:eastAsia="Times New Roman"/>
                <w:color w:val="auto"/>
                <w:spacing w:val="0"/>
                <w:sz w:val="18"/>
                <w:szCs w:val="18"/>
                <w:lang w:eastAsia="es-DO"/>
              </w:rPr>
            </w:pPr>
          </w:p>
        </w:tc>
        <w:tc>
          <w:tcPr>
            <w:tcW w:w="8151" w:type="dxa"/>
            <w:gridSpan w:val="3"/>
            <w:tcBorders>
              <w:top w:val="nil"/>
              <w:left w:val="nil"/>
              <w:bottom w:val="single" w:sz="12" w:space="0" w:color="FFFFFF"/>
              <w:right w:val="nil"/>
            </w:tcBorders>
            <w:shd w:val="clear" w:color="000000" w:fill="9BC2E6"/>
            <w:vAlign w:val="center"/>
            <w:hideMark/>
          </w:tcPr>
          <w:p w14:paraId="0C180D65" w14:textId="77777777" w:rsidR="00697260" w:rsidRPr="001625B6" w:rsidRDefault="00697260" w:rsidP="00F43D7E">
            <w:pPr>
              <w:spacing w:line="240" w:lineRule="auto"/>
              <w:jc w:val="center"/>
              <w:rPr>
                <w:rFonts w:ascii="Calibri" w:eastAsia="Times New Roman" w:hAnsi="Calibri"/>
                <w:b/>
                <w:bCs/>
                <w:color w:val="auto"/>
                <w:spacing w:val="0"/>
                <w:sz w:val="18"/>
                <w:szCs w:val="18"/>
                <w:lang w:eastAsia="es-DO"/>
              </w:rPr>
            </w:pPr>
            <w:r w:rsidRPr="001625B6">
              <w:rPr>
                <w:rFonts w:ascii="Calibri" w:eastAsia="Times New Roman" w:hAnsi="Calibri"/>
                <w:b/>
                <w:bCs/>
                <w:color w:val="auto"/>
                <w:spacing w:val="0"/>
                <w:sz w:val="18"/>
                <w:szCs w:val="18"/>
                <w:lang w:eastAsia="es-DO"/>
              </w:rPr>
              <w:t>DATOS DE CABECERA PACC</w:t>
            </w:r>
          </w:p>
        </w:tc>
        <w:tc>
          <w:tcPr>
            <w:tcW w:w="236" w:type="dxa"/>
            <w:gridSpan w:val="2"/>
            <w:tcBorders>
              <w:top w:val="nil"/>
              <w:left w:val="nil"/>
              <w:bottom w:val="nil"/>
              <w:right w:val="nil"/>
            </w:tcBorders>
            <w:shd w:val="clear" w:color="auto" w:fill="auto"/>
            <w:noWrap/>
            <w:vAlign w:val="bottom"/>
            <w:hideMark/>
          </w:tcPr>
          <w:p w14:paraId="11C6A38D" w14:textId="77777777" w:rsidR="00697260" w:rsidRPr="001625B6" w:rsidRDefault="00697260" w:rsidP="00F43D7E">
            <w:pPr>
              <w:spacing w:line="240" w:lineRule="auto"/>
              <w:jc w:val="center"/>
              <w:rPr>
                <w:rFonts w:ascii="Calibri" w:eastAsia="Times New Roman" w:hAnsi="Calibri"/>
                <w:b/>
                <w:bCs/>
                <w:color w:val="auto"/>
                <w:spacing w:val="0"/>
                <w:sz w:val="18"/>
                <w:szCs w:val="18"/>
                <w:lang w:eastAsia="es-DO"/>
              </w:rPr>
            </w:pPr>
          </w:p>
        </w:tc>
      </w:tr>
      <w:tr w:rsidR="00697260" w:rsidRPr="001625B6" w14:paraId="27ED1D75" w14:textId="77777777" w:rsidTr="00F43D7E">
        <w:trPr>
          <w:gridAfter w:val="1"/>
          <w:wAfter w:w="9" w:type="dxa"/>
          <w:trHeight w:val="243"/>
        </w:trPr>
        <w:tc>
          <w:tcPr>
            <w:tcW w:w="228" w:type="dxa"/>
            <w:tcBorders>
              <w:top w:val="nil"/>
              <w:left w:val="nil"/>
              <w:bottom w:val="nil"/>
              <w:right w:val="nil"/>
            </w:tcBorders>
            <w:shd w:val="clear" w:color="auto" w:fill="auto"/>
            <w:noWrap/>
            <w:vAlign w:val="bottom"/>
            <w:hideMark/>
          </w:tcPr>
          <w:p w14:paraId="355336E6"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46DD697"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MONTO ESTIMADO TOTAL</w:t>
            </w:r>
          </w:p>
        </w:tc>
        <w:tc>
          <w:tcPr>
            <w:tcW w:w="3240" w:type="dxa"/>
            <w:tcBorders>
              <w:top w:val="nil"/>
              <w:left w:val="nil"/>
              <w:bottom w:val="single" w:sz="12" w:space="0" w:color="FFFFFF"/>
              <w:right w:val="single" w:sz="12" w:space="0" w:color="FFFFFF"/>
            </w:tcBorders>
            <w:shd w:val="clear" w:color="000000" w:fill="D9D9D9"/>
            <w:noWrap/>
            <w:vAlign w:val="bottom"/>
            <w:hideMark/>
          </w:tcPr>
          <w:p w14:paraId="14CE522C"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164,187,037.77 </w:t>
            </w:r>
          </w:p>
        </w:tc>
        <w:tc>
          <w:tcPr>
            <w:tcW w:w="236" w:type="dxa"/>
            <w:gridSpan w:val="2"/>
            <w:tcBorders>
              <w:top w:val="nil"/>
              <w:left w:val="nil"/>
              <w:bottom w:val="nil"/>
              <w:right w:val="nil"/>
            </w:tcBorders>
            <w:shd w:val="clear" w:color="auto" w:fill="auto"/>
            <w:noWrap/>
            <w:vAlign w:val="bottom"/>
            <w:hideMark/>
          </w:tcPr>
          <w:p w14:paraId="4A332A5D"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3E2B82DE" w14:textId="77777777" w:rsidTr="00F43D7E">
        <w:trPr>
          <w:gridAfter w:val="1"/>
          <w:wAfter w:w="9" w:type="dxa"/>
          <w:trHeight w:val="243"/>
        </w:trPr>
        <w:tc>
          <w:tcPr>
            <w:tcW w:w="228" w:type="dxa"/>
            <w:tcBorders>
              <w:top w:val="nil"/>
              <w:left w:val="nil"/>
              <w:bottom w:val="nil"/>
              <w:right w:val="nil"/>
            </w:tcBorders>
            <w:shd w:val="clear" w:color="auto" w:fill="auto"/>
            <w:noWrap/>
            <w:vAlign w:val="bottom"/>
            <w:hideMark/>
          </w:tcPr>
          <w:p w14:paraId="4E8FEC04"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25E3F7B"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CANTIDAD DE PROCESOS REGISTRADOS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74B605FB"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15</w:t>
            </w:r>
          </w:p>
        </w:tc>
        <w:tc>
          <w:tcPr>
            <w:tcW w:w="236" w:type="dxa"/>
            <w:gridSpan w:val="2"/>
            <w:tcBorders>
              <w:top w:val="nil"/>
              <w:left w:val="nil"/>
              <w:bottom w:val="nil"/>
              <w:right w:val="nil"/>
            </w:tcBorders>
            <w:shd w:val="clear" w:color="auto" w:fill="auto"/>
            <w:noWrap/>
            <w:vAlign w:val="bottom"/>
            <w:hideMark/>
          </w:tcPr>
          <w:p w14:paraId="06106626"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4A44EB33" w14:textId="77777777" w:rsidTr="00F43D7E">
        <w:trPr>
          <w:gridAfter w:val="1"/>
          <w:wAfter w:w="9" w:type="dxa"/>
          <w:trHeight w:val="243"/>
        </w:trPr>
        <w:tc>
          <w:tcPr>
            <w:tcW w:w="228" w:type="dxa"/>
            <w:tcBorders>
              <w:top w:val="nil"/>
              <w:left w:val="nil"/>
              <w:bottom w:val="nil"/>
              <w:right w:val="nil"/>
            </w:tcBorders>
            <w:shd w:val="clear" w:color="auto" w:fill="auto"/>
            <w:noWrap/>
            <w:vAlign w:val="bottom"/>
            <w:hideMark/>
          </w:tcPr>
          <w:p w14:paraId="264847EE"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3DFC41AA"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 xml:space="preserve">CAPÍTULO </w:t>
            </w:r>
          </w:p>
        </w:tc>
        <w:tc>
          <w:tcPr>
            <w:tcW w:w="3240" w:type="dxa"/>
            <w:tcBorders>
              <w:top w:val="nil"/>
              <w:left w:val="nil"/>
              <w:bottom w:val="single" w:sz="12" w:space="0" w:color="FFFFFF"/>
              <w:right w:val="single" w:sz="12" w:space="0" w:color="FFFFFF"/>
            </w:tcBorders>
            <w:shd w:val="clear" w:color="000000" w:fill="D9D9D9"/>
            <w:noWrap/>
            <w:vAlign w:val="bottom"/>
            <w:hideMark/>
          </w:tcPr>
          <w:p w14:paraId="116FE62F"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0211</w:t>
            </w:r>
          </w:p>
        </w:tc>
        <w:tc>
          <w:tcPr>
            <w:tcW w:w="236" w:type="dxa"/>
            <w:gridSpan w:val="2"/>
            <w:tcBorders>
              <w:top w:val="nil"/>
              <w:left w:val="nil"/>
              <w:bottom w:val="nil"/>
              <w:right w:val="nil"/>
            </w:tcBorders>
            <w:shd w:val="clear" w:color="auto" w:fill="auto"/>
            <w:noWrap/>
            <w:vAlign w:val="bottom"/>
            <w:hideMark/>
          </w:tcPr>
          <w:p w14:paraId="0CDE613C"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5F5B3CA5" w14:textId="77777777" w:rsidTr="00F43D7E">
        <w:trPr>
          <w:gridAfter w:val="1"/>
          <w:wAfter w:w="9" w:type="dxa"/>
          <w:trHeight w:val="243"/>
        </w:trPr>
        <w:tc>
          <w:tcPr>
            <w:tcW w:w="228" w:type="dxa"/>
            <w:tcBorders>
              <w:top w:val="nil"/>
              <w:left w:val="nil"/>
              <w:bottom w:val="nil"/>
              <w:right w:val="nil"/>
            </w:tcBorders>
            <w:shd w:val="clear" w:color="auto" w:fill="auto"/>
            <w:noWrap/>
            <w:vAlign w:val="bottom"/>
            <w:hideMark/>
          </w:tcPr>
          <w:p w14:paraId="50FFEA67"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4D05A52"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SUB CAPÍTULO</w:t>
            </w:r>
          </w:p>
        </w:tc>
        <w:tc>
          <w:tcPr>
            <w:tcW w:w="3240" w:type="dxa"/>
            <w:tcBorders>
              <w:top w:val="nil"/>
              <w:left w:val="nil"/>
              <w:bottom w:val="single" w:sz="12" w:space="0" w:color="FFFFFF"/>
              <w:right w:val="single" w:sz="12" w:space="0" w:color="FFFFFF"/>
            </w:tcBorders>
            <w:shd w:val="clear" w:color="000000" w:fill="D9D9D9"/>
            <w:noWrap/>
            <w:vAlign w:val="bottom"/>
            <w:hideMark/>
          </w:tcPr>
          <w:p w14:paraId="4825BAA7"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01</w:t>
            </w:r>
          </w:p>
        </w:tc>
        <w:tc>
          <w:tcPr>
            <w:tcW w:w="236" w:type="dxa"/>
            <w:gridSpan w:val="2"/>
            <w:tcBorders>
              <w:top w:val="nil"/>
              <w:left w:val="nil"/>
              <w:bottom w:val="nil"/>
              <w:right w:val="nil"/>
            </w:tcBorders>
            <w:shd w:val="clear" w:color="auto" w:fill="auto"/>
            <w:noWrap/>
            <w:vAlign w:val="bottom"/>
            <w:hideMark/>
          </w:tcPr>
          <w:p w14:paraId="6A7681B7"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7D6C364B" w14:textId="77777777" w:rsidTr="00F43D7E">
        <w:trPr>
          <w:gridAfter w:val="1"/>
          <w:wAfter w:w="9" w:type="dxa"/>
          <w:trHeight w:val="243"/>
        </w:trPr>
        <w:tc>
          <w:tcPr>
            <w:tcW w:w="228" w:type="dxa"/>
            <w:tcBorders>
              <w:top w:val="nil"/>
              <w:left w:val="nil"/>
              <w:bottom w:val="nil"/>
              <w:right w:val="nil"/>
            </w:tcBorders>
            <w:shd w:val="clear" w:color="auto" w:fill="auto"/>
            <w:noWrap/>
            <w:vAlign w:val="bottom"/>
            <w:hideMark/>
          </w:tcPr>
          <w:p w14:paraId="4A3266C0"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A9CA14E"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UNIDAD EJECUTORA</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5E4E0BD"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0001</w:t>
            </w:r>
          </w:p>
        </w:tc>
        <w:tc>
          <w:tcPr>
            <w:tcW w:w="236" w:type="dxa"/>
            <w:gridSpan w:val="2"/>
            <w:tcBorders>
              <w:top w:val="nil"/>
              <w:left w:val="nil"/>
              <w:bottom w:val="nil"/>
              <w:right w:val="nil"/>
            </w:tcBorders>
            <w:shd w:val="clear" w:color="auto" w:fill="auto"/>
            <w:noWrap/>
            <w:vAlign w:val="bottom"/>
            <w:hideMark/>
          </w:tcPr>
          <w:p w14:paraId="288E7D5E"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575371BF" w14:textId="77777777" w:rsidTr="00F43D7E">
        <w:trPr>
          <w:gridAfter w:val="1"/>
          <w:wAfter w:w="9" w:type="dxa"/>
          <w:trHeight w:val="223"/>
        </w:trPr>
        <w:tc>
          <w:tcPr>
            <w:tcW w:w="228" w:type="dxa"/>
            <w:tcBorders>
              <w:top w:val="nil"/>
              <w:left w:val="nil"/>
              <w:bottom w:val="nil"/>
              <w:right w:val="nil"/>
            </w:tcBorders>
            <w:shd w:val="clear" w:color="auto" w:fill="auto"/>
            <w:noWrap/>
            <w:vAlign w:val="bottom"/>
            <w:hideMark/>
          </w:tcPr>
          <w:p w14:paraId="3B6BCF76"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3202B138"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 xml:space="preserve">UNIDAD DE COMPRA </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C557288" w14:textId="77777777" w:rsidR="00697260" w:rsidRPr="001625B6" w:rsidRDefault="00697260" w:rsidP="00F43D7E">
            <w:pPr>
              <w:spacing w:line="240" w:lineRule="auto"/>
              <w:jc w:val="right"/>
              <w:rPr>
                <w:rFonts w:ascii="Calibri" w:eastAsia="Times New Roman" w:hAnsi="Calibri"/>
                <w:color w:val="002060"/>
                <w:spacing w:val="-4"/>
                <w:sz w:val="17"/>
                <w:szCs w:val="17"/>
                <w:lang w:eastAsia="es-DO"/>
              </w:rPr>
            </w:pPr>
            <w:r w:rsidRPr="001625B6">
              <w:rPr>
                <w:rFonts w:ascii="Calibri" w:eastAsia="Times New Roman" w:hAnsi="Calibri"/>
                <w:color w:val="002060"/>
                <w:spacing w:val="-4"/>
                <w:sz w:val="17"/>
                <w:szCs w:val="17"/>
                <w:lang w:eastAsia="es-DO"/>
              </w:rPr>
              <w:t>Ministerio de Obras Públicas y Comunicaciones</w:t>
            </w:r>
          </w:p>
        </w:tc>
        <w:tc>
          <w:tcPr>
            <w:tcW w:w="236" w:type="dxa"/>
            <w:gridSpan w:val="2"/>
            <w:tcBorders>
              <w:top w:val="nil"/>
              <w:left w:val="nil"/>
              <w:bottom w:val="nil"/>
              <w:right w:val="nil"/>
            </w:tcBorders>
            <w:shd w:val="clear" w:color="auto" w:fill="auto"/>
            <w:noWrap/>
            <w:vAlign w:val="bottom"/>
            <w:hideMark/>
          </w:tcPr>
          <w:p w14:paraId="6517A64B"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0A42DD90" w14:textId="77777777" w:rsidTr="00F43D7E">
        <w:trPr>
          <w:gridAfter w:val="1"/>
          <w:wAfter w:w="9" w:type="dxa"/>
          <w:trHeight w:val="223"/>
        </w:trPr>
        <w:tc>
          <w:tcPr>
            <w:tcW w:w="228" w:type="dxa"/>
            <w:tcBorders>
              <w:top w:val="nil"/>
              <w:left w:val="nil"/>
              <w:bottom w:val="nil"/>
              <w:right w:val="nil"/>
            </w:tcBorders>
            <w:shd w:val="clear" w:color="auto" w:fill="auto"/>
            <w:noWrap/>
            <w:vAlign w:val="bottom"/>
            <w:hideMark/>
          </w:tcPr>
          <w:p w14:paraId="373F98CF"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DD610AC"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 xml:space="preserve">AÑO FISCAL </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84A574C"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2024</w:t>
            </w:r>
          </w:p>
        </w:tc>
        <w:tc>
          <w:tcPr>
            <w:tcW w:w="236" w:type="dxa"/>
            <w:gridSpan w:val="2"/>
            <w:tcBorders>
              <w:top w:val="nil"/>
              <w:left w:val="nil"/>
              <w:bottom w:val="nil"/>
              <w:right w:val="nil"/>
            </w:tcBorders>
            <w:shd w:val="clear" w:color="auto" w:fill="auto"/>
            <w:noWrap/>
            <w:vAlign w:val="bottom"/>
            <w:hideMark/>
          </w:tcPr>
          <w:p w14:paraId="1703DD06"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76C164E5" w14:textId="77777777" w:rsidTr="00F43D7E">
        <w:trPr>
          <w:gridAfter w:val="1"/>
          <w:wAfter w:w="9" w:type="dxa"/>
          <w:trHeight w:val="223"/>
        </w:trPr>
        <w:tc>
          <w:tcPr>
            <w:tcW w:w="228" w:type="dxa"/>
            <w:tcBorders>
              <w:top w:val="nil"/>
              <w:left w:val="nil"/>
              <w:bottom w:val="nil"/>
              <w:right w:val="nil"/>
            </w:tcBorders>
            <w:shd w:val="clear" w:color="auto" w:fill="auto"/>
            <w:noWrap/>
            <w:vAlign w:val="bottom"/>
            <w:hideMark/>
          </w:tcPr>
          <w:p w14:paraId="423AA17F"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E526A37"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FECHA APROBACIÓN</w:t>
            </w:r>
          </w:p>
        </w:tc>
        <w:tc>
          <w:tcPr>
            <w:tcW w:w="3240" w:type="dxa"/>
            <w:tcBorders>
              <w:top w:val="nil"/>
              <w:left w:val="nil"/>
              <w:bottom w:val="single" w:sz="12" w:space="0" w:color="FFFFFF"/>
              <w:right w:val="single" w:sz="12" w:space="0" w:color="FFFFFF"/>
            </w:tcBorders>
            <w:shd w:val="clear" w:color="000000" w:fill="D9D9D9"/>
            <w:noWrap/>
            <w:vAlign w:val="bottom"/>
            <w:hideMark/>
          </w:tcPr>
          <w:p w14:paraId="1AC19B19"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w:t>
            </w:r>
          </w:p>
        </w:tc>
        <w:tc>
          <w:tcPr>
            <w:tcW w:w="236" w:type="dxa"/>
            <w:gridSpan w:val="2"/>
            <w:tcBorders>
              <w:top w:val="nil"/>
              <w:left w:val="nil"/>
              <w:bottom w:val="nil"/>
              <w:right w:val="nil"/>
            </w:tcBorders>
            <w:shd w:val="clear" w:color="auto" w:fill="auto"/>
            <w:noWrap/>
            <w:vAlign w:val="bottom"/>
            <w:hideMark/>
          </w:tcPr>
          <w:p w14:paraId="1067BCC4"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7279BA23" w14:textId="77777777" w:rsidTr="00F43D7E">
        <w:trPr>
          <w:trHeight w:val="202"/>
        </w:trPr>
        <w:tc>
          <w:tcPr>
            <w:tcW w:w="228" w:type="dxa"/>
            <w:tcBorders>
              <w:top w:val="nil"/>
              <w:left w:val="nil"/>
              <w:bottom w:val="nil"/>
              <w:right w:val="nil"/>
            </w:tcBorders>
            <w:shd w:val="clear" w:color="auto" w:fill="auto"/>
            <w:noWrap/>
            <w:vAlign w:val="bottom"/>
            <w:hideMark/>
          </w:tcPr>
          <w:p w14:paraId="7448A025" w14:textId="77777777" w:rsidR="00697260" w:rsidRPr="001625B6" w:rsidRDefault="00697260" w:rsidP="00F43D7E">
            <w:pPr>
              <w:spacing w:line="240" w:lineRule="auto"/>
              <w:rPr>
                <w:rFonts w:eastAsia="Times New Roman"/>
                <w:color w:val="auto"/>
                <w:spacing w:val="0"/>
                <w:sz w:val="18"/>
                <w:szCs w:val="18"/>
                <w:lang w:eastAsia="es-DO"/>
              </w:rPr>
            </w:pPr>
          </w:p>
        </w:tc>
        <w:tc>
          <w:tcPr>
            <w:tcW w:w="8151" w:type="dxa"/>
            <w:gridSpan w:val="3"/>
            <w:tcBorders>
              <w:top w:val="single" w:sz="12" w:space="0" w:color="FFFFFF"/>
              <w:left w:val="nil"/>
              <w:bottom w:val="single" w:sz="12" w:space="0" w:color="FFFFFF"/>
              <w:right w:val="nil"/>
            </w:tcBorders>
            <w:shd w:val="clear" w:color="000000" w:fill="9BC2E6"/>
            <w:vAlign w:val="center"/>
            <w:hideMark/>
          </w:tcPr>
          <w:p w14:paraId="2134AE7E" w14:textId="77777777" w:rsidR="00697260" w:rsidRPr="001625B6" w:rsidRDefault="00697260" w:rsidP="00F43D7E">
            <w:pPr>
              <w:spacing w:line="240" w:lineRule="auto"/>
              <w:jc w:val="center"/>
              <w:rPr>
                <w:rFonts w:ascii="Calibri" w:eastAsia="Times New Roman" w:hAnsi="Calibri"/>
                <w:b/>
                <w:bCs/>
                <w:color w:val="auto"/>
                <w:spacing w:val="0"/>
                <w:sz w:val="18"/>
                <w:szCs w:val="18"/>
                <w:lang w:eastAsia="es-DO"/>
              </w:rPr>
            </w:pPr>
            <w:r w:rsidRPr="001625B6">
              <w:rPr>
                <w:rFonts w:ascii="Calibri" w:eastAsia="Times New Roman" w:hAnsi="Calibri"/>
                <w:b/>
                <w:bCs/>
                <w:color w:val="auto"/>
                <w:spacing w:val="0"/>
                <w:sz w:val="18"/>
                <w:szCs w:val="18"/>
                <w:lang w:eastAsia="es-DO"/>
              </w:rPr>
              <w:t>MONTOS ESTIMADOS SEGÚN OBJETO DE CONTRATACIÓN</w:t>
            </w:r>
          </w:p>
        </w:tc>
        <w:tc>
          <w:tcPr>
            <w:tcW w:w="236" w:type="dxa"/>
            <w:gridSpan w:val="2"/>
            <w:tcBorders>
              <w:top w:val="nil"/>
              <w:left w:val="nil"/>
              <w:bottom w:val="nil"/>
              <w:right w:val="nil"/>
            </w:tcBorders>
            <w:shd w:val="clear" w:color="auto" w:fill="auto"/>
            <w:noWrap/>
            <w:vAlign w:val="bottom"/>
            <w:hideMark/>
          </w:tcPr>
          <w:p w14:paraId="7D16E5C5" w14:textId="77777777" w:rsidR="00697260" w:rsidRPr="001625B6" w:rsidRDefault="00697260" w:rsidP="00F43D7E">
            <w:pPr>
              <w:spacing w:line="240" w:lineRule="auto"/>
              <w:jc w:val="center"/>
              <w:rPr>
                <w:rFonts w:ascii="Calibri" w:eastAsia="Times New Roman" w:hAnsi="Calibri"/>
                <w:b/>
                <w:bCs/>
                <w:color w:val="auto"/>
                <w:spacing w:val="0"/>
                <w:sz w:val="18"/>
                <w:szCs w:val="18"/>
                <w:lang w:eastAsia="es-DO"/>
              </w:rPr>
            </w:pPr>
          </w:p>
        </w:tc>
      </w:tr>
      <w:tr w:rsidR="00697260" w:rsidRPr="001625B6" w14:paraId="366EE861"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42E6CF6B"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2BB01BB5"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BIENES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1E23AE72"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162,587,037.77 </w:t>
            </w:r>
          </w:p>
        </w:tc>
        <w:tc>
          <w:tcPr>
            <w:tcW w:w="236" w:type="dxa"/>
            <w:gridSpan w:val="2"/>
            <w:tcBorders>
              <w:top w:val="nil"/>
              <w:left w:val="nil"/>
              <w:bottom w:val="nil"/>
              <w:right w:val="nil"/>
            </w:tcBorders>
            <w:shd w:val="clear" w:color="auto" w:fill="auto"/>
            <w:noWrap/>
            <w:vAlign w:val="bottom"/>
            <w:hideMark/>
          </w:tcPr>
          <w:p w14:paraId="59E80E06"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2D67CBB7"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57D58FCD"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36FA9F03"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OBRAS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47B31360"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Pr>
                <w:rFonts w:ascii="Calibri" w:eastAsia="Times New Roman" w:hAnsi="Calibri"/>
                <w:color w:val="002060"/>
                <w:spacing w:val="0"/>
                <w:sz w:val="16"/>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3BFB292F"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12CE78B2"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01FEE494"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2A93C4FA"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SERVICIOS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01F8820B"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1,600,000.00 </w:t>
            </w:r>
          </w:p>
        </w:tc>
        <w:tc>
          <w:tcPr>
            <w:tcW w:w="236" w:type="dxa"/>
            <w:gridSpan w:val="2"/>
            <w:tcBorders>
              <w:top w:val="nil"/>
              <w:left w:val="nil"/>
              <w:bottom w:val="nil"/>
              <w:right w:val="nil"/>
            </w:tcBorders>
            <w:shd w:val="clear" w:color="auto" w:fill="auto"/>
            <w:noWrap/>
            <w:vAlign w:val="bottom"/>
            <w:hideMark/>
          </w:tcPr>
          <w:p w14:paraId="35A19499"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636347A9"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15F8F73E"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B31D04E"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SERVICIOS: CONSULTORÍA</w:t>
            </w:r>
          </w:p>
        </w:tc>
        <w:tc>
          <w:tcPr>
            <w:tcW w:w="3240" w:type="dxa"/>
            <w:tcBorders>
              <w:top w:val="nil"/>
              <w:left w:val="nil"/>
              <w:bottom w:val="single" w:sz="12" w:space="0" w:color="FFFFFF"/>
              <w:right w:val="single" w:sz="12" w:space="0" w:color="FFFFFF"/>
            </w:tcBorders>
            <w:shd w:val="clear" w:color="000000" w:fill="D9D9D9"/>
            <w:noWrap/>
            <w:vAlign w:val="bottom"/>
            <w:hideMark/>
          </w:tcPr>
          <w:p w14:paraId="1110FE74"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53FE71DF"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448C924F"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72C0FB74"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707B81E8"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SERVICIOS: CONSULTORÍA BASADA EN LA CALIDAD DE LOS SERVICIOS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4D33895B"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4D294D70"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56CB1E86" w14:textId="77777777" w:rsidTr="00F43D7E">
        <w:trPr>
          <w:trHeight w:val="202"/>
        </w:trPr>
        <w:tc>
          <w:tcPr>
            <w:tcW w:w="228" w:type="dxa"/>
            <w:tcBorders>
              <w:top w:val="nil"/>
              <w:left w:val="nil"/>
              <w:bottom w:val="nil"/>
              <w:right w:val="nil"/>
            </w:tcBorders>
            <w:shd w:val="clear" w:color="auto" w:fill="auto"/>
            <w:noWrap/>
            <w:vAlign w:val="bottom"/>
            <w:hideMark/>
          </w:tcPr>
          <w:p w14:paraId="5FD5CB9F" w14:textId="77777777" w:rsidR="00697260" w:rsidRPr="001625B6" w:rsidRDefault="00697260" w:rsidP="00F43D7E">
            <w:pPr>
              <w:spacing w:line="240" w:lineRule="auto"/>
              <w:rPr>
                <w:rFonts w:eastAsia="Times New Roman"/>
                <w:color w:val="auto"/>
                <w:spacing w:val="0"/>
                <w:sz w:val="18"/>
                <w:szCs w:val="18"/>
                <w:lang w:eastAsia="es-DO"/>
              </w:rPr>
            </w:pPr>
          </w:p>
        </w:tc>
        <w:tc>
          <w:tcPr>
            <w:tcW w:w="8151" w:type="dxa"/>
            <w:gridSpan w:val="3"/>
            <w:tcBorders>
              <w:top w:val="single" w:sz="12" w:space="0" w:color="FFFFFF"/>
              <w:left w:val="nil"/>
              <w:bottom w:val="single" w:sz="12" w:space="0" w:color="FFFFFF"/>
              <w:right w:val="nil"/>
            </w:tcBorders>
            <w:shd w:val="clear" w:color="000000" w:fill="9BC2E6"/>
            <w:vAlign w:val="center"/>
            <w:hideMark/>
          </w:tcPr>
          <w:p w14:paraId="27F17452" w14:textId="77777777" w:rsidR="00697260" w:rsidRPr="001625B6" w:rsidRDefault="00697260" w:rsidP="00F43D7E">
            <w:pPr>
              <w:spacing w:line="240" w:lineRule="auto"/>
              <w:jc w:val="center"/>
              <w:rPr>
                <w:rFonts w:ascii="Calibri" w:eastAsia="Times New Roman" w:hAnsi="Calibri"/>
                <w:b/>
                <w:bCs/>
                <w:color w:val="auto"/>
                <w:spacing w:val="0"/>
                <w:sz w:val="18"/>
                <w:szCs w:val="18"/>
                <w:lang w:eastAsia="es-DO"/>
              </w:rPr>
            </w:pPr>
            <w:r w:rsidRPr="001625B6">
              <w:rPr>
                <w:rFonts w:ascii="Calibri" w:eastAsia="Times New Roman" w:hAnsi="Calibri"/>
                <w:b/>
                <w:bCs/>
                <w:color w:val="auto"/>
                <w:spacing w:val="0"/>
                <w:sz w:val="18"/>
                <w:szCs w:val="18"/>
                <w:lang w:eastAsia="es-DO"/>
              </w:rPr>
              <w:t>MONTOS ESTIMADOS SEGÚN CLASIFICACIÓN MIPYME</w:t>
            </w:r>
          </w:p>
        </w:tc>
        <w:tc>
          <w:tcPr>
            <w:tcW w:w="236" w:type="dxa"/>
            <w:gridSpan w:val="2"/>
            <w:tcBorders>
              <w:top w:val="nil"/>
              <w:left w:val="nil"/>
              <w:bottom w:val="nil"/>
              <w:right w:val="nil"/>
            </w:tcBorders>
            <w:shd w:val="clear" w:color="auto" w:fill="auto"/>
            <w:noWrap/>
            <w:vAlign w:val="bottom"/>
            <w:hideMark/>
          </w:tcPr>
          <w:p w14:paraId="7508344B" w14:textId="77777777" w:rsidR="00697260" w:rsidRPr="001625B6" w:rsidRDefault="00697260" w:rsidP="00F43D7E">
            <w:pPr>
              <w:spacing w:line="240" w:lineRule="auto"/>
              <w:jc w:val="center"/>
              <w:rPr>
                <w:rFonts w:ascii="Calibri" w:eastAsia="Times New Roman" w:hAnsi="Calibri"/>
                <w:b/>
                <w:bCs/>
                <w:color w:val="auto"/>
                <w:spacing w:val="0"/>
                <w:sz w:val="18"/>
                <w:szCs w:val="18"/>
                <w:lang w:eastAsia="es-DO"/>
              </w:rPr>
            </w:pPr>
          </w:p>
        </w:tc>
      </w:tr>
      <w:tr w:rsidR="00697260" w:rsidRPr="001625B6" w14:paraId="4B902F1E" w14:textId="77777777" w:rsidTr="00F43D7E">
        <w:trPr>
          <w:gridAfter w:val="1"/>
          <w:wAfter w:w="9" w:type="dxa"/>
          <w:trHeight w:val="303"/>
        </w:trPr>
        <w:tc>
          <w:tcPr>
            <w:tcW w:w="228" w:type="dxa"/>
            <w:tcBorders>
              <w:top w:val="nil"/>
              <w:left w:val="nil"/>
              <w:bottom w:val="nil"/>
              <w:right w:val="nil"/>
            </w:tcBorders>
            <w:shd w:val="clear" w:color="auto" w:fill="auto"/>
            <w:noWrap/>
            <w:vAlign w:val="bottom"/>
            <w:hideMark/>
          </w:tcPr>
          <w:p w14:paraId="495EEF7E"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A16956E"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MIPYME</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F6F82F1"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15,254,396.40 </w:t>
            </w:r>
          </w:p>
        </w:tc>
        <w:tc>
          <w:tcPr>
            <w:tcW w:w="236" w:type="dxa"/>
            <w:gridSpan w:val="2"/>
            <w:tcBorders>
              <w:top w:val="nil"/>
              <w:left w:val="nil"/>
              <w:bottom w:val="nil"/>
              <w:right w:val="nil"/>
            </w:tcBorders>
            <w:shd w:val="clear" w:color="auto" w:fill="auto"/>
            <w:noWrap/>
            <w:vAlign w:val="bottom"/>
            <w:hideMark/>
          </w:tcPr>
          <w:p w14:paraId="63FF1331"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4D7006A8"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756C7673"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D0910D6"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MIPYME MUJER</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FD7D3B5"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55E1AB28"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3ABD0CDE"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5DBC2ECD"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75C4B29"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NO MIPYME</w:t>
            </w:r>
          </w:p>
        </w:tc>
        <w:tc>
          <w:tcPr>
            <w:tcW w:w="3240" w:type="dxa"/>
            <w:tcBorders>
              <w:top w:val="nil"/>
              <w:left w:val="nil"/>
              <w:bottom w:val="single" w:sz="12" w:space="0" w:color="FFFFFF"/>
              <w:right w:val="single" w:sz="12" w:space="0" w:color="FFFFFF"/>
            </w:tcBorders>
            <w:shd w:val="clear" w:color="000000" w:fill="D9D9D9"/>
            <w:noWrap/>
            <w:vAlign w:val="bottom"/>
            <w:hideMark/>
          </w:tcPr>
          <w:p w14:paraId="4ABC31D2"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148,932,641.37 </w:t>
            </w:r>
          </w:p>
        </w:tc>
        <w:tc>
          <w:tcPr>
            <w:tcW w:w="236" w:type="dxa"/>
            <w:gridSpan w:val="2"/>
            <w:tcBorders>
              <w:top w:val="nil"/>
              <w:left w:val="nil"/>
              <w:bottom w:val="nil"/>
              <w:right w:val="nil"/>
            </w:tcBorders>
            <w:shd w:val="clear" w:color="auto" w:fill="auto"/>
            <w:noWrap/>
            <w:vAlign w:val="bottom"/>
            <w:hideMark/>
          </w:tcPr>
          <w:p w14:paraId="30D01B88"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5B2682A9" w14:textId="77777777" w:rsidTr="00F43D7E">
        <w:trPr>
          <w:trHeight w:val="202"/>
        </w:trPr>
        <w:tc>
          <w:tcPr>
            <w:tcW w:w="228" w:type="dxa"/>
            <w:tcBorders>
              <w:top w:val="nil"/>
              <w:left w:val="nil"/>
              <w:bottom w:val="nil"/>
              <w:right w:val="nil"/>
            </w:tcBorders>
            <w:shd w:val="clear" w:color="auto" w:fill="auto"/>
            <w:noWrap/>
            <w:vAlign w:val="bottom"/>
            <w:hideMark/>
          </w:tcPr>
          <w:p w14:paraId="01A38009" w14:textId="77777777" w:rsidR="00697260" w:rsidRPr="001625B6" w:rsidRDefault="00697260" w:rsidP="00F43D7E">
            <w:pPr>
              <w:spacing w:line="240" w:lineRule="auto"/>
              <w:rPr>
                <w:rFonts w:eastAsia="Times New Roman"/>
                <w:color w:val="auto"/>
                <w:spacing w:val="0"/>
                <w:sz w:val="18"/>
                <w:szCs w:val="18"/>
                <w:lang w:eastAsia="es-DO"/>
              </w:rPr>
            </w:pPr>
          </w:p>
        </w:tc>
        <w:tc>
          <w:tcPr>
            <w:tcW w:w="8151" w:type="dxa"/>
            <w:gridSpan w:val="3"/>
            <w:tcBorders>
              <w:top w:val="nil"/>
              <w:left w:val="nil"/>
              <w:bottom w:val="single" w:sz="12" w:space="0" w:color="FFFFFF"/>
              <w:right w:val="nil"/>
            </w:tcBorders>
            <w:shd w:val="clear" w:color="000000" w:fill="9BC2E6"/>
            <w:vAlign w:val="center"/>
            <w:hideMark/>
          </w:tcPr>
          <w:p w14:paraId="78739582" w14:textId="77777777" w:rsidR="00697260" w:rsidRPr="001625B6" w:rsidRDefault="00697260" w:rsidP="00F43D7E">
            <w:pPr>
              <w:spacing w:line="240" w:lineRule="auto"/>
              <w:jc w:val="center"/>
              <w:rPr>
                <w:rFonts w:ascii="Calibri" w:eastAsia="Times New Roman" w:hAnsi="Calibri"/>
                <w:b/>
                <w:bCs/>
                <w:color w:val="auto"/>
                <w:spacing w:val="0"/>
                <w:sz w:val="18"/>
                <w:szCs w:val="18"/>
                <w:lang w:eastAsia="es-DO"/>
              </w:rPr>
            </w:pPr>
            <w:r w:rsidRPr="001625B6">
              <w:rPr>
                <w:rFonts w:ascii="Calibri" w:eastAsia="Times New Roman" w:hAnsi="Calibri"/>
                <w:b/>
                <w:bCs/>
                <w:color w:val="auto"/>
                <w:spacing w:val="0"/>
                <w:sz w:val="18"/>
                <w:szCs w:val="18"/>
                <w:lang w:eastAsia="es-DO"/>
              </w:rPr>
              <w:t>MONTOS ESTIMADOS SEGÚN TIPO DE PROCEDIMIENTO</w:t>
            </w:r>
          </w:p>
        </w:tc>
        <w:tc>
          <w:tcPr>
            <w:tcW w:w="236" w:type="dxa"/>
            <w:gridSpan w:val="2"/>
            <w:tcBorders>
              <w:top w:val="nil"/>
              <w:left w:val="nil"/>
              <w:bottom w:val="nil"/>
              <w:right w:val="nil"/>
            </w:tcBorders>
            <w:shd w:val="clear" w:color="auto" w:fill="auto"/>
            <w:noWrap/>
            <w:vAlign w:val="bottom"/>
            <w:hideMark/>
          </w:tcPr>
          <w:p w14:paraId="053B9DEF" w14:textId="77777777" w:rsidR="00697260" w:rsidRPr="001625B6" w:rsidRDefault="00697260" w:rsidP="00F43D7E">
            <w:pPr>
              <w:spacing w:line="240" w:lineRule="auto"/>
              <w:jc w:val="center"/>
              <w:rPr>
                <w:rFonts w:ascii="Calibri" w:eastAsia="Times New Roman" w:hAnsi="Calibri"/>
                <w:b/>
                <w:bCs/>
                <w:color w:val="auto"/>
                <w:spacing w:val="0"/>
                <w:sz w:val="18"/>
                <w:szCs w:val="18"/>
                <w:lang w:eastAsia="es-DO"/>
              </w:rPr>
            </w:pPr>
          </w:p>
        </w:tc>
      </w:tr>
      <w:tr w:rsidR="00697260" w:rsidRPr="001625B6" w14:paraId="6CB49E9D" w14:textId="77777777" w:rsidTr="00F43D7E">
        <w:trPr>
          <w:gridAfter w:val="1"/>
          <w:wAfter w:w="9" w:type="dxa"/>
          <w:trHeight w:val="258"/>
        </w:trPr>
        <w:tc>
          <w:tcPr>
            <w:tcW w:w="228" w:type="dxa"/>
            <w:tcBorders>
              <w:top w:val="nil"/>
              <w:left w:val="nil"/>
              <w:bottom w:val="nil"/>
              <w:right w:val="nil"/>
            </w:tcBorders>
            <w:shd w:val="clear" w:color="auto" w:fill="auto"/>
            <w:noWrap/>
            <w:vAlign w:val="bottom"/>
            <w:hideMark/>
          </w:tcPr>
          <w:p w14:paraId="6F6F6702"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FCF9ADC"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COMPRAS POR DEBAJO DEL UMBRAL</w:t>
            </w:r>
          </w:p>
        </w:tc>
        <w:tc>
          <w:tcPr>
            <w:tcW w:w="3240" w:type="dxa"/>
            <w:tcBorders>
              <w:top w:val="nil"/>
              <w:left w:val="nil"/>
              <w:bottom w:val="single" w:sz="12" w:space="0" w:color="FFFFFF"/>
              <w:right w:val="single" w:sz="12" w:space="0" w:color="FFFFFF"/>
            </w:tcBorders>
            <w:shd w:val="clear" w:color="000000" w:fill="D9D9D9"/>
            <w:noWrap/>
            <w:vAlign w:val="bottom"/>
            <w:hideMark/>
          </w:tcPr>
          <w:p w14:paraId="7A74A962"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68930F08"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6C4A8A6D"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6835DEC6"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75B047F0"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COMPRA MENOR</w:t>
            </w:r>
          </w:p>
        </w:tc>
        <w:tc>
          <w:tcPr>
            <w:tcW w:w="3240" w:type="dxa"/>
            <w:tcBorders>
              <w:top w:val="nil"/>
              <w:left w:val="nil"/>
              <w:bottom w:val="single" w:sz="12" w:space="0" w:color="FFFFFF"/>
              <w:right w:val="single" w:sz="12" w:space="0" w:color="FFFFFF"/>
            </w:tcBorders>
            <w:shd w:val="clear" w:color="000000" w:fill="D9D9D9"/>
            <w:noWrap/>
            <w:vAlign w:val="bottom"/>
            <w:hideMark/>
          </w:tcPr>
          <w:p w14:paraId="06C4C59E"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1,997,394.50 </w:t>
            </w:r>
          </w:p>
        </w:tc>
        <w:tc>
          <w:tcPr>
            <w:tcW w:w="236" w:type="dxa"/>
            <w:gridSpan w:val="2"/>
            <w:tcBorders>
              <w:top w:val="nil"/>
              <w:left w:val="nil"/>
              <w:bottom w:val="nil"/>
              <w:right w:val="nil"/>
            </w:tcBorders>
            <w:shd w:val="clear" w:color="auto" w:fill="auto"/>
            <w:noWrap/>
            <w:vAlign w:val="bottom"/>
            <w:hideMark/>
          </w:tcPr>
          <w:p w14:paraId="45DDE297"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6E9B501C"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02AD740F"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34A0BAF"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COMPARACIÓN DE PRECIOS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5AAF272B"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13,624,567.27 </w:t>
            </w:r>
          </w:p>
        </w:tc>
        <w:tc>
          <w:tcPr>
            <w:tcW w:w="236" w:type="dxa"/>
            <w:gridSpan w:val="2"/>
            <w:tcBorders>
              <w:top w:val="nil"/>
              <w:left w:val="nil"/>
              <w:bottom w:val="nil"/>
              <w:right w:val="nil"/>
            </w:tcBorders>
            <w:shd w:val="clear" w:color="auto" w:fill="auto"/>
            <w:noWrap/>
            <w:vAlign w:val="bottom"/>
            <w:hideMark/>
          </w:tcPr>
          <w:p w14:paraId="0C7E915D"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51D3F138"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575D2C45"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2C7834B3"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LICITACIÓN PÚBLICA</w:t>
            </w:r>
          </w:p>
        </w:tc>
        <w:tc>
          <w:tcPr>
            <w:tcW w:w="3240" w:type="dxa"/>
            <w:tcBorders>
              <w:top w:val="nil"/>
              <w:left w:val="nil"/>
              <w:bottom w:val="single" w:sz="12" w:space="0" w:color="FFFFFF"/>
              <w:right w:val="single" w:sz="12" w:space="0" w:color="FFFFFF"/>
            </w:tcBorders>
            <w:shd w:val="clear" w:color="000000" w:fill="D9D9D9"/>
            <w:noWrap/>
            <w:vAlign w:val="bottom"/>
            <w:hideMark/>
          </w:tcPr>
          <w:p w14:paraId="1A8A8481"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 xml:space="preserve"> 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148,565,076.00 </w:t>
            </w:r>
          </w:p>
        </w:tc>
        <w:tc>
          <w:tcPr>
            <w:tcW w:w="236" w:type="dxa"/>
            <w:gridSpan w:val="2"/>
            <w:tcBorders>
              <w:top w:val="nil"/>
              <w:left w:val="nil"/>
              <w:bottom w:val="nil"/>
              <w:right w:val="nil"/>
            </w:tcBorders>
            <w:shd w:val="clear" w:color="auto" w:fill="auto"/>
            <w:noWrap/>
            <w:vAlign w:val="bottom"/>
            <w:hideMark/>
          </w:tcPr>
          <w:p w14:paraId="4F0A1BA9"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65E81D4D"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4AD9CE7B"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20D3160F"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LICITACIÓN PÚBLICA INTERNACIONAL</w:t>
            </w:r>
          </w:p>
        </w:tc>
        <w:tc>
          <w:tcPr>
            <w:tcW w:w="3240" w:type="dxa"/>
            <w:tcBorders>
              <w:top w:val="nil"/>
              <w:left w:val="nil"/>
              <w:bottom w:val="single" w:sz="12" w:space="0" w:color="FFFFFF"/>
              <w:right w:val="single" w:sz="12" w:space="0" w:color="FFFFFF"/>
            </w:tcBorders>
            <w:shd w:val="clear" w:color="000000" w:fill="D9D9D9"/>
            <w:noWrap/>
            <w:vAlign w:val="bottom"/>
            <w:hideMark/>
          </w:tcPr>
          <w:p w14:paraId="5D01FAF7"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3005B471"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4A26978B"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14B91367"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B2A16A2"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LICITACIÓN RESTRINGIDA</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8B311E1"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48C1B416"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5521CF13"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45908A62"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519B81A"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SORTEO DE OBRAS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56B8A9DE"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05597D1F"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7A73A252"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0D11EA51"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356D3CF"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 xml:space="preserve">EXCEPCIÓN - BIENES O SERVICIOS CON EXCLUSIVIDAD </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5087063"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1FCC44AF"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3A9A5BA7" w14:textId="77777777" w:rsidTr="00F43D7E">
        <w:trPr>
          <w:gridAfter w:val="1"/>
          <w:wAfter w:w="9" w:type="dxa"/>
          <w:trHeight w:val="405"/>
        </w:trPr>
        <w:tc>
          <w:tcPr>
            <w:tcW w:w="228" w:type="dxa"/>
            <w:tcBorders>
              <w:top w:val="nil"/>
              <w:left w:val="nil"/>
              <w:bottom w:val="nil"/>
              <w:right w:val="nil"/>
            </w:tcBorders>
            <w:shd w:val="clear" w:color="auto" w:fill="auto"/>
            <w:noWrap/>
            <w:vAlign w:val="bottom"/>
            <w:hideMark/>
          </w:tcPr>
          <w:p w14:paraId="41271F32"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4E4A14D"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EXCEPCIÓN - CONSTRUCCIÓN, INSTALACIÓN O ADQUISICIÓN DE OFICINAS PARA EL SERVICIO EXTERIOR</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20CBC2D"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5D9BBC79"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75705EF0" w14:textId="77777777" w:rsidTr="00F43D7E">
        <w:trPr>
          <w:gridAfter w:val="1"/>
          <w:wAfter w:w="9" w:type="dxa"/>
          <w:trHeight w:val="405"/>
        </w:trPr>
        <w:tc>
          <w:tcPr>
            <w:tcW w:w="228" w:type="dxa"/>
            <w:tcBorders>
              <w:top w:val="nil"/>
              <w:left w:val="nil"/>
              <w:bottom w:val="nil"/>
              <w:right w:val="nil"/>
            </w:tcBorders>
            <w:shd w:val="clear" w:color="auto" w:fill="auto"/>
            <w:noWrap/>
            <w:vAlign w:val="bottom"/>
            <w:hideMark/>
          </w:tcPr>
          <w:p w14:paraId="4EBAEC82"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74102512"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EXCEPCIÓN - CONTRATACIÓN DE PUBLICIDAD A TRAVÉS DE MEDIOS DE COMUNICACIÓN SOCIAL</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A6B0852"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672AF11A"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4DFFFE62" w14:textId="77777777" w:rsidTr="00F43D7E">
        <w:trPr>
          <w:gridAfter w:val="1"/>
          <w:wAfter w:w="9" w:type="dxa"/>
          <w:trHeight w:val="405"/>
        </w:trPr>
        <w:tc>
          <w:tcPr>
            <w:tcW w:w="228" w:type="dxa"/>
            <w:tcBorders>
              <w:top w:val="nil"/>
              <w:left w:val="nil"/>
              <w:bottom w:val="nil"/>
              <w:right w:val="nil"/>
            </w:tcBorders>
            <w:shd w:val="clear" w:color="auto" w:fill="auto"/>
            <w:noWrap/>
            <w:vAlign w:val="bottom"/>
            <w:hideMark/>
          </w:tcPr>
          <w:p w14:paraId="72F71DFD"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D46560B"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EXCEPCIÓN - OBRAS CIENTÍFICAS, TÉCNICAS, ARTÍSTICAS, O RESTAURACIÓN</w:t>
            </w:r>
            <w:r>
              <w:rPr>
                <w:rFonts w:ascii="Calibri" w:eastAsia="Times New Roman" w:hAnsi="Calibri"/>
                <w:b/>
                <w:bCs/>
                <w:color w:val="002060"/>
                <w:spacing w:val="0"/>
                <w:sz w:val="18"/>
                <w:szCs w:val="18"/>
                <w:lang w:eastAsia="es-DO"/>
              </w:rPr>
              <w:t xml:space="preserve"> </w:t>
            </w:r>
            <w:r w:rsidRPr="001625B6">
              <w:rPr>
                <w:rFonts w:ascii="Calibri" w:eastAsia="Times New Roman" w:hAnsi="Calibri"/>
                <w:b/>
                <w:bCs/>
                <w:color w:val="002060"/>
                <w:spacing w:val="0"/>
                <w:sz w:val="18"/>
                <w:szCs w:val="18"/>
                <w:lang w:eastAsia="es-DO"/>
              </w:rPr>
              <w:t>DE MONUMENTOS HISTÓRICOS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5E5FA375"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160EB9F1"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0D186EEC"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70CED967"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4A774286"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EXCEPCIÓN - PROVEEDOR ÚNICO</w:t>
            </w:r>
          </w:p>
        </w:tc>
        <w:tc>
          <w:tcPr>
            <w:tcW w:w="3240" w:type="dxa"/>
            <w:tcBorders>
              <w:top w:val="nil"/>
              <w:left w:val="nil"/>
              <w:bottom w:val="single" w:sz="12" w:space="0" w:color="FFFFFF"/>
              <w:right w:val="single" w:sz="12" w:space="0" w:color="FFFFFF"/>
            </w:tcBorders>
            <w:shd w:val="clear" w:color="000000" w:fill="D9D9D9"/>
            <w:noWrap/>
            <w:vAlign w:val="bottom"/>
            <w:hideMark/>
          </w:tcPr>
          <w:p w14:paraId="5C3FDD21"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19131BA6"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10671FE4" w14:textId="77777777" w:rsidTr="00F43D7E">
        <w:trPr>
          <w:gridAfter w:val="1"/>
          <w:wAfter w:w="9" w:type="dxa"/>
          <w:trHeight w:val="405"/>
        </w:trPr>
        <w:tc>
          <w:tcPr>
            <w:tcW w:w="228" w:type="dxa"/>
            <w:tcBorders>
              <w:top w:val="nil"/>
              <w:left w:val="nil"/>
              <w:bottom w:val="nil"/>
              <w:right w:val="nil"/>
            </w:tcBorders>
            <w:shd w:val="clear" w:color="auto" w:fill="auto"/>
            <w:noWrap/>
            <w:vAlign w:val="bottom"/>
            <w:hideMark/>
          </w:tcPr>
          <w:p w14:paraId="7D640F60"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2AEC632"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EXCEPCIÓN - RESCISIÓN DE CONTRATOS CUYA TERMINACIÓN NO EXCEDA EL 40% DEL MONTO TOTAL DEL PROYECTO, OBRA O SERVICIO</w:t>
            </w:r>
          </w:p>
        </w:tc>
        <w:tc>
          <w:tcPr>
            <w:tcW w:w="3240" w:type="dxa"/>
            <w:tcBorders>
              <w:top w:val="nil"/>
              <w:left w:val="nil"/>
              <w:bottom w:val="single" w:sz="12" w:space="0" w:color="FFFFFF"/>
              <w:right w:val="single" w:sz="12" w:space="0" w:color="FFFFFF"/>
            </w:tcBorders>
            <w:shd w:val="clear" w:color="000000" w:fill="D9D9D9"/>
            <w:noWrap/>
            <w:vAlign w:val="bottom"/>
            <w:hideMark/>
          </w:tcPr>
          <w:p w14:paraId="05F62A6F"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4FC695A1"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20CEC9F0" w14:textId="77777777" w:rsidTr="00F43D7E">
        <w:trPr>
          <w:gridAfter w:val="1"/>
          <w:wAfter w:w="9" w:type="dxa"/>
          <w:trHeight w:val="405"/>
        </w:trPr>
        <w:tc>
          <w:tcPr>
            <w:tcW w:w="228" w:type="dxa"/>
            <w:tcBorders>
              <w:top w:val="nil"/>
              <w:left w:val="nil"/>
              <w:bottom w:val="nil"/>
              <w:right w:val="nil"/>
            </w:tcBorders>
            <w:shd w:val="clear" w:color="auto" w:fill="auto"/>
            <w:noWrap/>
            <w:vAlign w:val="bottom"/>
            <w:hideMark/>
          </w:tcPr>
          <w:p w14:paraId="5F3F3349"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69F5FF9" w14:textId="77777777" w:rsidR="00697260" w:rsidRPr="001625B6" w:rsidRDefault="00697260" w:rsidP="00F43D7E">
            <w:pPr>
              <w:spacing w:line="240" w:lineRule="auto"/>
              <w:rPr>
                <w:rFonts w:ascii="Calibri" w:eastAsia="Times New Roman" w:hAnsi="Calibri"/>
                <w:b/>
                <w:bCs/>
                <w:color w:val="002060"/>
                <w:spacing w:val="0"/>
                <w:sz w:val="18"/>
                <w:szCs w:val="18"/>
                <w:lang w:eastAsia="es-DO"/>
              </w:rPr>
            </w:pPr>
            <w:r w:rsidRPr="001625B6">
              <w:rPr>
                <w:rFonts w:ascii="Calibri" w:eastAsia="Times New Roman" w:hAnsi="Calibri"/>
                <w:b/>
                <w:bCs/>
                <w:color w:val="002060"/>
                <w:spacing w:val="0"/>
                <w:sz w:val="18"/>
                <w:szCs w:val="18"/>
                <w:lang w:eastAsia="es-DO"/>
              </w:rPr>
              <w:t>EXCEPCIÓN - RESOLUCIÓN 15-08 SOBRE COMPRA Y CONTRATACIÓN DE PASAJE AÉREO, COMBUSTIBLE Y REPARACIÓN DE VEHÍCULOS DE MOTOR</w:t>
            </w:r>
          </w:p>
        </w:tc>
        <w:tc>
          <w:tcPr>
            <w:tcW w:w="3240" w:type="dxa"/>
            <w:tcBorders>
              <w:top w:val="nil"/>
              <w:left w:val="nil"/>
              <w:bottom w:val="single" w:sz="12" w:space="0" w:color="FFFFFF"/>
              <w:right w:val="single" w:sz="12" w:space="0" w:color="FFFFFF"/>
            </w:tcBorders>
            <w:shd w:val="clear" w:color="000000" w:fill="D9D9D9"/>
            <w:noWrap/>
            <w:vAlign w:val="bottom"/>
            <w:hideMark/>
          </w:tcPr>
          <w:p w14:paraId="7B318EDF"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r w:rsidRPr="001625B6">
              <w:rPr>
                <w:rFonts w:ascii="Calibri" w:eastAsia="Times New Roman" w:hAnsi="Calibri"/>
                <w:color w:val="002060"/>
                <w:spacing w:val="0"/>
                <w:sz w:val="18"/>
                <w:szCs w:val="18"/>
                <w:lang w:eastAsia="es-DO"/>
              </w:rPr>
              <w:t>RD$</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w:t>
            </w:r>
            <w:r>
              <w:rPr>
                <w:rFonts w:ascii="Calibri" w:eastAsia="Times New Roman" w:hAnsi="Calibri"/>
                <w:color w:val="002060"/>
                <w:spacing w:val="0"/>
                <w:sz w:val="18"/>
                <w:szCs w:val="18"/>
                <w:lang w:eastAsia="es-DO"/>
              </w:rPr>
              <w:t xml:space="preserve"> </w:t>
            </w:r>
            <w:r w:rsidRPr="001625B6">
              <w:rPr>
                <w:rFonts w:ascii="Calibri" w:eastAsia="Times New Roman" w:hAnsi="Calibri"/>
                <w:color w:val="002060"/>
                <w:spacing w:val="0"/>
                <w:sz w:val="18"/>
                <w:szCs w:val="18"/>
                <w:lang w:eastAsia="es-DO"/>
              </w:rPr>
              <w:t xml:space="preserve"> </w:t>
            </w:r>
          </w:p>
        </w:tc>
        <w:tc>
          <w:tcPr>
            <w:tcW w:w="236" w:type="dxa"/>
            <w:gridSpan w:val="2"/>
            <w:tcBorders>
              <w:top w:val="nil"/>
              <w:left w:val="nil"/>
              <w:bottom w:val="nil"/>
              <w:right w:val="nil"/>
            </w:tcBorders>
            <w:shd w:val="clear" w:color="auto" w:fill="auto"/>
            <w:noWrap/>
            <w:vAlign w:val="bottom"/>
            <w:hideMark/>
          </w:tcPr>
          <w:p w14:paraId="374302CA" w14:textId="77777777" w:rsidR="00697260" w:rsidRPr="001625B6" w:rsidRDefault="00697260" w:rsidP="00F43D7E">
            <w:pPr>
              <w:spacing w:line="240" w:lineRule="auto"/>
              <w:jc w:val="right"/>
              <w:rPr>
                <w:rFonts w:ascii="Calibri" w:eastAsia="Times New Roman" w:hAnsi="Calibri"/>
                <w:color w:val="002060"/>
                <w:spacing w:val="0"/>
                <w:sz w:val="18"/>
                <w:szCs w:val="18"/>
                <w:lang w:eastAsia="es-DO"/>
              </w:rPr>
            </w:pPr>
          </w:p>
        </w:tc>
      </w:tr>
      <w:tr w:rsidR="00697260" w:rsidRPr="001625B6" w14:paraId="10A199DD" w14:textId="77777777" w:rsidTr="00F43D7E">
        <w:trPr>
          <w:gridAfter w:val="1"/>
          <w:wAfter w:w="9" w:type="dxa"/>
          <w:trHeight w:val="202"/>
        </w:trPr>
        <w:tc>
          <w:tcPr>
            <w:tcW w:w="228" w:type="dxa"/>
            <w:tcBorders>
              <w:top w:val="nil"/>
              <w:left w:val="nil"/>
              <w:bottom w:val="nil"/>
              <w:right w:val="nil"/>
            </w:tcBorders>
            <w:shd w:val="clear" w:color="auto" w:fill="auto"/>
            <w:noWrap/>
            <w:vAlign w:val="bottom"/>
            <w:hideMark/>
          </w:tcPr>
          <w:p w14:paraId="3825CBC3" w14:textId="77777777" w:rsidR="00697260" w:rsidRPr="001625B6" w:rsidRDefault="00697260" w:rsidP="00F43D7E">
            <w:pPr>
              <w:spacing w:line="240" w:lineRule="auto"/>
              <w:rPr>
                <w:rFonts w:eastAsia="Times New Roman"/>
                <w:color w:val="auto"/>
                <w:spacing w:val="0"/>
                <w:sz w:val="18"/>
                <w:szCs w:val="18"/>
                <w:lang w:eastAsia="es-DO"/>
              </w:rPr>
            </w:pPr>
          </w:p>
        </w:tc>
        <w:tc>
          <w:tcPr>
            <w:tcW w:w="4902" w:type="dxa"/>
            <w:tcBorders>
              <w:top w:val="nil"/>
              <w:left w:val="nil"/>
              <w:bottom w:val="nil"/>
              <w:right w:val="nil"/>
            </w:tcBorders>
            <w:shd w:val="clear" w:color="auto" w:fill="auto"/>
            <w:vAlign w:val="bottom"/>
            <w:hideMark/>
          </w:tcPr>
          <w:p w14:paraId="1D06CDEF" w14:textId="77777777" w:rsidR="00697260" w:rsidRPr="001625B6" w:rsidRDefault="00697260" w:rsidP="00F43D7E">
            <w:pPr>
              <w:spacing w:line="240" w:lineRule="auto"/>
              <w:rPr>
                <w:rFonts w:eastAsia="Times New Roman"/>
                <w:color w:val="auto"/>
                <w:spacing w:val="0"/>
                <w:sz w:val="18"/>
                <w:szCs w:val="18"/>
                <w:lang w:eastAsia="es-DO"/>
              </w:rPr>
            </w:pPr>
          </w:p>
        </w:tc>
        <w:tc>
          <w:tcPr>
            <w:tcW w:w="3240" w:type="dxa"/>
            <w:tcBorders>
              <w:top w:val="nil"/>
              <w:left w:val="nil"/>
              <w:bottom w:val="nil"/>
              <w:right w:val="nil"/>
            </w:tcBorders>
            <w:shd w:val="clear" w:color="auto" w:fill="auto"/>
            <w:noWrap/>
            <w:vAlign w:val="bottom"/>
            <w:hideMark/>
          </w:tcPr>
          <w:p w14:paraId="2917185A" w14:textId="77777777" w:rsidR="00697260" w:rsidRPr="001625B6" w:rsidRDefault="00697260" w:rsidP="00F43D7E">
            <w:pPr>
              <w:spacing w:line="240" w:lineRule="auto"/>
              <w:rPr>
                <w:rFonts w:eastAsia="Times New Roman"/>
                <w:color w:val="auto"/>
                <w:spacing w:val="0"/>
                <w:sz w:val="18"/>
                <w:szCs w:val="18"/>
                <w:lang w:eastAsia="es-DO"/>
              </w:rPr>
            </w:pPr>
          </w:p>
        </w:tc>
        <w:tc>
          <w:tcPr>
            <w:tcW w:w="236" w:type="dxa"/>
            <w:gridSpan w:val="2"/>
            <w:tcBorders>
              <w:top w:val="nil"/>
              <w:left w:val="nil"/>
              <w:bottom w:val="nil"/>
              <w:right w:val="nil"/>
            </w:tcBorders>
            <w:shd w:val="clear" w:color="auto" w:fill="auto"/>
            <w:noWrap/>
            <w:vAlign w:val="bottom"/>
            <w:hideMark/>
          </w:tcPr>
          <w:p w14:paraId="760DF5F4" w14:textId="77777777" w:rsidR="00697260" w:rsidRPr="001625B6" w:rsidRDefault="00697260" w:rsidP="00F43D7E">
            <w:pPr>
              <w:spacing w:line="240" w:lineRule="auto"/>
              <w:rPr>
                <w:rFonts w:eastAsia="Times New Roman"/>
                <w:color w:val="auto"/>
                <w:spacing w:val="0"/>
                <w:sz w:val="18"/>
                <w:szCs w:val="18"/>
                <w:lang w:eastAsia="es-DO"/>
              </w:rPr>
            </w:pPr>
          </w:p>
        </w:tc>
      </w:tr>
      <w:bookmarkEnd w:id="218"/>
      <w:bookmarkEnd w:id="219"/>
    </w:tbl>
    <w:p w14:paraId="25EFE84F" w14:textId="77777777" w:rsidR="00E6032D" w:rsidRPr="00832124" w:rsidRDefault="00E6032D" w:rsidP="00916391"/>
    <w:sectPr w:rsidR="00E6032D" w:rsidRPr="00832124" w:rsidSect="007D193F">
      <w:headerReference w:type="default" r:id="rId78"/>
      <w:footerReference w:type="default" r:id="rId79"/>
      <w:pgSz w:w="12240" w:h="15840" w:code="1"/>
      <w:pgMar w:top="1440" w:right="2160" w:bottom="1699" w:left="2160" w:header="706" w:footer="17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076CD" w14:textId="77777777" w:rsidR="00E70C11" w:rsidRDefault="00E70C11" w:rsidP="00F75C96">
      <w:r>
        <w:separator/>
      </w:r>
    </w:p>
    <w:p w14:paraId="337A85E4" w14:textId="77777777" w:rsidR="00E70C11" w:rsidRDefault="00E70C11"/>
    <w:p w14:paraId="7E6F598F" w14:textId="77777777" w:rsidR="00E70C11" w:rsidRDefault="00E70C11"/>
  </w:endnote>
  <w:endnote w:type="continuationSeparator" w:id="0">
    <w:p w14:paraId="75609199" w14:textId="77777777" w:rsidR="00E70C11" w:rsidRDefault="00E70C11" w:rsidP="00F75C96">
      <w:r>
        <w:continuationSeparator/>
      </w:r>
    </w:p>
    <w:p w14:paraId="14BE8A3A" w14:textId="77777777" w:rsidR="00E70C11" w:rsidRDefault="00E70C11"/>
    <w:p w14:paraId="6CC99F6B" w14:textId="77777777" w:rsidR="00E70C11" w:rsidRDefault="00E70C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Gotham Medium">
    <w:altName w:val="Arial"/>
    <w:panose1 w:val="00000000000000000000"/>
    <w:charset w:val="00"/>
    <w:family w:val="modern"/>
    <w:notTrueType/>
    <w:pitch w:val="variable"/>
    <w:sig w:usb0="00000001"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Univers">
    <w:altName w:val="Arial"/>
    <w:charset w:val="00"/>
    <w:family w:val="swiss"/>
    <w:pitch w:val="variable"/>
    <w:sig w:usb0="00000003" w:usb1="00000000" w:usb2="00000000" w:usb3="00000000" w:csb0="00000001"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Roman 10cpi">
    <w:altName w:val="Times New Roman"/>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icrosoft Sans Serif">
    <w:panose1 w:val="020B0604020202020204"/>
    <w:charset w:val="00"/>
    <w:family w:val="swiss"/>
    <w:pitch w:val="variable"/>
    <w:sig w:usb0="E5002EFF" w:usb1="C000605B" w:usb2="00000029" w:usb3="00000000" w:csb0="000101FF" w:csb1="00000000"/>
  </w:font>
  <w:font w:name="Avenir Light">
    <w:altName w:val="Calibri"/>
    <w:charset w:val="4D"/>
    <w:family w:val="swiss"/>
    <w:pitch w:val="variable"/>
    <w:sig w:usb0="800000AF" w:usb1="5000204A" w:usb2="00000000" w:usb3="00000000" w:csb0="0000009B"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94E8" w14:textId="77777777" w:rsidR="000F7B77" w:rsidRDefault="000F7B77" w:rsidP="00F75C96">
    <w:pPr>
      <w:pStyle w:val="Piedepgina"/>
    </w:pPr>
  </w:p>
  <w:p w14:paraId="7CA6316A" w14:textId="77777777" w:rsidR="000F7B77" w:rsidRDefault="000F7B77" w:rsidP="00F75C9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09D48" w14:textId="77777777" w:rsidR="000F7B77" w:rsidRDefault="000F7B77" w:rsidP="00F75C96">
    <w:pPr>
      <w:pStyle w:val="Piedepgina"/>
    </w:pPr>
  </w:p>
  <w:p w14:paraId="35DEBA69" w14:textId="77777777" w:rsidR="000F7B77" w:rsidRDefault="000F7B77" w:rsidP="00F75C96">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FAE85" w14:textId="3EC248A4" w:rsidR="000F7B77" w:rsidRPr="007D6F37" w:rsidRDefault="000F7B77" w:rsidP="00F75C96">
    <w:pPr>
      <w:pStyle w:val="Piedepgina"/>
      <w:ind w:left="284"/>
      <w:jc w:val="center"/>
      <w:rPr>
        <w:rFonts w:cs="Times New Roman"/>
      </w:rPr>
    </w:pPr>
    <w:r>
      <w:rPr>
        <w:noProof/>
        <w:lang w:eastAsia="es-DO"/>
      </w:rPr>
      <w:drawing>
        <wp:anchor distT="0" distB="0" distL="114300" distR="114300" simplePos="0" relativeHeight="251659264" behindDoc="0" locked="0" layoutInCell="1" allowOverlap="1" wp14:anchorId="7F1E78CB" wp14:editId="427F8730">
          <wp:simplePos x="0" y="0"/>
          <wp:positionH relativeFrom="column">
            <wp:posOffset>1408430</wp:posOffset>
          </wp:positionH>
          <wp:positionV relativeFrom="paragraph">
            <wp:posOffset>-325588</wp:posOffset>
          </wp:positionV>
          <wp:extent cx="2414270" cy="292735"/>
          <wp:effectExtent l="0" t="0" r="508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857574585"/>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sidR="00BE10C7">
          <w:rPr>
            <w:rFonts w:cs="Times New Roman"/>
            <w:noProof/>
            <w:sz w:val="15"/>
            <w:szCs w:val="15"/>
            <w:lang w:val="es-ES"/>
          </w:rPr>
          <w:t>186</w:t>
        </w:r>
        <w:r w:rsidRPr="007D6F37">
          <w:rPr>
            <w:rFonts w:cs="Times New Roman"/>
            <w:noProof/>
            <w:sz w:val="15"/>
            <w:szCs w:val="15"/>
            <w:lang w:val="es-ES"/>
          </w:rPr>
          <w:fldChar w:fldCharType="end"/>
        </w:r>
      </w:sdtContent>
    </w:sdt>
  </w:p>
  <w:p w14:paraId="3336E8E0" w14:textId="77777777" w:rsidR="000F7B77" w:rsidRDefault="000F7B77" w:rsidP="00F75C96"/>
  <w:p w14:paraId="1D193D05" w14:textId="77777777" w:rsidR="000F7B77" w:rsidRDefault="000F7B7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E5CF4" w14:textId="7B1DCE45" w:rsidR="000F7B77" w:rsidRPr="007D6F37" w:rsidRDefault="000F7B77" w:rsidP="00F75C96">
    <w:pPr>
      <w:pStyle w:val="Piedepgina"/>
      <w:ind w:left="284"/>
      <w:jc w:val="center"/>
      <w:rPr>
        <w:rFonts w:cs="Times New Roman"/>
      </w:rPr>
    </w:pPr>
    <w:r>
      <w:rPr>
        <w:noProof/>
        <w:lang w:eastAsia="es-DO"/>
      </w:rPr>
      <w:drawing>
        <wp:anchor distT="0" distB="0" distL="114300" distR="114300" simplePos="0" relativeHeight="251661312" behindDoc="0" locked="0" layoutInCell="1" allowOverlap="1" wp14:anchorId="3434EED5" wp14:editId="0FC9EAA9">
          <wp:simplePos x="0" y="0"/>
          <wp:positionH relativeFrom="column">
            <wp:posOffset>4365942</wp:posOffset>
          </wp:positionH>
          <wp:positionV relativeFrom="paragraph">
            <wp:posOffset>-348615</wp:posOffset>
          </wp:positionV>
          <wp:extent cx="2414270" cy="292735"/>
          <wp:effectExtent l="0" t="0" r="508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1020846374"/>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sidR="00BE10C7">
          <w:rPr>
            <w:rFonts w:cs="Times New Roman"/>
            <w:noProof/>
            <w:sz w:val="15"/>
            <w:szCs w:val="15"/>
            <w:lang w:val="es-ES"/>
          </w:rPr>
          <w:t>191</w:t>
        </w:r>
        <w:r w:rsidRPr="007D6F37">
          <w:rPr>
            <w:rFonts w:cs="Times New Roman"/>
            <w:noProof/>
            <w:sz w:val="15"/>
            <w:szCs w:val="15"/>
            <w:lang w:val="es-ES"/>
          </w:rPr>
          <w:fldChar w:fldCharType="end"/>
        </w:r>
      </w:sdtContent>
    </w:sdt>
  </w:p>
  <w:p w14:paraId="783213F7" w14:textId="77777777" w:rsidR="000F7B77" w:rsidRDefault="000F7B77"/>
  <w:p w14:paraId="0BB513B9" w14:textId="77777777" w:rsidR="000F7B77" w:rsidRDefault="000F7B7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641C5" w14:textId="404E0567" w:rsidR="000F7B77" w:rsidRPr="007D6F37" w:rsidRDefault="000F7B77" w:rsidP="00F75C96">
    <w:pPr>
      <w:pStyle w:val="Piedepgina"/>
      <w:ind w:left="284"/>
      <w:jc w:val="center"/>
      <w:rPr>
        <w:rFonts w:cs="Times New Roman"/>
      </w:rPr>
    </w:pPr>
    <w:r>
      <w:rPr>
        <w:noProof/>
        <w:lang w:eastAsia="es-DO"/>
      </w:rPr>
      <w:drawing>
        <wp:anchor distT="0" distB="0" distL="114300" distR="114300" simplePos="0" relativeHeight="251663360" behindDoc="0" locked="0" layoutInCell="1" allowOverlap="1" wp14:anchorId="41D85FA0" wp14:editId="24D9479B">
          <wp:simplePos x="0" y="0"/>
          <wp:positionH relativeFrom="column">
            <wp:posOffset>1408430</wp:posOffset>
          </wp:positionH>
          <wp:positionV relativeFrom="paragraph">
            <wp:posOffset>-325588</wp:posOffset>
          </wp:positionV>
          <wp:extent cx="2414270" cy="292735"/>
          <wp:effectExtent l="0" t="0" r="508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426619581"/>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sidR="00BE10C7">
          <w:rPr>
            <w:rFonts w:cs="Times New Roman"/>
            <w:noProof/>
            <w:sz w:val="15"/>
            <w:szCs w:val="15"/>
            <w:lang w:val="es-ES"/>
          </w:rPr>
          <w:t>192</w:t>
        </w:r>
        <w:r w:rsidRPr="007D6F37">
          <w:rPr>
            <w:rFonts w:cs="Times New Roman"/>
            <w:noProof/>
            <w:sz w:val="15"/>
            <w:szCs w:val="15"/>
            <w:lang w:val="es-ES"/>
          </w:rPr>
          <w:fldChar w:fldCharType="end"/>
        </w:r>
      </w:sdtContent>
    </w:sdt>
  </w:p>
  <w:p w14:paraId="7825FBA7" w14:textId="77777777" w:rsidR="000F7B77" w:rsidRDefault="000F7B77" w:rsidP="00F75C96"/>
  <w:p w14:paraId="643434BF" w14:textId="77777777" w:rsidR="000F7B77" w:rsidRDefault="000F7B77"/>
  <w:p w14:paraId="31B3CE10" w14:textId="77777777" w:rsidR="000F7B77" w:rsidRDefault="000F7B7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1EDE2" w14:textId="77777777" w:rsidR="00E70C11" w:rsidRDefault="00E70C11" w:rsidP="00F75C96">
      <w:r>
        <w:separator/>
      </w:r>
    </w:p>
    <w:p w14:paraId="16EFAE1A" w14:textId="77777777" w:rsidR="00E70C11" w:rsidRDefault="00E70C11"/>
    <w:p w14:paraId="03F6DB5D" w14:textId="77777777" w:rsidR="00E70C11" w:rsidRDefault="00E70C11"/>
  </w:footnote>
  <w:footnote w:type="continuationSeparator" w:id="0">
    <w:p w14:paraId="291DEA06" w14:textId="77777777" w:rsidR="00E70C11" w:rsidRDefault="00E70C11" w:rsidP="00F75C96">
      <w:r>
        <w:continuationSeparator/>
      </w:r>
    </w:p>
    <w:p w14:paraId="7BA7A7DE" w14:textId="77777777" w:rsidR="00E70C11" w:rsidRDefault="00E70C11"/>
    <w:p w14:paraId="69DFD89F" w14:textId="77777777" w:rsidR="00E70C11" w:rsidRDefault="00E70C1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4E39" w14:textId="77777777" w:rsidR="000F7B77" w:rsidRDefault="000F7B7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5D078" w14:textId="77777777" w:rsidR="000F7B77" w:rsidRDefault="000F7B77">
    <w:pPr>
      <w:pStyle w:val="Encabezado"/>
    </w:pPr>
  </w:p>
  <w:p w14:paraId="52B8BAE3" w14:textId="77777777" w:rsidR="000F7B77" w:rsidRDefault="000F7B7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0301A68"/>
    <w:lvl w:ilvl="0">
      <w:start w:val="1"/>
      <w:numFmt w:val="bullet"/>
      <w:pStyle w:val="Listaconvietas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AF445DEE"/>
    <w:lvl w:ilvl="0">
      <w:start w:val="1"/>
      <w:numFmt w:val="bullet"/>
      <w:pStyle w:val="Listaconvietas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E67CC2A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59C5DA7"/>
    <w:multiLevelType w:val="hybridMultilevel"/>
    <w:tmpl w:val="3A260F96"/>
    <w:lvl w:ilvl="0" w:tplc="51EE9EC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02CBB"/>
    <w:multiLevelType w:val="hybridMultilevel"/>
    <w:tmpl w:val="765867AA"/>
    <w:lvl w:ilvl="0" w:tplc="580A0017">
      <w:start w:val="1"/>
      <w:numFmt w:val="lowerLetter"/>
      <w:lvlText w:val="%1)"/>
      <w:lvlJc w:val="left"/>
      <w:pPr>
        <w:ind w:left="1004" w:hanging="360"/>
      </w:pPr>
    </w:lvl>
    <w:lvl w:ilvl="1" w:tplc="580A0019">
      <w:start w:val="1"/>
      <w:numFmt w:val="lowerLetter"/>
      <w:lvlText w:val="%2."/>
      <w:lvlJc w:val="left"/>
      <w:pPr>
        <w:ind w:left="1724" w:hanging="360"/>
      </w:pPr>
    </w:lvl>
    <w:lvl w:ilvl="2" w:tplc="580A001B" w:tentative="1">
      <w:start w:val="1"/>
      <w:numFmt w:val="lowerRoman"/>
      <w:lvlText w:val="%3."/>
      <w:lvlJc w:val="right"/>
      <w:pPr>
        <w:ind w:left="2444" w:hanging="180"/>
      </w:pPr>
    </w:lvl>
    <w:lvl w:ilvl="3" w:tplc="580A000F" w:tentative="1">
      <w:start w:val="1"/>
      <w:numFmt w:val="decimal"/>
      <w:lvlText w:val="%4."/>
      <w:lvlJc w:val="left"/>
      <w:pPr>
        <w:ind w:left="3164" w:hanging="360"/>
      </w:pPr>
    </w:lvl>
    <w:lvl w:ilvl="4" w:tplc="580A0019" w:tentative="1">
      <w:start w:val="1"/>
      <w:numFmt w:val="lowerLetter"/>
      <w:lvlText w:val="%5."/>
      <w:lvlJc w:val="left"/>
      <w:pPr>
        <w:ind w:left="3884" w:hanging="360"/>
      </w:pPr>
    </w:lvl>
    <w:lvl w:ilvl="5" w:tplc="580A001B" w:tentative="1">
      <w:start w:val="1"/>
      <w:numFmt w:val="lowerRoman"/>
      <w:lvlText w:val="%6."/>
      <w:lvlJc w:val="right"/>
      <w:pPr>
        <w:ind w:left="4604" w:hanging="180"/>
      </w:pPr>
    </w:lvl>
    <w:lvl w:ilvl="6" w:tplc="580A000F" w:tentative="1">
      <w:start w:val="1"/>
      <w:numFmt w:val="decimal"/>
      <w:lvlText w:val="%7."/>
      <w:lvlJc w:val="left"/>
      <w:pPr>
        <w:ind w:left="5324" w:hanging="360"/>
      </w:pPr>
    </w:lvl>
    <w:lvl w:ilvl="7" w:tplc="580A0019" w:tentative="1">
      <w:start w:val="1"/>
      <w:numFmt w:val="lowerLetter"/>
      <w:lvlText w:val="%8."/>
      <w:lvlJc w:val="left"/>
      <w:pPr>
        <w:ind w:left="6044" w:hanging="360"/>
      </w:pPr>
    </w:lvl>
    <w:lvl w:ilvl="8" w:tplc="580A001B" w:tentative="1">
      <w:start w:val="1"/>
      <w:numFmt w:val="lowerRoman"/>
      <w:lvlText w:val="%9."/>
      <w:lvlJc w:val="right"/>
      <w:pPr>
        <w:ind w:left="6764" w:hanging="180"/>
      </w:pPr>
    </w:lvl>
  </w:abstractNum>
  <w:abstractNum w:abstractNumId="5" w15:restartNumberingAfterBreak="0">
    <w:nsid w:val="09C6188F"/>
    <w:multiLevelType w:val="multilevel"/>
    <w:tmpl w:val="C59438F8"/>
    <w:lvl w:ilvl="0">
      <w:start w:val="4"/>
      <w:numFmt w:val="decimal"/>
      <w:lvlText w:val="%1"/>
      <w:lvlJc w:val="left"/>
      <w:pPr>
        <w:ind w:left="555" w:hanging="555"/>
      </w:pPr>
      <w:rPr>
        <w:rFonts w:hint="default"/>
      </w:rPr>
    </w:lvl>
    <w:lvl w:ilvl="1">
      <w:start w:val="5"/>
      <w:numFmt w:val="decimal"/>
      <w:lvlText w:val="%1.%2"/>
      <w:lvlJc w:val="left"/>
      <w:pPr>
        <w:ind w:left="891" w:hanging="555"/>
      </w:pPr>
      <w:rPr>
        <w:rFonts w:hint="default"/>
      </w:rPr>
    </w:lvl>
    <w:lvl w:ilvl="2">
      <w:start w:val="1"/>
      <w:numFmt w:val="decimal"/>
      <w:lvlText w:val="%1.%2.%3"/>
      <w:lvlJc w:val="left"/>
      <w:pPr>
        <w:ind w:left="1392" w:hanging="720"/>
      </w:pPr>
      <w:rPr>
        <w:rFonts w:hint="default"/>
      </w:rPr>
    </w:lvl>
    <w:lvl w:ilvl="3">
      <w:start w:val="1"/>
      <w:numFmt w:val="decimal"/>
      <w:lvlText w:val="%1.%2.%3.%4"/>
      <w:lvlJc w:val="left"/>
      <w:pPr>
        <w:ind w:left="2088" w:hanging="108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3120" w:hanging="144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4152" w:hanging="1800"/>
      </w:pPr>
      <w:rPr>
        <w:rFonts w:hint="default"/>
      </w:rPr>
    </w:lvl>
    <w:lvl w:ilvl="8">
      <w:start w:val="1"/>
      <w:numFmt w:val="decimal"/>
      <w:lvlText w:val="%1.%2.%3.%4.%5.%6.%7.%8.%9"/>
      <w:lvlJc w:val="left"/>
      <w:pPr>
        <w:ind w:left="4488" w:hanging="1800"/>
      </w:pPr>
      <w:rPr>
        <w:rFonts w:hint="default"/>
      </w:rPr>
    </w:lvl>
  </w:abstractNum>
  <w:abstractNum w:abstractNumId="6" w15:restartNumberingAfterBreak="0">
    <w:nsid w:val="0EB744C1"/>
    <w:multiLevelType w:val="hybridMultilevel"/>
    <w:tmpl w:val="AD484ED6"/>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1C290488"/>
    <w:multiLevelType w:val="hybridMultilevel"/>
    <w:tmpl w:val="8C72774C"/>
    <w:lvl w:ilvl="0" w:tplc="04DA885C">
      <w:start w:val="1"/>
      <w:numFmt w:val="bullet"/>
      <w:pStyle w:val="Estilo-Vieta-1"/>
      <w:lvlText w:val=""/>
      <w:lvlJc w:val="left"/>
      <w:pPr>
        <w:ind w:left="1068" w:hanging="360"/>
      </w:pPr>
      <w:rPr>
        <w:rFonts w:ascii="Symbol" w:hAnsi="Symbol" w:hint="default"/>
      </w:rPr>
    </w:lvl>
    <w:lvl w:ilvl="1" w:tplc="08923766">
      <w:start w:val="2"/>
      <w:numFmt w:val="bullet"/>
      <w:lvlText w:val="•"/>
      <w:lvlJc w:val="left"/>
      <w:pPr>
        <w:ind w:left="2133" w:hanging="705"/>
      </w:pPr>
      <w:rPr>
        <w:rFonts w:ascii="Times New Roman" w:eastAsia="Calibri" w:hAnsi="Times New Roman" w:cs="Times New Roman"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1D5C14A4"/>
    <w:multiLevelType w:val="hybridMultilevel"/>
    <w:tmpl w:val="8FB47D4A"/>
    <w:lvl w:ilvl="0" w:tplc="1A5A3EB0">
      <w:start w:val="1"/>
      <w:numFmt w:val="bullet"/>
      <w:lvlText w:val=""/>
      <w:lvlJc w:val="left"/>
      <w:pPr>
        <w:ind w:left="2880" w:hanging="360"/>
      </w:pPr>
      <w:rPr>
        <w:rFonts w:ascii="Symbol" w:hAnsi="Symbol" w:hint="default"/>
      </w:rPr>
    </w:lvl>
    <w:lvl w:ilvl="1" w:tplc="86922C9E">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DA20B98"/>
    <w:multiLevelType w:val="hybridMultilevel"/>
    <w:tmpl w:val="F0881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00196"/>
    <w:multiLevelType w:val="multilevel"/>
    <w:tmpl w:val="92B0093E"/>
    <w:lvl w:ilvl="0">
      <w:start w:val="1"/>
      <w:numFmt w:val="upperRoman"/>
      <w:pStyle w:val="Ttulo1"/>
      <w:lvlText w:val="%1."/>
      <w:lvlJc w:val="right"/>
      <w:pPr>
        <w:ind w:left="1706" w:hanging="360"/>
      </w:pPr>
      <w:rPr>
        <w:rFonts w:hint="default"/>
        <w:b w:val="0"/>
      </w:rPr>
    </w:lvl>
    <w:lvl w:ilvl="1">
      <w:start w:val="1"/>
      <w:numFmt w:val="decimal"/>
      <w:isLgl/>
      <w:lvlText w:val="%1.%2"/>
      <w:lvlJc w:val="left"/>
      <w:pPr>
        <w:ind w:left="2051" w:hanging="7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11" w15:restartNumberingAfterBreak="0">
    <w:nsid w:val="235A6EA3"/>
    <w:multiLevelType w:val="multilevel"/>
    <w:tmpl w:val="B68CD162"/>
    <w:lvl w:ilvl="0">
      <w:start w:val="4"/>
      <w:numFmt w:val="decimal"/>
      <w:lvlText w:val="%1"/>
      <w:lvlJc w:val="left"/>
      <w:pPr>
        <w:ind w:left="555" w:hanging="555"/>
      </w:pPr>
      <w:rPr>
        <w:rFonts w:hint="default"/>
      </w:rPr>
    </w:lvl>
    <w:lvl w:ilvl="1">
      <w:start w:val="5"/>
      <w:numFmt w:val="decimal"/>
      <w:lvlText w:val="%1.%2"/>
      <w:lvlJc w:val="left"/>
      <w:pPr>
        <w:ind w:left="891" w:hanging="555"/>
      </w:pPr>
      <w:rPr>
        <w:rFonts w:hint="default"/>
      </w:rPr>
    </w:lvl>
    <w:lvl w:ilvl="2">
      <w:start w:val="1"/>
      <w:numFmt w:val="decimal"/>
      <w:pStyle w:val="Ttulo3RdeC"/>
      <w:lvlText w:val="%1.%2.%3"/>
      <w:lvlJc w:val="left"/>
      <w:pPr>
        <w:ind w:left="1392" w:hanging="720"/>
      </w:pPr>
      <w:rPr>
        <w:rFonts w:hint="default"/>
      </w:rPr>
    </w:lvl>
    <w:lvl w:ilvl="3">
      <w:start w:val="1"/>
      <w:numFmt w:val="decimal"/>
      <w:lvlText w:val="%1.%2.%3.%4"/>
      <w:lvlJc w:val="left"/>
      <w:pPr>
        <w:ind w:left="2088" w:hanging="108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3120" w:hanging="144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4152" w:hanging="1800"/>
      </w:pPr>
      <w:rPr>
        <w:rFonts w:hint="default"/>
      </w:rPr>
    </w:lvl>
    <w:lvl w:ilvl="8">
      <w:start w:val="1"/>
      <w:numFmt w:val="decimal"/>
      <w:lvlText w:val="%1.%2.%3.%4.%5.%6.%7.%8.%9"/>
      <w:lvlJc w:val="left"/>
      <w:pPr>
        <w:ind w:left="4488" w:hanging="1800"/>
      </w:pPr>
      <w:rPr>
        <w:rFonts w:hint="default"/>
      </w:rPr>
    </w:lvl>
  </w:abstractNum>
  <w:abstractNum w:abstractNumId="12" w15:restartNumberingAfterBreak="0">
    <w:nsid w:val="2AA10CBD"/>
    <w:multiLevelType w:val="multilevel"/>
    <w:tmpl w:val="E0A24944"/>
    <w:lvl w:ilvl="0">
      <w:start w:val="4"/>
      <w:numFmt w:val="decimal"/>
      <w:lvlText w:val="%1"/>
      <w:lvlJc w:val="left"/>
      <w:pPr>
        <w:ind w:left="480" w:hanging="480"/>
      </w:pPr>
      <w:rPr>
        <w:rFonts w:hint="default"/>
      </w:rPr>
    </w:lvl>
    <w:lvl w:ilvl="1">
      <w:start w:val="3"/>
      <w:numFmt w:val="decimal"/>
      <w:lvlText w:val="%1.%2"/>
      <w:lvlJc w:val="left"/>
      <w:pPr>
        <w:ind w:left="1153" w:hanging="480"/>
      </w:pPr>
      <w:rPr>
        <w:rFonts w:hint="default"/>
      </w:rPr>
    </w:lvl>
    <w:lvl w:ilvl="2">
      <w:start w:val="5"/>
      <w:numFmt w:val="decimal"/>
      <w:lvlText w:val="%1.%2.%3"/>
      <w:lvlJc w:val="left"/>
      <w:pPr>
        <w:ind w:left="2066" w:hanging="720"/>
      </w:pPr>
      <w:rPr>
        <w:rFonts w:hint="default"/>
      </w:rPr>
    </w:lvl>
    <w:lvl w:ilvl="3">
      <w:start w:val="1"/>
      <w:numFmt w:val="decimal"/>
      <w:lvlText w:val="%1.%2.%3.%4"/>
      <w:lvlJc w:val="left"/>
      <w:pPr>
        <w:ind w:left="2739"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13" w15:restartNumberingAfterBreak="0">
    <w:nsid w:val="2B395B19"/>
    <w:multiLevelType w:val="multilevel"/>
    <w:tmpl w:val="1D9C55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EAD59D2"/>
    <w:multiLevelType w:val="hybridMultilevel"/>
    <w:tmpl w:val="52700E2A"/>
    <w:lvl w:ilvl="0" w:tplc="04090001">
      <w:start w:val="1"/>
      <w:numFmt w:val="bullet"/>
      <w:lvlText w:val=""/>
      <w:lvlJc w:val="left"/>
      <w:pPr>
        <w:ind w:left="720" w:hanging="360"/>
      </w:pPr>
      <w:rPr>
        <w:rFonts w:ascii="Symbol" w:hAnsi="Symbol" w:hint="default"/>
      </w:rPr>
    </w:lvl>
    <w:lvl w:ilvl="1" w:tplc="B9DCD984">
      <w:numFmt w:val="bullet"/>
      <w:lvlText w:val="-"/>
      <w:lvlJc w:val="left"/>
      <w:pPr>
        <w:ind w:left="1440" w:hanging="360"/>
      </w:pPr>
      <w:rPr>
        <w:rFonts w:ascii="Times New Roman" w:eastAsiaTheme="minorHAnsi" w:hAnsi="Times New Roman" w:cs="Times New Roman"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387E066E"/>
    <w:multiLevelType w:val="hybridMultilevel"/>
    <w:tmpl w:val="B0424A60"/>
    <w:lvl w:ilvl="0" w:tplc="04090003">
      <w:start w:val="1"/>
      <w:numFmt w:val="bullet"/>
      <w:lvlText w:val="o"/>
      <w:lvlJc w:val="left"/>
      <w:pPr>
        <w:ind w:left="1350" w:hanging="360"/>
      </w:pPr>
      <w:rPr>
        <w:rFonts w:ascii="Courier New" w:hAnsi="Courier New" w:cs="Courier New" w:hint="default"/>
      </w:rPr>
    </w:lvl>
    <w:lvl w:ilvl="1" w:tplc="1C0A0003" w:tentative="1">
      <w:start w:val="1"/>
      <w:numFmt w:val="bullet"/>
      <w:lvlText w:val="o"/>
      <w:lvlJc w:val="left"/>
      <w:pPr>
        <w:ind w:left="2070" w:hanging="360"/>
      </w:pPr>
      <w:rPr>
        <w:rFonts w:ascii="Courier New" w:hAnsi="Courier New" w:cs="Courier New" w:hint="default"/>
      </w:rPr>
    </w:lvl>
    <w:lvl w:ilvl="2" w:tplc="1C0A0005" w:tentative="1">
      <w:start w:val="1"/>
      <w:numFmt w:val="bullet"/>
      <w:lvlText w:val=""/>
      <w:lvlJc w:val="left"/>
      <w:pPr>
        <w:ind w:left="2790" w:hanging="360"/>
      </w:pPr>
      <w:rPr>
        <w:rFonts w:ascii="Wingdings" w:hAnsi="Wingdings" w:hint="default"/>
      </w:rPr>
    </w:lvl>
    <w:lvl w:ilvl="3" w:tplc="1C0A0001" w:tentative="1">
      <w:start w:val="1"/>
      <w:numFmt w:val="bullet"/>
      <w:lvlText w:val=""/>
      <w:lvlJc w:val="left"/>
      <w:pPr>
        <w:ind w:left="3510" w:hanging="360"/>
      </w:pPr>
      <w:rPr>
        <w:rFonts w:ascii="Symbol" w:hAnsi="Symbol" w:hint="default"/>
      </w:rPr>
    </w:lvl>
    <w:lvl w:ilvl="4" w:tplc="1C0A0003" w:tentative="1">
      <w:start w:val="1"/>
      <w:numFmt w:val="bullet"/>
      <w:lvlText w:val="o"/>
      <w:lvlJc w:val="left"/>
      <w:pPr>
        <w:ind w:left="4230" w:hanging="360"/>
      </w:pPr>
      <w:rPr>
        <w:rFonts w:ascii="Courier New" w:hAnsi="Courier New" w:cs="Courier New" w:hint="default"/>
      </w:rPr>
    </w:lvl>
    <w:lvl w:ilvl="5" w:tplc="1C0A0005" w:tentative="1">
      <w:start w:val="1"/>
      <w:numFmt w:val="bullet"/>
      <w:lvlText w:val=""/>
      <w:lvlJc w:val="left"/>
      <w:pPr>
        <w:ind w:left="4950" w:hanging="360"/>
      </w:pPr>
      <w:rPr>
        <w:rFonts w:ascii="Wingdings" w:hAnsi="Wingdings" w:hint="default"/>
      </w:rPr>
    </w:lvl>
    <w:lvl w:ilvl="6" w:tplc="1C0A0001" w:tentative="1">
      <w:start w:val="1"/>
      <w:numFmt w:val="bullet"/>
      <w:lvlText w:val=""/>
      <w:lvlJc w:val="left"/>
      <w:pPr>
        <w:ind w:left="5670" w:hanging="360"/>
      </w:pPr>
      <w:rPr>
        <w:rFonts w:ascii="Symbol" w:hAnsi="Symbol" w:hint="default"/>
      </w:rPr>
    </w:lvl>
    <w:lvl w:ilvl="7" w:tplc="1C0A0003" w:tentative="1">
      <w:start w:val="1"/>
      <w:numFmt w:val="bullet"/>
      <w:lvlText w:val="o"/>
      <w:lvlJc w:val="left"/>
      <w:pPr>
        <w:ind w:left="6390" w:hanging="360"/>
      </w:pPr>
      <w:rPr>
        <w:rFonts w:ascii="Courier New" w:hAnsi="Courier New" w:cs="Courier New" w:hint="default"/>
      </w:rPr>
    </w:lvl>
    <w:lvl w:ilvl="8" w:tplc="1C0A0005" w:tentative="1">
      <w:start w:val="1"/>
      <w:numFmt w:val="bullet"/>
      <w:lvlText w:val=""/>
      <w:lvlJc w:val="left"/>
      <w:pPr>
        <w:ind w:left="7110" w:hanging="360"/>
      </w:pPr>
      <w:rPr>
        <w:rFonts w:ascii="Wingdings" w:hAnsi="Wingdings" w:hint="default"/>
      </w:rPr>
    </w:lvl>
  </w:abstractNum>
  <w:abstractNum w:abstractNumId="16" w15:restartNumberingAfterBreak="0">
    <w:nsid w:val="3C1D6753"/>
    <w:multiLevelType w:val="multilevel"/>
    <w:tmpl w:val="70944E0C"/>
    <w:lvl w:ilvl="0">
      <w:start w:val="5"/>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080A9A"/>
    <w:multiLevelType w:val="multilevel"/>
    <w:tmpl w:val="4342915E"/>
    <w:lvl w:ilvl="0">
      <w:start w:val="6"/>
      <w:numFmt w:val="upperRoman"/>
      <w:lvlText w:val="%1."/>
      <w:lvlJc w:val="left"/>
      <w:pPr>
        <w:ind w:left="1080" w:hanging="720"/>
      </w:pPr>
      <w:rPr>
        <w:rFonts w:hint="default"/>
      </w:rPr>
    </w:lvl>
    <w:lvl w:ilvl="1">
      <w:start w:val="1"/>
      <w:numFmt w:val="decimal"/>
      <w:isLgl/>
      <w:lvlText w:val="%1.%2"/>
      <w:lvlJc w:val="left"/>
      <w:pPr>
        <w:ind w:left="1710"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47BF1F3C"/>
    <w:multiLevelType w:val="multilevel"/>
    <w:tmpl w:val="F5543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616C04"/>
    <w:multiLevelType w:val="hybridMultilevel"/>
    <w:tmpl w:val="3804573C"/>
    <w:lvl w:ilvl="0" w:tplc="04090001">
      <w:start w:val="1"/>
      <w:numFmt w:val="bullet"/>
      <w:lvlText w:val=""/>
      <w:lvlJc w:val="left"/>
      <w:pPr>
        <w:ind w:left="2880" w:hanging="360"/>
      </w:pPr>
      <w:rPr>
        <w:rFonts w:ascii="Symbol" w:hAnsi="Symbol" w:hint="default"/>
      </w:rPr>
    </w:lvl>
    <w:lvl w:ilvl="1" w:tplc="86922C9E">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8BC145C"/>
    <w:multiLevelType w:val="hybridMultilevel"/>
    <w:tmpl w:val="A848527A"/>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51E92F7F"/>
    <w:multiLevelType w:val="multilevel"/>
    <w:tmpl w:val="BEFC3FAC"/>
    <w:lvl w:ilvl="0">
      <w:start w:val="1"/>
      <w:numFmt w:val="decimal"/>
      <w:lvlText w:val="%1."/>
      <w:lvlJc w:val="left"/>
      <w:pPr>
        <w:ind w:left="786"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38E4620"/>
    <w:multiLevelType w:val="hybridMultilevel"/>
    <w:tmpl w:val="0AD63720"/>
    <w:lvl w:ilvl="0" w:tplc="04090003">
      <w:start w:val="1"/>
      <w:numFmt w:val="bullet"/>
      <w:lvlText w:val="o"/>
      <w:lvlJc w:val="left"/>
      <w:pPr>
        <w:ind w:left="1800" w:hanging="360"/>
      </w:pPr>
      <w:rPr>
        <w:rFonts w:ascii="Courier New" w:hAnsi="Courier New" w:cs="Courier New"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23" w15:restartNumberingAfterBreak="0">
    <w:nsid w:val="5F5053E9"/>
    <w:multiLevelType w:val="hybridMultilevel"/>
    <w:tmpl w:val="33A6D0F4"/>
    <w:lvl w:ilvl="0" w:tplc="C5968662">
      <w:start w:val="1"/>
      <w:numFmt w:val="decimal"/>
      <w:lvlText w:val="%1."/>
      <w:lvlJc w:val="left"/>
      <w:pPr>
        <w:ind w:left="1068" w:hanging="360"/>
      </w:pPr>
      <w:rPr>
        <w:rFonts w:ascii="Times New Roman" w:hAnsi="Times New Roman" w:hint="default"/>
        <w:b/>
        <w:i w:val="0"/>
        <w:sz w:val="20"/>
      </w:rPr>
    </w:lvl>
    <w:lvl w:ilvl="1" w:tplc="1C0A0019">
      <w:start w:val="1"/>
      <w:numFmt w:val="lowerLetter"/>
      <w:lvlText w:val="%2."/>
      <w:lvlJc w:val="left"/>
      <w:pPr>
        <w:ind w:left="1788" w:hanging="360"/>
      </w:pPr>
    </w:lvl>
    <w:lvl w:ilvl="2" w:tplc="1C0A001B">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4" w15:restartNumberingAfterBreak="0">
    <w:nsid w:val="62105833"/>
    <w:multiLevelType w:val="multilevel"/>
    <w:tmpl w:val="C59438F8"/>
    <w:lvl w:ilvl="0">
      <w:start w:val="4"/>
      <w:numFmt w:val="decimal"/>
      <w:lvlText w:val="%1"/>
      <w:lvlJc w:val="left"/>
      <w:pPr>
        <w:ind w:left="555" w:hanging="555"/>
      </w:pPr>
      <w:rPr>
        <w:rFonts w:hint="default"/>
      </w:rPr>
    </w:lvl>
    <w:lvl w:ilvl="1">
      <w:start w:val="5"/>
      <w:numFmt w:val="decimal"/>
      <w:lvlText w:val="%1.%2"/>
      <w:lvlJc w:val="left"/>
      <w:pPr>
        <w:ind w:left="891" w:hanging="555"/>
      </w:pPr>
      <w:rPr>
        <w:rFonts w:hint="default"/>
      </w:rPr>
    </w:lvl>
    <w:lvl w:ilvl="2">
      <w:start w:val="1"/>
      <w:numFmt w:val="decimal"/>
      <w:lvlText w:val="%1.%2.%3"/>
      <w:lvlJc w:val="left"/>
      <w:pPr>
        <w:ind w:left="1392" w:hanging="720"/>
      </w:pPr>
      <w:rPr>
        <w:rFonts w:hint="default"/>
      </w:rPr>
    </w:lvl>
    <w:lvl w:ilvl="3">
      <w:start w:val="1"/>
      <w:numFmt w:val="decimal"/>
      <w:lvlText w:val="%1.%2.%3.%4"/>
      <w:lvlJc w:val="left"/>
      <w:pPr>
        <w:ind w:left="2088" w:hanging="108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3120" w:hanging="144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4152" w:hanging="1800"/>
      </w:pPr>
      <w:rPr>
        <w:rFonts w:hint="default"/>
      </w:rPr>
    </w:lvl>
    <w:lvl w:ilvl="8">
      <w:start w:val="1"/>
      <w:numFmt w:val="decimal"/>
      <w:lvlText w:val="%1.%2.%3.%4.%5.%6.%7.%8.%9"/>
      <w:lvlJc w:val="left"/>
      <w:pPr>
        <w:ind w:left="4488" w:hanging="1800"/>
      </w:pPr>
      <w:rPr>
        <w:rFonts w:hint="default"/>
      </w:rPr>
    </w:lvl>
  </w:abstractNum>
  <w:abstractNum w:abstractNumId="25" w15:restartNumberingAfterBreak="0">
    <w:nsid w:val="64CF1FE3"/>
    <w:multiLevelType w:val="multilevel"/>
    <w:tmpl w:val="0E60DE7A"/>
    <w:lvl w:ilvl="0">
      <w:start w:val="1"/>
      <w:numFmt w:val="upperRoman"/>
      <w:lvlText w:val="%1."/>
      <w:lvlJc w:val="right"/>
      <w:pPr>
        <w:ind w:left="720" w:hanging="360"/>
      </w:pPr>
    </w:lvl>
    <w:lvl w:ilvl="1">
      <w:start w:val="1"/>
      <w:numFmt w:val="lowerLetter"/>
      <w:lvlText w:val="%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59A1ADA"/>
    <w:multiLevelType w:val="multilevel"/>
    <w:tmpl w:val="BF1650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7BD1438"/>
    <w:multiLevelType w:val="multilevel"/>
    <w:tmpl w:val="BEA2BFDA"/>
    <w:lvl w:ilvl="0">
      <w:start w:val="3"/>
      <w:numFmt w:val="decimal"/>
      <w:lvlText w:val="%1"/>
      <w:lvlJc w:val="left"/>
      <w:pPr>
        <w:ind w:left="360" w:hanging="360"/>
      </w:pPr>
      <w:rPr>
        <w:rFonts w:hint="default"/>
      </w:rPr>
    </w:lvl>
    <w:lvl w:ilvl="1">
      <w:start w:val="2"/>
      <w:numFmt w:val="decimal"/>
      <w:lvlText w:val="%1.%2"/>
      <w:lvlJc w:val="left"/>
      <w:pPr>
        <w:ind w:left="1032" w:hanging="360"/>
      </w:pPr>
      <w:rPr>
        <w:rFonts w:hint="default"/>
      </w:rPr>
    </w:lvl>
    <w:lvl w:ilvl="2">
      <w:start w:val="1"/>
      <w:numFmt w:val="decimal"/>
      <w:lvlText w:val="%1.%2.%3"/>
      <w:lvlJc w:val="left"/>
      <w:pPr>
        <w:ind w:left="2064" w:hanging="720"/>
      </w:pPr>
      <w:rPr>
        <w:rFonts w:hint="default"/>
      </w:rPr>
    </w:lvl>
    <w:lvl w:ilvl="3">
      <w:start w:val="1"/>
      <w:numFmt w:val="decimal"/>
      <w:lvlText w:val="%1.%2.%3.%4"/>
      <w:lvlJc w:val="left"/>
      <w:pPr>
        <w:ind w:left="3096" w:hanging="1080"/>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800" w:hanging="144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504" w:hanging="1800"/>
      </w:pPr>
      <w:rPr>
        <w:rFonts w:hint="default"/>
      </w:rPr>
    </w:lvl>
    <w:lvl w:ilvl="8">
      <w:start w:val="1"/>
      <w:numFmt w:val="decimal"/>
      <w:lvlText w:val="%1.%2.%3.%4.%5.%6.%7.%8.%9"/>
      <w:lvlJc w:val="left"/>
      <w:pPr>
        <w:ind w:left="7176" w:hanging="1800"/>
      </w:pPr>
      <w:rPr>
        <w:rFonts w:hint="default"/>
      </w:rPr>
    </w:lvl>
  </w:abstractNum>
  <w:abstractNum w:abstractNumId="28" w15:restartNumberingAfterBreak="0">
    <w:nsid w:val="6E307518"/>
    <w:multiLevelType w:val="multilevel"/>
    <w:tmpl w:val="D8EC5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1E36AB3"/>
    <w:multiLevelType w:val="hybridMultilevel"/>
    <w:tmpl w:val="889AE948"/>
    <w:lvl w:ilvl="0" w:tplc="2AE61F8E">
      <w:start w:val="1"/>
      <w:numFmt w:val="bullet"/>
      <w:lvlText w:val=""/>
      <w:lvlJc w:val="left"/>
      <w:pPr>
        <w:ind w:left="1778" w:hanging="360"/>
      </w:pPr>
      <w:rPr>
        <w:rFonts w:ascii="Symbol" w:hAnsi="Symbol" w:hint="default"/>
      </w:rPr>
    </w:lvl>
    <w:lvl w:ilvl="1" w:tplc="08923766">
      <w:start w:val="2"/>
      <w:numFmt w:val="bullet"/>
      <w:lvlText w:val="•"/>
      <w:lvlJc w:val="left"/>
      <w:pPr>
        <w:ind w:left="2843" w:hanging="705"/>
      </w:pPr>
      <w:rPr>
        <w:rFonts w:ascii="Times New Roman" w:eastAsia="Calibri" w:hAnsi="Times New Roman" w:cs="Times New Roman"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0" w15:restartNumberingAfterBreak="0">
    <w:nsid w:val="73654B62"/>
    <w:multiLevelType w:val="hybridMultilevel"/>
    <w:tmpl w:val="5A5C1576"/>
    <w:lvl w:ilvl="0" w:tplc="04090017">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1" w15:restartNumberingAfterBreak="0">
    <w:nsid w:val="73E9126E"/>
    <w:multiLevelType w:val="multilevel"/>
    <w:tmpl w:val="55D89D32"/>
    <w:lvl w:ilvl="0">
      <w:start w:val="1"/>
      <w:numFmt w:val="upperRoman"/>
      <w:lvlText w:val="%1."/>
      <w:lvlJc w:val="right"/>
      <w:pPr>
        <w:ind w:left="1706" w:hanging="360"/>
      </w:pPr>
      <w:rPr>
        <w:rFonts w:hint="default"/>
      </w:rPr>
    </w:lvl>
    <w:lvl w:ilvl="1">
      <w:start w:val="1"/>
      <w:numFmt w:val="decimal"/>
      <w:isLgl/>
      <w:lvlText w:val="%1.%2"/>
      <w:lvlJc w:val="left"/>
      <w:pPr>
        <w:ind w:left="2051" w:hanging="705"/>
      </w:pPr>
      <w:rPr>
        <w:rFonts w:hint="default"/>
      </w:rPr>
    </w:lvl>
    <w:lvl w:ilvl="2">
      <w:start w:val="1"/>
      <w:numFmt w:val="decimal"/>
      <w:isLgl/>
      <w:lvlText w:val="%1.%2.%3"/>
      <w:lvlJc w:val="left"/>
      <w:pPr>
        <w:ind w:left="2066"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32" w15:restartNumberingAfterBreak="0">
    <w:nsid w:val="778A4AA9"/>
    <w:multiLevelType w:val="hybridMultilevel"/>
    <w:tmpl w:val="6ECA9D92"/>
    <w:lvl w:ilvl="0" w:tplc="8FD45C1C">
      <w:start w:val="1"/>
      <w:numFmt w:val="lowerLetter"/>
      <w:pStyle w:val="PrrafoNumerado"/>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pStyle w:val="PrrafoNumerado"/>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3" w15:restartNumberingAfterBreak="0">
    <w:nsid w:val="78A2304C"/>
    <w:multiLevelType w:val="hybridMultilevel"/>
    <w:tmpl w:val="0536436C"/>
    <w:lvl w:ilvl="0" w:tplc="051EC916">
      <w:start w:val="1"/>
      <w:numFmt w:val="decimal"/>
      <w:pStyle w:val="Prrafodelista"/>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BF94DB0"/>
    <w:multiLevelType w:val="hybridMultilevel"/>
    <w:tmpl w:val="21C61480"/>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F1D5895"/>
    <w:multiLevelType w:val="multilevel"/>
    <w:tmpl w:val="29C6EC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2"/>
  </w:num>
  <w:num w:numId="2">
    <w:abstractNumId w:val="31"/>
    <w:lvlOverride w:ilvl="0">
      <w:startOverride w:val="3"/>
    </w:lvlOverride>
  </w:num>
  <w:num w:numId="3">
    <w:abstractNumId w:val="10"/>
  </w:num>
  <w:num w:numId="4">
    <w:abstractNumId w:val="23"/>
  </w:num>
  <w:num w:numId="5">
    <w:abstractNumId w:val="20"/>
  </w:num>
  <w:num w:numId="6">
    <w:abstractNumId w:val="25"/>
  </w:num>
  <w:num w:numId="7">
    <w:abstractNumId w:val="9"/>
  </w:num>
  <w:num w:numId="8">
    <w:abstractNumId w:val="8"/>
  </w:num>
  <w:num w:numId="9">
    <w:abstractNumId w:val="3"/>
  </w:num>
  <w:num w:numId="10">
    <w:abstractNumId w:val="2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6"/>
  </w:num>
  <w:num w:numId="14">
    <w:abstractNumId w:val="10"/>
    <w:lvlOverride w:ilvl="0">
      <w:startOverride w:val="2"/>
    </w:lvlOverride>
    <w:lvlOverride w:ilvl="1">
      <w:startOverride w:val="2"/>
    </w:lvlOverride>
  </w:num>
  <w:num w:numId="15">
    <w:abstractNumId w:val="12"/>
  </w:num>
  <w:num w:numId="16">
    <w:abstractNumId w:val="11"/>
  </w:num>
  <w:num w:numId="17">
    <w:abstractNumId w:val="2"/>
  </w:num>
  <w:num w:numId="18">
    <w:abstractNumId w:val="1"/>
  </w:num>
  <w:num w:numId="19">
    <w:abstractNumId w:val="0"/>
  </w:num>
  <w:num w:numId="20">
    <w:abstractNumId w:val="33"/>
  </w:num>
  <w:num w:numId="21">
    <w:abstractNumId w:val="34"/>
  </w:num>
  <w:num w:numId="22">
    <w:abstractNumId w:val="14"/>
  </w:num>
  <w:num w:numId="23">
    <w:abstractNumId w:val="27"/>
  </w:num>
  <w:num w:numId="24">
    <w:abstractNumId w:val="5"/>
  </w:num>
  <w:num w:numId="25">
    <w:abstractNumId w:val="6"/>
  </w:num>
  <w:num w:numId="26">
    <w:abstractNumId w:val="19"/>
  </w:num>
  <w:num w:numId="27">
    <w:abstractNumId w:val="7"/>
  </w:num>
  <w:num w:numId="28">
    <w:abstractNumId w:val="18"/>
  </w:num>
  <w:num w:numId="29">
    <w:abstractNumId w:val="35"/>
  </w:num>
  <w:num w:numId="30">
    <w:abstractNumId w:val="28"/>
  </w:num>
  <w:num w:numId="31">
    <w:abstractNumId w:val="13"/>
  </w:num>
  <w:num w:numId="32">
    <w:abstractNumId w:val="21"/>
  </w:num>
  <w:num w:numId="33">
    <w:abstractNumId w:val="15"/>
  </w:num>
  <w:num w:numId="34">
    <w:abstractNumId w:val="24"/>
  </w:num>
  <w:num w:numId="35">
    <w:abstractNumId w:val="22"/>
  </w:num>
  <w:num w:numId="36">
    <w:abstractNumId w:val="30"/>
  </w:num>
  <w:num w:numId="37">
    <w:abstractNumId w:val="4"/>
  </w:num>
  <w:num w:numId="38">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D01"/>
    <w:rsid w:val="0000009B"/>
    <w:rsid w:val="0000085E"/>
    <w:rsid w:val="00001B7A"/>
    <w:rsid w:val="0000270F"/>
    <w:rsid w:val="000047B2"/>
    <w:rsid w:val="000103C2"/>
    <w:rsid w:val="00010713"/>
    <w:rsid w:val="00010E8E"/>
    <w:rsid w:val="00011287"/>
    <w:rsid w:val="0001148A"/>
    <w:rsid w:val="00011955"/>
    <w:rsid w:val="000120FE"/>
    <w:rsid w:val="000137AA"/>
    <w:rsid w:val="00013D69"/>
    <w:rsid w:val="00015239"/>
    <w:rsid w:val="0001617A"/>
    <w:rsid w:val="00017403"/>
    <w:rsid w:val="000204CE"/>
    <w:rsid w:val="00020736"/>
    <w:rsid w:val="00021333"/>
    <w:rsid w:val="000216FA"/>
    <w:rsid w:val="00021CAD"/>
    <w:rsid w:val="000234EC"/>
    <w:rsid w:val="00023F8F"/>
    <w:rsid w:val="000240F3"/>
    <w:rsid w:val="000244E8"/>
    <w:rsid w:val="00025066"/>
    <w:rsid w:val="00025648"/>
    <w:rsid w:val="00026622"/>
    <w:rsid w:val="00026DAA"/>
    <w:rsid w:val="000278D1"/>
    <w:rsid w:val="000278DA"/>
    <w:rsid w:val="00030DED"/>
    <w:rsid w:val="0003126F"/>
    <w:rsid w:val="0003127A"/>
    <w:rsid w:val="00032864"/>
    <w:rsid w:val="00033860"/>
    <w:rsid w:val="000345B9"/>
    <w:rsid w:val="000350C9"/>
    <w:rsid w:val="000363F1"/>
    <w:rsid w:val="00036C41"/>
    <w:rsid w:val="000378BE"/>
    <w:rsid w:val="00040CC9"/>
    <w:rsid w:val="00042CA2"/>
    <w:rsid w:val="000431BF"/>
    <w:rsid w:val="0004383F"/>
    <w:rsid w:val="000441DF"/>
    <w:rsid w:val="00044B4C"/>
    <w:rsid w:val="00045032"/>
    <w:rsid w:val="000451EC"/>
    <w:rsid w:val="0004528C"/>
    <w:rsid w:val="00046808"/>
    <w:rsid w:val="0004791C"/>
    <w:rsid w:val="00051EFC"/>
    <w:rsid w:val="00052192"/>
    <w:rsid w:val="00052346"/>
    <w:rsid w:val="0005322C"/>
    <w:rsid w:val="00056D01"/>
    <w:rsid w:val="000577C6"/>
    <w:rsid w:val="00057A79"/>
    <w:rsid w:val="00057EFB"/>
    <w:rsid w:val="0006074C"/>
    <w:rsid w:val="00060A8F"/>
    <w:rsid w:val="000611B7"/>
    <w:rsid w:val="000628E2"/>
    <w:rsid w:val="00063317"/>
    <w:rsid w:val="0006358F"/>
    <w:rsid w:val="000648CA"/>
    <w:rsid w:val="000649E7"/>
    <w:rsid w:val="00064C65"/>
    <w:rsid w:val="000657DE"/>
    <w:rsid w:val="00065BF5"/>
    <w:rsid w:val="00066052"/>
    <w:rsid w:val="000675A5"/>
    <w:rsid w:val="000707B5"/>
    <w:rsid w:val="00071BB4"/>
    <w:rsid w:val="00071FA3"/>
    <w:rsid w:val="000725A7"/>
    <w:rsid w:val="00073CAA"/>
    <w:rsid w:val="00073F8B"/>
    <w:rsid w:val="00073FEA"/>
    <w:rsid w:val="000779A9"/>
    <w:rsid w:val="00080F97"/>
    <w:rsid w:val="000830DB"/>
    <w:rsid w:val="00084D33"/>
    <w:rsid w:val="00085995"/>
    <w:rsid w:val="0008641E"/>
    <w:rsid w:val="00086E16"/>
    <w:rsid w:val="000902CD"/>
    <w:rsid w:val="00091638"/>
    <w:rsid w:val="0009366A"/>
    <w:rsid w:val="00093D14"/>
    <w:rsid w:val="000949D3"/>
    <w:rsid w:val="00094BDA"/>
    <w:rsid w:val="0009583A"/>
    <w:rsid w:val="00096281"/>
    <w:rsid w:val="00096FAE"/>
    <w:rsid w:val="000A0617"/>
    <w:rsid w:val="000A17C8"/>
    <w:rsid w:val="000A23D4"/>
    <w:rsid w:val="000A3CD1"/>
    <w:rsid w:val="000A3E8F"/>
    <w:rsid w:val="000A3F16"/>
    <w:rsid w:val="000A3FF1"/>
    <w:rsid w:val="000A57AE"/>
    <w:rsid w:val="000A5CFF"/>
    <w:rsid w:val="000B153D"/>
    <w:rsid w:val="000B2078"/>
    <w:rsid w:val="000B2581"/>
    <w:rsid w:val="000B25BC"/>
    <w:rsid w:val="000B46F0"/>
    <w:rsid w:val="000B687B"/>
    <w:rsid w:val="000C04E0"/>
    <w:rsid w:val="000C179B"/>
    <w:rsid w:val="000C1AA2"/>
    <w:rsid w:val="000C3E7B"/>
    <w:rsid w:val="000C4195"/>
    <w:rsid w:val="000C4E25"/>
    <w:rsid w:val="000C6C35"/>
    <w:rsid w:val="000C7003"/>
    <w:rsid w:val="000D013C"/>
    <w:rsid w:val="000D0EC9"/>
    <w:rsid w:val="000D11A8"/>
    <w:rsid w:val="000D3146"/>
    <w:rsid w:val="000D3A0D"/>
    <w:rsid w:val="000D4B9A"/>
    <w:rsid w:val="000D639B"/>
    <w:rsid w:val="000D7F4F"/>
    <w:rsid w:val="000E0D16"/>
    <w:rsid w:val="000E124E"/>
    <w:rsid w:val="000E1BBA"/>
    <w:rsid w:val="000E353E"/>
    <w:rsid w:val="000E360F"/>
    <w:rsid w:val="000E449B"/>
    <w:rsid w:val="000E4B2E"/>
    <w:rsid w:val="000E73A2"/>
    <w:rsid w:val="000F0268"/>
    <w:rsid w:val="000F0FB0"/>
    <w:rsid w:val="000F1253"/>
    <w:rsid w:val="000F28A5"/>
    <w:rsid w:val="000F2A84"/>
    <w:rsid w:val="000F2D3C"/>
    <w:rsid w:val="000F41A6"/>
    <w:rsid w:val="000F4E7A"/>
    <w:rsid w:val="000F4FB8"/>
    <w:rsid w:val="000F5716"/>
    <w:rsid w:val="000F6764"/>
    <w:rsid w:val="000F68D2"/>
    <w:rsid w:val="000F7B77"/>
    <w:rsid w:val="0010057B"/>
    <w:rsid w:val="00101513"/>
    <w:rsid w:val="00101A05"/>
    <w:rsid w:val="00102387"/>
    <w:rsid w:val="00102601"/>
    <w:rsid w:val="001029DF"/>
    <w:rsid w:val="00102A20"/>
    <w:rsid w:val="00104A30"/>
    <w:rsid w:val="001057A3"/>
    <w:rsid w:val="00105A52"/>
    <w:rsid w:val="00106DB5"/>
    <w:rsid w:val="0010786A"/>
    <w:rsid w:val="001131C8"/>
    <w:rsid w:val="00113B89"/>
    <w:rsid w:val="0011490C"/>
    <w:rsid w:val="00115037"/>
    <w:rsid w:val="001172FC"/>
    <w:rsid w:val="00120859"/>
    <w:rsid w:val="00120984"/>
    <w:rsid w:val="00120A7F"/>
    <w:rsid w:val="00121A30"/>
    <w:rsid w:val="00122355"/>
    <w:rsid w:val="001223CC"/>
    <w:rsid w:val="00126372"/>
    <w:rsid w:val="00126AF9"/>
    <w:rsid w:val="00127191"/>
    <w:rsid w:val="001277EF"/>
    <w:rsid w:val="00127CB0"/>
    <w:rsid w:val="001315A1"/>
    <w:rsid w:val="00132963"/>
    <w:rsid w:val="00132AE8"/>
    <w:rsid w:val="001330DE"/>
    <w:rsid w:val="001343ED"/>
    <w:rsid w:val="001353AF"/>
    <w:rsid w:val="001354C3"/>
    <w:rsid w:val="0013603B"/>
    <w:rsid w:val="00136C54"/>
    <w:rsid w:val="00137E4B"/>
    <w:rsid w:val="00140778"/>
    <w:rsid w:val="00140CD5"/>
    <w:rsid w:val="00141188"/>
    <w:rsid w:val="00141846"/>
    <w:rsid w:val="001430AA"/>
    <w:rsid w:val="001437D4"/>
    <w:rsid w:val="00143B7D"/>
    <w:rsid w:val="0014514F"/>
    <w:rsid w:val="001453E8"/>
    <w:rsid w:val="001523EA"/>
    <w:rsid w:val="00152AEA"/>
    <w:rsid w:val="00152B8C"/>
    <w:rsid w:val="001546C4"/>
    <w:rsid w:val="00154AF9"/>
    <w:rsid w:val="0015555D"/>
    <w:rsid w:val="00155946"/>
    <w:rsid w:val="00155EF5"/>
    <w:rsid w:val="0015647D"/>
    <w:rsid w:val="00156D32"/>
    <w:rsid w:val="0016036A"/>
    <w:rsid w:val="00160E14"/>
    <w:rsid w:val="00161D2F"/>
    <w:rsid w:val="00161D87"/>
    <w:rsid w:val="00163378"/>
    <w:rsid w:val="00163BFE"/>
    <w:rsid w:val="0016503C"/>
    <w:rsid w:val="00166010"/>
    <w:rsid w:val="00170A5F"/>
    <w:rsid w:val="00170ACC"/>
    <w:rsid w:val="00171193"/>
    <w:rsid w:val="001712CE"/>
    <w:rsid w:val="00171FED"/>
    <w:rsid w:val="0017234F"/>
    <w:rsid w:val="00172FF0"/>
    <w:rsid w:val="00173352"/>
    <w:rsid w:val="0017377E"/>
    <w:rsid w:val="00174420"/>
    <w:rsid w:val="0017463C"/>
    <w:rsid w:val="00175718"/>
    <w:rsid w:val="00176054"/>
    <w:rsid w:val="00177B92"/>
    <w:rsid w:val="00180F3A"/>
    <w:rsid w:val="00181D1F"/>
    <w:rsid w:val="0018255C"/>
    <w:rsid w:val="0018278D"/>
    <w:rsid w:val="00182A9E"/>
    <w:rsid w:val="00182FC7"/>
    <w:rsid w:val="00183141"/>
    <w:rsid w:val="001836CE"/>
    <w:rsid w:val="001852DE"/>
    <w:rsid w:val="00185F09"/>
    <w:rsid w:val="001866ED"/>
    <w:rsid w:val="00187963"/>
    <w:rsid w:val="001906E0"/>
    <w:rsid w:val="00190EAB"/>
    <w:rsid w:val="00191C0B"/>
    <w:rsid w:val="00194F9E"/>
    <w:rsid w:val="0019553C"/>
    <w:rsid w:val="001959EB"/>
    <w:rsid w:val="0019683D"/>
    <w:rsid w:val="00196C7F"/>
    <w:rsid w:val="00197278"/>
    <w:rsid w:val="001972C1"/>
    <w:rsid w:val="00197BE7"/>
    <w:rsid w:val="001A0CB7"/>
    <w:rsid w:val="001A1956"/>
    <w:rsid w:val="001A1A32"/>
    <w:rsid w:val="001A1DF0"/>
    <w:rsid w:val="001A22B6"/>
    <w:rsid w:val="001A241E"/>
    <w:rsid w:val="001A2516"/>
    <w:rsid w:val="001A26A0"/>
    <w:rsid w:val="001A425A"/>
    <w:rsid w:val="001A42FF"/>
    <w:rsid w:val="001A5029"/>
    <w:rsid w:val="001A504F"/>
    <w:rsid w:val="001A5365"/>
    <w:rsid w:val="001A55F3"/>
    <w:rsid w:val="001A63A6"/>
    <w:rsid w:val="001B08D4"/>
    <w:rsid w:val="001B0C07"/>
    <w:rsid w:val="001B27F8"/>
    <w:rsid w:val="001B3244"/>
    <w:rsid w:val="001B3D9F"/>
    <w:rsid w:val="001B45BB"/>
    <w:rsid w:val="001B521E"/>
    <w:rsid w:val="001B5B5A"/>
    <w:rsid w:val="001B5DF1"/>
    <w:rsid w:val="001B613C"/>
    <w:rsid w:val="001B6327"/>
    <w:rsid w:val="001B7F8B"/>
    <w:rsid w:val="001C1467"/>
    <w:rsid w:val="001C1D3D"/>
    <w:rsid w:val="001C2131"/>
    <w:rsid w:val="001C237C"/>
    <w:rsid w:val="001C59A5"/>
    <w:rsid w:val="001C5B22"/>
    <w:rsid w:val="001D2373"/>
    <w:rsid w:val="001D249E"/>
    <w:rsid w:val="001D2609"/>
    <w:rsid w:val="001D3E75"/>
    <w:rsid w:val="001D415D"/>
    <w:rsid w:val="001D5352"/>
    <w:rsid w:val="001D62AC"/>
    <w:rsid w:val="001D7531"/>
    <w:rsid w:val="001E1063"/>
    <w:rsid w:val="001E2CCF"/>
    <w:rsid w:val="001E32FB"/>
    <w:rsid w:val="001E3C0B"/>
    <w:rsid w:val="001E402A"/>
    <w:rsid w:val="001E4B36"/>
    <w:rsid w:val="001E78C3"/>
    <w:rsid w:val="001F0530"/>
    <w:rsid w:val="001F1309"/>
    <w:rsid w:val="001F188D"/>
    <w:rsid w:val="001F38CE"/>
    <w:rsid w:val="001F3D65"/>
    <w:rsid w:val="001F422B"/>
    <w:rsid w:val="001F46CD"/>
    <w:rsid w:val="001F4B1D"/>
    <w:rsid w:val="001F52A0"/>
    <w:rsid w:val="001F53D0"/>
    <w:rsid w:val="001F5461"/>
    <w:rsid w:val="001F58D1"/>
    <w:rsid w:val="001F61BD"/>
    <w:rsid w:val="001F75C4"/>
    <w:rsid w:val="00203AFF"/>
    <w:rsid w:val="00204148"/>
    <w:rsid w:val="00204B31"/>
    <w:rsid w:val="00205820"/>
    <w:rsid w:val="00205C10"/>
    <w:rsid w:val="00205FF2"/>
    <w:rsid w:val="00206730"/>
    <w:rsid w:val="002067CD"/>
    <w:rsid w:val="0020731C"/>
    <w:rsid w:val="00207574"/>
    <w:rsid w:val="00207A10"/>
    <w:rsid w:val="00207A28"/>
    <w:rsid w:val="00207D0D"/>
    <w:rsid w:val="0021036A"/>
    <w:rsid w:val="00211E2F"/>
    <w:rsid w:val="002133B9"/>
    <w:rsid w:val="0021340E"/>
    <w:rsid w:val="002135C3"/>
    <w:rsid w:val="00213B6D"/>
    <w:rsid w:val="002144CA"/>
    <w:rsid w:val="00215CA7"/>
    <w:rsid w:val="00217DC2"/>
    <w:rsid w:val="00220599"/>
    <w:rsid w:val="00220961"/>
    <w:rsid w:val="00222625"/>
    <w:rsid w:val="00222CE2"/>
    <w:rsid w:val="00224100"/>
    <w:rsid w:val="002258C1"/>
    <w:rsid w:val="002260E5"/>
    <w:rsid w:val="0022611A"/>
    <w:rsid w:val="00226847"/>
    <w:rsid w:val="00226F03"/>
    <w:rsid w:val="0023022A"/>
    <w:rsid w:val="00230ED4"/>
    <w:rsid w:val="00231BC4"/>
    <w:rsid w:val="00232BC7"/>
    <w:rsid w:val="00234C96"/>
    <w:rsid w:val="00234F5D"/>
    <w:rsid w:val="00235693"/>
    <w:rsid w:val="002358D9"/>
    <w:rsid w:val="002361FA"/>
    <w:rsid w:val="00236D59"/>
    <w:rsid w:val="002374AE"/>
    <w:rsid w:val="002414EB"/>
    <w:rsid w:val="00242E91"/>
    <w:rsid w:val="00243A8B"/>
    <w:rsid w:val="00244045"/>
    <w:rsid w:val="0024438E"/>
    <w:rsid w:val="0024599E"/>
    <w:rsid w:val="00245AE7"/>
    <w:rsid w:val="002513FA"/>
    <w:rsid w:val="0025152A"/>
    <w:rsid w:val="00251C25"/>
    <w:rsid w:val="00253094"/>
    <w:rsid w:val="0025313E"/>
    <w:rsid w:val="002533D3"/>
    <w:rsid w:val="00253459"/>
    <w:rsid w:val="00254EC6"/>
    <w:rsid w:val="00255F18"/>
    <w:rsid w:val="0025623C"/>
    <w:rsid w:val="0025688E"/>
    <w:rsid w:val="00256A51"/>
    <w:rsid w:val="00257069"/>
    <w:rsid w:val="00257073"/>
    <w:rsid w:val="00257942"/>
    <w:rsid w:val="00257DF6"/>
    <w:rsid w:val="0026048E"/>
    <w:rsid w:val="00260BEE"/>
    <w:rsid w:val="00264B55"/>
    <w:rsid w:val="0026538A"/>
    <w:rsid w:val="0026768B"/>
    <w:rsid w:val="0027103A"/>
    <w:rsid w:val="002724B7"/>
    <w:rsid w:val="00273FAE"/>
    <w:rsid w:val="0027494B"/>
    <w:rsid w:val="002761AE"/>
    <w:rsid w:val="002762E4"/>
    <w:rsid w:val="00276667"/>
    <w:rsid w:val="0027675A"/>
    <w:rsid w:val="00276CE7"/>
    <w:rsid w:val="002802FD"/>
    <w:rsid w:val="00280F5E"/>
    <w:rsid w:val="0028377C"/>
    <w:rsid w:val="00284CBF"/>
    <w:rsid w:val="00284CEF"/>
    <w:rsid w:val="002863CB"/>
    <w:rsid w:val="002871A3"/>
    <w:rsid w:val="00287C89"/>
    <w:rsid w:val="00291356"/>
    <w:rsid w:val="00292B8C"/>
    <w:rsid w:val="00293555"/>
    <w:rsid w:val="002941EE"/>
    <w:rsid w:val="0029514C"/>
    <w:rsid w:val="00295AA7"/>
    <w:rsid w:val="002961DA"/>
    <w:rsid w:val="002970D0"/>
    <w:rsid w:val="002A04C4"/>
    <w:rsid w:val="002A084B"/>
    <w:rsid w:val="002A0F5F"/>
    <w:rsid w:val="002A29EA"/>
    <w:rsid w:val="002A3633"/>
    <w:rsid w:val="002A3FD5"/>
    <w:rsid w:val="002A440B"/>
    <w:rsid w:val="002A553C"/>
    <w:rsid w:val="002A5A1C"/>
    <w:rsid w:val="002A5FEF"/>
    <w:rsid w:val="002A5FFB"/>
    <w:rsid w:val="002A62A8"/>
    <w:rsid w:val="002A661C"/>
    <w:rsid w:val="002A68E2"/>
    <w:rsid w:val="002A70F9"/>
    <w:rsid w:val="002A77A2"/>
    <w:rsid w:val="002A7BAE"/>
    <w:rsid w:val="002B1113"/>
    <w:rsid w:val="002B172D"/>
    <w:rsid w:val="002B1AEB"/>
    <w:rsid w:val="002B2568"/>
    <w:rsid w:val="002B44EE"/>
    <w:rsid w:val="002B46F5"/>
    <w:rsid w:val="002B4A10"/>
    <w:rsid w:val="002B4BBD"/>
    <w:rsid w:val="002B5AEC"/>
    <w:rsid w:val="002B5C1B"/>
    <w:rsid w:val="002B6890"/>
    <w:rsid w:val="002C1109"/>
    <w:rsid w:val="002C18F0"/>
    <w:rsid w:val="002C3D60"/>
    <w:rsid w:val="002C3EF7"/>
    <w:rsid w:val="002C4D11"/>
    <w:rsid w:val="002C5969"/>
    <w:rsid w:val="002C6106"/>
    <w:rsid w:val="002C6129"/>
    <w:rsid w:val="002D0996"/>
    <w:rsid w:val="002D123D"/>
    <w:rsid w:val="002D2DC8"/>
    <w:rsid w:val="002D2E41"/>
    <w:rsid w:val="002D2E64"/>
    <w:rsid w:val="002D2FCD"/>
    <w:rsid w:val="002D3115"/>
    <w:rsid w:val="002D381F"/>
    <w:rsid w:val="002D3E3A"/>
    <w:rsid w:val="002D4B9C"/>
    <w:rsid w:val="002E07D5"/>
    <w:rsid w:val="002E0875"/>
    <w:rsid w:val="002E1C20"/>
    <w:rsid w:val="002E515D"/>
    <w:rsid w:val="002E73B6"/>
    <w:rsid w:val="002E7535"/>
    <w:rsid w:val="002E79CB"/>
    <w:rsid w:val="002F0373"/>
    <w:rsid w:val="002F1663"/>
    <w:rsid w:val="002F2C2A"/>
    <w:rsid w:val="002F2FAA"/>
    <w:rsid w:val="002F3EBD"/>
    <w:rsid w:val="002F44BD"/>
    <w:rsid w:val="002F5701"/>
    <w:rsid w:val="002F58D3"/>
    <w:rsid w:val="002F64D3"/>
    <w:rsid w:val="002F747D"/>
    <w:rsid w:val="0030109F"/>
    <w:rsid w:val="00301230"/>
    <w:rsid w:val="00301A39"/>
    <w:rsid w:val="00303A5D"/>
    <w:rsid w:val="00304138"/>
    <w:rsid w:val="003053E9"/>
    <w:rsid w:val="00305F36"/>
    <w:rsid w:val="00305FD5"/>
    <w:rsid w:val="00306374"/>
    <w:rsid w:val="0030770A"/>
    <w:rsid w:val="003104BB"/>
    <w:rsid w:val="00310517"/>
    <w:rsid w:val="00310E99"/>
    <w:rsid w:val="00311286"/>
    <w:rsid w:val="0031137B"/>
    <w:rsid w:val="003115CC"/>
    <w:rsid w:val="00311866"/>
    <w:rsid w:val="00311E65"/>
    <w:rsid w:val="00312E51"/>
    <w:rsid w:val="00312F4B"/>
    <w:rsid w:val="00313126"/>
    <w:rsid w:val="00314853"/>
    <w:rsid w:val="003158C7"/>
    <w:rsid w:val="00315BE8"/>
    <w:rsid w:val="003171FE"/>
    <w:rsid w:val="003211B5"/>
    <w:rsid w:val="00323FB2"/>
    <w:rsid w:val="003267DF"/>
    <w:rsid w:val="00327EE3"/>
    <w:rsid w:val="0033045B"/>
    <w:rsid w:val="00331F0C"/>
    <w:rsid w:val="00332359"/>
    <w:rsid w:val="00332445"/>
    <w:rsid w:val="00332482"/>
    <w:rsid w:val="00332F94"/>
    <w:rsid w:val="003338E4"/>
    <w:rsid w:val="00333E8E"/>
    <w:rsid w:val="00335905"/>
    <w:rsid w:val="00336283"/>
    <w:rsid w:val="00336339"/>
    <w:rsid w:val="003377D6"/>
    <w:rsid w:val="00337FE2"/>
    <w:rsid w:val="0034062E"/>
    <w:rsid w:val="00340744"/>
    <w:rsid w:val="0034179E"/>
    <w:rsid w:val="003417FE"/>
    <w:rsid w:val="0034350E"/>
    <w:rsid w:val="00343776"/>
    <w:rsid w:val="00343DCB"/>
    <w:rsid w:val="00344BFC"/>
    <w:rsid w:val="0034521D"/>
    <w:rsid w:val="00346204"/>
    <w:rsid w:val="00346613"/>
    <w:rsid w:val="00346D43"/>
    <w:rsid w:val="00347CFB"/>
    <w:rsid w:val="00350565"/>
    <w:rsid w:val="00352EB1"/>
    <w:rsid w:val="00353A3F"/>
    <w:rsid w:val="003571FA"/>
    <w:rsid w:val="0035733B"/>
    <w:rsid w:val="00360E5D"/>
    <w:rsid w:val="00362932"/>
    <w:rsid w:val="00362A4A"/>
    <w:rsid w:val="00364532"/>
    <w:rsid w:val="0036499C"/>
    <w:rsid w:val="003649F3"/>
    <w:rsid w:val="00367D29"/>
    <w:rsid w:val="00367D42"/>
    <w:rsid w:val="003709B1"/>
    <w:rsid w:val="00371860"/>
    <w:rsid w:val="00371A6F"/>
    <w:rsid w:val="00371DD4"/>
    <w:rsid w:val="003729E9"/>
    <w:rsid w:val="00372D45"/>
    <w:rsid w:val="00373652"/>
    <w:rsid w:val="00374C13"/>
    <w:rsid w:val="00375E86"/>
    <w:rsid w:val="0037696B"/>
    <w:rsid w:val="00381CBC"/>
    <w:rsid w:val="0038205C"/>
    <w:rsid w:val="00382E64"/>
    <w:rsid w:val="003846B8"/>
    <w:rsid w:val="00384C69"/>
    <w:rsid w:val="00385948"/>
    <w:rsid w:val="00385D8A"/>
    <w:rsid w:val="00386063"/>
    <w:rsid w:val="0038789C"/>
    <w:rsid w:val="00387FAF"/>
    <w:rsid w:val="00390F48"/>
    <w:rsid w:val="00391D52"/>
    <w:rsid w:val="003923F2"/>
    <w:rsid w:val="00392A72"/>
    <w:rsid w:val="003935FB"/>
    <w:rsid w:val="0039380F"/>
    <w:rsid w:val="0039477E"/>
    <w:rsid w:val="00394C07"/>
    <w:rsid w:val="0039542C"/>
    <w:rsid w:val="00396080"/>
    <w:rsid w:val="003963B5"/>
    <w:rsid w:val="003966EF"/>
    <w:rsid w:val="003967E0"/>
    <w:rsid w:val="00397D5A"/>
    <w:rsid w:val="003A0420"/>
    <w:rsid w:val="003A07FF"/>
    <w:rsid w:val="003A089A"/>
    <w:rsid w:val="003A0B2F"/>
    <w:rsid w:val="003A1720"/>
    <w:rsid w:val="003A2556"/>
    <w:rsid w:val="003A2AFC"/>
    <w:rsid w:val="003A3BFE"/>
    <w:rsid w:val="003A52A1"/>
    <w:rsid w:val="003A5FE9"/>
    <w:rsid w:val="003A61E8"/>
    <w:rsid w:val="003A735B"/>
    <w:rsid w:val="003A74EC"/>
    <w:rsid w:val="003A7F53"/>
    <w:rsid w:val="003B00C4"/>
    <w:rsid w:val="003B1A1B"/>
    <w:rsid w:val="003B2BAC"/>
    <w:rsid w:val="003B3830"/>
    <w:rsid w:val="003B43FD"/>
    <w:rsid w:val="003B4B36"/>
    <w:rsid w:val="003B4DBB"/>
    <w:rsid w:val="003B6AE7"/>
    <w:rsid w:val="003B72B1"/>
    <w:rsid w:val="003B7D56"/>
    <w:rsid w:val="003C098C"/>
    <w:rsid w:val="003C1193"/>
    <w:rsid w:val="003C14AF"/>
    <w:rsid w:val="003C2F63"/>
    <w:rsid w:val="003C4D2D"/>
    <w:rsid w:val="003C4FBF"/>
    <w:rsid w:val="003C6DC3"/>
    <w:rsid w:val="003C7094"/>
    <w:rsid w:val="003C793A"/>
    <w:rsid w:val="003D0038"/>
    <w:rsid w:val="003D0902"/>
    <w:rsid w:val="003D10D9"/>
    <w:rsid w:val="003D2984"/>
    <w:rsid w:val="003D321E"/>
    <w:rsid w:val="003D32BB"/>
    <w:rsid w:val="003D388A"/>
    <w:rsid w:val="003D405B"/>
    <w:rsid w:val="003D4D0C"/>
    <w:rsid w:val="003D50B6"/>
    <w:rsid w:val="003D564E"/>
    <w:rsid w:val="003D5ADA"/>
    <w:rsid w:val="003D5C9E"/>
    <w:rsid w:val="003D63B9"/>
    <w:rsid w:val="003D76CF"/>
    <w:rsid w:val="003D7F83"/>
    <w:rsid w:val="003E17FD"/>
    <w:rsid w:val="003E19B6"/>
    <w:rsid w:val="003E2293"/>
    <w:rsid w:val="003E253B"/>
    <w:rsid w:val="003E3661"/>
    <w:rsid w:val="003E51BD"/>
    <w:rsid w:val="003E5CB5"/>
    <w:rsid w:val="003E62B2"/>
    <w:rsid w:val="003E6AAA"/>
    <w:rsid w:val="003E6CEB"/>
    <w:rsid w:val="003E7F61"/>
    <w:rsid w:val="003F0BE6"/>
    <w:rsid w:val="003F18A9"/>
    <w:rsid w:val="003F1E4D"/>
    <w:rsid w:val="003F2BD9"/>
    <w:rsid w:val="003F36E2"/>
    <w:rsid w:val="003F3FF3"/>
    <w:rsid w:val="003F4A5D"/>
    <w:rsid w:val="003F5956"/>
    <w:rsid w:val="003F5B98"/>
    <w:rsid w:val="003F5C80"/>
    <w:rsid w:val="003F5E78"/>
    <w:rsid w:val="003F6335"/>
    <w:rsid w:val="003F65F8"/>
    <w:rsid w:val="003F7318"/>
    <w:rsid w:val="003F73E3"/>
    <w:rsid w:val="003F7A35"/>
    <w:rsid w:val="003F7B57"/>
    <w:rsid w:val="00400D9F"/>
    <w:rsid w:val="00401823"/>
    <w:rsid w:val="00401CA2"/>
    <w:rsid w:val="00402D3F"/>
    <w:rsid w:val="0040361D"/>
    <w:rsid w:val="00403FBF"/>
    <w:rsid w:val="0040494A"/>
    <w:rsid w:val="00404D97"/>
    <w:rsid w:val="00404F01"/>
    <w:rsid w:val="00405293"/>
    <w:rsid w:val="00406445"/>
    <w:rsid w:val="0040702C"/>
    <w:rsid w:val="00407204"/>
    <w:rsid w:val="00411D8A"/>
    <w:rsid w:val="004121DE"/>
    <w:rsid w:val="0041227C"/>
    <w:rsid w:val="0041279C"/>
    <w:rsid w:val="00412CCA"/>
    <w:rsid w:val="00414F41"/>
    <w:rsid w:val="0041591B"/>
    <w:rsid w:val="00417614"/>
    <w:rsid w:val="00420F64"/>
    <w:rsid w:val="004223DF"/>
    <w:rsid w:val="00422F2A"/>
    <w:rsid w:val="00423AC9"/>
    <w:rsid w:val="00423CD1"/>
    <w:rsid w:val="004240CB"/>
    <w:rsid w:val="00425368"/>
    <w:rsid w:val="00425D37"/>
    <w:rsid w:val="004267B1"/>
    <w:rsid w:val="00426C6C"/>
    <w:rsid w:val="004271AF"/>
    <w:rsid w:val="00427400"/>
    <w:rsid w:val="004307ED"/>
    <w:rsid w:val="00430A16"/>
    <w:rsid w:val="00430B58"/>
    <w:rsid w:val="00431C81"/>
    <w:rsid w:val="00432754"/>
    <w:rsid w:val="00433CE4"/>
    <w:rsid w:val="00434A4D"/>
    <w:rsid w:val="00434ABA"/>
    <w:rsid w:val="00435440"/>
    <w:rsid w:val="00435BBC"/>
    <w:rsid w:val="00435C27"/>
    <w:rsid w:val="00436CFF"/>
    <w:rsid w:val="00437A6C"/>
    <w:rsid w:val="00440FBA"/>
    <w:rsid w:val="00443149"/>
    <w:rsid w:val="0044392C"/>
    <w:rsid w:val="00443B75"/>
    <w:rsid w:val="004445D9"/>
    <w:rsid w:val="00445335"/>
    <w:rsid w:val="00450CBF"/>
    <w:rsid w:val="00450CD9"/>
    <w:rsid w:val="00451EFC"/>
    <w:rsid w:val="00452165"/>
    <w:rsid w:val="00452490"/>
    <w:rsid w:val="00452901"/>
    <w:rsid w:val="004539E7"/>
    <w:rsid w:val="00453FD4"/>
    <w:rsid w:val="00454E22"/>
    <w:rsid w:val="00455027"/>
    <w:rsid w:val="00455A1E"/>
    <w:rsid w:val="00455AE0"/>
    <w:rsid w:val="0045607D"/>
    <w:rsid w:val="00456A66"/>
    <w:rsid w:val="00456B50"/>
    <w:rsid w:val="00456CAF"/>
    <w:rsid w:val="00456FE2"/>
    <w:rsid w:val="0045778F"/>
    <w:rsid w:val="00457C4C"/>
    <w:rsid w:val="00460976"/>
    <w:rsid w:val="00462DC1"/>
    <w:rsid w:val="0046332F"/>
    <w:rsid w:val="0046408F"/>
    <w:rsid w:val="00464E43"/>
    <w:rsid w:val="0046556E"/>
    <w:rsid w:val="004666B5"/>
    <w:rsid w:val="00466D4C"/>
    <w:rsid w:val="00467211"/>
    <w:rsid w:val="00467B36"/>
    <w:rsid w:val="00467B8E"/>
    <w:rsid w:val="00467EBD"/>
    <w:rsid w:val="00470892"/>
    <w:rsid w:val="00470FFF"/>
    <w:rsid w:val="004710C0"/>
    <w:rsid w:val="004712BD"/>
    <w:rsid w:val="0047179D"/>
    <w:rsid w:val="0047199D"/>
    <w:rsid w:val="00471AD0"/>
    <w:rsid w:val="00471B93"/>
    <w:rsid w:val="00473644"/>
    <w:rsid w:val="00474B6F"/>
    <w:rsid w:val="004755C8"/>
    <w:rsid w:val="0047746A"/>
    <w:rsid w:val="00480083"/>
    <w:rsid w:val="00481FB1"/>
    <w:rsid w:val="00482956"/>
    <w:rsid w:val="00482B43"/>
    <w:rsid w:val="00482C1B"/>
    <w:rsid w:val="00484466"/>
    <w:rsid w:val="00484858"/>
    <w:rsid w:val="00485507"/>
    <w:rsid w:val="00486EAB"/>
    <w:rsid w:val="00486EBF"/>
    <w:rsid w:val="00486F4A"/>
    <w:rsid w:val="00490160"/>
    <w:rsid w:val="00490494"/>
    <w:rsid w:val="00490793"/>
    <w:rsid w:val="00490F8C"/>
    <w:rsid w:val="00492305"/>
    <w:rsid w:val="004924F9"/>
    <w:rsid w:val="00492874"/>
    <w:rsid w:val="00492B9C"/>
    <w:rsid w:val="00493035"/>
    <w:rsid w:val="00495B5D"/>
    <w:rsid w:val="004965C8"/>
    <w:rsid w:val="004A03C3"/>
    <w:rsid w:val="004A0F80"/>
    <w:rsid w:val="004A2757"/>
    <w:rsid w:val="004A2E8C"/>
    <w:rsid w:val="004A35C9"/>
    <w:rsid w:val="004A37BD"/>
    <w:rsid w:val="004A56BF"/>
    <w:rsid w:val="004A7439"/>
    <w:rsid w:val="004A7B47"/>
    <w:rsid w:val="004B125F"/>
    <w:rsid w:val="004B1CA2"/>
    <w:rsid w:val="004B27F3"/>
    <w:rsid w:val="004B59C8"/>
    <w:rsid w:val="004B6218"/>
    <w:rsid w:val="004B64A6"/>
    <w:rsid w:val="004C01A7"/>
    <w:rsid w:val="004C0357"/>
    <w:rsid w:val="004C047D"/>
    <w:rsid w:val="004C15BB"/>
    <w:rsid w:val="004C267D"/>
    <w:rsid w:val="004C2825"/>
    <w:rsid w:val="004C33D3"/>
    <w:rsid w:val="004C3D05"/>
    <w:rsid w:val="004C515B"/>
    <w:rsid w:val="004C51F8"/>
    <w:rsid w:val="004C6776"/>
    <w:rsid w:val="004C6A3C"/>
    <w:rsid w:val="004C73FE"/>
    <w:rsid w:val="004C7E72"/>
    <w:rsid w:val="004C7FB8"/>
    <w:rsid w:val="004D0115"/>
    <w:rsid w:val="004D26CE"/>
    <w:rsid w:val="004D2A36"/>
    <w:rsid w:val="004D6B5A"/>
    <w:rsid w:val="004D6FF0"/>
    <w:rsid w:val="004E04C0"/>
    <w:rsid w:val="004E22B6"/>
    <w:rsid w:val="004E253A"/>
    <w:rsid w:val="004E2668"/>
    <w:rsid w:val="004E2978"/>
    <w:rsid w:val="004E45E1"/>
    <w:rsid w:val="004E5BD7"/>
    <w:rsid w:val="004E757E"/>
    <w:rsid w:val="004E7EBD"/>
    <w:rsid w:val="004F2AE3"/>
    <w:rsid w:val="004F3641"/>
    <w:rsid w:val="004F48A4"/>
    <w:rsid w:val="004F4C67"/>
    <w:rsid w:val="004F5872"/>
    <w:rsid w:val="004F666E"/>
    <w:rsid w:val="005002B0"/>
    <w:rsid w:val="00500720"/>
    <w:rsid w:val="00500731"/>
    <w:rsid w:val="005009EE"/>
    <w:rsid w:val="005010E2"/>
    <w:rsid w:val="0050400C"/>
    <w:rsid w:val="005046EC"/>
    <w:rsid w:val="00504A80"/>
    <w:rsid w:val="0050632C"/>
    <w:rsid w:val="0050638C"/>
    <w:rsid w:val="00510023"/>
    <w:rsid w:val="00510155"/>
    <w:rsid w:val="005107C3"/>
    <w:rsid w:val="00510E5C"/>
    <w:rsid w:val="0051151A"/>
    <w:rsid w:val="0051182C"/>
    <w:rsid w:val="00511EBB"/>
    <w:rsid w:val="005122E6"/>
    <w:rsid w:val="00512DD7"/>
    <w:rsid w:val="00515D89"/>
    <w:rsid w:val="0051698D"/>
    <w:rsid w:val="00516E3D"/>
    <w:rsid w:val="00517CBD"/>
    <w:rsid w:val="00520107"/>
    <w:rsid w:val="00520477"/>
    <w:rsid w:val="00520D70"/>
    <w:rsid w:val="00520FE0"/>
    <w:rsid w:val="0052185B"/>
    <w:rsid w:val="0052194E"/>
    <w:rsid w:val="00521F54"/>
    <w:rsid w:val="005220F5"/>
    <w:rsid w:val="00522CDA"/>
    <w:rsid w:val="005231B0"/>
    <w:rsid w:val="00523E1E"/>
    <w:rsid w:val="0052414C"/>
    <w:rsid w:val="005244FD"/>
    <w:rsid w:val="00524DC6"/>
    <w:rsid w:val="00525B5E"/>
    <w:rsid w:val="00525E6C"/>
    <w:rsid w:val="005271B4"/>
    <w:rsid w:val="005273D6"/>
    <w:rsid w:val="00527866"/>
    <w:rsid w:val="0052789A"/>
    <w:rsid w:val="00530C48"/>
    <w:rsid w:val="00531614"/>
    <w:rsid w:val="00531ED9"/>
    <w:rsid w:val="00532DC3"/>
    <w:rsid w:val="00534034"/>
    <w:rsid w:val="0053439E"/>
    <w:rsid w:val="00534F56"/>
    <w:rsid w:val="00535036"/>
    <w:rsid w:val="00535963"/>
    <w:rsid w:val="0053791F"/>
    <w:rsid w:val="00537D9F"/>
    <w:rsid w:val="00537F29"/>
    <w:rsid w:val="00540133"/>
    <w:rsid w:val="00540493"/>
    <w:rsid w:val="0054291F"/>
    <w:rsid w:val="00542BE2"/>
    <w:rsid w:val="00543B73"/>
    <w:rsid w:val="00544BCC"/>
    <w:rsid w:val="00545EA4"/>
    <w:rsid w:val="0054607E"/>
    <w:rsid w:val="00547431"/>
    <w:rsid w:val="00550EB8"/>
    <w:rsid w:val="005517CA"/>
    <w:rsid w:val="005517D8"/>
    <w:rsid w:val="00551998"/>
    <w:rsid w:val="00551B3B"/>
    <w:rsid w:val="005523B1"/>
    <w:rsid w:val="0055334A"/>
    <w:rsid w:val="005549A6"/>
    <w:rsid w:val="005559AE"/>
    <w:rsid w:val="005561EB"/>
    <w:rsid w:val="005564B5"/>
    <w:rsid w:val="00556908"/>
    <w:rsid w:val="00557278"/>
    <w:rsid w:val="00561092"/>
    <w:rsid w:val="00561F42"/>
    <w:rsid w:val="00562F06"/>
    <w:rsid w:val="00564927"/>
    <w:rsid w:val="00564B55"/>
    <w:rsid w:val="005652A0"/>
    <w:rsid w:val="0056596B"/>
    <w:rsid w:val="00567062"/>
    <w:rsid w:val="00567118"/>
    <w:rsid w:val="00567302"/>
    <w:rsid w:val="00567516"/>
    <w:rsid w:val="005679CE"/>
    <w:rsid w:val="00570900"/>
    <w:rsid w:val="00570E7C"/>
    <w:rsid w:val="00571C0D"/>
    <w:rsid w:val="00572B4A"/>
    <w:rsid w:val="00573BA8"/>
    <w:rsid w:val="0057488B"/>
    <w:rsid w:val="005751D5"/>
    <w:rsid w:val="0057546A"/>
    <w:rsid w:val="00575473"/>
    <w:rsid w:val="00575D78"/>
    <w:rsid w:val="00576056"/>
    <w:rsid w:val="005768A2"/>
    <w:rsid w:val="00576DB0"/>
    <w:rsid w:val="00577101"/>
    <w:rsid w:val="00580B90"/>
    <w:rsid w:val="00580C1D"/>
    <w:rsid w:val="005820A7"/>
    <w:rsid w:val="00582AF2"/>
    <w:rsid w:val="00582BFD"/>
    <w:rsid w:val="00583D30"/>
    <w:rsid w:val="005845BE"/>
    <w:rsid w:val="00585CA4"/>
    <w:rsid w:val="00585E2D"/>
    <w:rsid w:val="00585E9E"/>
    <w:rsid w:val="00587239"/>
    <w:rsid w:val="00587242"/>
    <w:rsid w:val="00591264"/>
    <w:rsid w:val="0059159D"/>
    <w:rsid w:val="0059219B"/>
    <w:rsid w:val="00592B74"/>
    <w:rsid w:val="005935FB"/>
    <w:rsid w:val="00594912"/>
    <w:rsid w:val="00595ED8"/>
    <w:rsid w:val="00597A6B"/>
    <w:rsid w:val="00597A87"/>
    <w:rsid w:val="005A0673"/>
    <w:rsid w:val="005A1731"/>
    <w:rsid w:val="005A1BB2"/>
    <w:rsid w:val="005A3591"/>
    <w:rsid w:val="005A3AA7"/>
    <w:rsid w:val="005A3ED4"/>
    <w:rsid w:val="005A455D"/>
    <w:rsid w:val="005A498C"/>
    <w:rsid w:val="005A5114"/>
    <w:rsid w:val="005A6E8A"/>
    <w:rsid w:val="005B0C02"/>
    <w:rsid w:val="005B50AE"/>
    <w:rsid w:val="005B6E73"/>
    <w:rsid w:val="005B7BFA"/>
    <w:rsid w:val="005C0CD1"/>
    <w:rsid w:val="005C0EF5"/>
    <w:rsid w:val="005C19EB"/>
    <w:rsid w:val="005C3905"/>
    <w:rsid w:val="005C39C5"/>
    <w:rsid w:val="005C3B15"/>
    <w:rsid w:val="005C521F"/>
    <w:rsid w:val="005C5A61"/>
    <w:rsid w:val="005C628D"/>
    <w:rsid w:val="005C68B7"/>
    <w:rsid w:val="005C6AFD"/>
    <w:rsid w:val="005C6BAC"/>
    <w:rsid w:val="005D20EB"/>
    <w:rsid w:val="005D2C6F"/>
    <w:rsid w:val="005D2EDF"/>
    <w:rsid w:val="005D328A"/>
    <w:rsid w:val="005D33DF"/>
    <w:rsid w:val="005D37CE"/>
    <w:rsid w:val="005D3BBD"/>
    <w:rsid w:val="005D3F78"/>
    <w:rsid w:val="005D43EE"/>
    <w:rsid w:val="005D47C5"/>
    <w:rsid w:val="005D4E69"/>
    <w:rsid w:val="005D58E6"/>
    <w:rsid w:val="005D63D2"/>
    <w:rsid w:val="005D67CB"/>
    <w:rsid w:val="005D7141"/>
    <w:rsid w:val="005D7EFC"/>
    <w:rsid w:val="005E12EF"/>
    <w:rsid w:val="005E2260"/>
    <w:rsid w:val="005E44D1"/>
    <w:rsid w:val="005E48AB"/>
    <w:rsid w:val="005E4A28"/>
    <w:rsid w:val="005E4BEA"/>
    <w:rsid w:val="005E76AD"/>
    <w:rsid w:val="005E7919"/>
    <w:rsid w:val="005F031F"/>
    <w:rsid w:val="005F08E0"/>
    <w:rsid w:val="005F0C86"/>
    <w:rsid w:val="005F0C92"/>
    <w:rsid w:val="005F162F"/>
    <w:rsid w:val="005F32E2"/>
    <w:rsid w:val="005F36D0"/>
    <w:rsid w:val="005F3E36"/>
    <w:rsid w:val="005F40CF"/>
    <w:rsid w:val="005F4426"/>
    <w:rsid w:val="005F48F4"/>
    <w:rsid w:val="005F4CC1"/>
    <w:rsid w:val="005F58F2"/>
    <w:rsid w:val="005F60AF"/>
    <w:rsid w:val="005F7024"/>
    <w:rsid w:val="005F79CF"/>
    <w:rsid w:val="005F7CAA"/>
    <w:rsid w:val="00600D86"/>
    <w:rsid w:val="006021A2"/>
    <w:rsid w:val="00602678"/>
    <w:rsid w:val="00602879"/>
    <w:rsid w:val="0060492D"/>
    <w:rsid w:val="006055C3"/>
    <w:rsid w:val="00606C57"/>
    <w:rsid w:val="00607D75"/>
    <w:rsid w:val="00607E45"/>
    <w:rsid w:val="00610F93"/>
    <w:rsid w:val="006117AB"/>
    <w:rsid w:val="00612435"/>
    <w:rsid w:val="00612755"/>
    <w:rsid w:val="006133A4"/>
    <w:rsid w:val="00614427"/>
    <w:rsid w:val="0061461A"/>
    <w:rsid w:val="00616151"/>
    <w:rsid w:val="00617AA7"/>
    <w:rsid w:val="0062108A"/>
    <w:rsid w:val="00621D47"/>
    <w:rsid w:val="0062354D"/>
    <w:rsid w:val="00623BB9"/>
    <w:rsid w:val="00624287"/>
    <w:rsid w:val="00624DA5"/>
    <w:rsid w:val="00626005"/>
    <w:rsid w:val="00626510"/>
    <w:rsid w:val="00626831"/>
    <w:rsid w:val="00626C09"/>
    <w:rsid w:val="00626F01"/>
    <w:rsid w:val="00627B32"/>
    <w:rsid w:val="00630462"/>
    <w:rsid w:val="00630892"/>
    <w:rsid w:val="00632724"/>
    <w:rsid w:val="006335FC"/>
    <w:rsid w:val="00634107"/>
    <w:rsid w:val="006345A9"/>
    <w:rsid w:val="006372D9"/>
    <w:rsid w:val="006377A8"/>
    <w:rsid w:val="0063787F"/>
    <w:rsid w:val="006401A3"/>
    <w:rsid w:val="00640857"/>
    <w:rsid w:val="00641988"/>
    <w:rsid w:val="00642F9F"/>
    <w:rsid w:val="006432AA"/>
    <w:rsid w:val="00643713"/>
    <w:rsid w:val="006439EB"/>
    <w:rsid w:val="0064405D"/>
    <w:rsid w:val="006446CC"/>
    <w:rsid w:val="00644D92"/>
    <w:rsid w:val="00645E02"/>
    <w:rsid w:val="006465EA"/>
    <w:rsid w:val="00646841"/>
    <w:rsid w:val="0065187A"/>
    <w:rsid w:val="006526F4"/>
    <w:rsid w:val="0065287A"/>
    <w:rsid w:val="00652A64"/>
    <w:rsid w:val="0065313D"/>
    <w:rsid w:val="00653A47"/>
    <w:rsid w:val="0065607F"/>
    <w:rsid w:val="00656840"/>
    <w:rsid w:val="00660D85"/>
    <w:rsid w:val="00661B8B"/>
    <w:rsid w:val="00662719"/>
    <w:rsid w:val="00663276"/>
    <w:rsid w:val="00664142"/>
    <w:rsid w:val="00665B6E"/>
    <w:rsid w:val="00665E31"/>
    <w:rsid w:val="0066789F"/>
    <w:rsid w:val="00670114"/>
    <w:rsid w:val="00670D1C"/>
    <w:rsid w:val="00672908"/>
    <w:rsid w:val="006733F2"/>
    <w:rsid w:val="00673435"/>
    <w:rsid w:val="006735B9"/>
    <w:rsid w:val="00674A9A"/>
    <w:rsid w:val="00674AA4"/>
    <w:rsid w:val="00674FEB"/>
    <w:rsid w:val="006753AA"/>
    <w:rsid w:val="00675B81"/>
    <w:rsid w:val="0067632A"/>
    <w:rsid w:val="006765BC"/>
    <w:rsid w:val="00676EFF"/>
    <w:rsid w:val="006779E6"/>
    <w:rsid w:val="00677BD8"/>
    <w:rsid w:val="00681962"/>
    <w:rsid w:val="00681D76"/>
    <w:rsid w:val="00681EAB"/>
    <w:rsid w:val="00681F94"/>
    <w:rsid w:val="00682FD6"/>
    <w:rsid w:val="00683778"/>
    <w:rsid w:val="00683820"/>
    <w:rsid w:val="00684C98"/>
    <w:rsid w:val="00685864"/>
    <w:rsid w:val="00685AE0"/>
    <w:rsid w:val="006863AF"/>
    <w:rsid w:val="00687892"/>
    <w:rsid w:val="006879B3"/>
    <w:rsid w:val="006930D8"/>
    <w:rsid w:val="006937FB"/>
    <w:rsid w:val="00694158"/>
    <w:rsid w:val="006946E3"/>
    <w:rsid w:val="0069574D"/>
    <w:rsid w:val="00695B84"/>
    <w:rsid w:val="00696954"/>
    <w:rsid w:val="00697260"/>
    <w:rsid w:val="006A2124"/>
    <w:rsid w:val="006A2E97"/>
    <w:rsid w:val="006A2EF6"/>
    <w:rsid w:val="006A3436"/>
    <w:rsid w:val="006A53ED"/>
    <w:rsid w:val="006A7063"/>
    <w:rsid w:val="006A798E"/>
    <w:rsid w:val="006B0D5D"/>
    <w:rsid w:val="006B18E7"/>
    <w:rsid w:val="006B218E"/>
    <w:rsid w:val="006B2EA6"/>
    <w:rsid w:val="006B3E36"/>
    <w:rsid w:val="006B529A"/>
    <w:rsid w:val="006B5DEC"/>
    <w:rsid w:val="006B7647"/>
    <w:rsid w:val="006C031B"/>
    <w:rsid w:val="006C0CCA"/>
    <w:rsid w:val="006C3D0D"/>
    <w:rsid w:val="006C4704"/>
    <w:rsid w:val="006C57C1"/>
    <w:rsid w:val="006C71FE"/>
    <w:rsid w:val="006D0C9F"/>
    <w:rsid w:val="006D1253"/>
    <w:rsid w:val="006D1E10"/>
    <w:rsid w:val="006D62C6"/>
    <w:rsid w:val="006D6834"/>
    <w:rsid w:val="006D686F"/>
    <w:rsid w:val="006D7262"/>
    <w:rsid w:val="006D7FF5"/>
    <w:rsid w:val="006E0830"/>
    <w:rsid w:val="006E0BEA"/>
    <w:rsid w:val="006E1628"/>
    <w:rsid w:val="006E1ED0"/>
    <w:rsid w:val="006E2183"/>
    <w:rsid w:val="006E49B8"/>
    <w:rsid w:val="006E535E"/>
    <w:rsid w:val="006E5E23"/>
    <w:rsid w:val="006E620E"/>
    <w:rsid w:val="006E66CB"/>
    <w:rsid w:val="006F0BEA"/>
    <w:rsid w:val="006F1C31"/>
    <w:rsid w:val="006F4BD9"/>
    <w:rsid w:val="006F7229"/>
    <w:rsid w:val="0070086F"/>
    <w:rsid w:val="00700BC1"/>
    <w:rsid w:val="0070241D"/>
    <w:rsid w:val="00702682"/>
    <w:rsid w:val="007034CB"/>
    <w:rsid w:val="007038A2"/>
    <w:rsid w:val="00704F9E"/>
    <w:rsid w:val="0070572C"/>
    <w:rsid w:val="007071BB"/>
    <w:rsid w:val="0071050E"/>
    <w:rsid w:val="007105E9"/>
    <w:rsid w:val="00711279"/>
    <w:rsid w:val="0071209E"/>
    <w:rsid w:val="00714182"/>
    <w:rsid w:val="007144B1"/>
    <w:rsid w:val="007144CD"/>
    <w:rsid w:val="00715B58"/>
    <w:rsid w:val="00715F01"/>
    <w:rsid w:val="00716AD7"/>
    <w:rsid w:val="00716F0B"/>
    <w:rsid w:val="00717B31"/>
    <w:rsid w:val="007202A9"/>
    <w:rsid w:val="00721D56"/>
    <w:rsid w:val="00721EAC"/>
    <w:rsid w:val="007225E9"/>
    <w:rsid w:val="007237E8"/>
    <w:rsid w:val="0072413B"/>
    <w:rsid w:val="00724652"/>
    <w:rsid w:val="00724D66"/>
    <w:rsid w:val="007302C9"/>
    <w:rsid w:val="007307F2"/>
    <w:rsid w:val="00730B29"/>
    <w:rsid w:val="00730E00"/>
    <w:rsid w:val="00733B34"/>
    <w:rsid w:val="00733B35"/>
    <w:rsid w:val="00733BC4"/>
    <w:rsid w:val="007364E0"/>
    <w:rsid w:val="00736CCC"/>
    <w:rsid w:val="00737D41"/>
    <w:rsid w:val="00740249"/>
    <w:rsid w:val="00740BB2"/>
    <w:rsid w:val="00740D29"/>
    <w:rsid w:val="00741164"/>
    <w:rsid w:val="00741431"/>
    <w:rsid w:val="00741EB9"/>
    <w:rsid w:val="00742A31"/>
    <w:rsid w:val="00744CC8"/>
    <w:rsid w:val="00747535"/>
    <w:rsid w:val="00747EE6"/>
    <w:rsid w:val="00750DF6"/>
    <w:rsid w:val="007532BE"/>
    <w:rsid w:val="00753688"/>
    <w:rsid w:val="00753983"/>
    <w:rsid w:val="007539E6"/>
    <w:rsid w:val="0075504B"/>
    <w:rsid w:val="0075607B"/>
    <w:rsid w:val="0075688B"/>
    <w:rsid w:val="00757420"/>
    <w:rsid w:val="00760953"/>
    <w:rsid w:val="00761551"/>
    <w:rsid w:val="00761D64"/>
    <w:rsid w:val="00763C8C"/>
    <w:rsid w:val="00764F7A"/>
    <w:rsid w:val="007652C8"/>
    <w:rsid w:val="00765745"/>
    <w:rsid w:val="00765BDB"/>
    <w:rsid w:val="0076612D"/>
    <w:rsid w:val="0076694C"/>
    <w:rsid w:val="00767063"/>
    <w:rsid w:val="00767620"/>
    <w:rsid w:val="00770ACE"/>
    <w:rsid w:val="0077152F"/>
    <w:rsid w:val="00771827"/>
    <w:rsid w:val="0077189A"/>
    <w:rsid w:val="00773921"/>
    <w:rsid w:val="00774294"/>
    <w:rsid w:val="007751EA"/>
    <w:rsid w:val="00775DA6"/>
    <w:rsid w:val="00776FE5"/>
    <w:rsid w:val="007800B5"/>
    <w:rsid w:val="007800C4"/>
    <w:rsid w:val="007807CC"/>
    <w:rsid w:val="00780BB1"/>
    <w:rsid w:val="00781354"/>
    <w:rsid w:val="0078269C"/>
    <w:rsid w:val="00783662"/>
    <w:rsid w:val="007836E8"/>
    <w:rsid w:val="00790555"/>
    <w:rsid w:val="00790BA2"/>
    <w:rsid w:val="007913D5"/>
    <w:rsid w:val="007916DF"/>
    <w:rsid w:val="0079172F"/>
    <w:rsid w:val="007932A9"/>
    <w:rsid w:val="00793497"/>
    <w:rsid w:val="00793504"/>
    <w:rsid w:val="00794DC3"/>
    <w:rsid w:val="007952B8"/>
    <w:rsid w:val="007970B4"/>
    <w:rsid w:val="007A0F2E"/>
    <w:rsid w:val="007A1995"/>
    <w:rsid w:val="007A2113"/>
    <w:rsid w:val="007A32E1"/>
    <w:rsid w:val="007A35F9"/>
    <w:rsid w:val="007A4EC5"/>
    <w:rsid w:val="007A71A1"/>
    <w:rsid w:val="007A7263"/>
    <w:rsid w:val="007A7FBB"/>
    <w:rsid w:val="007B0002"/>
    <w:rsid w:val="007B0102"/>
    <w:rsid w:val="007B1572"/>
    <w:rsid w:val="007B2509"/>
    <w:rsid w:val="007B32DA"/>
    <w:rsid w:val="007B3558"/>
    <w:rsid w:val="007B3D51"/>
    <w:rsid w:val="007B44F8"/>
    <w:rsid w:val="007B7421"/>
    <w:rsid w:val="007C2B55"/>
    <w:rsid w:val="007C3246"/>
    <w:rsid w:val="007C3E60"/>
    <w:rsid w:val="007C45CD"/>
    <w:rsid w:val="007C4FEB"/>
    <w:rsid w:val="007C6E4C"/>
    <w:rsid w:val="007C7D36"/>
    <w:rsid w:val="007C7FCE"/>
    <w:rsid w:val="007D07C6"/>
    <w:rsid w:val="007D1156"/>
    <w:rsid w:val="007D193F"/>
    <w:rsid w:val="007D2846"/>
    <w:rsid w:val="007D3855"/>
    <w:rsid w:val="007D3898"/>
    <w:rsid w:val="007D3B15"/>
    <w:rsid w:val="007D3CB6"/>
    <w:rsid w:val="007D3F6F"/>
    <w:rsid w:val="007D4B44"/>
    <w:rsid w:val="007D4EF7"/>
    <w:rsid w:val="007D52AC"/>
    <w:rsid w:val="007D5C42"/>
    <w:rsid w:val="007D633B"/>
    <w:rsid w:val="007D65F2"/>
    <w:rsid w:val="007D6E9F"/>
    <w:rsid w:val="007D6F37"/>
    <w:rsid w:val="007D70EA"/>
    <w:rsid w:val="007D7232"/>
    <w:rsid w:val="007E11E1"/>
    <w:rsid w:val="007E18C9"/>
    <w:rsid w:val="007E45F7"/>
    <w:rsid w:val="007E4FA0"/>
    <w:rsid w:val="007E5A63"/>
    <w:rsid w:val="007E5FD3"/>
    <w:rsid w:val="007F0511"/>
    <w:rsid w:val="007F0C6C"/>
    <w:rsid w:val="007F1C65"/>
    <w:rsid w:val="007F2194"/>
    <w:rsid w:val="007F25B8"/>
    <w:rsid w:val="007F2B45"/>
    <w:rsid w:val="007F2CE7"/>
    <w:rsid w:val="007F312D"/>
    <w:rsid w:val="007F389B"/>
    <w:rsid w:val="007F3DD4"/>
    <w:rsid w:val="007F5195"/>
    <w:rsid w:val="007F563C"/>
    <w:rsid w:val="007F5717"/>
    <w:rsid w:val="007F5ADA"/>
    <w:rsid w:val="007F6CAA"/>
    <w:rsid w:val="008021EF"/>
    <w:rsid w:val="008025B8"/>
    <w:rsid w:val="008032F5"/>
    <w:rsid w:val="0080512C"/>
    <w:rsid w:val="00806394"/>
    <w:rsid w:val="0080670E"/>
    <w:rsid w:val="00811A5C"/>
    <w:rsid w:val="0081228C"/>
    <w:rsid w:val="00812B1B"/>
    <w:rsid w:val="00813014"/>
    <w:rsid w:val="00813B64"/>
    <w:rsid w:val="00814C63"/>
    <w:rsid w:val="00815E45"/>
    <w:rsid w:val="008164E7"/>
    <w:rsid w:val="0081661B"/>
    <w:rsid w:val="00816A4E"/>
    <w:rsid w:val="00816C76"/>
    <w:rsid w:val="00817CDB"/>
    <w:rsid w:val="008202CD"/>
    <w:rsid w:val="008205FB"/>
    <w:rsid w:val="00820760"/>
    <w:rsid w:val="00820EBE"/>
    <w:rsid w:val="00821471"/>
    <w:rsid w:val="008216A2"/>
    <w:rsid w:val="0082180F"/>
    <w:rsid w:val="00821953"/>
    <w:rsid w:val="0082267E"/>
    <w:rsid w:val="0082705F"/>
    <w:rsid w:val="008303BB"/>
    <w:rsid w:val="008308D5"/>
    <w:rsid w:val="00830D1C"/>
    <w:rsid w:val="00831BCB"/>
    <w:rsid w:val="00831BEA"/>
    <w:rsid w:val="00831D59"/>
    <w:rsid w:val="00832124"/>
    <w:rsid w:val="008333F3"/>
    <w:rsid w:val="0083366A"/>
    <w:rsid w:val="0083366D"/>
    <w:rsid w:val="0083448E"/>
    <w:rsid w:val="008350F1"/>
    <w:rsid w:val="0083597F"/>
    <w:rsid w:val="00837291"/>
    <w:rsid w:val="00837E87"/>
    <w:rsid w:val="00842990"/>
    <w:rsid w:val="00844C37"/>
    <w:rsid w:val="00844E10"/>
    <w:rsid w:val="00845FFD"/>
    <w:rsid w:val="0084686D"/>
    <w:rsid w:val="008471D7"/>
    <w:rsid w:val="008509E9"/>
    <w:rsid w:val="00852698"/>
    <w:rsid w:val="008527AF"/>
    <w:rsid w:val="00852D5F"/>
    <w:rsid w:val="00852DCA"/>
    <w:rsid w:val="00853CC6"/>
    <w:rsid w:val="00855725"/>
    <w:rsid w:val="00856A1E"/>
    <w:rsid w:val="008571D3"/>
    <w:rsid w:val="008571E6"/>
    <w:rsid w:val="0086011F"/>
    <w:rsid w:val="00860525"/>
    <w:rsid w:val="00860882"/>
    <w:rsid w:val="00860EE6"/>
    <w:rsid w:val="008634EF"/>
    <w:rsid w:val="008639C7"/>
    <w:rsid w:val="008645E3"/>
    <w:rsid w:val="00864E21"/>
    <w:rsid w:val="008653BD"/>
    <w:rsid w:val="0086641E"/>
    <w:rsid w:val="008679ED"/>
    <w:rsid w:val="0087065D"/>
    <w:rsid w:val="00870D70"/>
    <w:rsid w:val="00873600"/>
    <w:rsid w:val="00874318"/>
    <w:rsid w:val="008750E1"/>
    <w:rsid w:val="008752B1"/>
    <w:rsid w:val="00876C41"/>
    <w:rsid w:val="008803D0"/>
    <w:rsid w:val="008805A6"/>
    <w:rsid w:val="0088199A"/>
    <w:rsid w:val="00881D83"/>
    <w:rsid w:val="00882B8B"/>
    <w:rsid w:val="00882E81"/>
    <w:rsid w:val="00882FF3"/>
    <w:rsid w:val="00883AF5"/>
    <w:rsid w:val="00883E1C"/>
    <w:rsid w:val="00883ECB"/>
    <w:rsid w:val="00883F5E"/>
    <w:rsid w:val="008849AF"/>
    <w:rsid w:val="00885544"/>
    <w:rsid w:val="00885ABF"/>
    <w:rsid w:val="00885F89"/>
    <w:rsid w:val="008867ED"/>
    <w:rsid w:val="0088718C"/>
    <w:rsid w:val="00887725"/>
    <w:rsid w:val="00890423"/>
    <w:rsid w:val="00890969"/>
    <w:rsid w:val="00890A6B"/>
    <w:rsid w:val="00891BFF"/>
    <w:rsid w:val="00892889"/>
    <w:rsid w:val="0089327C"/>
    <w:rsid w:val="0089404F"/>
    <w:rsid w:val="0089501E"/>
    <w:rsid w:val="00895178"/>
    <w:rsid w:val="00895407"/>
    <w:rsid w:val="00895AFD"/>
    <w:rsid w:val="00895B6F"/>
    <w:rsid w:val="008970B9"/>
    <w:rsid w:val="00897C9C"/>
    <w:rsid w:val="008A0297"/>
    <w:rsid w:val="008A10AC"/>
    <w:rsid w:val="008A280A"/>
    <w:rsid w:val="008B00F2"/>
    <w:rsid w:val="008B0E96"/>
    <w:rsid w:val="008B2152"/>
    <w:rsid w:val="008B29B7"/>
    <w:rsid w:val="008B7135"/>
    <w:rsid w:val="008C128F"/>
    <w:rsid w:val="008C17B7"/>
    <w:rsid w:val="008C225B"/>
    <w:rsid w:val="008C235A"/>
    <w:rsid w:val="008C24DF"/>
    <w:rsid w:val="008C2657"/>
    <w:rsid w:val="008C2845"/>
    <w:rsid w:val="008C3253"/>
    <w:rsid w:val="008C5E8F"/>
    <w:rsid w:val="008C6C21"/>
    <w:rsid w:val="008C70FF"/>
    <w:rsid w:val="008C7895"/>
    <w:rsid w:val="008D0A2E"/>
    <w:rsid w:val="008D11B1"/>
    <w:rsid w:val="008D1F97"/>
    <w:rsid w:val="008D2271"/>
    <w:rsid w:val="008D3881"/>
    <w:rsid w:val="008D40DC"/>
    <w:rsid w:val="008D4951"/>
    <w:rsid w:val="008D5030"/>
    <w:rsid w:val="008D765D"/>
    <w:rsid w:val="008D79F7"/>
    <w:rsid w:val="008E108D"/>
    <w:rsid w:val="008E1A2B"/>
    <w:rsid w:val="008E1A70"/>
    <w:rsid w:val="008E29D2"/>
    <w:rsid w:val="008E34FC"/>
    <w:rsid w:val="008E403E"/>
    <w:rsid w:val="008E4423"/>
    <w:rsid w:val="008E4B8E"/>
    <w:rsid w:val="008E4FCE"/>
    <w:rsid w:val="008E5607"/>
    <w:rsid w:val="008E563A"/>
    <w:rsid w:val="008E5731"/>
    <w:rsid w:val="008E58E2"/>
    <w:rsid w:val="008E5EC6"/>
    <w:rsid w:val="008E65D6"/>
    <w:rsid w:val="008E7B31"/>
    <w:rsid w:val="008F01AE"/>
    <w:rsid w:val="008F1268"/>
    <w:rsid w:val="008F20C8"/>
    <w:rsid w:val="008F24E9"/>
    <w:rsid w:val="008F3224"/>
    <w:rsid w:val="008F3ECF"/>
    <w:rsid w:val="008F45FD"/>
    <w:rsid w:val="008F4EFA"/>
    <w:rsid w:val="008F71E5"/>
    <w:rsid w:val="008F7667"/>
    <w:rsid w:val="008F786A"/>
    <w:rsid w:val="008F7BD7"/>
    <w:rsid w:val="00900739"/>
    <w:rsid w:val="00900884"/>
    <w:rsid w:val="00901599"/>
    <w:rsid w:val="00901741"/>
    <w:rsid w:val="00901CFF"/>
    <w:rsid w:val="00902287"/>
    <w:rsid w:val="0090312D"/>
    <w:rsid w:val="009032D1"/>
    <w:rsid w:val="0090334D"/>
    <w:rsid w:val="00903D9F"/>
    <w:rsid w:val="009046A3"/>
    <w:rsid w:val="00905707"/>
    <w:rsid w:val="00905946"/>
    <w:rsid w:val="00905ED5"/>
    <w:rsid w:val="0090638E"/>
    <w:rsid w:val="00906A33"/>
    <w:rsid w:val="00906B4C"/>
    <w:rsid w:val="00906C93"/>
    <w:rsid w:val="00907B3B"/>
    <w:rsid w:val="009112E7"/>
    <w:rsid w:val="0091160C"/>
    <w:rsid w:val="0091174E"/>
    <w:rsid w:val="00912485"/>
    <w:rsid w:val="009135C1"/>
    <w:rsid w:val="009140E1"/>
    <w:rsid w:val="00915603"/>
    <w:rsid w:val="00916391"/>
    <w:rsid w:val="00917A46"/>
    <w:rsid w:val="009206F2"/>
    <w:rsid w:val="00920B55"/>
    <w:rsid w:val="00920B84"/>
    <w:rsid w:val="00921E9A"/>
    <w:rsid w:val="009227BC"/>
    <w:rsid w:val="0092305D"/>
    <w:rsid w:val="00923BBA"/>
    <w:rsid w:val="00923FB7"/>
    <w:rsid w:val="00923FE4"/>
    <w:rsid w:val="00925C97"/>
    <w:rsid w:val="00925F92"/>
    <w:rsid w:val="00926AC7"/>
    <w:rsid w:val="0092781B"/>
    <w:rsid w:val="00927C5E"/>
    <w:rsid w:val="00927EA6"/>
    <w:rsid w:val="0093088A"/>
    <w:rsid w:val="00931390"/>
    <w:rsid w:val="00932557"/>
    <w:rsid w:val="00932C81"/>
    <w:rsid w:val="00933745"/>
    <w:rsid w:val="00935F1D"/>
    <w:rsid w:val="009362D1"/>
    <w:rsid w:val="009373E7"/>
    <w:rsid w:val="009408AF"/>
    <w:rsid w:val="00942273"/>
    <w:rsid w:val="0094246D"/>
    <w:rsid w:val="00944767"/>
    <w:rsid w:val="00944773"/>
    <w:rsid w:val="00945149"/>
    <w:rsid w:val="00946F98"/>
    <w:rsid w:val="00950049"/>
    <w:rsid w:val="009501FD"/>
    <w:rsid w:val="0095024B"/>
    <w:rsid w:val="00950D39"/>
    <w:rsid w:val="009516A9"/>
    <w:rsid w:val="00951C51"/>
    <w:rsid w:val="0095207D"/>
    <w:rsid w:val="009526FA"/>
    <w:rsid w:val="0095330C"/>
    <w:rsid w:val="00953584"/>
    <w:rsid w:val="009548C7"/>
    <w:rsid w:val="0095557F"/>
    <w:rsid w:val="009569B2"/>
    <w:rsid w:val="00956E0F"/>
    <w:rsid w:val="0096018F"/>
    <w:rsid w:val="009612EF"/>
    <w:rsid w:val="00961D86"/>
    <w:rsid w:val="00962888"/>
    <w:rsid w:val="00962E02"/>
    <w:rsid w:val="00964B1C"/>
    <w:rsid w:val="00964EAD"/>
    <w:rsid w:val="0096506B"/>
    <w:rsid w:val="00965B4A"/>
    <w:rsid w:val="00966940"/>
    <w:rsid w:val="00966B98"/>
    <w:rsid w:val="009672AD"/>
    <w:rsid w:val="00967AE7"/>
    <w:rsid w:val="009705C7"/>
    <w:rsid w:val="0097211A"/>
    <w:rsid w:val="00972A47"/>
    <w:rsid w:val="00974772"/>
    <w:rsid w:val="009759EE"/>
    <w:rsid w:val="009764E3"/>
    <w:rsid w:val="00976B5D"/>
    <w:rsid w:val="00981424"/>
    <w:rsid w:val="00981977"/>
    <w:rsid w:val="009819B4"/>
    <w:rsid w:val="00981E88"/>
    <w:rsid w:val="00982218"/>
    <w:rsid w:val="00986258"/>
    <w:rsid w:val="00990C5B"/>
    <w:rsid w:val="0099132C"/>
    <w:rsid w:val="00992527"/>
    <w:rsid w:val="009925BA"/>
    <w:rsid w:val="00992CEB"/>
    <w:rsid w:val="00993F30"/>
    <w:rsid w:val="0099481D"/>
    <w:rsid w:val="00994D64"/>
    <w:rsid w:val="00995698"/>
    <w:rsid w:val="00996005"/>
    <w:rsid w:val="009963E8"/>
    <w:rsid w:val="00997F4D"/>
    <w:rsid w:val="009A0989"/>
    <w:rsid w:val="009A0AD1"/>
    <w:rsid w:val="009A1D32"/>
    <w:rsid w:val="009A1E44"/>
    <w:rsid w:val="009A34BF"/>
    <w:rsid w:val="009A41B9"/>
    <w:rsid w:val="009A42FF"/>
    <w:rsid w:val="009A69AD"/>
    <w:rsid w:val="009A721C"/>
    <w:rsid w:val="009A7707"/>
    <w:rsid w:val="009B007A"/>
    <w:rsid w:val="009B0F62"/>
    <w:rsid w:val="009B1F94"/>
    <w:rsid w:val="009B2A35"/>
    <w:rsid w:val="009B3287"/>
    <w:rsid w:val="009B39A2"/>
    <w:rsid w:val="009B4380"/>
    <w:rsid w:val="009B43C0"/>
    <w:rsid w:val="009B55A5"/>
    <w:rsid w:val="009B56FE"/>
    <w:rsid w:val="009B5DF6"/>
    <w:rsid w:val="009B7FDB"/>
    <w:rsid w:val="009C14DD"/>
    <w:rsid w:val="009C228B"/>
    <w:rsid w:val="009C3496"/>
    <w:rsid w:val="009C349E"/>
    <w:rsid w:val="009C37E3"/>
    <w:rsid w:val="009C388D"/>
    <w:rsid w:val="009C4309"/>
    <w:rsid w:val="009C5883"/>
    <w:rsid w:val="009C7AA0"/>
    <w:rsid w:val="009D0AE1"/>
    <w:rsid w:val="009D0F5B"/>
    <w:rsid w:val="009D147C"/>
    <w:rsid w:val="009D1991"/>
    <w:rsid w:val="009D1FE2"/>
    <w:rsid w:val="009D2B08"/>
    <w:rsid w:val="009D4666"/>
    <w:rsid w:val="009D468E"/>
    <w:rsid w:val="009D6BCA"/>
    <w:rsid w:val="009D7222"/>
    <w:rsid w:val="009E04CF"/>
    <w:rsid w:val="009E07AE"/>
    <w:rsid w:val="009E1066"/>
    <w:rsid w:val="009E161D"/>
    <w:rsid w:val="009E1CF5"/>
    <w:rsid w:val="009E322D"/>
    <w:rsid w:val="009E4807"/>
    <w:rsid w:val="009E4ABD"/>
    <w:rsid w:val="009E6089"/>
    <w:rsid w:val="009E65DB"/>
    <w:rsid w:val="009E74D8"/>
    <w:rsid w:val="009E7900"/>
    <w:rsid w:val="009F03BF"/>
    <w:rsid w:val="009F0690"/>
    <w:rsid w:val="009F164E"/>
    <w:rsid w:val="009F315B"/>
    <w:rsid w:val="009F388A"/>
    <w:rsid w:val="009F3B0B"/>
    <w:rsid w:val="009F4721"/>
    <w:rsid w:val="009F4DC5"/>
    <w:rsid w:val="009F6092"/>
    <w:rsid w:val="009F66B3"/>
    <w:rsid w:val="009F6F32"/>
    <w:rsid w:val="009F7E46"/>
    <w:rsid w:val="00A0046E"/>
    <w:rsid w:val="00A0050D"/>
    <w:rsid w:val="00A00BD8"/>
    <w:rsid w:val="00A01AC8"/>
    <w:rsid w:val="00A03421"/>
    <w:rsid w:val="00A0354B"/>
    <w:rsid w:val="00A0408F"/>
    <w:rsid w:val="00A041FF"/>
    <w:rsid w:val="00A053BB"/>
    <w:rsid w:val="00A060C1"/>
    <w:rsid w:val="00A0651B"/>
    <w:rsid w:val="00A06AE9"/>
    <w:rsid w:val="00A06F5F"/>
    <w:rsid w:val="00A071BF"/>
    <w:rsid w:val="00A0749F"/>
    <w:rsid w:val="00A078F4"/>
    <w:rsid w:val="00A07B28"/>
    <w:rsid w:val="00A108F0"/>
    <w:rsid w:val="00A11091"/>
    <w:rsid w:val="00A11876"/>
    <w:rsid w:val="00A11ABC"/>
    <w:rsid w:val="00A13A44"/>
    <w:rsid w:val="00A143A3"/>
    <w:rsid w:val="00A14F5C"/>
    <w:rsid w:val="00A1546C"/>
    <w:rsid w:val="00A1641A"/>
    <w:rsid w:val="00A17E53"/>
    <w:rsid w:val="00A2184C"/>
    <w:rsid w:val="00A22493"/>
    <w:rsid w:val="00A23AF9"/>
    <w:rsid w:val="00A244FD"/>
    <w:rsid w:val="00A24697"/>
    <w:rsid w:val="00A25098"/>
    <w:rsid w:val="00A2686E"/>
    <w:rsid w:val="00A31B79"/>
    <w:rsid w:val="00A32032"/>
    <w:rsid w:val="00A333B5"/>
    <w:rsid w:val="00A33D4E"/>
    <w:rsid w:val="00A351B0"/>
    <w:rsid w:val="00A3554A"/>
    <w:rsid w:val="00A35570"/>
    <w:rsid w:val="00A35B1A"/>
    <w:rsid w:val="00A36753"/>
    <w:rsid w:val="00A3689F"/>
    <w:rsid w:val="00A36CC6"/>
    <w:rsid w:val="00A36D96"/>
    <w:rsid w:val="00A37782"/>
    <w:rsid w:val="00A37F15"/>
    <w:rsid w:val="00A4023A"/>
    <w:rsid w:val="00A41CE1"/>
    <w:rsid w:val="00A42123"/>
    <w:rsid w:val="00A42239"/>
    <w:rsid w:val="00A42B42"/>
    <w:rsid w:val="00A431C6"/>
    <w:rsid w:val="00A4351C"/>
    <w:rsid w:val="00A440E2"/>
    <w:rsid w:val="00A453BA"/>
    <w:rsid w:val="00A46E1B"/>
    <w:rsid w:val="00A47E50"/>
    <w:rsid w:val="00A50F39"/>
    <w:rsid w:val="00A51B9A"/>
    <w:rsid w:val="00A52C6D"/>
    <w:rsid w:val="00A5320C"/>
    <w:rsid w:val="00A602DD"/>
    <w:rsid w:val="00A60391"/>
    <w:rsid w:val="00A60789"/>
    <w:rsid w:val="00A62792"/>
    <w:rsid w:val="00A63E60"/>
    <w:rsid w:val="00A64CD8"/>
    <w:rsid w:val="00A6583C"/>
    <w:rsid w:val="00A65EAD"/>
    <w:rsid w:val="00A67B82"/>
    <w:rsid w:val="00A7022C"/>
    <w:rsid w:val="00A70FFB"/>
    <w:rsid w:val="00A71E3D"/>
    <w:rsid w:val="00A71E65"/>
    <w:rsid w:val="00A72451"/>
    <w:rsid w:val="00A759C5"/>
    <w:rsid w:val="00A801D6"/>
    <w:rsid w:val="00A818D8"/>
    <w:rsid w:val="00A81E3A"/>
    <w:rsid w:val="00A8219B"/>
    <w:rsid w:val="00A83661"/>
    <w:rsid w:val="00A84130"/>
    <w:rsid w:val="00A8417B"/>
    <w:rsid w:val="00A862E9"/>
    <w:rsid w:val="00A867DC"/>
    <w:rsid w:val="00A87751"/>
    <w:rsid w:val="00A87908"/>
    <w:rsid w:val="00A903E4"/>
    <w:rsid w:val="00A903EE"/>
    <w:rsid w:val="00A922E7"/>
    <w:rsid w:val="00A92451"/>
    <w:rsid w:val="00A925AC"/>
    <w:rsid w:val="00A93815"/>
    <w:rsid w:val="00A94C0A"/>
    <w:rsid w:val="00A94C59"/>
    <w:rsid w:val="00A95A5A"/>
    <w:rsid w:val="00A95DEB"/>
    <w:rsid w:val="00A95F68"/>
    <w:rsid w:val="00A9623F"/>
    <w:rsid w:val="00A96280"/>
    <w:rsid w:val="00A97829"/>
    <w:rsid w:val="00AA0C80"/>
    <w:rsid w:val="00AA1B5C"/>
    <w:rsid w:val="00AA1B9D"/>
    <w:rsid w:val="00AA29E2"/>
    <w:rsid w:val="00AA3BFC"/>
    <w:rsid w:val="00AA43AB"/>
    <w:rsid w:val="00AA511C"/>
    <w:rsid w:val="00AA60B7"/>
    <w:rsid w:val="00AA7414"/>
    <w:rsid w:val="00AA7431"/>
    <w:rsid w:val="00AA78F4"/>
    <w:rsid w:val="00AA7D54"/>
    <w:rsid w:val="00AB04EB"/>
    <w:rsid w:val="00AB05EB"/>
    <w:rsid w:val="00AB273F"/>
    <w:rsid w:val="00AB29E5"/>
    <w:rsid w:val="00AB3EAC"/>
    <w:rsid w:val="00AB4AC8"/>
    <w:rsid w:val="00AB61C2"/>
    <w:rsid w:val="00AB6664"/>
    <w:rsid w:val="00AB7A42"/>
    <w:rsid w:val="00AB7B02"/>
    <w:rsid w:val="00AC0740"/>
    <w:rsid w:val="00AC0912"/>
    <w:rsid w:val="00AC1A71"/>
    <w:rsid w:val="00AC1C28"/>
    <w:rsid w:val="00AC2BAC"/>
    <w:rsid w:val="00AC46BD"/>
    <w:rsid w:val="00AC4A79"/>
    <w:rsid w:val="00AC53D0"/>
    <w:rsid w:val="00AC614B"/>
    <w:rsid w:val="00AC7344"/>
    <w:rsid w:val="00AD0C77"/>
    <w:rsid w:val="00AD199B"/>
    <w:rsid w:val="00AD2BA0"/>
    <w:rsid w:val="00AD31D0"/>
    <w:rsid w:val="00AD38A7"/>
    <w:rsid w:val="00AD3F68"/>
    <w:rsid w:val="00AD44B3"/>
    <w:rsid w:val="00AD5455"/>
    <w:rsid w:val="00AD6F6F"/>
    <w:rsid w:val="00AE02DF"/>
    <w:rsid w:val="00AE0E36"/>
    <w:rsid w:val="00AE15A7"/>
    <w:rsid w:val="00AE1A7F"/>
    <w:rsid w:val="00AE4375"/>
    <w:rsid w:val="00AE492C"/>
    <w:rsid w:val="00AE5267"/>
    <w:rsid w:val="00AE6800"/>
    <w:rsid w:val="00AF142D"/>
    <w:rsid w:val="00AF2894"/>
    <w:rsid w:val="00AF3FA3"/>
    <w:rsid w:val="00AF5481"/>
    <w:rsid w:val="00AF54F2"/>
    <w:rsid w:val="00AF5585"/>
    <w:rsid w:val="00AF5C7B"/>
    <w:rsid w:val="00AF6FC5"/>
    <w:rsid w:val="00AF7413"/>
    <w:rsid w:val="00AF74C7"/>
    <w:rsid w:val="00AF7D04"/>
    <w:rsid w:val="00AF7F6E"/>
    <w:rsid w:val="00B00DEE"/>
    <w:rsid w:val="00B01F79"/>
    <w:rsid w:val="00B0313C"/>
    <w:rsid w:val="00B03319"/>
    <w:rsid w:val="00B03E9D"/>
    <w:rsid w:val="00B04E45"/>
    <w:rsid w:val="00B04E79"/>
    <w:rsid w:val="00B04FB2"/>
    <w:rsid w:val="00B051F5"/>
    <w:rsid w:val="00B05AA7"/>
    <w:rsid w:val="00B06395"/>
    <w:rsid w:val="00B075F6"/>
    <w:rsid w:val="00B079E4"/>
    <w:rsid w:val="00B101FB"/>
    <w:rsid w:val="00B10895"/>
    <w:rsid w:val="00B1269B"/>
    <w:rsid w:val="00B12702"/>
    <w:rsid w:val="00B12DE5"/>
    <w:rsid w:val="00B131B4"/>
    <w:rsid w:val="00B135BF"/>
    <w:rsid w:val="00B14E5C"/>
    <w:rsid w:val="00B156FB"/>
    <w:rsid w:val="00B15763"/>
    <w:rsid w:val="00B15812"/>
    <w:rsid w:val="00B162B6"/>
    <w:rsid w:val="00B16A5D"/>
    <w:rsid w:val="00B17042"/>
    <w:rsid w:val="00B20EAA"/>
    <w:rsid w:val="00B20ECC"/>
    <w:rsid w:val="00B2239F"/>
    <w:rsid w:val="00B228F7"/>
    <w:rsid w:val="00B23782"/>
    <w:rsid w:val="00B268C8"/>
    <w:rsid w:val="00B26F64"/>
    <w:rsid w:val="00B3060E"/>
    <w:rsid w:val="00B30614"/>
    <w:rsid w:val="00B3092D"/>
    <w:rsid w:val="00B3253A"/>
    <w:rsid w:val="00B3373E"/>
    <w:rsid w:val="00B347AD"/>
    <w:rsid w:val="00B42904"/>
    <w:rsid w:val="00B436FE"/>
    <w:rsid w:val="00B438C1"/>
    <w:rsid w:val="00B45ECF"/>
    <w:rsid w:val="00B47272"/>
    <w:rsid w:val="00B47D2E"/>
    <w:rsid w:val="00B47F24"/>
    <w:rsid w:val="00B5026F"/>
    <w:rsid w:val="00B50992"/>
    <w:rsid w:val="00B51042"/>
    <w:rsid w:val="00B52178"/>
    <w:rsid w:val="00B52238"/>
    <w:rsid w:val="00B52BF0"/>
    <w:rsid w:val="00B54769"/>
    <w:rsid w:val="00B5550F"/>
    <w:rsid w:val="00B55B0A"/>
    <w:rsid w:val="00B56286"/>
    <w:rsid w:val="00B614B4"/>
    <w:rsid w:val="00B614FA"/>
    <w:rsid w:val="00B62044"/>
    <w:rsid w:val="00B62952"/>
    <w:rsid w:val="00B633F2"/>
    <w:rsid w:val="00B64D38"/>
    <w:rsid w:val="00B64F04"/>
    <w:rsid w:val="00B64F79"/>
    <w:rsid w:val="00B666A8"/>
    <w:rsid w:val="00B679B7"/>
    <w:rsid w:val="00B67E9E"/>
    <w:rsid w:val="00B715E5"/>
    <w:rsid w:val="00B718B3"/>
    <w:rsid w:val="00B73598"/>
    <w:rsid w:val="00B73C74"/>
    <w:rsid w:val="00B74052"/>
    <w:rsid w:val="00B7423F"/>
    <w:rsid w:val="00B75154"/>
    <w:rsid w:val="00B806E7"/>
    <w:rsid w:val="00B8079F"/>
    <w:rsid w:val="00B80991"/>
    <w:rsid w:val="00B80DA9"/>
    <w:rsid w:val="00B81900"/>
    <w:rsid w:val="00B81A74"/>
    <w:rsid w:val="00B81BDB"/>
    <w:rsid w:val="00B81F57"/>
    <w:rsid w:val="00B8211B"/>
    <w:rsid w:val="00B827AB"/>
    <w:rsid w:val="00B83095"/>
    <w:rsid w:val="00B86E6B"/>
    <w:rsid w:val="00B87CC9"/>
    <w:rsid w:val="00B87E1B"/>
    <w:rsid w:val="00B902CA"/>
    <w:rsid w:val="00B91365"/>
    <w:rsid w:val="00B919DD"/>
    <w:rsid w:val="00B93243"/>
    <w:rsid w:val="00B943F7"/>
    <w:rsid w:val="00B94895"/>
    <w:rsid w:val="00B94F86"/>
    <w:rsid w:val="00B9565E"/>
    <w:rsid w:val="00B95CD5"/>
    <w:rsid w:val="00B96157"/>
    <w:rsid w:val="00B961FD"/>
    <w:rsid w:val="00B96C40"/>
    <w:rsid w:val="00B9752D"/>
    <w:rsid w:val="00B97A88"/>
    <w:rsid w:val="00BA029B"/>
    <w:rsid w:val="00BA07B2"/>
    <w:rsid w:val="00BA0D57"/>
    <w:rsid w:val="00BA16AE"/>
    <w:rsid w:val="00BA189C"/>
    <w:rsid w:val="00BA2049"/>
    <w:rsid w:val="00BA2078"/>
    <w:rsid w:val="00BA2EAD"/>
    <w:rsid w:val="00BA32CF"/>
    <w:rsid w:val="00BA38EA"/>
    <w:rsid w:val="00BA4478"/>
    <w:rsid w:val="00BA4579"/>
    <w:rsid w:val="00BA4DD1"/>
    <w:rsid w:val="00BA506B"/>
    <w:rsid w:val="00BA617F"/>
    <w:rsid w:val="00BA64A8"/>
    <w:rsid w:val="00BA7272"/>
    <w:rsid w:val="00BA7502"/>
    <w:rsid w:val="00BA7A86"/>
    <w:rsid w:val="00BA7CCD"/>
    <w:rsid w:val="00BB0BD0"/>
    <w:rsid w:val="00BB0D8B"/>
    <w:rsid w:val="00BB2E14"/>
    <w:rsid w:val="00BB307E"/>
    <w:rsid w:val="00BB6959"/>
    <w:rsid w:val="00BB6DC0"/>
    <w:rsid w:val="00BC0F3D"/>
    <w:rsid w:val="00BC2C97"/>
    <w:rsid w:val="00BC2E02"/>
    <w:rsid w:val="00BC4A2B"/>
    <w:rsid w:val="00BC4ABF"/>
    <w:rsid w:val="00BC577E"/>
    <w:rsid w:val="00BC6021"/>
    <w:rsid w:val="00BC67CE"/>
    <w:rsid w:val="00BC7621"/>
    <w:rsid w:val="00BD14D5"/>
    <w:rsid w:val="00BD2478"/>
    <w:rsid w:val="00BD250E"/>
    <w:rsid w:val="00BD4F84"/>
    <w:rsid w:val="00BD59E7"/>
    <w:rsid w:val="00BD5E45"/>
    <w:rsid w:val="00BD60D5"/>
    <w:rsid w:val="00BD7472"/>
    <w:rsid w:val="00BE02B6"/>
    <w:rsid w:val="00BE10C7"/>
    <w:rsid w:val="00BE1519"/>
    <w:rsid w:val="00BE217C"/>
    <w:rsid w:val="00BE2F67"/>
    <w:rsid w:val="00BE33F6"/>
    <w:rsid w:val="00BE3D4F"/>
    <w:rsid w:val="00BE3E0B"/>
    <w:rsid w:val="00BE43DE"/>
    <w:rsid w:val="00BE4A44"/>
    <w:rsid w:val="00BE4E78"/>
    <w:rsid w:val="00BE5231"/>
    <w:rsid w:val="00BE64A7"/>
    <w:rsid w:val="00BE6726"/>
    <w:rsid w:val="00BE782D"/>
    <w:rsid w:val="00BF0CF7"/>
    <w:rsid w:val="00BF2639"/>
    <w:rsid w:val="00BF315C"/>
    <w:rsid w:val="00BF3CAB"/>
    <w:rsid w:val="00BF417A"/>
    <w:rsid w:val="00BF5DD6"/>
    <w:rsid w:val="00C00FF5"/>
    <w:rsid w:val="00C03C2A"/>
    <w:rsid w:val="00C054BA"/>
    <w:rsid w:val="00C057A0"/>
    <w:rsid w:val="00C057D8"/>
    <w:rsid w:val="00C05B1E"/>
    <w:rsid w:val="00C079BB"/>
    <w:rsid w:val="00C1135A"/>
    <w:rsid w:val="00C11A01"/>
    <w:rsid w:val="00C1227A"/>
    <w:rsid w:val="00C130E6"/>
    <w:rsid w:val="00C13598"/>
    <w:rsid w:val="00C143E8"/>
    <w:rsid w:val="00C15A71"/>
    <w:rsid w:val="00C15E5E"/>
    <w:rsid w:val="00C165AC"/>
    <w:rsid w:val="00C16EDB"/>
    <w:rsid w:val="00C2033F"/>
    <w:rsid w:val="00C2158C"/>
    <w:rsid w:val="00C21FA8"/>
    <w:rsid w:val="00C22535"/>
    <w:rsid w:val="00C231F6"/>
    <w:rsid w:val="00C27513"/>
    <w:rsid w:val="00C27A35"/>
    <w:rsid w:val="00C27F24"/>
    <w:rsid w:val="00C300EE"/>
    <w:rsid w:val="00C30AC0"/>
    <w:rsid w:val="00C3106C"/>
    <w:rsid w:val="00C3118F"/>
    <w:rsid w:val="00C311C7"/>
    <w:rsid w:val="00C32A10"/>
    <w:rsid w:val="00C33161"/>
    <w:rsid w:val="00C3344A"/>
    <w:rsid w:val="00C33965"/>
    <w:rsid w:val="00C3480E"/>
    <w:rsid w:val="00C34D1A"/>
    <w:rsid w:val="00C366A9"/>
    <w:rsid w:val="00C37623"/>
    <w:rsid w:val="00C40088"/>
    <w:rsid w:val="00C4067A"/>
    <w:rsid w:val="00C406AC"/>
    <w:rsid w:val="00C41A96"/>
    <w:rsid w:val="00C42095"/>
    <w:rsid w:val="00C42DC8"/>
    <w:rsid w:val="00C45654"/>
    <w:rsid w:val="00C4661A"/>
    <w:rsid w:val="00C466A3"/>
    <w:rsid w:val="00C47948"/>
    <w:rsid w:val="00C50BFC"/>
    <w:rsid w:val="00C516C9"/>
    <w:rsid w:val="00C517AE"/>
    <w:rsid w:val="00C51906"/>
    <w:rsid w:val="00C51B10"/>
    <w:rsid w:val="00C5278F"/>
    <w:rsid w:val="00C5387D"/>
    <w:rsid w:val="00C53A92"/>
    <w:rsid w:val="00C550EA"/>
    <w:rsid w:val="00C55101"/>
    <w:rsid w:val="00C560E3"/>
    <w:rsid w:val="00C6133F"/>
    <w:rsid w:val="00C614CE"/>
    <w:rsid w:val="00C627F0"/>
    <w:rsid w:val="00C6299D"/>
    <w:rsid w:val="00C637D4"/>
    <w:rsid w:val="00C64EB0"/>
    <w:rsid w:val="00C653C8"/>
    <w:rsid w:val="00C65538"/>
    <w:rsid w:val="00C666C0"/>
    <w:rsid w:val="00C672C8"/>
    <w:rsid w:val="00C6793D"/>
    <w:rsid w:val="00C70A93"/>
    <w:rsid w:val="00C70D9C"/>
    <w:rsid w:val="00C71C44"/>
    <w:rsid w:val="00C7206E"/>
    <w:rsid w:val="00C732C3"/>
    <w:rsid w:val="00C737D2"/>
    <w:rsid w:val="00C73931"/>
    <w:rsid w:val="00C745F0"/>
    <w:rsid w:val="00C75825"/>
    <w:rsid w:val="00C760A0"/>
    <w:rsid w:val="00C761DC"/>
    <w:rsid w:val="00C76401"/>
    <w:rsid w:val="00C76CCC"/>
    <w:rsid w:val="00C771EC"/>
    <w:rsid w:val="00C8247A"/>
    <w:rsid w:val="00C82B93"/>
    <w:rsid w:val="00C82D03"/>
    <w:rsid w:val="00C85C32"/>
    <w:rsid w:val="00C86858"/>
    <w:rsid w:val="00C86E66"/>
    <w:rsid w:val="00C86E72"/>
    <w:rsid w:val="00C86F1C"/>
    <w:rsid w:val="00C91766"/>
    <w:rsid w:val="00C9358E"/>
    <w:rsid w:val="00C9710D"/>
    <w:rsid w:val="00C97CF8"/>
    <w:rsid w:val="00CA1DF8"/>
    <w:rsid w:val="00CA28FA"/>
    <w:rsid w:val="00CA2CE4"/>
    <w:rsid w:val="00CA3ABF"/>
    <w:rsid w:val="00CA4840"/>
    <w:rsid w:val="00CA6BAB"/>
    <w:rsid w:val="00CA6BB5"/>
    <w:rsid w:val="00CA732A"/>
    <w:rsid w:val="00CB0733"/>
    <w:rsid w:val="00CB09D0"/>
    <w:rsid w:val="00CB0BCA"/>
    <w:rsid w:val="00CB11DE"/>
    <w:rsid w:val="00CB14F7"/>
    <w:rsid w:val="00CB184B"/>
    <w:rsid w:val="00CB1B48"/>
    <w:rsid w:val="00CB2335"/>
    <w:rsid w:val="00CB2607"/>
    <w:rsid w:val="00CB4219"/>
    <w:rsid w:val="00CB4A5D"/>
    <w:rsid w:val="00CB4B6C"/>
    <w:rsid w:val="00CB53F0"/>
    <w:rsid w:val="00CB5F62"/>
    <w:rsid w:val="00CC02DA"/>
    <w:rsid w:val="00CC067A"/>
    <w:rsid w:val="00CC105A"/>
    <w:rsid w:val="00CC24AC"/>
    <w:rsid w:val="00CC35A9"/>
    <w:rsid w:val="00CC3A95"/>
    <w:rsid w:val="00CC417B"/>
    <w:rsid w:val="00CC473E"/>
    <w:rsid w:val="00CC567E"/>
    <w:rsid w:val="00CC6ECC"/>
    <w:rsid w:val="00CC7D35"/>
    <w:rsid w:val="00CD0AA0"/>
    <w:rsid w:val="00CD21EC"/>
    <w:rsid w:val="00CD3399"/>
    <w:rsid w:val="00CD3AB3"/>
    <w:rsid w:val="00CD3D35"/>
    <w:rsid w:val="00CD4C39"/>
    <w:rsid w:val="00CD5CE3"/>
    <w:rsid w:val="00CD5D19"/>
    <w:rsid w:val="00CD5EA2"/>
    <w:rsid w:val="00CD70BD"/>
    <w:rsid w:val="00CD7137"/>
    <w:rsid w:val="00CE0103"/>
    <w:rsid w:val="00CE113F"/>
    <w:rsid w:val="00CE1591"/>
    <w:rsid w:val="00CE15CB"/>
    <w:rsid w:val="00CE3873"/>
    <w:rsid w:val="00CE3881"/>
    <w:rsid w:val="00CE3FE8"/>
    <w:rsid w:val="00CE4681"/>
    <w:rsid w:val="00CE7ABE"/>
    <w:rsid w:val="00CF2599"/>
    <w:rsid w:val="00CF6B04"/>
    <w:rsid w:val="00D01AFF"/>
    <w:rsid w:val="00D01C04"/>
    <w:rsid w:val="00D01D2A"/>
    <w:rsid w:val="00D0287C"/>
    <w:rsid w:val="00D02EC0"/>
    <w:rsid w:val="00D0398E"/>
    <w:rsid w:val="00D03C67"/>
    <w:rsid w:val="00D04521"/>
    <w:rsid w:val="00D0463A"/>
    <w:rsid w:val="00D04A39"/>
    <w:rsid w:val="00D0654F"/>
    <w:rsid w:val="00D07694"/>
    <w:rsid w:val="00D10049"/>
    <w:rsid w:val="00D103D8"/>
    <w:rsid w:val="00D10E01"/>
    <w:rsid w:val="00D11238"/>
    <w:rsid w:val="00D11464"/>
    <w:rsid w:val="00D131A1"/>
    <w:rsid w:val="00D14292"/>
    <w:rsid w:val="00D14588"/>
    <w:rsid w:val="00D149B7"/>
    <w:rsid w:val="00D14A65"/>
    <w:rsid w:val="00D156B4"/>
    <w:rsid w:val="00D16294"/>
    <w:rsid w:val="00D16600"/>
    <w:rsid w:val="00D16645"/>
    <w:rsid w:val="00D1679A"/>
    <w:rsid w:val="00D16972"/>
    <w:rsid w:val="00D16DE7"/>
    <w:rsid w:val="00D16F80"/>
    <w:rsid w:val="00D16FAC"/>
    <w:rsid w:val="00D17CF7"/>
    <w:rsid w:val="00D17DFE"/>
    <w:rsid w:val="00D204A1"/>
    <w:rsid w:val="00D20AE7"/>
    <w:rsid w:val="00D221A6"/>
    <w:rsid w:val="00D23444"/>
    <w:rsid w:val="00D23F2D"/>
    <w:rsid w:val="00D2417F"/>
    <w:rsid w:val="00D245C4"/>
    <w:rsid w:val="00D24B09"/>
    <w:rsid w:val="00D252A4"/>
    <w:rsid w:val="00D27712"/>
    <w:rsid w:val="00D27C74"/>
    <w:rsid w:val="00D30370"/>
    <w:rsid w:val="00D30F9D"/>
    <w:rsid w:val="00D3109A"/>
    <w:rsid w:val="00D316EE"/>
    <w:rsid w:val="00D32DA9"/>
    <w:rsid w:val="00D32FF7"/>
    <w:rsid w:val="00D33195"/>
    <w:rsid w:val="00D338E5"/>
    <w:rsid w:val="00D33952"/>
    <w:rsid w:val="00D3468B"/>
    <w:rsid w:val="00D349BE"/>
    <w:rsid w:val="00D34A19"/>
    <w:rsid w:val="00D3523B"/>
    <w:rsid w:val="00D35CD2"/>
    <w:rsid w:val="00D40861"/>
    <w:rsid w:val="00D40C5F"/>
    <w:rsid w:val="00D41BF9"/>
    <w:rsid w:val="00D41E97"/>
    <w:rsid w:val="00D436B7"/>
    <w:rsid w:val="00D43B91"/>
    <w:rsid w:val="00D444A8"/>
    <w:rsid w:val="00D46DA2"/>
    <w:rsid w:val="00D471AB"/>
    <w:rsid w:val="00D5004B"/>
    <w:rsid w:val="00D5014D"/>
    <w:rsid w:val="00D508EE"/>
    <w:rsid w:val="00D51361"/>
    <w:rsid w:val="00D51C40"/>
    <w:rsid w:val="00D529FA"/>
    <w:rsid w:val="00D53A50"/>
    <w:rsid w:val="00D55714"/>
    <w:rsid w:val="00D564FE"/>
    <w:rsid w:val="00D600FF"/>
    <w:rsid w:val="00D60998"/>
    <w:rsid w:val="00D611B4"/>
    <w:rsid w:val="00D6168B"/>
    <w:rsid w:val="00D618EB"/>
    <w:rsid w:val="00D63D6F"/>
    <w:rsid w:val="00D65A07"/>
    <w:rsid w:val="00D7007B"/>
    <w:rsid w:val="00D70398"/>
    <w:rsid w:val="00D706B0"/>
    <w:rsid w:val="00D710C4"/>
    <w:rsid w:val="00D714A7"/>
    <w:rsid w:val="00D741D7"/>
    <w:rsid w:val="00D74FCC"/>
    <w:rsid w:val="00D80BC4"/>
    <w:rsid w:val="00D814ED"/>
    <w:rsid w:val="00D81BC9"/>
    <w:rsid w:val="00D82F55"/>
    <w:rsid w:val="00D83684"/>
    <w:rsid w:val="00D83723"/>
    <w:rsid w:val="00D83ECC"/>
    <w:rsid w:val="00D843D5"/>
    <w:rsid w:val="00D8514F"/>
    <w:rsid w:val="00D85381"/>
    <w:rsid w:val="00D855E5"/>
    <w:rsid w:val="00D85904"/>
    <w:rsid w:val="00D85C39"/>
    <w:rsid w:val="00D87016"/>
    <w:rsid w:val="00D87A4B"/>
    <w:rsid w:val="00D92A47"/>
    <w:rsid w:val="00D93314"/>
    <w:rsid w:val="00D942F6"/>
    <w:rsid w:val="00D95757"/>
    <w:rsid w:val="00D95EB6"/>
    <w:rsid w:val="00D97568"/>
    <w:rsid w:val="00D9762B"/>
    <w:rsid w:val="00D97855"/>
    <w:rsid w:val="00D97A64"/>
    <w:rsid w:val="00DA2DBC"/>
    <w:rsid w:val="00DA3315"/>
    <w:rsid w:val="00DA3F5D"/>
    <w:rsid w:val="00DA4478"/>
    <w:rsid w:val="00DA44CA"/>
    <w:rsid w:val="00DA58F1"/>
    <w:rsid w:val="00DA5A0C"/>
    <w:rsid w:val="00DA5A31"/>
    <w:rsid w:val="00DA5BFD"/>
    <w:rsid w:val="00DA7060"/>
    <w:rsid w:val="00DA7BBD"/>
    <w:rsid w:val="00DB08A2"/>
    <w:rsid w:val="00DB151D"/>
    <w:rsid w:val="00DB1567"/>
    <w:rsid w:val="00DB212F"/>
    <w:rsid w:val="00DB21F1"/>
    <w:rsid w:val="00DB39AE"/>
    <w:rsid w:val="00DB48CD"/>
    <w:rsid w:val="00DB4C6F"/>
    <w:rsid w:val="00DB4E22"/>
    <w:rsid w:val="00DB6DEB"/>
    <w:rsid w:val="00DC084B"/>
    <w:rsid w:val="00DC1CCA"/>
    <w:rsid w:val="00DC2901"/>
    <w:rsid w:val="00DC3763"/>
    <w:rsid w:val="00DC3D47"/>
    <w:rsid w:val="00DC47DB"/>
    <w:rsid w:val="00DC4810"/>
    <w:rsid w:val="00DC4A14"/>
    <w:rsid w:val="00DC4C3F"/>
    <w:rsid w:val="00DC5AA9"/>
    <w:rsid w:val="00DC6BFB"/>
    <w:rsid w:val="00DC6C9E"/>
    <w:rsid w:val="00DC6F16"/>
    <w:rsid w:val="00DC7257"/>
    <w:rsid w:val="00DC7556"/>
    <w:rsid w:val="00DC77CE"/>
    <w:rsid w:val="00DD03EB"/>
    <w:rsid w:val="00DD0781"/>
    <w:rsid w:val="00DD0EAC"/>
    <w:rsid w:val="00DD1138"/>
    <w:rsid w:val="00DD1536"/>
    <w:rsid w:val="00DD1894"/>
    <w:rsid w:val="00DD1AF9"/>
    <w:rsid w:val="00DD228A"/>
    <w:rsid w:val="00DD26D5"/>
    <w:rsid w:val="00DD48A0"/>
    <w:rsid w:val="00DD63EC"/>
    <w:rsid w:val="00DD6C80"/>
    <w:rsid w:val="00DE0400"/>
    <w:rsid w:val="00DE057D"/>
    <w:rsid w:val="00DE0C05"/>
    <w:rsid w:val="00DE11FC"/>
    <w:rsid w:val="00DE4AF5"/>
    <w:rsid w:val="00DE4DC0"/>
    <w:rsid w:val="00DE570A"/>
    <w:rsid w:val="00DE5787"/>
    <w:rsid w:val="00DE5ACC"/>
    <w:rsid w:val="00DE6BB7"/>
    <w:rsid w:val="00DE7546"/>
    <w:rsid w:val="00DE7BE6"/>
    <w:rsid w:val="00DF0C46"/>
    <w:rsid w:val="00DF25BC"/>
    <w:rsid w:val="00DF3820"/>
    <w:rsid w:val="00DF4F3E"/>
    <w:rsid w:val="00DF61AA"/>
    <w:rsid w:val="00DF693D"/>
    <w:rsid w:val="00DF6EB5"/>
    <w:rsid w:val="00DF71EE"/>
    <w:rsid w:val="00DF7938"/>
    <w:rsid w:val="00E00356"/>
    <w:rsid w:val="00E01D18"/>
    <w:rsid w:val="00E039C4"/>
    <w:rsid w:val="00E04337"/>
    <w:rsid w:val="00E0512C"/>
    <w:rsid w:val="00E05D87"/>
    <w:rsid w:val="00E110EC"/>
    <w:rsid w:val="00E11724"/>
    <w:rsid w:val="00E14829"/>
    <w:rsid w:val="00E14AE7"/>
    <w:rsid w:val="00E14FC0"/>
    <w:rsid w:val="00E162ED"/>
    <w:rsid w:val="00E1792B"/>
    <w:rsid w:val="00E20A29"/>
    <w:rsid w:val="00E21191"/>
    <w:rsid w:val="00E211D2"/>
    <w:rsid w:val="00E24797"/>
    <w:rsid w:val="00E25A42"/>
    <w:rsid w:val="00E26069"/>
    <w:rsid w:val="00E26EB5"/>
    <w:rsid w:val="00E27179"/>
    <w:rsid w:val="00E3093B"/>
    <w:rsid w:val="00E31607"/>
    <w:rsid w:val="00E32737"/>
    <w:rsid w:val="00E32826"/>
    <w:rsid w:val="00E3305A"/>
    <w:rsid w:val="00E34F2B"/>
    <w:rsid w:val="00E35678"/>
    <w:rsid w:val="00E35748"/>
    <w:rsid w:val="00E3637C"/>
    <w:rsid w:val="00E3648B"/>
    <w:rsid w:val="00E426D5"/>
    <w:rsid w:val="00E42DC9"/>
    <w:rsid w:val="00E434FF"/>
    <w:rsid w:val="00E444BA"/>
    <w:rsid w:val="00E44B9A"/>
    <w:rsid w:val="00E4503A"/>
    <w:rsid w:val="00E451ED"/>
    <w:rsid w:val="00E456F3"/>
    <w:rsid w:val="00E45B1B"/>
    <w:rsid w:val="00E45CD2"/>
    <w:rsid w:val="00E514E8"/>
    <w:rsid w:val="00E52D6E"/>
    <w:rsid w:val="00E52EB0"/>
    <w:rsid w:val="00E5383B"/>
    <w:rsid w:val="00E541E2"/>
    <w:rsid w:val="00E5458A"/>
    <w:rsid w:val="00E54660"/>
    <w:rsid w:val="00E55155"/>
    <w:rsid w:val="00E556F3"/>
    <w:rsid w:val="00E55FC2"/>
    <w:rsid w:val="00E5652A"/>
    <w:rsid w:val="00E568F2"/>
    <w:rsid w:val="00E571B5"/>
    <w:rsid w:val="00E600C1"/>
    <w:rsid w:val="00E6032D"/>
    <w:rsid w:val="00E604C3"/>
    <w:rsid w:val="00E60FF4"/>
    <w:rsid w:val="00E612B1"/>
    <w:rsid w:val="00E61B95"/>
    <w:rsid w:val="00E6381E"/>
    <w:rsid w:val="00E63B44"/>
    <w:rsid w:val="00E63FDF"/>
    <w:rsid w:val="00E64445"/>
    <w:rsid w:val="00E64631"/>
    <w:rsid w:val="00E6575F"/>
    <w:rsid w:val="00E65F4F"/>
    <w:rsid w:val="00E70C11"/>
    <w:rsid w:val="00E71B7E"/>
    <w:rsid w:val="00E7231B"/>
    <w:rsid w:val="00E73C52"/>
    <w:rsid w:val="00E73D0E"/>
    <w:rsid w:val="00E73DD7"/>
    <w:rsid w:val="00E73FDE"/>
    <w:rsid w:val="00E76819"/>
    <w:rsid w:val="00E77CA3"/>
    <w:rsid w:val="00E81490"/>
    <w:rsid w:val="00E815B6"/>
    <w:rsid w:val="00E819B4"/>
    <w:rsid w:val="00E82D09"/>
    <w:rsid w:val="00E82DBC"/>
    <w:rsid w:val="00E838FA"/>
    <w:rsid w:val="00E8459A"/>
    <w:rsid w:val="00E85CAE"/>
    <w:rsid w:val="00E86A69"/>
    <w:rsid w:val="00E86C29"/>
    <w:rsid w:val="00E86FC9"/>
    <w:rsid w:val="00E87802"/>
    <w:rsid w:val="00E87FC6"/>
    <w:rsid w:val="00E90D7E"/>
    <w:rsid w:val="00E914CF"/>
    <w:rsid w:val="00E9164E"/>
    <w:rsid w:val="00E917E1"/>
    <w:rsid w:val="00E91F86"/>
    <w:rsid w:val="00E928D9"/>
    <w:rsid w:val="00E92B08"/>
    <w:rsid w:val="00E944C6"/>
    <w:rsid w:val="00E94AD1"/>
    <w:rsid w:val="00E94D8D"/>
    <w:rsid w:val="00E96E53"/>
    <w:rsid w:val="00E96E5C"/>
    <w:rsid w:val="00E9712E"/>
    <w:rsid w:val="00E97E74"/>
    <w:rsid w:val="00EA0F23"/>
    <w:rsid w:val="00EA28A8"/>
    <w:rsid w:val="00EA472A"/>
    <w:rsid w:val="00EA569D"/>
    <w:rsid w:val="00EB16BB"/>
    <w:rsid w:val="00EB2B47"/>
    <w:rsid w:val="00EB2DE1"/>
    <w:rsid w:val="00EB3391"/>
    <w:rsid w:val="00EB35FA"/>
    <w:rsid w:val="00EB5537"/>
    <w:rsid w:val="00EB606D"/>
    <w:rsid w:val="00EB6DE0"/>
    <w:rsid w:val="00EB752C"/>
    <w:rsid w:val="00EB75F9"/>
    <w:rsid w:val="00EB7C54"/>
    <w:rsid w:val="00EC0868"/>
    <w:rsid w:val="00EC0CBD"/>
    <w:rsid w:val="00EC17AA"/>
    <w:rsid w:val="00EC24E2"/>
    <w:rsid w:val="00EC25F9"/>
    <w:rsid w:val="00EC2DB1"/>
    <w:rsid w:val="00EC2E88"/>
    <w:rsid w:val="00EC3201"/>
    <w:rsid w:val="00EC45EB"/>
    <w:rsid w:val="00EC509A"/>
    <w:rsid w:val="00EC5F10"/>
    <w:rsid w:val="00EC6787"/>
    <w:rsid w:val="00EC7036"/>
    <w:rsid w:val="00EC7A9A"/>
    <w:rsid w:val="00ED0D27"/>
    <w:rsid w:val="00ED128D"/>
    <w:rsid w:val="00ED13BC"/>
    <w:rsid w:val="00ED1509"/>
    <w:rsid w:val="00ED17F1"/>
    <w:rsid w:val="00ED2065"/>
    <w:rsid w:val="00ED4028"/>
    <w:rsid w:val="00ED44A3"/>
    <w:rsid w:val="00ED5D77"/>
    <w:rsid w:val="00ED5DF6"/>
    <w:rsid w:val="00ED676A"/>
    <w:rsid w:val="00ED6CAD"/>
    <w:rsid w:val="00ED6E64"/>
    <w:rsid w:val="00ED6F56"/>
    <w:rsid w:val="00ED7366"/>
    <w:rsid w:val="00ED747E"/>
    <w:rsid w:val="00EE0555"/>
    <w:rsid w:val="00EE0878"/>
    <w:rsid w:val="00EE0BCC"/>
    <w:rsid w:val="00EE20FC"/>
    <w:rsid w:val="00EE2148"/>
    <w:rsid w:val="00EE2174"/>
    <w:rsid w:val="00EE292A"/>
    <w:rsid w:val="00EE2D88"/>
    <w:rsid w:val="00EE3F93"/>
    <w:rsid w:val="00EE4083"/>
    <w:rsid w:val="00EE46BC"/>
    <w:rsid w:val="00EE65E2"/>
    <w:rsid w:val="00EE7419"/>
    <w:rsid w:val="00EE7486"/>
    <w:rsid w:val="00EE790D"/>
    <w:rsid w:val="00EF0088"/>
    <w:rsid w:val="00EF02E5"/>
    <w:rsid w:val="00EF048A"/>
    <w:rsid w:val="00EF098D"/>
    <w:rsid w:val="00EF1295"/>
    <w:rsid w:val="00EF197A"/>
    <w:rsid w:val="00EF2EBD"/>
    <w:rsid w:val="00EF395D"/>
    <w:rsid w:val="00EF3ED7"/>
    <w:rsid w:val="00EF43F3"/>
    <w:rsid w:val="00EF5FF0"/>
    <w:rsid w:val="00EF67BB"/>
    <w:rsid w:val="00F0055F"/>
    <w:rsid w:val="00F01E5B"/>
    <w:rsid w:val="00F03653"/>
    <w:rsid w:val="00F0430D"/>
    <w:rsid w:val="00F04B46"/>
    <w:rsid w:val="00F04E8E"/>
    <w:rsid w:val="00F058B1"/>
    <w:rsid w:val="00F06E3B"/>
    <w:rsid w:val="00F07107"/>
    <w:rsid w:val="00F0717F"/>
    <w:rsid w:val="00F07255"/>
    <w:rsid w:val="00F11273"/>
    <w:rsid w:val="00F11408"/>
    <w:rsid w:val="00F128A6"/>
    <w:rsid w:val="00F13667"/>
    <w:rsid w:val="00F13699"/>
    <w:rsid w:val="00F13A4D"/>
    <w:rsid w:val="00F1408B"/>
    <w:rsid w:val="00F1473E"/>
    <w:rsid w:val="00F149D0"/>
    <w:rsid w:val="00F153D3"/>
    <w:rsid w:val="00F1607D"/>
    <w:rsid w:val="00F16173"/>
    <w:rsid w:val="00F16A7A"/>
    <w:rsid w:val="00F1711B"/>
    <w:rsid w:val="00F2097C"/>
    <w:rsid w:val="00F20F56"/>
    <w:rsid w:val="00F21859"/>
    <w:rsid w:val="00F23C72"/>
    <w:rsid w:val="00F25B3D"/>
    <w:rsid w:val="00F30309"/>
    <w:rsid w:val="00F30504"/>
    <w:rsid w:val="00F31655"/>
    <w:rsid w:val="00F31788"/>
    <w:rsid w:val="00F31E60"/>
    <w:rsid w:val="00F31E89"/>
    <w:rsid w:val="00F31EB9"/>
    <w:rsid w:val="00F325F5"/>
    <w:rsid w:val="00F32936"/>
    <w:rsid w:val="00F32F8A"/>
    <w:rsid w:val="00F3394E"/>
    <w:rsid w:val="00F3450A"/>
    <w:rsid w:val="00F35052"/>
    <w:rsid w:val="00F35E55"/>
    <w:rsid w:val="00F361C1"/>
    <w:rsid w:val="00F37403"/>
    <w:rsid w:val="00F41DFB"/>
    <w:rsid w:val="00F43D7E"/>
    <w:rsid w:val="00F447DF"/>
    <w:rsid w:val="00F447EB"/>
    <w:rsid w:val="00F458AF"/>
    <w:rsid w:val="00F46715"/>
    <w:rsid w:val="00F52010"/>
    <w:rsid w:val="00F52234"/>
    <w:rsid w:val="00F525B3"/>
    <w:rsid w:val="00F54802"/>
    <w:rsid w:val="00F54B8F"/>
    <w:rsid w:val="00F56412"/>
    <w:rsid w:val="00F57D3A"/>
    <w:rsid w:val="00F6200F"/>
    <w:rsid w:val="00F64D1B"/>
    <w:rsid w:val="00F655F0"/>
    <w:rsid w:val="00F66E67"/>
    <w:rsid w:val="00F673B5"/>
    <w:rsid w:val="00F7057B"/>
    <w:rsid w:val="00F707A5"/>
    <w:rsid w:val="00F71A11"/>
    <w:rsid w:val="00F73DA3"/>
    <w:rsid w:val="00F74083"/>
    <w:rsid w:val="00F74410"/>
    <w:rsid w:val="00F745C4"/>
    <w:rsid w:val="00F74DB5"/>
    <w:rsid w:val="00F75C96"/>
    <w:rsid w:val="00F77A33"/>
    <w:rsid w:val="00F80084"/>
    <w:rsid w:val="00F8061E"/>
    <w:rsid w:val="00F816F4"/>
    <w:rsid w:val="00F81BAD"/>
    <w:rsid w:val="00F81F28"/>
    <w:rsid w:val="00F8229A"/>
    <w:rsid w:val="00F8257E"/>
    <w:rsid w:val="00F82736"/>
    <w:rsid w:val="00F83BE1"/>
    <w:rsid w:val="00F84324"/>
    <w:rsid w:val="00F849E3"/>
    <w:rsid w:val="00F860B3"/>
    <w:rsid w:val="00F8711F"/>
    <w:rsid w:val="00F8713D"/>
    <w:rsid w:val="00F87E29"/>
    <w:rsid w:val="00F91A0F"/>
    <w:rsid w:val="00F92540"/>
    <w:rsid w:val="00F937C7"/>
    <w:rsid w:val="00F93A58"/>
    <w:rsid w:val="00F9578E"/>
    <w:rsid w:val="00F95927"/>
    <w:rsid w:val="00F9608F"/>
    <w:rsid w:val="00F968B3"/>
    <w:rsid w:val="00F96F83"/>
    <w:rsid w:val="00FA0481"/>
    <w:rsid w:val="00FA27F9"/>
    <w:rsid w:val="00FA47EE"/>
    <w:rsid w:val="00FA509A"/>
    <w:rsid w:val="00FA50CB"/>
    <w:rsid w:val="00FA6D7D"/>
    <w:rsid w:val="00FB0745"/>
    <w:rsid w:val="00FB089E"/>
    <w:rsid w:val="00FB0DEE"/>
    <w:rsid w:val="00FB3F8A"/>
    <w:rsid w:val="00FB4BAF"/>
    <w:rsid w:val="00FB5E89"/>
    <w:rsid w:val="00FB61C9"/>
    <w:rsid w:val="00FB72C9"/>
    <w:rsid w:val="00FC1146"/>
    <w:rsid w:val="00FC11F4"/>
    <w:rsid w:val="00FC1254"/>
    <w:rsid w:val="00FC303A"/>
    <w:rsid w:val="00FC3663"/>
    <w:rsid w:val="00FC421B"/>
    <w:rsid w:val="00FC5A6B"/>
    <w:rsid w:val="00FC5DD0"/>
    <w:rsid w:val="00FC6514"/>
    <w:rsid w:val="00FC67F6"/>
    <w:rsid w:val="00FC6EF9"/>
    <w:rsid w:val="00FC7292"/>
    <w:rsid w:val="00FC7394"/>
    <w:rsid w:val="00FD23C7"/>
    <w:rsid w:val="00FD2B00"/>
    <w:rsid w:val="00FD3057"/>
    <w:rsid w:val="00FD34CD"/>
    <w:rsid w:val="00FD3F9D"/>
    <w:rsid w:val="00FD59DE"/>
    <w:rsid w:val="00FE04B9"/>
    <w:rsid w:val="00FE0A99"/>
    <w:rsid w:val="00FE0D58"/>
    <w:rsid w:val="00FE26CC"/>
    <w:rsid w:val="00FE2A5B"/>
    <w:rsid w:val="00FE4D26"/>
    <w:rsid w:val="00FE5262"/>
    <w:rsid w:val="00FE7DA5"/>
    <w:rsid w:val="00FF074D"/>
    <w:rsid w:val="00FF122C"/>
    <w:rsid w:val="00FF24FB"/>
    <w:rsid w:val="00FF2854"/>
    <w:rsid w:val="00FF38E5"/>
    <w:rsid w:val="00FF3F10"/>
    <w:rsid w:val="00FF62DA"/>
    <w:rsid w:val="00FF63C8"/>
    <w:rsid w:val="00FF66C4"/>
    <w:rsid w:val="00FF6A13"/>
    <w:rsid w:val="00FF7625"/>
    <w:rsid w:val="00FF7B8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780E28"/>
  <w15:chartTrackingRefBased/>
  <w15:docId w15:val="{1C654CFA-A93E-4342-9D23-B31A8826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CE3"/>
    <w:pPr>
      <w:spacing w:after="0" w:line="360" w:lineRule="auto"/>
      <w:jc w:val="both"/>
    </w:pPr>
    <w:rPr>
      <w:rFonts w:ascii="Times New Roman" w:hAnsi="Times New Roman"/>
      <w:color w:val="767171"/>
      <w:spacing w:val="10"/>
      <w:sz w:val="24"/>
    </w:rPr>
  </w:style>
  <w:style w:type="paragraph" w:styleId="Ttulo1">
    <w:name w:val="heading 1"/>
    <w:aliases w:val="Sub-título 1,Carol"/>
    <w:basedOn w:val="Normal"/>
    <w:next w:val="Normal"/>
    <w:link w:val="Ttulo1Car"/>
    <w:uiPriority w:val="9"/>
    <w:qFormat/>
    <w:rsid w:val="0076694C"/>
    <w:pPr>
      <w:keepNext/>
      <w:keepLines/>
      <w:numPr>
        <w:numId w:val="3"/>
      </w:numPr>
      <w:spacing w:before="240"/>
      <w:jc w:val="center"/>
      <w:outlineLvl w:val="0"/>
    </w:pPr>
    <w:rPr>
      <w:rFonts w:eastAsiaTheme="majorEastAsia" w:cstheme="majorBidi"/>
      <w:spacing w:val="30"/>
      <w:kern w:val="38"/>
      <w:sz w:val="28"/>
      <w:szCs w:val="32"/>
    </w:rPr>
  </w:style>
  <w:style w:type="paragraph" w:styleId="Ttulo2">
    <w:name w:val="heading 2"/>
    <w:aliases w:val="Título 2 modificado"/>
    <w:basedOn w:val="Normal"/>
    <w:next w:val="Normal"/>
    <w:link w:val="Ttulo2Car"/>
    <w:unhideWhenUsed/>
    <w:qFormat/>
    <w:rsid w:val="000D7F4F"/>
    <w:pPr>
      <w:keepNext/>
      <w:tabs>
        <w:tab w:val="left" w:pos="300"/>
        <w:tab w:val="left" w:pos="500"/>
      </w:tabs>
      <w:spacing w:line="240" w:lineRule="auto"/>
      <w:jc w:val="left"/>
      <w:outlineLvl w:val="1"/>
    </w:pPr>
    <w:rPr>
      <w:rFonts w:eastAsiaTheme="majorEastAsia" w:cstheme="majorBidi"/>
      <w:szCs w:val="26"/>
    </w:rPr>
  </w:style>
  <w:style w:type="paragraph" w:styleId="Ttulo3">
    <w:name w:val="heading 3"/>
    <w:basedOn w:val="Normal"/>
    <w:next w:val="Normal"/>
    <w:link w:val="Ttulo3Car"/>
    <w:unhideWhenUsed/>
    <w:qFormat/>
    <w:rsid w:val="003B4B36"/>
    <w:pPr>
      <w:keepNext/>
      <w:keepLines/>
      <w:spacing w:before="40"/>
      <w:jc w:val="center"/>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nhideWhenUsed/>
    <w:qFormat/>
    <w:rsid w:val="00E819B4"/>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70572C"/>
    <w:pPr>
      <w:keepNext/>
      <w:spacing w:line="240" w:lineRule="auto"/>
      <w:outlineLvl w:val="4"/>
    </w:pPr>
    <w:rPr>
      <w:rFonts w:ascii="Univers" w:eastAsia="Times New Roman" w:hAnsi="Univers" w:cs="Times New Roman"/>
      <w:b/>
      <w:bCs/>
      <w:color w:val="auto"/>
      <w:sz w:val="22"/>
      <w:szCs w:val="24"/>
      <w:u w:val="single"/>
      <w:lang w:val="es-ES_tradnl" w:eastAsia="es-ES"/>
    </w:rPr>
  </w:style>
  <w:style w:type="paragraph" w:styleId="Ttulo6">
    <w:name w:val="heading 6"/>
    <w:basedOn w:val="Normal"/>
    <w:next w:val="Normal"/>
    <w:link w:val="Ttulo6Car"/>
    <w:qFormat/>
    <w:rsid w:val="0070572C"/>
    <w:pPr>
      <w:keepNext/>
      <w:spacing w:line="240" w:lineRule="auto"/>
      <w:outlineLvl w:val="5"/>
    </w:pPr>
    <w:rPr>
      <w:rFonts w:ascii="Univers" w:eastAsia="Times New Roman" w:hAnsi="Univers" w:cs="Times New Roman"/>
      <w:i/>
      <w:iCs/>
      <w:color w:val="auto"/>
      <w:sz w:val="22"/>
      <w:szCs w:val="24"/>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título 1 Car,Carol Car"/>
    <w:basedOn w:val="Fuentedeprrafopredeter"/>
    <w:link w:val="Ttulo1"/>
    <w:uiPriority w:val="9"/>
    <w:rsid w:val="0076694C"/>
    <w:rPr>
      <w:rFonts w:ascii="Times New Roman" w:eastAsiaTheme="majorEastAsia" w:hAnsi="Times New Roman" w:cstheme="majorBidi"/>
      <w:color w:val="767171"/>
      <w:spacing w:val="30"/>
      <w:kern w:val="38"/>
      <w:sz w:val="28"/>
      <w:szCs w:val="32"/>
    </w:rPr>
  </w:style>
  <w:style w:type="character" w:customStyle="1" w:styleId="Ttulo2Car">
    <w:name w:val="Título 2 Car"/>
    <w:aliases w:val="Título 2 modificado Car"/>
    <w:basedOn w:val="Fuentedeprrafopredeter"/>
    <w:link w:val="Ttulo2"/>
    <w:rsid w:val="000D7F4F"/>
    <w:rPr>
      <w:rFonts w:ascii="Times New Roman" w:eastAsiaTheme="majorEastAsia" w:hAnsi="Times New Roman" w:cstheme="majorBidi"/>
      <w:color w:val="767171"/>
      <w:sz w:val="24"/>
      <w:szCs w:val="26"/>
    </w:rPr>
  </w:style>
  <w:style w:type="character" w:customStyle="1" w:styleId="Ttulo3Car">
    <w:name w:val="Título 3 Car"/>
    <w:basedOn w:val="Fuentedeprrafopredeter"/>
    <w:link w:val="Ttulo3"/>
    <w:rsid w:val="003B4B36"/>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rsid w:val="00E819B4"/>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rsid w:val="0070572C"/>
    <w:rPr>
      <w:rFonts w:ascii="Univers" w:eastAsia="Times New Roman" w:hAnsi="Univers" w:cs="Times New Roman"/>
      <w:b/>
      <w:bCs/>
      <w:szCs w:val="24"/>
      <w:u w:val="single"/>
      <w:lang w:val="es-ES_tradnl" w:eastAsia="es-ES"/>
    </w:rPr>
  </w:style>
  <w:style w:type="character" w:customStyle="1" w:styleId="Ttulo6Car">
    <w:name w:val="Título 6 Car"/>
    <w:basedOn w:val="Fuentedeprrafopredeter"/>
    <w:link w:val="Ttulo6"/>
    <w:rsid w:val="0070572C"/>
    <w:rPr>
      <w:rFonts w:ascii="Univers" w:eastAsia="Times New Roman" w:hAnsi="Univers" w:cs="Times New Roman"/>
      <w:i/>
      <w:iCs/>
      <w:szCs w:val="24"/>
      <w:u w:val="single"/>
      <w:lang w:val="es-ES_tradnl" w:eastAsia="es-ES"/>
    </w:rPr>
  </w:style>
  <w:style w:type="paragraph" w:styleId="Encabezado">
    <w:name w:val="header"/>
    <w:basedOn w:val="Normal"/>
    <w:link w:val="EncabezadoCar"/>
    <w:uiPriority w:val="99"/>
    <w:unhideWhenUsed/>
    <w:rsid w:val="00DC4A1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C4A14"/>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paragraph" w:styleId="Ttulo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A903E4"/>
    <w:pPr>
      <w:tabs>
        <w:tab w:val="left" w:pos="600"/>
        <w:tab w:val="right" w:pos="7920"/>
      </w:tabs>
      <w:spacing w:after="100"/>
      <w:ind w:left="600" w:hanging="458"/>
    </w:pPr>
    <w:rPr>
      <w:rFonts w:cs="Times New Roman"/>
      <w:b/>
      <w:bCs/>
      <w:noProof/>
      <w:spacing w:val="20"/>
      <w:position w:val="4"/>
      <w:sz w:val="22"/>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A903E4"/>
    <w:pPr>
      <w:tabs>
        <w:tab w:val="left" w:pos="600"/>
        <w:tab w:val="left" w:pos="1200"/>
        <w:tab w:val="right" w:pos="7910"/>
      </w:tabs>
      <w:spacing w:after="100"/>
      <w:ind w:left="142"/>
    </w:pPr>
  </w:style>
  <w:style w:type="paragraph" w:styleId="Prrafodelista">
    <w:name w:val="List Paragraph"/>
    <w:basedOn w:val="Normal"/>
    <w:link w:val="PrrafodelistaCar"/>
    <w:autoRedefine/>
    <w:uiPriority w:val="34"/>
    <w:qFormat/>
    <w:rsid w:val="00C517AE"/>
    <w:pPr>
      <w:numPr>
        <w:numId w:val="20"/>
      </w:numPr>
      <w:tabs>
        <w:tab w:val="left" w:pos="0"/>
      </w:tabs>
      <w:spacing w:after="120"/>
      <w:contextualSpacing/>
      <w:jc w:val="center"/>
    </w:pPr>
    <w:rPr>
      <w:rFonts w:eastAsia="Times New Roman" w:cs="Times New Roman"/>
      <w:b/>
      <w:szCs w:val="24"/>
      <w:lang w:val="es-ES" w:eastAsia="es-ES" w:bidi="es-ES"/>
    </w:rPr>
  </w:style>
  <w:style w:type="character" w:customStyle="1" w:styleId="PrrafodelistaCar">
    <w:name w:val="Párrafo de lista Car"/>
    <w:basedOn w:val="Fuentedeprrafopredeter"/>
    <w:link w:val="Prrafodelista"/>
    <w:uiPriority w:val="34"/>
    <w:rsid w:val="00C517AE"/>
    <w:rPr>
      <w:rFonts w:ascii="Times New Roman" w:eastAsia="Times New Roman" w:hAnsi="Times New Roman" w:cs="Times New Roman"/>
      <w:b/>
      <w:color w:val="767171"/>
      <w:spacing w:val="10"/>
      <w:sz w:val="24"/>
      <w:szCs w:val="24"/>
      <w:lang w:val="es-ES" w:eastAsia="es-ES" w:bidi="es-ES"/>
    </w:r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jc w:val="left"/>
    </w:pPr>
    <w:rPr>
      <w:rFonts w:eastAsia="Times New Roman" w:cs="Times New Roman"/>
      <w:color w:val="auto"/>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aliases w:val="Epígrafe"/>
    <w:basedOn w:val="Normal"/>
    <w:next w:val="Normal"/>
    <w:uiPriority w:val="35"/>
    <w:semiHidden/>
    <w:unhideWhenUsed/>
    <w:qFormat/>
    <w:rsid w:val="00B101FB"/>
    <w:pPr>
      <w:spacing w:after="200" w:line="240" w:lineRule="auto"/>
    </w:pPr>
    <w:rPr>
      <w:i/>
      <w:iCs/>
      <w:color w:val="44546A" w:themeColor="text2"/>
      <w:szCs w:val="18"/>
    </w:rPr>
  </w:style>
  <w:style w:type="paragraph" w:styleId="Textoindependiente">
    <w:name w:val="Body Text"/>
    <w:basedOn w:val="Normal"/>
    <w:link w:val="TextoindependienteCar"/>
    <w:uiPriority w:val="1"/>
    <w:qFormat/>
    <w:rsid w:val="008571E6"/>
    <w:pPr>
      <w:widowControl w:val="0"/>
      <w:autoSpaceDE w:val="0"/>
      <w:autoSpaceDN w:val="0"/>
      <w:spacing w:line="240" w:lineRule="auto"/>
      <w:jc w:val="left"/>
    </w:pPr>
    <w:rPr>
      <w:rFonts w:eastAsia="Times New Roman" w:cs="Times New Roman"/>
      <w:color w:val="auto"/>
      <w:szCs w:val="24"/>
      <w:lang w:val="es-ES" w:eastAsia="es-ES" w:bidi="es-ES"/>
    </w:rPr>
  </w:style>
  <w:style w:type="character" w:customStyle="1" w:styleId="TextoindependienteCar">
    <w:name w:val="Texto independiente Car"/>
    <w:basedOn w:val="Fuentedeprrafopredeter"/>
    <w:link w:val="Textoindependiente"/>
    <w:uiPriority w:val="1"/>
    <w:rsid w:val="008571E6"/>
    <w:rPr>
      <w:rFonts w:ascii="Times New Roman" w:eastAsia="Times New Roman" w:hAnsi="Times New Roman" w:cs="Times New Roman"/>
      <w:sz w:val="24"/>
      <w:szCs w:val="24"/>
      <w:lang w:val="es-ES" w:eastAsia="es-ES" w:bidi="es-ES"/>
    </w:rPr>
  </w:style>
  <w:style w:type="paragraph" w:styleId="TDC3">
    <w:name w:val="toc 3"/>
    <w:basedOn w:val="Normal"/>
    <w:next w:val="Normal"/>
    <w:autoRedefine/>
    <w:uiPriority w:val="39"/>
    <w:unhideWhenUsed/>
    <w:rsid w:val="00F04E8E"/>
    <w:pPr>
      <w:tabs>
        <w:tab w:val="right" w:pos="7910"/>
      </w:tabs>
      <w:spacing w:after="100"/>
      <w:ind w:left="440"/>
    </w:pPr>
    <w:rPr>
      <w:rFonts w:cs="Times New Roman"/>
      <w:b/>
      <w:noProof/>
    </w:rPr>
  </w:style>
  <w:style w:type="paragraph" w:styleId="Textonotapie">
    <w:name w:val="footnote text"/>
    <w:basedOn w:val="Normal"/>
    <w:link w:val="TextonotapieCar"/>
    <w:uiPriority w:val="99"/>
    <w:semiHidden/>
    <w:unhideWhenUsed/>
    <w:rsid w:val="00AA1B9D"/>
    <w:pPr>
      <w:spacing w:line="240" w:lineRule="auto"/>
    </w:pPr>
    <w:rPr>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paragraph" w:customStyle="1" w:styleId="Sinespaciado1">
    <w:name w:val="Sin espaciado1"/>
    <w:rsid w:val="0070572C"/>
    <w:pPr>
      <w:spacing w:after="200" w:line="276" w:lineRule="auto"/>
    </w:pPr>
    <w:rPr>
      <w:rFonts w:ascii="Calibri" w:eastAsia="Calibri" w:hAnsi="Calibri" w:cs="Times New Roman"/>
      <w:lang w:val="es-ES"/>
    </w:rPr>
  </w:style>
  <w:style w:type="paragraph" w:styleId="Subttulo">
    <w:name w:val="Subtitle"/>
    <w:basedOn w:val="Normal"/>
    <w:next w:val="Normal"/>
    <w:link w:val="SubttuloCar"/>
    <w:uiPriority w:val="11"/>
    <w:qFormat/>
    <w:rsid w:val="0070572C"/>
    <w:pPr>
      <w:widowControl w:val="0"/>
      <w:numPr>
        <w:ilvl w:val="1"/>
      </w:numPr>
      <w:adjustRightInd w:val="0"/>
      <w:spacing w:line="360" w:lineRule="atLeast"/>
      <w:ind w:left="284"/>
      <w:textAlignment w:val="baseline"/>
    </w:pPr>
    <w:rPr>
      <w:rFonts w:ascii="Cambria" w:eastAsia="Times New Roman" w:hAnsi="Cambria" w:cs="Times New Roman"/>
      <w:i/>
      <w:iCs/>
      <w:color w:val="4F81BD"/>
      <w:spacing w:val="15"/>
      <w:szCs w:val="24"/>
    </w:rPr>
  </w:style>
  <w:style w:type="character" w:customStyle="1" w:styleId="SubttuloCar">
    <w:name w:val="Subtítulo Car"/>
    <w:basedOn w:val="Fuentedeprrafopredeter"/>
    <w:link w:val="Subttulo"/>
    <w:uiPriority w:val="11"/>
    <w:rsid w:val="0070572C"/>
    <w:rPr>
      <w:rFonts w:ascii="Cambria" w:eastAsia="Times New Roman" w:hAnsi="Cambria" w:cs="Times New Roman"/>
      <w:i/>
      <w:iCs/>
      <w:color w:val="4F81BD"/>
      <w:spacing w:val="15"/>
      <w:sz w:val="24"/>
      <w:szCs w:val="24"/>
    </w:rPr>
  </w:style>
  <w:style w:type="paragraph" w:customStyle="1" w:styleId="Prrafodelista1">
    <w:name w:val="Párrafo de lista1"/>
    <w:basedOn w:val="Normal"/>
    <w:uiPriority w:val="99"/>
    <w:rsid w:val="0070572C"/>
    <w:pPr>
      <w:widowControl w:val="0"/>
      <w:adjustRightInd w:val="0"/>
      <w:spacing w:line="360" w:lineRule="atLeast"/>
      <w:ind w:left="720"/>
      <w:textAlignment w:val="baseline"/>
    </w:pPr>
    <w:rPr>
      <w:rFonts w:ascii="Roman 10cpi" w:eastAsia="Calibri" w:hAnsi="Roman 10cpi" w:cs="Roman 10cpi"/>
      <w:color w:val="auto"/>
      <w:szCs w:val="20"/>
    </w:rPr>
  </w:style>
  <w:style w:type="paragraph" w:customStyle="1" w:styleId="Ttulo10">
    <w:name w:val="Título1"/>
    <w:aliases w:val="Puesto1"/>
    <w:basedOn w:val="Ttulo1"/>
    <w:next w:val="Normal"/>
    <w:uiPriority w:val="39"/>
    <w:unhideWhenUsed/>
    <w:qFormat/>
    <w:rsid w:val="0070572C"/>
    <w:pPr>
      <w:spacing w:before="480" w:line="276" w:lineRule="auto"/>
      <w:jc w:val="left"/>
      <w:outlineLvl w:val="9"/>
    </w:pPr>
    <w:rPr>
      <w:rFonts w:ascii="Cambria" w:eastAsia="Times New Roman" w:hAnsi="Cambria" w:cs="Times New Roman"/>
      <w:b/>
      <w:bCs/>
      <w:color w:val="365F91"/>
      <w:spacing w:val="0"/>
      <w:kern w:val="0"/>
      <w:szCs w:val="28"/>
      <w:lang w:eastAsia="es-DO"/>
      <w14:textFill>
        <w14:solidFill>
          <w14:srgbClr w14:val="365F91">
            <w14:lumMod w14:val="50000"/>
          </w14:srgbClr>
        </w14:solidFill>
      </w14:textFill>
    </w:rPr>
  </w:style>
  <w:style w:type="character" w:customStyle="1" w:styleId="TtuloCar">
    <w:name w:val="Título Car"/>
    <w:link w:val="Ttulo"/>
    <w:uiPriority w:val="10"/>
    <w:rsid w:val="0070572C"/>
    <w:rPr>
      <w:rFonts w:ascii="Cambria" w:eastAsia="Times New Roman" w:hAnsi="Cambria" w:cs="Times New Roman"/>
      <w:color w:val="17365D"/>
      <w:spacing w:val="5"/>
      <w:kern w:val="28"/>
      <w:sz w:val="52"/>
      <w:szCs w:val="52"/>
    </w:rPr>
  </w:style>
  <w:style w:type="paragraph" w:styleId="Ttulo">
    <w:name w:val="Title"/>
    <w:basedOn w:val="Normal"/>
    <w:next w:val="Normal"/>
    <w:link w:val="TtuloCar"/>
    <w:uiPriority w:val="10"/>
    <w:qFormat/>
    <w:rsid w:val="0070572C"/>
    <w:pPr>
      <w:spacing w:line="240" w:lineRule="auto"/>
      <w:contextualSpacing/>
    </w:pPr>
    <w:rPr>
      <w:rFonts w:ascii="Cambria" w:eastAsia="Times New Roman" w:hAnsi="Cambria" w:cs="Times New Roman"/>
      <w:color w:val="17365D"/>
      <w:spacing w:val="5"/>
      <w:kern w:val="28"/>
      <w:sz w:val="52"/>
      <w:szCs w:val="52"/>
    </w:rPr>
  </w:style>
  <w:style w:type="character" w:styleId="nfasis">
    <w:name w:val="Emphasis"/>
    <w:uiPriority w:val="20"/>
    <w:qFormat/>
    <w:rsid w:val="0070572C"/>
    <w:rPr>
      <w:i/>
      <w:iCs/>
    </w:rPr>
  </w:style>
  <w:style w:type="paragraph" w:styleId="Cita">
    <w:name w:val="Quote"/>
    <w:basedOn w:val="Normal"/>
    <w:next w:val="Normal"/>
    <w:link w:val="CitaCar"/>
    <w:uiPriority w:val="29"/>
    <w:qFormat/>
    <w:rsid w:val="0070572C"/>
    <w:pPr>
      <w:widowControl w:val="0"/>
      <w:adjustRightInd w:val="0"/>
      <w:spacing w:line="360" w:lineRule="atLeast"/>
      <w:textAlignment w:val="baseline"/>
    </w:pPr>
    <w:rPr>
      <w:rFonts w:eastAsia="Calibri" w:cs="Times New Roman"/>
      <w:i/>
      <w:iCs/>
      <w:color w:val="000000"/>
      <w:szCs w:val="20"/>
    </w:rPr>
  </w:style>
  <w:style w:type="character" w:customStyle="1" w:styleId="CitaCar">
    <w:name w:val="Cita Car"/>
    <w:basedOn w:val="Fuentedeprrafopredeter"/>
    <w:link w:val="Cita"/>
    <w:uiPriority w:val="29"/>
    <w:rsid w:val="0070572C"/>
    <w:rPr>
      <w:rFonts w:ascii="Times New Roman" w:eastAsia="Calibri" w:hAnsi="Times New Roman" w:cs="Times New Roman"/>
      <w:i/>
      <w:iCs/>
      <w:color w:val="000000"/>
      <w:sz w:val="20"/>
      <w:szCs w:val="20"/>
    </w:rPr>
  </w:style>
  <w:style w:type="paragraph" w:customStyle="1" w:styleId="Estilo1-2">
    <w:name w:val="Estilo1-2"/>
    <w:basedOn w:val="Normal"/>
    <w:link w:val="Estilo1-2Car"/>
    <w:qFormat/>
    <w:rsid w:val="0070572C"/>
    <w:pPr>
      <w:spacing w:line="240" w:lineRule="auto"/>
      <w:ind w:right="49"/>
    </w:pPr>
    <w:rPr>
      <w:rFonts w:eastAsia="Arial" w:cs="Times New Roman"/>
      <w:b/>
      <w:color w:val="auto"/>
      <w:spacing w:val="1"/>
      <w:szCs w:val="24"/>
    </w:rPr>
  </w:style>
  <w:style w:type="character" w:customStyle="1" w:styleId="Estilo1-2Car">
    <w:name w:val="Estilo1-2 Car"/>
    <w:link w:val="Estilo1-2"/>
    <w:rsid w:val="0070572C"/>
    <w:rPr>
      <w:rFonts w:ascii="Times New Roman" w:eastAsia="Arial" w:hAnsi="Times New Roman" w:cs="Times New Roman"/>
      <w:b/>
      <w:spacing w:val="1"/>
      <w:sz w:val="24"/>
      <w:szCs w:val="24"/>
    </w:rPr>
  </w:style>
  <w:style w:type="paragraph" w:styleId="ndice1">
    <w:name w:val="index 1"/>
    <w:basedOn w:val="Normal"/>
    <w:next w:val="Normal"/>
    <w:autoRedefine/>
    <w:uiPriority w:val="99"/>
    <w:unhideWhenUsed/>
    <w:rsid w:val="0070572C"/>
    <w:pPr>
      <w:widowControl w:val="0"/>
      <w:adjustRightInd w:val="0"/>
      <w:spacing w:line="360" w:lineRule="atLeast"/>
      <w:ind w:left="200" w:hanging="200"/>
      <w:jc w:val="left"/>
      <w:textAlignment w:val="baseline"/>
    </w:pPr>
    <w:rPr>
      <w:rFonts w:ascii="Calibri" w:eastAsia="Calibri" w:hAnsi="Calibri" w:cs="Calibri"/>
      <w:color w:val="auto"/>
      <w:szCs w:val="18"/>
    </w:rPr>
  </w:style>
  <w:style w:type="paragraph" w:styleId="ndice2">
    <w:name w:val="index 2"/>
    <w:basedOn w:val="Normal"/>
    <w:next w:val="Normal"/>
    <w:autoRedefine/>
    <w:uiPriority w:val="99"/>
    <w:unhideWhenUsed/>
    <w:rsid w:val="0070572C"/>
    <w:pPr>
      <w:widowControl w:val="0"/>
      <w:adjustRightInd w:val="0"/>
      <w:spacing w:line="360" w:lineRule="atLeast"/>
      <w:ind w:left="400" w:hanging="200"/>
      <w:jc w:val="left"/>
      <w:textAlignment w:val="baseline"/>
    </w:pPr>
    <w:rPr>
      <w:rFonts w:ascii="Calibri" w:eastAsia="Calibri" w:hAnsi="Calibri" w:cs="Calibri"/>
      <w:color w:val="auto"/>
      <w:szCs w:val="18"/>
    </w:rPr>
  </w:style>
  <w:style w:type="paragraph" w:styleId="ndice3">
    <w:name w:val="index 3"/>
    <w:basedOn w:val="Normal"/>
    <w:next w:val="Normal"/>
    <w:autoRedefine/>
    <w:uiPriority w:val="99"/>
    <w:unhideWhenUsed/>
    <w:rsid w:val="0070572C"/>
    <w:pPr>
      <w:widowControl w:val="0"/>
      <w:adjustRightInd w:val="0"/>
      <w:spacing w:line="360" w:lineRule="atLeast"/>
      <w:ind w:left="600" w:hanging="200"/>
      <w:jc w:val="left"/>
      <w:textAlignment w:val="baseline"/>
    </w:pPr>
    <w:rPr>
      <w:rFonts w:ascii="Calibri" w:eastAsia="Calibri" w:hAnsi="Calibri" w:cs="Calibri"/>
      <w:color w:val="auto"/>
      <w:szCs w:val="18"/>
    </w:rPr>
  </w:style>
  <w:style w:type="paragraph" w:styleId="ndice4">
    <w:name w:val="index 4"/>
    <w:basedOn w:val="Normal"/>
    <w:next w:val="Normal"/>
    <w:autoRedefine/>
    <w:uiPriority w:val="99"/>
    <w:unhideWhenUsed/>
    <w:rsid w:val="0070572C"/>
    <w:pPr>
      <w:widowControl w:val="0"/>
      <w:adjustRightInd w:val="0"/>
      <w:spacing w:line="360" w:lineRule="atLeast"/>
      <w:ind w:left="800" w:hanging="200"/>
      <w:jc w:val="left"/>
      <w:textAlignment w:val="baseline"/>
    </w:pPr>
    <w:rPr>
      <w:rFonts w:ascii="Calibri" w:eastAsia="Calibri" w:hAnsi="Calibri" w:cs="Calibri"/>
      <w:color w:val="auto"/>
      <w:szCs w:val="18"/>
    </w:rPr>
  </w:style>
  <w:style w:type="paragraph" w:styleId="ndice5">
    <w:name w:val="index 5"/>
    <w:basedOn w:val="Normal"/>
    <w:next w:val="Normal"/>
    <w:autoRedefine/>
    <w:uiPriority w:val="99"/>
    <w:unhideWhenUsed/>
    <w:rsid w:val="0070572C"/>
    <w:pPr>
      <w:widowControl w:val="0"/>
      <w:adjustRightInd w:val="0"/>
      <w:spacing w:line="360" w:lineRule="atLeast"/>
      <w:ind w:left="1000" w:hanging="200"/>
      <w:jc w:val="left"/>
      <w:textAlignment w:val="baseline"/>
    </w:pPr>
    <w:rPr>
      <w:rFonts w:ascii="Calibri" w:eastAsia="Calibri" w:hAnsi="Calibri" w:cs="Calibri"/>
      <w:color w:val="auto"/>
      <w:szCs w:val="18"/>
    </w:rPr>
  </w:style>
  <w:style w:type="paragraph" w:styleId="ndice6">
    <w:name w:val="index 6"/>
    <w:basedOn w:val="Normal"/>
    <w:next w:val="Normal"/>
    <w:autoRedefine/>
    <w:uiPriority w:val="99"/>
    <w:unhideWhenUsed/>
    <w:rsid w:val="0070572C"/>
    <w:pPr>
      <w:widowControl w:val="0"/>
      <w:adjustRightInd w:val="0"/>
      <w:spacing w:line="360" w:lineRule="atLeast"/>
      <w:ind w:left="1200" w:hanging="200"/>
      <w:jc w:val="left"/>
      <w:textAlignment w:val="baseline"/>
    </w:pPr>
    <w:rPr>
      <w:rFonts w:ascii="Calibri" w:eastAsia="Calibri" w:hAnsi="Calibri" w:cs="Calibri"/>
      <w:color w:val="auto"/>
      <w:szCs w:val="18"/>
    </w:rPr>
  </w:style>
  <w:style w:type="paragraph" w:styleId="ndice7">
    <w:name w:val="index 7"/>
    <w:basedOn w:val="Normal"/>
    <w:next w:val="Normal"/>
    <w:autoRedefine/>
    <w:uiPriority w:val="99"/>
    <w:unhideWhenUsed/>
    <w:rsid w:val="0070572C"/>
    <w:pPr>
      <w:widowControl w:val="0"/>
      <w:adjustRightInd w:val="0"/>
      <w:spacing w:line="360" w:lineRule="atLeast"/>
      <w:ind w:left="1400" w:hanging="200"/>
      <w:jc w:val="left"/>
      <w:textAlignment w:val="baseline"/>
    </w:pPr>
    <w:rPr>
      <w:rFonts w:ascii="Calibri" w:eastAsia="Calibri" w:hAnsi="Calibri" w:cs="Calibri"/>
      <w:color w:val="auto"/>
      <w:szCs w:val="18"/>
    </w:rPr>
  </w:style>
  <w:style w:type="paragraph" w:styleId="ndice8">
    <w:name w:val="index 8"/>
    <w:basedOn w:val="Normal"/>
    <w:next w:val="Normal"/>
    <w:autoRedefine/>
    <w:uiPriority w:val="99"/>
    <w:unhideWhenUsed/>
    <w:rsid w:val="0070572C"/>
    <w:pPr>
      <w:widowControl w:val="0"/>
      <w:adjustRightInd w:val="0"/>
      <w:spacing w:line="360" w:lineRule="atLeast"/>
      <w:ind w:left="1600" w:hanging="200"/>
      <w:jc w:val="left"/>
      <w:textAlignment w:val="baseline"/>
    </w:pPr>
    <w:rPr>
      <w:rFonts w:ascii="Calibri" w:eastAsia="Calibri" w:hAnsi="Calibri" w:cs="Calibri"/>
      <w:color w:val="auto"/>
      <w:szCs w:val="18"/>
    </w:rPr>
  </w:style>
  <w:style w:type="paragraph" w:styleId="ndice9">
    <w:name w:val="index 9"/>
    <w:basedOn w:val="Normal"/>
    <w:next w:val="Normal"/>
    <w:autoRedefine/>
    <w:uiPriority w:val="99"/>
    <w:unhideWhenUsed/>
    <w:rsid w:val="0070572C"/>
    <w:pPr>
      <w:widowControl w:val="0"/>
      <w:adjustRightInd w:val="0"/>
      <w:spacing w:line="360" w:lineRule="atLeast"/>
      <w:ind w:left="1800" w:hanging="200"/>
      <w:jc w:val="left"/>
      <w:textAlignment w:val="baseline"/>
    </w:pPr>
    <w:rPr>
      <w:rFonts w:ascii="Calibri" w:eastAsia="Calibri" w:hAnsi="Calibri" w:cs="Calibri"/>
      <w:color w:val="auto"/>
      <w:szCs w:val="18"/>
    </w:rPr>
  </w:style>
  <w:style w:type="paragraph" w:styleId="Ttulodendice">
    <w:name w:val="index heading"/>
    <w:basedOn w:val="Normal"/>
    <w:next w:val="ndice1"/>
    <w:uiPriority w:val="99"/>
    <w:unhideWhenUsed/>
    <w:rsid w:val="0070572C"/>
    <w:pPr>
      <w:widowControl w:val="0"/>
      <w:pBdr>
        <w:top w:val="double" w:sz="6" w:space="0" w:color="auto" w:shadow="1"/>
        <w:left w:val="double" w:sz="6" w:space="0" w:color="auto" w:shadow="1"/>
        <w:bottom w:val="double" w:sz="6" w:space="0" w:color="auto" w:shadow="1"/>
        <w:right w:val="double" w:sz="6" w:space="0" w:color="auto" w:shadow="1"/>
      </w:pBdr>
      <w:adjustRightInd w:val="0"/>
      <w:spacing w:before="240" w:after="120" w:line="360" w:lineRule="atLeast"/>
      <w:jc w:val="center"/>
      <w:textAlignment w:val="baseline"/>
    </w:pPr>
    <w:rPr>
      <w:rFonts w:ascii="Cambria" w:eastAsia="Calibri" w:hAnsi="Cambria" w:cs="Times New Roman"/>
      <w:b/>
      <w:bCs/>
      <w:color w:val="auto"/>
      <w:sz w:val="22"/>
    </w:rPr>
  </w:style>
  <w:style w:type="paragraph" w:styleId="Textodeglobo">
    <w:name w:val="Balloon Text"/>
    <w:basedOn w:val="Normal"/>
    <w:link w:val="TextodegloboCar"/>
    <w:uiPriority w:val="99"/>
    <w:semiHidden/>
    <w:unhideWhenUsed/>
    <w:rsid w:val="0070572C"/>
    <w:pPr>
      <w:widowControl w:val="0"/>
      <w:adjustRightInd w:val="0"/>
      <w:spacing w:line="240" w:lineRule="auto"/>
      <w:textAlignment w:val="baseline"/>
    </w:pPr>
    <w:rPr>
      <w:rFonts w:ascii="Tahoma" w:eastAsia="Calibri" w:hAnsi="Tahoma" w:cs="Tahoma"/>
      <w:color w:val="auto"/>
      <w:sz w:val="16"/>
      <w:szCs w:val="16"/>
    </w:rPr>
  </w:style>
  <w:style w:type="character" w:customStyle="1" w:styleId="TextodegloboCar">
    <w:name w:val="Texto de globo Car"/>
    <w:basedOn w:val="Fuentedeprrafopredeter"/>
    <w:link w:val="Textodeglobo"/>
    <w:uiPriority w:val="99"/>
    <w:semiHidden/>
    <w:rsid w:val="0070572C"/>
    <w:rPr>
      <w:rFonts w:ascii="Tahoma" w:eastAsia="Calibri" w:hAnsi="Tahoma" w:cs="Tahoma"/>
      <w:sz w:val="16"/>
      <w:szCs w:val="16"/>
    </w:rPr>
  </w:style>
  <w:style w:type="paragraph" w:styleId="TDC4">
    <w:name w:val="toc 4"/>
    <w:basedOn w:val="Normal"/>
    <w:next w:val="Normal"/>
    <w:autoRedefine/>
    <w:uiPriority w:val="39"/>
    <w:unhideWhenUsed/>
    <w:rsid w:val="0070572C"/>
    <w:pPr>
      <w:widowControl w:val="0"/>
      <w:adjustRightInd w:val="0"/>
      <w:spacing w:line="360" w:lineRule="atLeast"/>
      <w:ind w:left="400"/>
      <w:jc w:val="left"/>
      <w:textAlignment w:val="baseline"/>
    </w:pPr>
    <w:rPr>
      <w:rFonts w:ascii="Calibri" w:eastAsia="Calibri" w:hAnsi="Calibri" w:cs="Calibri"/>
      <w:color w:val="auto"/>
      <w:szCs w:val="20"/>
    </w:rPr>
  </w:style>
  <w:style w:type="paragraph" w:styleId="TDC5">
    <w:name w:val="toc 5"/>
    <w:basedOn w:val="Normal"/>
    <w:next w:val="Normal"/>
    <w:autoRedefine/>
    <w:uiPriority w:val="39"/>
    <w:unhideWhenUsed/>
    <w:rsid w:val="0070572C"/>
    <w:pPr>
      <w:widowControl w:val="0"/>
      <w:adjustRightInd w:val="0"/>
      <w:spacing w:line="360" w:lineRule="atLeast"/>
      <w:ind w:left="600"/>
      <w:jc w:val="left"/>
      <w:textAlignment w:val="baseline"/>
    </w:pPr>
    <w:rPr>
      <w:rFonts w:ascii="Calibri" w:eastAsia="Calibri" w:hAnsi="Calibri" w:cs="Calibri"/>
      <w:color w:val="auto"/>
      <w:szCs w:val="20"/>
    </w:rPr>
  </w:style>
  <w:style w:type="paragraph" w:styleId="TDC6">
    <w:name w:val="toc 6"/>
    <w:basedOn w:val="Normal"/>
    <w:next w:val="Normal"/>
    <w:autoRedefine/>
    <w:uiPriority w:val="39"/>
    <w:unhideWhenUsed/>
    <w:rsid w:val="0070572C"/>
    <w:pPr>
      <w:widowControl w:val="0"/>
      <w:adjustRightInd w:val="0"/>
      <w:spacing w:line="360" w:lineRule="atLeast"/>
      <w:ind w:left="800"/>
      <w:jc w:val="left"/>
      <w:textAlignment w:val="baseline"/>
    </w:pPr>
    <w:rPr>
      <w:rFonts w:ascii="Calibri" w:eastAsia="Calibri" w:hAnsi="Calibri" w:cs="Calibri"/>
      <w:color w:val="auto"/>
      <w:szCs w:val="20"/>
    </w:rPr>
  </w:style>
  <w:style w:type="paragraph" w:styleId="TDC7">
    <w:name w:val="toc 7"/>
    <w:basedOn w:val="Normal"/>
    <w:next w:val="Normal"/>
    <w:autoRedefine/>
    <w:uiPriority w:val="39"/>
    <w:unhideWhenUsed/>
    <w:rsid w:val="0070572C"/>
    <w:pPr>
      <w:widowControl w:val="0"/>
      <w:adjustRightInd w:val="0"/>
      <w:spacing w:line="360" w:lineRule="atLeast"/>
      <w:ind w:left="1000"/>
      <w:jc w:val="left"/>
      <w:textAlignment w:val="baseline"/>
    </w:pPr>
    <w:rPr>
      <w:rFonts w:ascii="Calibri" w:eastAsia="Calibri" w:hAnsi="Calibri" w:cs="Calibri"/>
      <w:color w:val="auto"/>
      <w:szCs w:val="20"/>
    </w:rPr>
  </w:style>
  <w:style w:type="paragraph" w:styleId="TDC8">
    <w:name w:val="toc 8"/>
    <w:basedOn w:val="Normal"/>
    <w:next w:val="Normal"/>
    <w:autoRedefine/>
    <w:uiPriority w:val="39"/>
    <w:unhideWhenUsed/>
    <w:rsid w:val="0070572C"/>
    <w:pPr>
      <w:widowControl w:val="0"/>
      <w:adjustRightInd w:val="0"/>
      <w:spacing w:line="360" w:lineRule="atLeast"/>
      <w:ind w:left="1200"/>
      <w:jc w:val="left"/>
      <w:textAlignment w:val="baseline"/>
    </w:pPr>
    <w:rPr>
      <w:rFonts w:ascii="Calibri" w:eastAsia="Calibri" w:hAnsi="Calibri" w:cs="Calibri"/>
      <w:color w:val="auto"/>
      <w:szCs w:val="20"/>
    </w:rPr>
  </w:style>
  <w:style w:type="paragraph" w:styleId="TDC9">
    <w:name w:val="toc 9"/>
    <w:basedOn w:val="Normal"/>
    <w:next w:val="Normal"/>
    <w:autoRedefine/>
    <w:uiPriority w:val="39"/>
    <w:unhideWhenUsed/>
    <w:rsid w:val="0070572C"/>
    <w:pPr>
      <w:widowControl w:val="0"/>
      <w:adjustRightInd w:val="0"/>
      <w:spacing w:line="360" w:lineRule="atLeast"/>
      <w:ind w:left="1400"/>
      <w:jc w:val="left"/>
      <w:textAlignment w:val="baseline"/>
    </w:pPr>
    <w:rPr>
      <w:rFonts w:ascii="Calibri" w:eastAsia="Calibri" w:hAnsi="Calibri" w:cs="Calibri"/>
      <w:color w:val="auto"/>
      <w:szCs w:val="20"/>
    </w:rPr>
  </w:style>
  <w:style w:type="character" w:styleId="Ttulodellibro">
    <w:name w:val="Book Title"/>
    <w:uiPriority w:val="33"/>
    <w:qFormat/>
    <w:rsid w:val="0070572C"/>
    <w:rPr>
      <w:b/>
      <w:bCs/>
      <w:smallCaps/>
      <w:spacing w:val="5"/>
    </w:rPr>
  </w:style>
  <w:style w:type="paragraph" w:styleId="NormalWeb">
    <w:name w:val="Normal (Web)"/>
    <w:basedOn w:val="Normal"/>
    <w:uiPriority w:val="99"/>
    <w:semiHidden/>
    <w:unhideWhenUsed/>
    <w:rsid w:val="0070572C"/>
    <w:pPr>
      <w:spacing w:before="100" w:beforeAutospacing="1" w:after="100" w:afterAutospacing="1" w:line="240" w:lineRule="auto"/>
      <w:jc w:val="left"/>
    </w:pPr>
    <w:rPr>
      <w:rFonts w:eastAsia="Times New Roman" w:cs="Times New Roman"/>
      <w:color w:val="auto"/>
      <w:szCs w:val="24"/>
      <w:lang w:eastAsia="es-DO"/>
    </w:rPr>
  </w:style>
  <w:style w:type="character" w:styleId="Refdecomentario">
    <w:name w:val="annotation reference"/>
    <w:uiPriority w:val="99"/>
    <w:semiHidden/>
    <w:unhideWhenUsed/>
    <w:rsid w:val="0070572C"/>
    <w:rPr>
      <w:sz w:val="16"/>
      <w:szCs w:val="16"/>
    </w:rPr>
  </w:style>
  <w:style w:type="paragraph" w:styleId="Textocomentario">
    <w:name w:val="annotation text"/>
    <w:basedOn w:val="Normal"/>
    <w:link w:val="TextocomentarioCar"/>
    <w:uiPriority w:val="99"/>
    <w:semiHidden/>
    <w:unhideWhenUsed/>
    <w:rsid w:val="0070572C"/>
    <w:pPr>
      <w:widowControl w:val="0"/>
      <w:adjustRightInd w:val="0"/>
      <w:spacing w:line="360" w:lineRule="atLeast"/>
      <w:textAlignment w:val="baseline"/>
    </w:pPr>
    <w:rPr>
      <w:rFonts w:eastAsia="Calibri" w:cs="Times New Roman"/>
      <w:color w:val="auto"/>
      <w:szCs w:val="20"/>
    </w:rPr>
  </w:style>
  <w:style w:type="character" w:customStyle="1" w:styleId="TextocomentarioCar">
    <w:name w:val="Texto comentario Car"/>
    <w:basedOn w:val="Fuentedeprrafopredeter"/>
    <w:link w:val="Textocomentario"/>
    <w:uiPriority w:val="99"/>
    <w:semiHidden/>
    <w:rsid w:val="0070572C"/>
    <w:rPr>
      <w:rFonts w:ascii="Times New Roman" w:eastAsia="Calibri"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70572C"/>
    <w:rPr>
      <w:b/>
      <w:bCs/>
    </w:rPr>
  </w:style>
  <w:style w:type="character" w:customStyle="1" w:styleId="AsuntodelcomentarioCar">
    <w:name w:val="Asunto del comentario Car"/>
    <w:basedOn w:val="TextocomentarioCar"/>
    <w:link w:val="Asuntodelcomentario"/>
    <w:uiPriority w:val="99"/>
    <w:semiHidden/>
    <w:rsid w:val="0070572C"/>
    <w:rPr>
      <w:rFonts w:ascii="Times New Roman" w:eastAsia="Calibri" w:hAnsi="Times New Roman" w:cs="Times New Roman"/>
      <w:b/>
      <w:bCs/>
      <w:sz w:val="20"/>
      <w:szCs w:val="20"/>
    </w:rPr>
  </w:style>
  <w:style w:type="character" w:customStyle="1" w:styleId="TtuloCar1">
    <w:name w:val="Título Car1"/>
    <w:basedOn w:val="Fuentedeprrafopredeter"/>
    <w:uiPriority w:val="10"/>
    <w:rsid w:val="0070572C"/>
    <w:rPr>
      <w:rFonts w:asciiTheme="majorHAnsi" w:eastAsiaTheme="majorEastAsia" w:hAnsiTheme="majorHAnsi" w:cstheme="majorBidi"/>
      <w:spacing w:val="-10"/>
      <w:kern w:val="28"/>
      <w:sz w:val="56"/>
      <w:szCs w:val="56"/>
    </w:rPr>
  </w:style>
  <w:style w:type="paragraph" w:customStyle="1" w:styleId="PrrafoNumerado">
    <w:name w:val="Párrafo Numerado"/>
    <w:basedOn w:val="Prrafodelista"/>
    <w:link w:val="PrrafoNumeradoCar"/>
    <w:qFormat/>
    <w:rsid w:val="00B20EAA"/>
    <w:pPr>
      <w:numPr>
        <w:numId w:val="1"/>
      </w:numPr>
    </w:pPr>
  </w:style>
  <w:style w:type="character" w:customStyle="1" w:styleId="PrrafoNumeradoCar">
    <w:name w:val="Párrafo Numerado Car"/>
    <w:basedOn w:val="PrrafodelistaCar"/>
    <w:link w:val="PrrafoNumerado"/>
    <w:rsid w:val="00B20EAA"/>
    <w:rPr>
      <w:rFonts w:ascii="Times New Roman" w:eastAsia="Times New Roman" w:hAnsi="Times New Roman" w:cs="Times New Roman"/>
      <w:b/>
      <w:color w:val="767171"/>
      <w:spacing w:val="10"/>
      <w:sz w:val="24"/>
      <w:szCs w:val="24"/>
      <w:lang w:val="es-ES" w:eastAsia="es-ES" w:bidi="es-ES"/>
    </w:rPr>
  </w:style>
  <w:style w:type="character" w:customStyle="1" w:styleId="Mencinsinresolver1">
    <w:name w:val="Mención sin resolver1"/>
    <w:basedOn w:val="Fuentedeprrafopredeter"/>
    <w:uiPriority w:val="99"/>
    <w:semiHidden/>
    <w:unhideWhenUsed/>
    <w:rsid w:val="00015239"/>
    <w:rPr>
      <w:color w:val="605E5C"/>
      <w:shd w:val="clear" w:color="auto" w:fill="E1DFDD"/>
    </w:rPr>
  </w:style>
  <w:style w:type="character" w:customStyle="1" w:styleId="UnresolvedMention">
    <w:name w:val="Unresolved Mention"/>
    <w:basedOn w:val="Fuentedeprrafopredeter"/>
    <w:uiPriority w:val="99"/>
    <w:semiHidden/>
    <w:unhideWhenUsed/>
    <w:rsid w:val="0039542C"/>
    <w:rPr>
      <w:color w:val="605E5C"/>
      <w:shd w:val="clear" w:color="auto" w:fill="E1DFDD"/>
    </w:rPr>
  </w:style>
  <w:style w:type="table" w:styleId="Tablaconcuadrcula">
    <w:name w:val="Table Grid"/>
    <w:basedOn w:val="Tablanormal"/>
    <w:uiPriority w:val="39"/>
    <w:rsid w:val="00D63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s">
    <w:name w:val="Viñetas"/>
    <w:basedOn w:val="Normal"/>
    <w:link w:val="VietasCar"/>
    <w:qFormat/>
    <w:rsid w:val="005564B5"/>
  </w:style>
  <w:style w:type="character" w:customStyle="1" w:styleId="VietasCar">
    <w:name w:val="Viñetas Car"/>
    <w:basedOn w:val="Fuentedeprrafopredeter"/>
    <w:link w:val="Vietas"/>
    <w:rsid w:val="005564B5"/>
    <w:rPr>
      <w:rFonts w:ascii="Times New Roman" w:hAnsi="Times New Roman"/>
      <w:color w:val="767171"/>
      <w:spacing w:val="10"/>
      <w:sz w:val="24"/>
    </w:rPr>
  </w:style>
  <w:style w:type="paragraph" w:customStyle="1" w:styleId="Estilo1-Vietas-Parrafo">
    <w:name w:val="Estilo1-Viñetas-Parrafo"/>
    <w:basedOn w:val="Normal"/>
    <w:link w:val="Estilo1-Vietas-ParrafoCar"/>
    <w:qFormat/>
    <w:rsid w:val="0081228C"/>
    <w:pPr>
      <w:spacing w:after="160"/>
    </w:pPr>
    <w:rPr>
      <w:rFonts w:cs="Times New Roman"/>
    </w:rPr>
  </w:style>
  <w:style w:type="character" w:customStyle="1" w:styleId="Estilo1-Vietas-ParrafoCar">
    <w:name w:val="Estilo1-Viñetas-Parrafo Car"/>
    <w:basedOn w:val="Fuentedeprrafopredeter"/>
    <w:link w:val="Estilo1-Vietas-Parrafo"/>
    <w:rsid w:val="0081228C"/>
    <w:rPr>
      <w:rFonts w:ascii="Times New Roman" w:hAnsi="Times New Roman" w:cs="Times New Roman"/>
      <w:color w:val="767171"/>
      <w:spacing w:val="10"/>
      <w:sz w:val="24"/>
    </w:rPr>
  </w:style>
  <w:style w:type="paragraph" w:customStyle="1" w:styleId="Sub-Title">
    <w:name w:val="Sub-Title"/>
    <w:basedOn w:val="Prrafodelista"/>
    <w:link w:val="Sub-TitleCar"/>
    <w:qFormat/>
    <w:rsid w:val="00763C8C"/>
    <w:pPr>
      <w:keepNext/>
      <w:keepLines/>
      <w:ind w:left="1706"/>
      <w:outlineLvl w:val="0"/>
    </w:pPr>
  </w:style>
  <w:style w:type="character" w:customStyle="1" w:styleId="Sub-TitleCar">
    <w:name w:val="Sub-Title Car"/>
    <w:basedOn w:val="PrrafodelistaCar"/>
    <w:link w:val="Sub-Title"/>
    <w:rsid w:val="00763C8C"/>
    <w:rPr>
      <w:rFonts w:ascii="Times New Roman" w:eastAsia="Times New Roman" w:hAnsi="Times New Roman" w:cs="Times New Roman"/>
      <w:b/>
      <w:color w:val="767171"/>
      <w:spacing w:val="10"/>
      <w:sz w:val="24"/>
      <w:szCs w:val="24"/>
      <w:lang w:val="es-ES" w:eastAsia="es-ES" w:bidi="es-ES"/>
    </w:rPr>
  </w:style>
  <w:style w:type="paragraph" w:customStyle="1" w:styleId="Sub-Sub-">
    <w:name w:val="Sub-Sub-"/>
    <w:basedOn w:val="Sub-Title"/>
    <w:link w:val="Sub-Sub-Car"/>
    <w:qFormat/>
    <w:rsid w:val="00763C8C"/>
  </w:style>
  <w:style w:type="character" w:customStyle="1" w:styleId="Sub-Sub-Car">
    <w:name w:val="Sub-Sub- Car"/>
    <w:basedOn w:val="Sub-TitleCar"/>
    <w:link w:val="Sub-Sub-"/>
    <w:rsid w:val="00763C8C"/>
    <w:rPr>
      <w:rFonts w:ascii="Times New Roman" w:eastAsia="Times New Roman" w:hAnsi="Times New Roman" w:cs="Times New Roman"/>
      <w:b/>
      <w:color w:val="767171"/>
      <w:spacing w:val="10"/>
      <w:sz w:val="24"/>
      <w:szCs w:val="24"/>
      <w:lang w:val="es-ES" w:eastAsia="es-ES" w:bidi="es-ES"/>
    </w:rPr>
  </w:style>
  <w:style w:type="table" w:customStyle="1" w:styleId="Tablaconcuadrcula1">
    <w:name w:val="Tabla con cuadrícula1"/>
    <w:basedOn w:val="Tablanormal"/>
    <w:next w:val="Tablaconcuadrcula"/>
    <w:uiPriority w:val="39"/>
    <w:rsid w:val="00AB29E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AB29E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nfasis51">
    <w:name w:val="Tabla de cuadrícula 5 oscura - Énfasis 51"/>
    <w:basedOn w:val="Tablanormal"/>
    <w:next w:val="Tabladecuadrcula5oscura-nfasis5"/>
    <w:uiPriority w:val="50"/>
    <w:rsid w:val="001F188D"/>
    <w:pPr>
      <w:spacing w:after="0" w:line="240" w:lineRule="auto"/>
      <w:jc w:val="both"/>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5oscura-nfasis5">
    <w:name w:val="Grid Table 5 Dark Accent 5"/>
    <w:basedOn w:val="Tablanormal"/>
    <w:uiPriority w:val="50"/>
    <w:rsid w:val="001F18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5oscura-nfasis11">
    <w:name w:val="Tabla de cuadrícula 5 oscura - Énfasis 11"/>
    <w:basedOn w:val="Tablanormal"/>
    <w:next w:val="Tabladecuadrcula5oscura-nfasis1"/>
    <w:uiPriority w:val="50"/>
    <w:rsid w:val="001F188D"/>
    <w:pPr>
      <w:spacing w:after="0" w:line="240" w:lineRule="auto"/>
      <w:jc w:val="both"/>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adecuadrcula5oscura-nfasis1">
    <w:name w:val="Grid Table 5 Dark Accent 1"/>
    <w:basedOn w:val="Tablanormal"/>
    <w:uiPriority w:val="50"/>
    <w:rsid w:val="001F18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4-nfasis51">
    <w:name w:val="Tabla de cuadrícula 4 - Énfasis 51"/>
    <w:basedOn w:val="Tablanormal"/>
    <w:next w:val="Tabladecuadrcula4-nfasis5"/>
    <w:uiPriority w:val="49"/>
    <w:rsid w:val="001F188D"/>
    <w:pPr>
      <w:spacing w:after="0" w:line="240" w:lineRule="auto"/>
      <w:jc w:val="both"/>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cuadrcula4-nfasis5">
    <w:name w:val="Grid Table 4 Accent 5"/>
    <w:basedOn w:val="Tablanormal"/>
    <w:uiPriority w:val="49"/>
    <w:rsid w:val="001F188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5oscura-nfasis51">
    <w:name w:val="Tabla de lista 5 oscura - Énfasis 51"/>
    <w:basedOn w:val="Tablanormal"/>
    <w:next w:val="Tabladelista5oscura-nfasis5"/>
    <w:uiPriority w:val="50"/>
    <w:rsid w:val="001F188D"/>
    <w:pPr>
      <w:spacing w:after="0" w:line="240" w:lineRule="auto"/>
      <w:jc w:val="both"/>
    </w:pPr>
    <w:rPr>
      <w:rFonts w:eastAsia="Times New Roman"/>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1F188D"/>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cuadrcula5oscura-nfasis52">
    <w:name w:val="Tabla de cuadrícula 5 oscura - Énfasis 52"/>
    <w:basedOn w:val="Tablanormal"/>
    <w:next w:val="Tabladecuadrcula5oscura-nfasis5"/>
    <w:uiPriority w:val="50"/>
    <w:rsid w:val="002B5C1B"/>
    <w:pPr>
      <w:spacing w:after="0" w:line="240" w:lineRule="auto"/>
      <w:jc w:val="both"/>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5oscura-nfasis12">
    <w:name w:val="Tabla de cuadrícula 5 oscura - Énfasis 12"/>
    <w:basedOn w:val="Tablanormal"/>
    <w:next w:val="Tabladecuadrcula5oscura-nfasis1"/>
    <w:uiPriority w:val="50"/>
    <w:rsid w:val="002B5C1B"/>
    <w:pPr>
      <w:spacing w:after="0" w:line="240" w:lineRule="auto"/>
      <w:jc w:val="both"/>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cuadrcula4-nfasis52">
    <w:name w:val="Tabla de cuadrícula 4 - Énfasis 52"/>
    <w:basedOn w:val="Tablanormal"/>
    <w:next w:val="Tabladecuadrcula4-nfasis5"/>
    <w:uiPriority w:val="49"/>
    <w:rsid w:val="002B5C1B"/>
    <w:pPr>
      <w:spacing w:after="0" w:line="240" w:lineRule="auto"/>
      <w:jc w:val="both"/>
    </w:pPr>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5oscura-nfasis52">
    <w:name w:val="Tabla de lista 5 oscura - Énfasis 52"/>
    <w:basedOn w:val="Tablanormal"/>
    <w:next w:val="Tabladelista5oscura-nfasis5"/>
    <w:uiPriority w:val="50"/>
    <w:rsid w:val="002B5C1B"/>
    <w:pPr>
      <w:spacing w:after="0" w:line="240" w:lineRule="auto"/>
      <w:jc w:val="both"/>
    </w:pPr>
    <w:rPr>
      <w:rFonts w:eastAsia="Times New Roman"/>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521">
    <w:name w:val="Tabla de lista 5 oscura - Énfasis 521"/>
    <w:basedOn w:val="Tablanormal"/>
    <w:next w:val="Tabladelista5oscura-nfasis5"/>
    <w:uiPriority w:val="50"/>
    <w:rsid w:val="00DA5A0C"/>
    <w:pPr>
      <w:spacing w:after="0" w:line="240" w:lineRule="auto"/>
      <w:jc w:val="both"/>
    </w:pPr>
    <w:rPr>
      <w:rFonts w:eastAsia="Times New Roman"/>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Lista">
    <w:name w:val="List"/>
    <w:basedOn w:val="Normal"/>
    <w:uiPriority w:val="99"/>
    <w:unhideWhenUsed/>
    <w:rsid w:val="009A41B9"/>
    <w:pPr>
      <w:ind w:left="360" w:hanging="360"/>
      <w:contextualSpacing/>
    </w:pPr>
  </w:style>
  <w:style w:type="paragraph" w:styleId="Lista2">
    <w:name w:val="List 2"/>
    <w:basedOn w:val="Normal"/>
    <w:link w:val="Lista2Car"/>
    <w:uiPriority w:val="99"/>
    <w:unhideWhenUsed/>
    <w:rsid w:val="009A41B9"/>
    <w:pPr>
      <w:ind w:left="720" w:hanging="360"/>
      <w:contextualSpacing/>
    </w:pPr>
  </w:style>
  <w:style w:type="character" w:customStyle="1" w:styleId="Lista2Car">
    <w:name w:val="Lista 2 Car"/>
    <w:basedOn w:val="Fuentedeprrafopredeter"/>
    <w:link w:val="Lista2"/>
    <w:uiPriority w:val="99"/>
    <w:rsid w:val="004A7B47"/>
    <w:rPr>
      <w:rFonts w:ascii="Times New Roman" w:hAnsi="Times New Roman"/>
      <w:color w:val="767171"/>
      <w:spacing w:val="10"/>
      <w:sz w:val="24"/>
    </w:rPr>
  </w:style>
  <w:style w:type="paragraph" w:styleId="Lista3">
    <w:name w:val="List 3"/>
    <w:basedOn w:val="Normal"/>
    <w:uiPriority w:val="99"/>
    <w:unhideWhenUsed/>
    <w:rsid w:val="009A41B9"/>
    <w:pPr>
      <w:ind w:left="1080" w:hanging="360"/>
      <w:contextualSpacing/>
    </w:pPr>
  </w:style>
  <w:style w:type="paragraph" w:styleId="Lista4">
    <w:name w:val="List 4"/>
    <w:basedOn w:val="Normal"/>
    <w:uiPriority w:val="99"/>
    <w:unhideWhenUsed/>
    <w:rsid w:val="009A41B9"/>
    <w:pPr>
      <w:ind w:left="1440" w:hanging="360"/>
      <w:contextualSpacing/>
    </w:pPr>
  </w:style>
  <w:style w:type="paragraph" w:styleId="Saludo">
    <w:name w:val="Salutation"/>
    <w:basedOn w:val="Normal"/>
    <w:next w:val="Normal"/>
    <w:link w:val="SaludoCar"/>
    <w:uiPriority w:val="99"/>
    <w:unhideWhenUsed/>
    <w:rsid w:val="009A41B9"/>
  </w:style>
  <w:style w:type="character" w:customStyle="1" w:styleId="SaludoCar">
    <w:name w:val="Saludo Car"/>
    <w:basedOn w:val="Fuentedeprrafopredeter"/>
    <w:link w:val="Saludo"/>
    <w:uiPriority w:val="99"/>
    <w:rsid w:val="009A41B9"/>
    <w:rPr>
      <w:rFonts w:ascii="Times New Roman" w:hAnsi="Times New Roman"/>
      <w:color w:val="767171"/>
      <w:spacing w:val="10"/>
      <w:sz w:val="24"/>
    </w:rPr>
  </w:style>
  <w:style w:type="paragraph" w:styleId="Cierre">
    <w:name w:val="Closing"/>
    <w:basedOn w:val="Normal"/>
    <w:link w:val="CierreCar"/>
    <w:uiPriority w:val="99"/>
    <w:unhideWhenUsed/>
    <w:rsid w:val="009A41B9"/>
    <w:pPr>
      <w:spacing w:line="240" w:lineRule="auto"/>
      <w:ind w:left="4320"/>
    </w:pPr>
  </w:style>
  <w:style w:type="character" w:customStyle="1" w:styleId="CierreCar">
    <w:name w:val="Cierre Car"/>
    <w:basedOn w:val="Fuentedeprrafopredeter"/>
    <w:link w:val="Cierre"/>
    <w:uiPriority w:val="99"/>
    <w:rsid w:val="009A41B9"/>
    <w:rPr>
      <w:rFonts w:ascii="Times New Roman" w:hAnsi="Times New Roman"/>
      <w:color w:val="767171"/>
      <w:spacing w:val="10"/>
      <w:sz w:val="24"/>
    </w:rPr>
  </w:style>
  <w:style w:type="paragraph" w:styleId="Listaconvietas">
    <w:name w:val="List Bullet"/>
    <w:basedOn w:val="Normal"/>
    <w:uiPriority w:val="99"/>
    <w:unhideWhenUsed/>
    <w:rsid w:val="009A41B9"/>
    <w:pPr>
      <w:numPr>
        <w:numId w:val="17"/>
      </w:numPr>
      <w:contextualSpacing/>
    </w:pPr>
  </w:style>
  <w:style w:type="paragraph" w:styleId="Listaconvietas2">
    <w:name w:val="List Bullet 2"/>
    <w:basedOn w:val="Normal"/>
    <w:uiPriority w:val="99"/>
    <w:unhideWhenUsed/>
    <w:rsid w:val="009A41B9"/>
    <w:pPr>
      <w:numPr>
        <w:numId w:val="18"/>
      </w:numPr>
      <w:contextualSpacing/>
    </w:pPr>
  </w:style>
  <w:style w:type="paragraph" w:styleId="Listaconvietas3">
    <w:name w:val="List Bullet 3"/>
    <w:basedOn w:val="Normal"/>
    <w:uiPriority w:val="99"/>
    <w:unhideWhenUsed/>
    <w:rsid w:val="009A41B9"/>
    <w:pPr>
      <w:numPr>
        <w:numId w:val="19"/>
      </w:numPr>
      <w:contextualSpacing/>
    </w:pPr>
  </w:style>
  <w:style w:type="paragraph" w:styleId="Continuarlista">
    <w:name w:val="List Continue"/>
    <w:basedOn w:val="Normal"/>
    <w:uiPriority w:val="99"/>
    <w:unhideWhenUsed/>
    <w:rsid w:val="009A41B9"/>
    <w:pPr>
      <w:spacing w:after="120"/>
      <w:ind w:left="360"/>
      <w:contextualSpacing/>
    </w:pPr>
  </w:style>
  <w:style w:type="paragraph" w:styleId="Firma">
    <w:name w:val="Signature"/>
    <w:basedOn w:val="Normal"/>
    <w:link w:val="FirmaCar"/>
    <w:uiPriority w:val="99"/>
    <w:unhideWhenUsed/>
    <w:rsid w:val="009A41B9"/>
    <w:pPr>
      <w:spacing w:line="240" w:lineRule="auto"/>
      <w:ind w:left="4320"/>
    </w:pPr>
  </w:style>
  <w:style w:type="character" w:customStyle="1" w:styleId="FirmaCar">
    <w:name w:val="Firma Car"/>
    <w:basedOn w:val="Fuentedeprrafopredeter"/>
    <w:link w:val="Firma"/>
    <w:uiPriority w:val="99"/>
    <w:rsid w:val="009A41B9"/>
    <w:rPr>
      <w:rFonts w:ascii="Times New Roman" w:hAnsi="Times New Roman"/>
      <w:color w:val="767171"/>
      <w:spacing w:val="10"/>
      <w:sz w:val="24"/>
    </w:rPr>
  </w:style>
  <w:style w:type="paragraph" w:styleId="Textoindependienteprimerasangra">
    <w:name w:val="Body Text First Indent"/>
    <w:basedOn w:val="Textoindependiente"/>
    <w:link w:val="TextoindependienteprimerasangraCar"/>
    <w:uiPriority w:val="99"/>
    <w:unhideWhenUsed/>
    <w:rsid w:val="009A41B9"/>
    <w:pPr>
      <w:widowControl/>
      <w:autoSpaceDE/>
      <w:autoSpaceDN/>
      <w:spacing w:line="360" w:lineRule="auto"/>
      <w:ind w:firstLine="360"/>
      <w:jc w:val="both"/>
    </w:pPr>
    <w:rPr>
      <w:rFonts w:eastAsiaTheme="minorHAnsi" w:cstheme="minorBidi"/>
      <w:color w:val="767171"/>
      <w:szCs w:val="22"/>
      <w:lang w:val="es-DO" w:eastAsia="en-US" w:bidi="ar-SA"/>
    </w:rPr>
  </w:style>
  <w:style w:type="character" w:customStyle="1" w:styleId="TextoindependienteprimerasangraCar">
    <w:name w:val="Texto independiente primera sangría Car"/>
    <w:basedOn w:val="TextoindependienteCar"/>
    <w:link w:val="Textoindependienteprimerasangra"/>
    <w:uiPriority w:val="99"/>
    <w:rsid w:val="009A41B9"/>
    <w:rPr>
      <w:rFonts w:ascii="Times New Roman" w:eastAsia="Times New Roman" w:hAnsi="Times New Roman" w:cs="Times New Roman"/>
      <w:color w:val="767171"/>
      <w:spacing w:val="10"/>
      <w:sz w:val="24"/>
      <w:szCs w:val="24"/>
      <w:lang w:val="es-ES" w:eastAsia="es-ES" w:bidi="es-ES"/>
    </w:rPr>
  </w:style>
  <w:style w:type="paragraph" w:styleId="Sangradetextonormal">
    <w:name w:val="Body Text Indent"/>
    <w:basedOn w:val="Normal"/>
    <w:link w:val="SangradetextonormalCar"/>
    <w:uiPriority w:val="99"/>
    <w:semiHidden/>
    <w:unhideWhenUsed/>
    <w:rsid w:val="009A41B9"/>
    <w:pPr>
      <w:spacing w:after="120"/>
      <w:ind w:left="360"/>
    </w:pPr>
  </w:style>
  <w:style w:type="character" w:customStyle="1" w:styleId="SangradetextonormalCar">
    <w:name w:val="Sangría de texto normal Car"/>
    <w:basedOn w:val="Fuentedeprrafopredeter"/>
    <w:link w:val="Sangradetextonormal"/>
    <w:uiPriority w:val="99"/>
    <w:semiHidden/>
    <w:rsid w:val="009A41B9"/>
    <w:rPr>
      <w:rFonts w:ascii="Times New Roman" w:hAnsi="Times New Roman"/>
      <w:color w:val="767171"/>
      <w:spacing w:val="10"/>
      <w:sz w:val="24"/>
    </w:rPr>
  </w:style>
  <w:style w:type="paragraph" w:styleId="Textoindependienteprimerasangra2">
    <w:name w:val="Body Text First Indent 2"/>
    <w:basedOn w:val="Sangradetextonormal"/>
    <w:link w:val="Textoindependienteprimerasangra2Car"/>
    <w:uiPriority w:val="99"/>
    <w:unhideWhenUsed/>
    <w:rsid w:val="009A41B9"/>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9A41B9"/>
    <w:rPr>
      <w:rFonts w:ascii="Times New Roman" w:hAnsi="Times New Roman"/>
      <w:color w:val="767171"/>
      <w:spacing w:val="10"/>
      <w:sz w:val="24"/>
    </w:rPr>
  </w:style>
  <w:style w:type="paragraph" w:customStyle="1" w:styleId="Ttulo3RdeC">
    <w:name w:val="Título 3 R. de C."/>
    <w:basedOn w:val="Lista2"/>
    <w:link w:val="Ttulo3RdeCCar"/>
    <w:qFormat/>
    <w:rsid w:val="004A7B47"/>
    <w:pPr>
      <w:numPr>
        <w:ilvl w:val="2"/>
        <w:numId w:val="16"/>
      </w:numPr>
    </w:pPr>
    <w:rPr>
      <w:rFonts w:cs="Times New Roman"/>
      <w:b/>
      <w:color w:val="717676"/>
    </w:rPr>
  </w:style>
  <w:style w:type="character" w:customStyle="1" w:styleId="Ttulo3RdeCCar">
    <w:name w:val="Título 3 R. de C. Car"/>
    <w:basedOn w:val="Lista2Car"/>
    <w:link w:val="Ttulo3RdeC"/>
    <w:rsid w:val="004A7B47"/>
    <w:rPr>
      <w:rFonts w:ascii="Times New Roman" w:hAnsi="Times New Roman" w:cs="Times New Roman"/>
      <w:b/>
      <w:color w:val="717676"/>
      <w:spacing w:val="10"/>
      <w:sz w:val="24"/>
    </w:rPr>
  </w:style>
  <w:style w:type="paragraph" w:customStyle="1" w:styleId="EstilodePrrafoNormal1RdeC">
    <w:name w:val="Estilo de Párrafo Normal1 R. de C."/>
    <w:basedOn w:val="Textoindependiente"/>
    <w:link w:val="EstilodePrrafoNormal1RdeCCar"/>
    <w:qFormat/>
    <w:rsid w:val="00885ABF"/>
    <w:pPr>
      <w:spacing w:line="360" w:lineRule="auto"/>
      <w:jc w:val="both"/>
    </w:pPr>
    <w:rPr>
      <w:color w:val="717676"/>
    </w:rPr>
  </w:style>
  <w:style w:type="character" w:customStyle="1" w:styleId="EstilodePrrafoNormal1RdeCCar">
    <w:name w:val="Estilo de Párrafo Normal1 R. de C. Car"/>
    <w:basedOn w:val="TextoindependienteCar"/>
    <w:link w:val="EstilodePrrafoNormal1RdeC"/>
    <w:rsid w:val="00885ABF"/>
    <w:rPr>
      <w:rFonts w:ascii="Times New Roman" w:eastAsia="Times New Roman" w:hAnsi="Times New Roman" w:cs="Times New Roman"/>
      <w:color w:val="717676"/>
      <w:spacing w:val="10"/>
      <w:sz w:val="24"/>
      <w:szCs w:val="24"/>
      <w:lang w:val="es-ES" w:eastAsia="es-ES" w:bidi="es-ES"/>
    </w:rPr>
  </w:style>
  <w:style w:type="paragraph" w:customStyle="1" w:styleId="Estilo-Vieta-1">
    <w:name w:val="Estilo-Viñeta-1"/>
    <w:basedOn w:val="Normal"/>
    <w:link w:val="Estilo-Vieta-1Car"/>
    <w:qFormat/>
    <w:rsid w:val="002513FA"/>
    <w:pPr>
      <w:numPr>
        <w:numId w:val="27"/>
      </w:numPr>
      <w:spacing w:before="240" w:after="160"/>
      <w:ind w:left="720"/>
    </w:pPr>
    <w:rPr>
      <w:rFonts w:eastAsia="Calibri" w:cs="Times New Roman"/>
      <w:noProof/>
      <w:color w:val="4C4747"/>
      <w:spacing w:val="20"/>
      <w:szCs w:val="24"/>
    </w:rPr>
  </w:style>
  <w:style w:type="character" w:customStyle="1" w:styleId="Estilo-Vieta-1Car">
    <w:name w:val="Estilo-Viñeta-1 Car"/>
    <w:basedOn w:val="Fuentedeprrafopredeter"/>
    <w:link w:val="Estilo-Vieta-1"/>
    <w:rsid w:val="002513FA"/>
    <w:rPr>
      <w:rFonts w:ascii="Times New Roman" w:eastAsia="Calibri" w:hAnsi="Times New Roman" w:cs="Times New Roman"/>
      <w:noProof/>
      <w:color w:val="4C4747"/>
      <w:spacing w:val="20"/>
      <w:sz w:val="24"/>
      <w:szCs w:val="24"/>
    </w:rPr>
  </w:style>
  <w:style w:type="table" w:customStyle="1" w:styleId="Tabladecuadrcula4-nfasis21">
    <w:name w:val="Tabla de cuadrícula 4 - Énfasis 21"/>
    <w:basedOn w:val="Tablanormal"/>
    <w:next w:val="Tabladecuadrcula4-nfasis2"/>
    <w:uiPriority w:val="49"/>
    <w:rsid w:val="009D6BCA"/>
    <w:pPr>
      <w:spacing w:after="0" w:line="240" w:lineRule="auto"/>
    </w:pPr>
    <w:rPr>
      <w:rFonts w:eastAsia="Times New Roman"/>
      <w:lang w:val="en-US"/>
    </w:rPr>
    <w:tblPr>
      <w:tblStyleRowBandSize w:val="1"/>
      <w:tblStyleColBandSize w:val="1"/>
      <w:tblInd w:w="0" w:type="nil"/>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Tabladecuadrcula4-nfasis2">
    <w:name w:val="Grid Table 4 Accent 2"/>
    <w:basedOn w:val="Tablanormal"/>
    <w:uiPriority w:val="49"/>
    <w:rsid w:val="009D6BC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Estilo-YBP-Normal-1">
    <w:name w:val="Estilo-YBP-Normal-1"/>
    <w:basedOn w:val="Normal"/>
    <w:link w:val="Estilo-YBP-Normal-1Car"/>
    <w:qFormat/>
    <w:rsid w:val="00102601"/>
    <w:pPr>
      <w:spacing w:after="160"/>
    </w:pPr>
    <w:rPr>
      <w:rFonts w:eastAsia="Calibri" w:cs="Times New Roman"/>
      <w:noProof/>
      <w:color w:val="4C4747"/>
      <w:spacing w:val="20"/>
      <w:szCs w:val="24"/>
    </w:rPr>
  </w:style>
  <w:style w:type="character" w:customStyle="1" w:styleId="Estilo-YBP-Normal-1Car">
    <w:name w:val="Estilo-YBP-Normal-1 Car"/>
    <w:basedOn w:val="Fuentedeprrafopredeter"/>
    <w:link w:val="Estilo-YBP-Normal-1"/>
    <w:rsid w:val="00102601"/>
    <w:rPr>
      <w:rFonts w:ascii="Times New Roman" w:eastAsia="Calibri" w:hAnsi="Times New Roman" w:cs="Times New Roman"/>
      <w:noProof/>
      <w:color w:val="4C4747"/>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5096">
      <w:bodyDiv w:val="1"/>
      <w:marLeft w:val="0"/>
      <w:marRight w:val="0"/>
      <w:marTop w:val="0"/>
      <w:marBottom w:val="0"/>
      <w:divBdr>
        <w:top w:val="none" w:sz="0" w:space="0" w:color="auto"/>
        <w:left w:val="none" w:sz="0" w:space="0" w:color="auto"/>
        <w:bottom w:val="none" w:sz="0" w:space="0" w:color="auto"/>
        <w:right w:val="none" w:sz="0" w:space="0" w:color="auto"/>
      </w:divBdr>
    </w:div>
    <w:div w:id="105470505">
      <w:bodyDiv w:val="1"/>
      <w:marLeft w:val="0"/>
      <w:marRight w:val="0"/>
      <w:marTop w:val="0"/>
      <w:marBottom w:val="0"/>
      <w:divBdr>
        <w:top w:val="none" w:sz="0" w:space="0" w:color="auto"/>
        <w:left w:val="none" w:sz="0" w:space="0" w:color="auto"/>
        <w:bottom w:val="none" w:sz="0" w:space="0" w:color="auto"/>
        <w:right w:val="none" w:sz="0" w:space="0" w:color="auto"/>
      </w:divBdr>
    </w:div>
    <w:div w:id="113597432">
      <w:bodyDiv w:val="1"/>
      <w:marLeft w:val="0"/>
      <w:marRight w:val="0"/>
      <w:marTop w:val="0"/>
      <w:marBottom w:val="0"/>
      <w:divBdr>
        <w:top w:val="none" w:sz="0" w:space="0" w:color="auto"/>
        <w:left w:val="none" w:sz="0" w:space="0" w:color="auto"/>
        <w:bottom w:val="none" w:sz="0" w:space="0" w:color="auto"/>
        <w:right w:val="none" w:sz="0" w:space="0" w:color="auto"/>
      </w:divBdr>
    </w:div>
    <w:div w:id="140385286">
      <w:bodyDiv w:val="1"/>
      <w:marLeft w:val="0"/>
      <w:marRight w:val="0"/>
      <w:marTop w:val="0"/>
      <w:marBottom w:val="0"/>
      <w:divBdr>
        <w:top w:val="none" w:sz="0" w:space="0" w:color="auto"/>
        <w:left w:val="none" w:sz="0" w:space="0" w:color="auto"/>
        <w:bottom w:val="none" w:sz="0" w:space="0" w:color="auto"/>
        <w:right w:val="none" w:sz="0" w:space="0" w:color="auto"/>
      </w:divBdr>
    </w:div>
    <w:div w:id="143553166">
      <w:bodyDiv w:val="1"/>
      <w:marLeft w:val="0"/>
      <w:marRight w:val="0"/>
      <w:marTop w:val="0"/>
      <w:marBottom w:val="0"/>
      <w:divBdr>
        <w:top w:val="none" w:sz="0" w:space="0" w:color="auto"/>
        <w:left w:val="none" w:sz="0" w:space="0" w:color="auto"/>
        <w:bottom w:val="none" w:sz="0" w:space="0" w:color="auto"/>
        <w:right w:val="none" w:sz="0" w:space="0" w:color="auto"/>
      </w:divBdr>
    </w:div>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188374959">
      <w:bodyDiv w:val="1"/>
      <w:marLeft w:val="0"/>
      <w:marRight w:val="0"/>
      <w:marTop w:val="0"/>
      <w:marBottom w:val="0"/>
      <w:divBdr>
        <w:top w:val="none" w:sz="0" w:space="0" w:color="auto"/>
        <w:left w:val="none" w:sz="0" w:space="0" w:color="auto"/>
        <w:bottom w:val="none" w:sz="0" w:space="0" w:color="auto"/>
        <w:right w:val="none" w:sz="0" w:space="0" w:color="auto"/>
      </w:divBdr>
    </w:div>
    <w:div w:id="189681165">
      <w:bodyDiv w:val="1"/>
      <w:marLeft w:val="0"/>
      <w:marRight w:val="0"/>
      <w:marTop w:val="0"/>
      <w:marBottom w:val="0"/>
      <w:divBdr>
        <w:top w:val="none" w:sz="0" w:space="0" w:color="auto"/>
        <w:left w:val="none" w:sz="0" w:space="0" w:color="auto"/>
        <w:bottom w:val="none" w:sz="0" w:space="0" w:color="auto"/>
        <w:right w:val="none" w:sz="0" w:space="0" w:color="auto"/>
      </w:divBdr>
    </w:div>
    <w:div w:id="193200820">
      <w:bodyDiv w:val="1"/>
      <w:marLeft w:val="0"/>
      <w:marRight w:val="0"/>
      <w:marTop w:val="0"/>
      <w:marBottom w:val="0"/>
      <w:divBdr>
        <w:top w:val="none" w:sz="0" w:space="0" w:color="auto"/>
        <w:left w:val="none" w:sz="0" w:space="0" w:color="auto"/>
        <w:bottom w:val="none" w:sz="0" w:space="0" w:color="auto"/>
        <w:right w:val="none" w:sz="0" w:space="0" w:color="auto"/>
      </w:divBdr>
    </w:div>
    <w:div w:id="280845370">
      <w:bodyDiv w:val="1"/>
      <w:marLeft w:val="0"/>
      <w:marRight w:val="0"/>
      <w:marTop w:val="0"/>
      <w:marBottom w:val="0"/>
      <w:divBdr>
        <w:top w:val="none" w:sz="0" w:space="0" w:color="auto"/>
        <w:left w:val="none" w:sz="0" w:space="0" w:color="auto"/>
        <w:bottom w:val="none" w:sz="0" w:space="0" w:color="auto"/>
        <w:right w:val="none" w:sz="0" w:space="0" w:color="auto"/>
      </w:divBdr>
    </w:div>
    <w:div w:id="283731414">
      <w:bodyDiv w:val="1"/>
      <w:marLeft w:val="0"/>
      <w:marRight w:val="0"/>
      <w:marTop w:val="0"/>
      <w:marBottom w:val="0"/>
      <w:divBdr>
        <w:top w:val="none" w:sz="0" w:space="0" w:color="auto"/>
        <w:left w:val="none" w:sz="0" w:space="0" w:color="auto"/>
        <w:bottom w:val="none" w:sz="0" w:space="0" w:color="auto"/>
        <w:right w:val="none" w:sz="0" w:space="0" w:color="auto"/>
      </w:divBdr>
    </w:div>
    <w:div w:id="288781374">
      <w:bodyDiv w:val="1"/>
      <w:marLeft w:val="0"/>
      <w:marRight w:val="0"/>
      <w:marTop w:val="0"/>
      <w:marBottom w:val="0"/>
      <w:divBdr>
        <w:top w:val="none" w:sz="0" w:space="0" w:color="auto"/>
        <w:left w:val="none" w:sz="0" w:space="0" w:color="auto"/>
        <w:bottom w:val="none" w:sz="0" w:space="0" w:color="auto"/>
        <w:right w:val="none" w:sz="0" w:space="0" w:color="auto"/>
      </w:divBdr>
    </w:div>
    <w:div w:id="310718680">
      <w:bodyDiv w:val="1"/>
      <w:marLeft w:val="0"/>
      <w:marRight w:val="0"/>
      <w:marTop w:val="0"/>
      <w:marBottom w:val="0"/>
      <w:divBdr>
        <w:top w:val="none" w:sz="0" w:space="0" w:color="auto"/>
        <w:left w:val="none" w:sz="0" w:space="0" w:color="auto"/>
        <w:bottom w:val="none" w:sz="0" w:space="0" w:color="auto"/>
        <w:right w:val="none" w:sz="0" w:space="0" w:color="auto"/>
      </w:divBdr>
    </w:div>
    <w:div w:id="338118275">
      <w:bodyDiv w:val="1"/>
      <w:marLeft w:val="0"/>
      <w:marRight w:val="0"/>
      <w:marTop w:val="0"/>
      <w:marBottom w:val="0"/>
      <w:divBdr>
        <w:top w:val="none" w:sz="0" w:space="0" w:color="auto"/>
        <w:left w:val="none" w:sz="0" w:space="0" w:color="auto"/>
        <w:bottom w:val="none" w:sz="0" w:space="0" w:color="auto"/>
        <w:right w:val="none" w:sz="0" w:space="0" w:color="auto"/>
      </w:divBdr>
    </w:div>
    <w:div w:id="377318910">
      <w:bodyDiv w:val="1"/>
      <w:marLeft w:val="0"/>
      <w:marRight w:val="0"/>
      <w:marTop w:val="0"/>
      <w:marBottom w:val="0"/>
      <w:divBdr>
        <w:top w:val="none" w:sz="0" w:space="0" w:color="auto"/>
        <w:left w:val="none" w:sz="0" w:space="0" w:color="auto"/>
        <w:bottom w:val="none" w:sz="0" w:space="0" w:color="auto"/>
        <w:right w:val="none" w:sz="0" w:space="0" w:color="auto"/>
      </w:divBdr>
    </w:div>
    <w:div w:id="379019772">
      <w:bodyDiv w:val="1"/>
      <w:marLeft w:val="0"/>
      <w:marRight w:val="0"/>
      <w:marTop w:val="0"/>
      <w:marBottom w:val="0"/>
      <w:divBdr>
        <w:top w:val="none" w:sz="0" w:space="0" w:color="auto"/>
        <w:left w:val="none" w:sz="0" w:space="0" w:color="auto"/>
        <w:bottom w:val="none" w:sz="0" w:space="0" w:color="auto"/>
        <w:right w:val="none" w:sz="0" w:space="0" w:color="auto"/>
      </w:divBdr>
    </w:div>
    <w:div w:id="398870829">
      <w:bodyDiv w:val="1"/>
      <w:marLeft w:val="0"/>
      <w:marRight w:val="0"/>
      <w:marTop w:val="0"/>
      <w:marBottom w:val="0"/>
      <w:divBdr>
        <w:top w:val="none" w:sz="0" w:space="0" w:color="auto"/>
        <w:left w:val="none" w:sz="0" w:space="0" w:color="auto"/>
        <w:bottom w:val="none" w:sz="0" w:space="0" w:color="auto"/>
        <w:right w:val="none" w:sz="0" w:space="0" w:color="auto"/>
      </w:divBdr>
    </w:div>
    <w:div w:id="398871018">
      <w:bodyDiv w:val="1"/>
      <w:marLeft w:val="0"/>
      <w:marRight w:val="0"/>
      <w:marTop w:val="0"/>
      <w:marBottom w:val="0"/>
      <w:divBdr>
        <w:top w:val="none" w:sz="0" w:space="0" w:color="auto"/>
        <w:left w:val="none" w:sz="0" w:space="0" w:color="auto"/>
        <w:bottom w:val="none" w:sz="0" w:space="0" w:color="auto"/>
        <w:right w:val="none" w:sz="0" w:space="0" w:color="auto"/>
      </w:divBdr>
    </w:div>
    <w:div w:id="403260034">
      <w:bodyDiv w:val="1"/>
      <w:marLeft w:val="0"/>
      <w:marRight w:val="0"/>
      <w:marTop w:val="0"/>
      <w:marBottom w:val="0"/>
      <w:divBdr>
        <w:top w:val="none" w:sz="0" w:space="0" w:color="auto"/>
        <w:left w:val="none" w:sz="0" w:space="0" w:color="auto"/>
        <w:bottom w:val="none" w:sz="0" w:space="0" w:color="auto"/>
        <w:right w:val="none" w:sz="0" w:space="0" w:color="auto"/>
      </w:divBdr>
    </w:div>
    <w:div w:id="410199261">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434449368">
      <w:bodyDiv w:val="1"/>
      <w:marLeft w:val="0"/>
      <w:marRight w:val="0"/>
      <w:marTop w:val="0"/>
      <w:marBottom w:val="0"/>
      <w:divBdr>
        <w:top w:val="none" w:sz="0" w:space="0" w:color="auto"/>
        <w:left w:val="none" w:sz="0" w:space="0" w:color="auto"/>
        <w:bottom w:val="none" w:sz="0" w:space="0" w:color="auto"/>
        <w:right w:val="none" w:sz="0" w:space="0" w:color="auto"/>
      </w:divBdr>
    </w:div>
    <w:div w:id="437145407">
      <w:bodyDiv w:val="1"/>
      <w:marLeft w:val="0"/>
      <w:marRight w:val="0"/>
      <w:marTop w:val="0"/>
      <w:marBottom w:val="0"/>
      <w:divBdr>
        <w:top w:val="none" w:sz="0" w:space="0" w:color="auto"/>
        <w:left w:val="none" w:sz="0" w:space="0" w:color="auto"/>
        <w:bottom w:val="none" w:sz="0" w:space="0" w:color="auto"/>
        <w:right w:val="none" w:sz="0" w:space="0" w:color="auto"/>
      </w:divBdr>
    </w:div>
    <w:div w:id="506486536">
      <w:bodyDiv w:val="1"/>
      <w:marLeft w:val="0"/>
      <w:marRight w:val="0"/>
      <w:marTop w:val="0"/>
      <w:marBottom w:val="0"/>
      <w:divBdr>
        <w:top w:val="none" w:sz="0" w:space="0" w:color="auto"/>
        <w:left w:val="none" w:sz="0" w:space="0" w:color="auto"/>
        <w:bottom w:val="none" w:sz="0" w:space="0" w:color="auto"/>
        <w:right w:val="none" w:sz="0" w:space="0" w:color="auto"/>
      </w:divBdr>
    </w:div>
    <w:div w:id="517086531">
      <w:bodyDiv w:val="1"/>
      <w:marLeft w:val="0"/>
      <w:marRight w:val="0"/>
      <w:marTop w:val="0"/>
      <w:marBottom w:val="0"/>
      <w:divBdr>
        <w:top w:val="none" w:sz="0" w:space="0" w:color="auto"/>
        <w:left w:val="none" w:sz="0" w:space="0" w:color="auto"/>
        <w:bottom w:val="none" w:sz="0" w:space="0" w:color="auto"/>
        <w:right w:val="none" w:sz="0" w:space="0" w:color="auto"/>
      </w:divBdr>
    </w:div>
    <w:div w:id="521893128">
      <w:bodyDiv w:val="1"/>
      <w:marLeft w:val="0"/>
      <w:marRight w:val="0"/>
      <w:marTop w:val="0"/>
      <w:marBottom w:val="0"/>
      <w:divBdr>
        <w:top w:val="none" w:sz="0" w:space="0" w:color="auto"/>
        <w:left w:val="none" w:sz="0" w:space="0" w:color="auto"/>
        <w:bottom w:val="none" w:sz="0" w:space="0" w:color="auto"/>
        <w:right w:val="none" w:sz="0" w:space="0" w:color="auto"/>
      </w:divBdr>
    </w:div>
    <w:div w:id="583414114">
      <w:bodyDiv w:val="1"/>
      <w:marLeft w:val="0"/>
      <w:marRight w:val="0"/>
      <w:marTop w:val="0"/>
      <w:marBottom w:val="0"/>
      <w:divBdr>
        <w:top w:val="none" w:sz="0" w:space="0" w:color="auto"/>
        <w:left w:val="none" w:sz="0" w:space="0" w:color="auto"/>
        <w:bottom w:val="none" w:sz="0" w:space="0" w:color="auto"/>
        <w:right w:val="none" w:sz="0" w:space="0" w:color="auto"/>
      </w:divBdr>
    </w:div>
    <w:div w:id="600063716">
      <w:bodyDiv w:val="1"/>
      <w:marLeft w:val="0"/>
      <w:marRight w:val="0"/>
      <w:marTop w:val="0"/>
      <w:marBottom w:val="0"/>
      <w:divBdr>
        <w:top w:val="none" w:sz="0" w:space="0" w:color="auto"/>
        <w:left w:val="none" w:sz="0" w:space="0" w:color="auto"/>
        <w:bottom w:val="none" w:sz="0" w:space="0" w:color="auto"/>
        <w:right w:val="none" w:sz="0" w:space="0" w:color="auto"/>
      </w:divBdr>
    </w:div>
    <w:div w:id="626163264">
      <w:bodyDiv w:val="1"/>
      <w:marLeft w:val="0"/>
      <w:marRight w:val="0"/>
      <w:marTop w:val="0"/>
      <w:marBottom w:val="0"/>
      <w:divBdr>
        <w:top w:val="none" w:sz="0" w:space="0" w:color="auto"/>
        <w:left w:val="none" w:sz="0" w:space="0" w:color="auto"/>
        <w:bottom w:val="none" w:sz="0" w:space="0" w:color="auto"/>
        <w:right w:val="none" w:sz="0" w:space="0" w:color="auto"/>
      </w:divBdr>
    </w:div>
    <w:div w:id="697127311">
      <w:bodyDiv w:val="1"/>
      <w:marLeft w:val="0"/>
      <w:marRight w:val="0"/>
      <w:marTop w:val="0"/>
      <w:marBottom w:val="0"/>
      <w:divBdr>
        <w:top w:val="none" w:sz="0" w:space="0" w:color="auto"/>
        <w:left w:val="none" w:sz="0" w:space="0" w:color="auto"/>
        <w:bottom w:val="none" w:sz="0" w:space="0" w:color="auto"/>
        <w:right w:val="none" w:sz="0" w:space="0" w:color="auto"/>
      </w:divBdr>
    </w:div>
    <w:div w:id="714158720">
      <w:bodyDiv w:val="1"/>
      <w:marLeft w:val="0"/>
      <w:marRight w:val="0"/>
      <w:marTop w:val="0"/>
      <w:marBottom w:val="0"/>
      <w:divBdr>
        <w:top w:val="none" w:sz="0" w:space="0" w:color="auto"/>
        <w:left w:val="none" w:sz="0" w:space="0" w:color="auto"/>
        <w:bottom w:val="none" w:sz="0" w:space="0" w:color="auto"/>
        <w:right w:val="none" w:sz="0" w:space="0" w:color="auto"/>
      </w:divBdr>
    </w:div>
    <w:div w:id="738096320">
      <w:bodyDiv w:val="1"/>
      <w:marLeft w:val="0"/>
      <w:marRight w:val="0"/>
      <w:marTop w:val="0"/>
      <w:marBottom w:val="0"/>
      <w:divBdr>
        <w:top w:val="none" w:sz="0" w:space="0" w:color="auto"/>
        <w:left w:val="none" w:sz="0" w:space="0" w:color="auto"/>
        <w:bottom w:val="none" w:sz="0" w:space="0" w:color="auto"/>
        <w:right w:val="none" w:sz="0" w:space="0" w:color="auto"/>
      </w:divBdr>
    </w:div>
    <w:div w:id="747769039">
      <w:bodyDiv w:val="1"/>
      <w:marLeft w:val="0"/>
      <w:marRight w:val="0"/>
      <w:marTop w:val="0"/>
      <w:marBottom w:val="0"/>
      <w:divBdr>
        <w:top w:val="none" w:sz="0" w:space="0" w:color="auto"/>
        <w:left w:val="none" w:sz="0" w:space="0" w:color="auto"/>
        <w:bottom w:val="none" w:sz="0" w:space="0" w:color="auto"/>
        <w:right w:val="none" w:sz="0" w:space="0" w:color="auto"/>
      </w:divBdr>
    </w:div>
    <w:div w:id="779376114">
      <w:bodyDiv w:val="1"/>
      <w:marLeft w:val="0"/>
      <w:marRight w:val="0"/>
      <w:marTop w:val="0"/>
      <w:marBottom w:val="0"/>
      <w:divBdr>
        <w:top w:val="none" w:sz="0" w:space="0" w:color="auto"/>
        <w:left w:val="none" w:sz="0" w:space="0" w:color="auto"/>
        <w:bottom w:val="none" w:sz="0" w:space="0" w:color="auto"/>
        <w:right w:val="none" w:sz="0" w:space="0" w:color="auto"/>
      </w:divBdr>
    </w:div>
    <w:div w:id="832793530">
      <w:bodyDiv w:val="1"/>
      <w:marLeft w:val="0"/>
      <w:marRight w:val="0"/>
      <w:marTop w:val="0"/>
      <w:marBottom w:val="0"/>
      <w:divBdr>
        <w:top w:val="none" w:sz="0" w:space="0" w:color="auto"/>
        <w:left w:val="none" w:sz="0" w:space="0" w:color="auto"/>
        <w:bottom w:val="none" w:sz="0" w:space="0" w:color="auto"/>
        <w:right w:val="none" w:sz="0" w:space="0" w:color="auto"/>
      </w:divBdr>
    </w:div>
    <w:div w:id="852383339">
      <w:bodyDiv w:val="1"/>
      <w:marLeft w:val="0"/>
      <w:marRight w:val="0"/>
      <w:marTop w:val="0"/>
      <w:marBottom w:val="0"/>
      <w:divBdr>
        <w:top w:val="none" w:sz="0" w:space="0" w:color="auto"/>
        <w:left w:val="none" w:sz="0" w:space="0" w:color="auto"/>
        <w:bottom w:val="none" w:sz="0" w:space="0" w:color="auto"/>
        <w:right w:val="none" w:sz="0" w:space="0" w:color="auto"/>
      </w:divBdr>
    </w:div>
    <w:div w:id="854421265">
      <w:bodyDiv w:val="1"/>
      <w:marLeft w:val="0"/>
      <w:marRight w:val="0"/>
      <w:marTop w:val="0"/>
      <w:marBottom w:val="0"/>
      <w:divBdr>
        <w:top w:val="none" w:sz="0" w:space="0" w:color="auto"/>
        <w:left w:val="none" w:sz="0" w:space="0" w:color="auto"/>
        <w:bottom w:val="none" w:sz="0" w:space="0" w:color="auto"/>
        <w:right w:val="none" w:sz="0" w:space="0" w:color="auto"/>
      </w:divBdr>
    </w:div>
    <w:div w:id="860630512">
      <w:bodyDiv w:val="1"/>
      <w:marLeft w:val="0"/>
      <w:marRight w:val="0"/>
      <w:marTop w:val="0"/>
      <w:marBottom w:val="0"/>
      <w:divBdr>
        <w:top w:val="none" w:sz="0" w:space="0" w:color="auto"/>
        <w:left w:val="none" w:sz="0" w:space="0" w:color="auto"/>
        <w:bottom w:val="none" w:sz="0" w:space="0" w:color="auto"/>
        <w:right w:val="none" w:sz="0" w:space="0" w:color="auto"/>
      </w:divBdr>
      <w:divsChild>
        <w:div w:id="1738015459">
          <w:marLeft w:val="0"/>
          <w:marRight w:val="0"/>
          <w:marTop w:val="0"/>
          <w:marBottom w:val="0"/>
          <w:divBdr>
            <w:top w:val="none" w:sz="0" w:space="0" w:color="auto"/>
            <w:left w:val="none" w:sz="0" w:space="0" w:color="auto"/>
            <w:bottom w:val="none" w:sz="0" w:space="0" w:color="auto"/>
            <w:right w:val="none" w:sz="0" w:space="0" w:color="auto"/>
          </w:divBdr>
          <w:divsChild>
            <w:div w:id="60979978">
              <w:marLeft w:val="0"/>
              <w:marRight w:val="0"/>
              <w:marTop w:val="0"/>
              <w:marBottom w:val="0"/>
              <w:divBdr>
                <w:top w:val="none" w:sz="0" w:space="0" w:color="auto"/>
                <w:left w:val="none" w:sz="0" w:space="0" w:color="auto"/>
                <w:bottom w:val="none" w:sz="0" w:space="0" w:color="auto"/>
                <w:right w:val="none" w:sz="0" w:space="0" w:color="auto"/>
              </w:divBdr>
              <w:divsChild>
                <w:div w:id="413627620">
                  <w:marLeft w:val="0"/>
                  <w:marRight w:val="0"/>
                  <w:marTop w:val="0"/>
                  <w:marBottom w:val="0"/>
                  <w:divBdr>
                    <w:top w:val="none" w:sz="0" w:space="0" w:color="auto"/>
                    <w:left w:val="none" w:sz="0" w:space="0" w:color="auto"/>
                    <w:bottom w:val="none" w:sz="0" w:space="0" w:color="auto"/>
                    <w:right w:val="none" w:sz="0" w:space="0" w:color="auto"/>
                  </w:divBdr>
                  <w:divsChild>
                    <w:div w:id="251159109">
                      <w:marLeft w:val="0"/>
                      <w:marRight w:val="0"/>
                      <w:marTop w:val="0"/>
                      <w:marBottom w:val="0"/>
                      <w:divBdr>
                        <w:top w:val="none" w:sz="0" w:space="0" w:color="auto"/>
                        <w:left w:val="none" w:sz="0" w:space="0" w:color="auto"/>
                        <w:bottom w:val="none" w:sz="0" w:space="0" w:color="auto"/>
                        <w:right w:val="none" w:sz="0" w:space="0" w:color="auto"/>
                      </w:divBdr>
                      <w:divsChild>
                        <w:div w:id="5691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26572298">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66161935">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977732071">
      <w:bodyDiv w:val="1"/>
      <w:marLeft w:val="0"/>
      <w:marRight w:val="0"/>
      <w:marTop w:val="0"/>
      <w:marBottom w:val="0"/>
      <w:divBdr>
        <w:top w:val="none" w:sz="0" w:space="0" w:color="auto"/>
        <w:left w:val="none" w:sz="0" w:space="0" w:color="auto"/>
        <w:bottom w:val="none" w:sz="0" w:space="0" w:color="auto"/>
        <w:right w:val="none" w:sz="0" w:space="0" w:color="auto"/>
      </w:divBdr>
    </w:div>
    <w:div w:id="978994719">
      <w:bodyDiv w:val="1"/>
      <w:marLeft w:val="0"/>
      <w:marRight w:val="0"/>
      <w:marTop w:val="0"/>
      <w:marBottom w:val="0"/>
      <w:divBdr>
        <w:top w:val="none" w:sz="0" w:space="0" w:color="auto"/>
        <w:left w:val="none" w:sz="0" w:space="0" w:color="auto"/>
        <w:bottom w:val="none" w:sz="0" w:space="0" w:color="auto"/>
        <w:right w:val="none" w:sz="0" w:space="0" w:color="auto"/>
      </w:divBdr>
    </w:div>
    <w:div w:id="1007439926">
      <w:bodyDiv w:val="1"/>
      <w:marLeft w:val="0"/>
      <w:marRight w:val="0"/>
      <w:marTop w:val="0"/>
      <w:marBottom w:val="0"/>
      <w:divBdr>
        <w:top w:val="none" w:sz="0" w:space="0" w:color="auto"/>
        <w:left w:val="none" w:sz="0" w:space="0" w:color="auto"/>
        <w:bottom w:val="none" w:sz="0" w:space="0" w:color="auto"/>
        <w:right w:val="none" w:sz="0" w:space="0" w:color="auto"/>
      </w:divBdr>
    </w:div>
    <w:div w:id="1013069697">
      <w:bodyDiv w:val="1"/>
      <w:marLeft w:val="0"/>
      <w:marRight w:val="0"/>
      <w:marTop w:val="0"/>
      <w:marBottom w:val="0"/>
      <w:divBdr>
        <w:top w:val="none" w:sz="0" w:space="0" w:color="auto"/>
        <w:left w:val="none" w:sz="0" w:space="0" w:color="auto"/>
        <w:bottom w:val="none" w:sz="0" w:space="0" w:color="auto"/>
        <w:right w:val="none" w:sz="0" w:space="0" w:color="auto"/>
      </w:divBdr>
    </w:div>
    <w:div w:id="1029641025">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43480863">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062483361">
      <w:bodyDiv w:val="1"/>
      <w:marLeft w:val="0"/>
      <w:marRight w:val="0"/>
      <w:marTop w:val="0"/>
      <w:marBottom w:val="0"/>
      <w:divBdr>
        <w:top w:val="none" w:sz="0" w:space="0" w:color="auto"/>
        <w:left w:val="none" w:sz="0" w:space="0" w:color="auto"/>
        <w:bottom w:val="none" w:sz="0" w:space="0" w:color="auto"/>
        <w:right w:val="none" w:sz="0" w:space="0" w:color="auto"/>
      </w:divBdr>
    </w:div>
    <w:div w:id="1083375947">
      <w:bodyDiv w:val="1"/>
      <w:marLeft w:val="0"/>
      <w:marRight w:val="0"/>
      <w:marTop w:val="0"/>
      <w:marBottom w:val="0"/>
      <w:divBdr>
        <w:top w:val="none" w:sz="0" w:space="0" w:color="auto"/>
        <w:left w:val="none" w:sz="0" w:space="0" w:color="auto"/>
        <w:bottom w:val="none" w:sz="0" w:space="0" w:color="auto"/>
        <w:right w:val="none" w:sz="0" w:space="0" w:color="auto"/>
      </w:divBdr>
    </w:div>
    <w:div w:id="1110473952">
      <w:bodyDiv w:val="1"/>
      <w:marLeft w:val="0"/>
      <w:marRight w:val="0"/>
      <w:marTop w:val="0"/>
      <w:marBottom w:val="0"/>
      <w:divBdr>
        <w:top w:val="none" w:sz="0" w:space="0" w:color="auto"/>
        <w:left w:val="none" w:sz="0" w:space="0" w:color="auto"/>
        <w:bottom w:val="none" w:sz="0" w:space="0" w:color="auto"/>
        <w:right w:val="none" w:sz="0" w:space="0" w:color="auto"/>
      </w:divBdr>
    </w:div>
    <w:div w:id="1127239888">
      <w:bodyDiv w:val="1"/>
      <w:marLeft w:val="0"/>
      <w:marRight w:val="0"/>
      <w:marTop w:val="0"/>
      <w:marBottom w:val="0"/>
      <w:divBdr>
        <w:top w:val="none" w:sz="0" w:space="0" w:color="auto"/>
        <w:left w:val="none" w:sz="0" w:space="0" w:color="auto"/>
        <w:bottom w:val="none" w:sz="0" w:space="0" w:color="auto"/>
        <w:right w:val="none" w:sz="0" w:space="0" w:color="auto"/>
      </w:divBdr>
    </w:div>
    <w:div w:id="1173303264">
      <w:bodyDiv w:val="1"/>
      <w:marLeft w:val="0"/>
      <w:marRight w:val="0"/>
      <w:marTop w:val="0"/>
      <w:marBottom w:val="0"/>
      <w:divBdr>
        <w:top w:val="none" w:sz="0" w:space="0" w:color="auto"/>
        <w:left w:val="none" w:sz="0" w:space="0" w:color="auto"/>
        <w:bottom w:val="none" w:sz="0" w:space="0" w:color="auto"/>
        <w:right w:val="none" w:sz="0" w:space="0" w:color="auto"/>
      </w:divBdr>
    </w:div>
    <w:div w:id="1181892424">
      <w:bodyDiv w:val="1"/>
      <w:marLeft w:val="0"/>
      <w:marRight w:val="0"/>
      <w:marTop w:val="0"/>
      <w:marBottom w:val="0"/>
      <w:divBdr>
        <w:top w:val="none" w:sz="0" w:space="0" w:color="auto"/>
        <w:left w:val="none" w:sz="0" w:space="0" w:color="auto"/>
        <w:bottom w:val="none" w:sz="0" w:space="0" w:color="auto"/>
        <w:right w:val="none" w:sz="0" w:space="0" w:color="auto"/>
      </w:divBdr>
    </w:div>
    <w:div w:id="1192912629">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211306957">
      <w:bodyDiv w:val="1"/>
      <w:marLeft w:val="0"/>
      <w:marRight w:val="0"/>
      <w:marTop w:val="0"/>
      <w:marBottom w:val="0"/>
      <w:divBdr>
        <w:top w:val="none" w:sz="0" w:space="0" w:color="auto"/>
        <w:left w:val="none" w:sz="0" w:space="0" w:color="auto"/>
        <w:bottom w:val="none" w:sz="0" w:space="0" w:color="auto"/>
        <w:right w:val="none" w:sz="0" w:space="0" w:color="auto"/>
      </w:divBdr>
    </w:div>
    <w:div w:id="1258637351">
      <w:bodyDiv w:val="1"/>
      <w:marLeft w:val="0"/>
      <w:marRight w:val="0"/>
      <w:marTop w:val="0"/>
      <w:marBottom w:val="0"/>
      <w:divBdr>
        <w:top w:val="none" w:sz="0" w:space="0" w:color="auto"/>
        <w:left w:val="none" w:sz="0" w:space="0" w:color="auto"/>
        <w:bottom w:val="none" w:sz="0" w:space="0" w:color="auto"/>
        <w:right w:val="none" w:sz="0" w:space="0" w:color="auto"/>
      </w:divBdr>
    </w:div>
    <w:div w:id="1331182339">
      <w:bodyDiv w:val="1"/>
      <w:marLeft w:val="0"/>
      <w:marRight w:val="0"/>
      <w:marTop w:val="0"/>
      <w:marBottom w:val="0"/>
      <w:divBdr>
        <w:top w:val="none" w:sz="0" w:space="0" w:color="auto"/>
        <w:left w:val="none" w:sz="0" w:space="0" w:color="auto"/>
        <w:bottom w:val="none" w:sz="0" w:space="0" w:color="auto"/>
        <w:right w:val="none" w:sz="0" w:space="0" w:color="auto"/>
      </w:divBdr>
    </w:div>
    <w:div w:id="1335500097">
      <w:bodyDiv w:val="1"/>
      <w:marLeft w:val="0"/>
      <w:marRight w:val="0"/>
      <w:marTop w:val="0"/>
      <w:marBottom w:val="0"/>
      <w:divBdr>
        <w:top w:val="none" w:sz="0" w:space="0" w:color="auto"/>
        <w:left w:val="none" w:sz="0" w:space="0" w:color="auto"/>
        <w:bottom w:val="none" w:sz="0" w:space="0" w:color="auto"/>
        <w:right w:val="none" w:sz="0" w:space="0" w:color="auto"/>
      </w:divBdr>
    </w:div>
    <w:div w:id="1352301902">
      <w:bodyDiv w:val="1"/>
      <w:marLeft w:val="0"/>
      <w:marRight w:val="0"/>
      <w:marTop w:val="0"/>
      <w:marBottom w:val="0"/>
      <w:divBdr>
        <w:top w:val="none" w:sz="0" w:space="0" w:color="auto"/>
        <w:left w:val="none" w:sz="0" w:space="0" w:color="auto"/>
        <w:bottom w:val="none" w:sz="0" w:space="0" w:color="auto"/>
        <w:right w:val="none" w:sz="0" w:space="0" w:color="auto"/>
      </w:divBdr>
    </w:div>
    <w:div w:id="1361783697">
      <w:bodyDiv w:val="1"/>
      <w:marLeft w:val="0"/>
      <w:marRight w:val="0"/>
      <w:marTop w:val="0"/>
      <w:marBottom w:val="0"/>
      <w:divBdr>
        <w:top w:val="none" w:sz="0" w:space="0" w:color="auto"/>
        <w:left w:val="none" w:sz="0" w:space="0" w:color="auto"/>
        <w:bottom w:val="none" w:sz="0" w:space="0" w:color="auto"/>
        <w:right w:val="none" w:sz="0" w:space="0" w:color="auto"/>
      </w:divBdr>
    </w:div>
    <w:div w:id="1420449028">
      <w:bodyDiv w:val="1"/>
      <w:marLeft w:val="0"/>
      <w:marRight w:val="0"/>
      <w:marTop w:val="0"/>
      <w:marBottom w:val="0"/>
      <w:divBdr>
        <w:top w:val="none" w:sz="0" w:space="0" w:color="auto"/>
        <w:left w:val="none" w:sz="0" w:space="0" w:color="auto"/>
        <w:bottom w:val="none" w:sz="0" w:space="0" w:color="auto"/>
        <w:right w:val="none" w:sz="0" w:space="0" w:color="auto"/>
      </w:divBdr>
    </w:div>
    <w:div w:id="1444348140">
      <w:bodyDiv w:val="1"/>
      <w:marLeft w:val="0"/>
      <w:marRight w:val="0"/>
      <w:marTop w:val="0"/>
      <w:marBottom w:val="0"/>
      <w:divBdr>
        <w:top w:val="none" w:sz="0" w:space="0" w:color="auto"/>
        <w:left w:val="none" w:sz="0" w:space="0" w:color="auto"/>
        <w:bottom w:val="none" w:sz="0" w:space="0" w:color="auto"/>
        <w:right w:val="none" w:sz="0" w:space="0" w:color="auto"/>
      </w:divBdr>
    </w:div>
    <w:div w:id="1501390623">
      <w:bodyDiv w:val="1"/>
      <w:marLeft w:val="0"/>
      <w:marRight w:val="0"/>
      <w:marTop w:val="0"/>
      <w:marBottom w:val="0"/>
      <w:divBdr>
        <w:top w:val="none" w:sz="0" w:space="0" w:color="auto"/>
        <w:left w:val="none" w:sz="0" w:space="0" w:color="auto"/>
        <w:bottom w:val="none" w:sz="0" w:space="0" w:color="auto"/>
        <w:right w:val="none" w:sz="0" w:space="0" w:color="auto"/>
      </w:divBdr>
    </w:div>
    <w:div w:id="1541089715">
      <w:bodyDiv w:val="1"/>
      <w:marLeft w:val="0"/>
      <w:marRight w:val="0"/>
      <w:marTop w:val="0"/>
      <w:marBottom w:val="0"/>
      <w:divBdr>
        <w:top w:val="none" w:sz="0" w:space="0" w:color="auto"/>
        <w:left w:val="none" w:sz="0" w:space="0" w:color="auto"/>
        <w:bottom w:val="none" w:sz="0" w:space="0" w:color="auto"/>
        <w:right w:val="none" w:sz="0" w:space="0" w:color="auto"/>
      </w:divBdr>
    </w:div>
    <w:div w:id="1544706251">
      <w:bodyDiv w:val="1"/>
      <w:marLeft w:val="0"/>
      <w:marRight w:val="0"/>
      <w:marTop w:val="0"/>
      <w:marBottom w:val="0"/>
      <w:divBdr>
        <w:top w:val="none" w:sz="0" w:space="0" w:color="auto"/>
        <w:left w:val="none" w:sz="0" w:space="0" w:color="auto"/>
        <w:bottom w:val="none" w:sz="0" w:space="0" w:color="auto"/>
        <w:right w:val="none" w:sz="0" w:space="0" w:color="auto"/>
      </w:divBdr>
    </w:div>
    <w:div w:id="1566723813">
      <w:bodyDiv w:val="1"/>
      <w:marLeft w:val="0"/>
      <w:marRight w:val="0"/>
      <w:marTop w:val="0"/>
      <w:marBottom w:val="0"/>
      <w:divBdr>
        <w:top w:val="none" w:sz="0" w:space="0" w:color="auto"/>
        <w:left w:val="none" w:sz="0" w:space="0" w:color="auto"/>
        <w:bottom w:val="none" w:sz="0" w:space="0" w:color="auto"/>
        <w:right w:val="none" w:sz="0" w:space="0" w:color="auto"/>
      </w:divBdr>
    </w:div>
    <w:div w:id="1571427156">
      <w:bodyDiv w:val="1"/>
      <w:marLeft w:val="0"/>
      <w:marRight w:val="0"/>
      <w:marTop w:val="0"/>
      <w:marBottom w:val="0"/>
      <w:divBdr>
        <w:top w:val="none" w:sz="0" w:space="0" w:color="auto"/>
        <w:left w:val="none" w:sz="0" w:space="0" w:color="auto"/>
        <w:bottom w:val="none" w:sz="0" w:space="0" w:color="auto"/>
        <w:right w:val="none" w:sz="0" w:space="0" w:color="auto"/>
      </w:divBdr>
    </w:div>
    <w:div w:id="1604799482">
      <w:bodyDiv w:val="1"/>
      <w:marLeft w:val="0"/>
      <w:marRight w:val="0"/>
      <w:marTop w:val="0"/>
      <w:marBottom w:val="0"/>
      <w:divBdr>
        <w:top w:val="none" w:sz="0" w:space="0" w:color="auto"/>
        <w:left w:val="none" w:sz="0" w:space="0" w:color="auto"/>
        <w:bottom w:val="none" w:sz="0" w:space="0" w:color="auto"/>
        <w:right w:val="none" w:sz="0" w:space="0" w:color="auto"/>
      </w:divBdr>
    </w:div>
    <w:div w:id="1610694620">
      <w:bodyDiv w:val="1"/>
      <w:marLeft w:val="0"/>
      <w:marRight w:val="0"/>
      <w:marTop w:val="0"/>
      <w:marBottom w:val="0"/>
      <w:divBdr>
        <w:top w:val="none" w:sz="0" w:space="0" w:color="auto"/>
        <w:left w:val="none" w:sz="0" w:space="0" w:color="auto"/>
        <w:bottom w:val="none" w:sz="0" w:space="0" w:color="auto"/>
        <w:right w:val="none" w:sz="0" w:space="0" w:color="auto"/>
      </w:divBdr>
    </w:div>
    <w:div w:id="1672216615">
      <w:bodyDiv w:val="1"/>
      <w:marLeft w:val="0"/>
      <w:marRight w:val="0"/>
      <w:marTop w:val="0"/>
      <w:marBottom w:val="0"/>
      <w:divBdr>
        <w:top w:val="none" w:sz="0" w:space="0" w:color="auto"/>
        <w:left w:val="none" w:sz="0" w:space="0" w:color="auto"/>
        <w:bottom w:val="none" w:sz="0" w:space="0" w:color="auto"/>
        <w:right w:val="none" w:sz="0" w:space="0" w:color="auto"/>
      </w:divBdr>
    </w:div>
    <w:div w:id="1701399116">
      <w:bodyDiv w:val="1"/>
      <w:marLeft w:val="0"/>
      <w:marRight w:val="0"/>
      <w:marTop w:val="0"/>
      <w:marBottom w:val="0"/>
      <w:divBdr>
        <w:top w:val="none" w:sz="0" w:space="0" w:color="auto"/>
        <w:left w:val="none" w:sz="0" w:space="0" w:color="auto"/>
        <w:bottom w:val="none" w:sz="0" w:space="0" w:color="auto"/>
        <w:right w:val="none" w:sz="0" w:space="0" w:color="auto"/>
      </w:divBdr>
    </w:div>
    <w:div w:id="1748111864">
      <w:bodyDiv w:val="1"/>
      <w:marLeft w:val="0"/>
      <w:marRight w:val="0"/>
      <w:marTop w:val="0"/>
      <w:marBottom w:val="0"/>
      <w:divBdr>
        <w:top w:val="none" w:sz="0" w:space="0" w:color="auto"/>
        <w:left w:val="none" w:sz="0" w:space="0" w:color="auto"/>
        <w:bottom w:val="none" w:sz="0" w:space="0" w:color="auto"/>
        <w:right w:val="none" w:sz="0" w:space="0" w:color="auto"/>
      </w:divBdr>
    </w:div>
    <w:div w:id="1752004088">
      <w:bodyDiv w:val="1"/>
      <w:marLeft w:val="0"/>
      <w:marRight w:val="0"/>
      <w:marTop w:val="0"/>
      <w:marBottom w:val="0"/>
      <w:divBdr>
        <w:top w:val="none" w:sz="0" w:space="0" w:color="auto"/>
        <w:left w:val="none" w:sz="0" w:space="0" w:color="auto"/>
        <w:bottom w:val="none" w:sz="0" w:space="0" w:color="auto"/>
        <w:right w:val="none" w:sz="0" w:space="0" w:color="auto"/>
      </w:divBdr>
    </w:div>
    <w:div w:id="1753694908">
      <w:bodyDiv w:val="1"/>
      <w:marLeft w:val="0"/>
      <w:marRight w:val="0"/>
      <w:marTop w:val="0"/>
      <w:marBottom w:val="0"/>
      <w:divBdr>
        <w:top w:val="none" w:sz="0" w:space="0" w:color="auto"/>
        <w:left w:val="none" w:sz="0" w:space="0" w:color="auto"/>
        <w:bottom w:val="none" w:sz="0" w:space="0" w:color="auto"/>
        <w:right w:val="none" w:sz="0" w:space="0" w:color="auto"/>
      </w:divBdr>
    </w:div>
    <w:div w:id="1767379267">
      <w:bodyDiv w:val="1"/>
      <w:marLeft w:val="0"/>
      <w:marRight w:val="0"/>
      <w:marTop w:val="0"/>
      <w:marBottom w:val="0"/>
      <w:divBdr>
        <w:top w:val="none" w:sz="0" w:space="0" w:color="auto"/>
        <w:left w:val="none" w:sz="0" w:space="0" w:color="auto"/>
        <w:bottom w:val="none" w:sz="0" w:space="0" w:color="auto"/>
        <w:right w:val="none" w:sz="0" w:space="0" w:color="auto"/>
      </w:divBdr>
    </w:div>
    <w:div w:id="1820421298">
      <w:bodyDiv w:val="1"/>
      <w:marLeft w:val="0"/>
      <w:marRight w:val="0"/>
      <w:marTop w:val="0"/>
      <w:marBottom w:val="0"/>
      <w:divBdr>
        <w:top w:val="none" w:sz="0" w:space="0" w:color="auto"/>
        <w:left w:val="none" w:sz="0" w:space="0" w:color="auto"/>
        <w:bottom w:val="none" w:sz="0" w:space="0" w:color="auto"/>
        <w:right w:val="none" w:sz="0" w:space="0" w:color="auto"/>
      </w:divBdr>
    </w:div>
    <w:div w:id="1846893434">
      <w:bodyDiv w:val="1"/>
      <w:marLeft w:val="0"/>
      <w:marRight w:val="0"/>
      <w:marTop w:val="0"/>
      <w:marBottom w:val="0"/>
      <w:divBdr>
        <w:top w:val="none" w:sz="0" w:space="0" w:color="auto"/>
        <w:left w:val="none" w:sz="0" w:space="0" w:color="auto"/>
        <w:bottom w:val="none" w:sz="0" w:space="0" w:color="auto"/>
        <w:right w:val="none" w:sz="0" w:space="0" w:color="auto"/>
      </w:divBdr>
    </w:div>
    <w:div w:id="1850824266">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85561834">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 w:id="1913346976">
      <w:bodyDiv w:val="1"/>
      <w:marLeft w:val="0"/>
      <w:marRight w:val="0"/>
      <w:marTop w:val="0"/>
      <w:marBottom w:val="0"/>
      <w:divBdr>
        <w:top w:val="none" w:sz="0" w:space="0" w:color="auto"/>
        <w:left w:val="none" w:sz="0" w:space="0" w:color="auto"/>
        <w:bottom w:val="none" w:sz="0" w:space="0" w:color="auto"/>
        <w:right w:val="none" w:sz="0" w:space="0" w:color="auto"/>
      </w:divBdr>
    </w:div>
    <w:div w:id="1940408804">
      <w:bodyDiv w:val="1"/>
      <w:marLeft w:val="0"/>
      <w:marRight w:val="0"/>
      <w:marTop w:val="0"/>
      <w:marBottom w:val="0"/>
      <w:divBdr>
        <w:top w:val="none" w:sz="0" w:space="0" w:color="auto"/>
        <w:left w:val="none" w:sz="0" w:space="0" w:color="auto"/>
        <w:bottom w:val="none" w:sz="0" w:space="0" w:color="auto"/>
        <w:right w:val="none" w:sz="0" w:space="0" w:color="auto"/>
      </w:divBdr>
    </w:div>
    <w:div w:id="1977174632">
      <w:bodyDiv w:val="1"/>
      <w:marLeft w:val="0"/>
      <w:marRight w:val="0"/>
      <w:marTop w:val="0"/>
      <w:marBottom w:val="0"/>
      <w:divBdr>
        <w:top w:val="none" w:sz="0" w:space="0" w:color="auto"/>
        <w:left w:val="none" w:sz="0" w:space="0" w:color="auto"/>
        <w:bottom w:val="none" w:sz="0" w:space="0" w:color="auto"/>
        <w:right w:val="none" w:sz="0" w:space="0" w:color="auto"/>
      </w:divBdr>
    </w:div>
    <w:div w:id="1997684764">
      <w:bodyDiv w:val="1"/>
      <w:marLeft w:val="0"/>
      <w:marRight w:val="0"/>
      <w:marTop w:val="0"/>
      <w:marBottom w:val="0"/>
      <w:divBdr>
        <w:top w:val="none" w:sz="0" w:space="0" w:color="auto"/>
        <w:left w:val="none" w:sz="0" w:space="0" w:color="auto"/>
        <w:bottom w:val="none" w:sz="0" w:space="0" w:color="auto"/>
        <w:right w:val="none" w:sz="0" w:space="0" w:color="auto"/>
      </w:divBdr>
    </w:div>
    <w:div w:id="1997830487">
      <w:bodyDiv w:val="1"/>
      <w:marLeft w:val="0"/>
      <w:marRight w:val="0"/>
      <w:marTop w:val="0"/>
      <w:marBottom w:val="0"/>
      <w:divBdr>
        <w:top w:val="none" w:sz="0" w:space="0" w:color="auto"/>
        <w:left w:val="none" w:sz="0" w:space="0" w:color="auto"/>
        <w:bottom w:val="none" w:sz="0" w:space="0" w:color="auto"/>
        <w:right w:val="none" w:sz="0" w:space="0" w:color="auto"/>
      </w:divBdr>
    </w:div>
    <w:div w:id="2003584269">
      <w:bodyDiv w:val="1"/>
      <w:marLeft w:val="0"/>
      <w:marRight w:val="0"/>
      <w:marTop w:val="0"/>
      <w:marBottom w:val="0"/>
      <w:divBdr>
        <w:top w:val="none" w:sz="0" w:space="0" w:color="auto"/>
        <w:left w:val="none" w:sz="0" w:space="0" w:color="auto"/>
        <w:bottom w:val="none" w:sz="0" w:space="0" w:color="auto"/>
        <w:right w:val="none" w:sz="0" w:space="0" w:color="auto"/>
      </w:divBdr>
    </w:div>
    <w:div w:id="206131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chart" Target="charts/chart3.xml"/><Relationship Id="rId42" Type="http://schemas.openxmlformats.org/officeDocument/2006/relationships/image" Target="media/image24.png"/><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png"/><Relationship Id="rId16" Type="http://schemas.openxmlformats.org/officeDocument/2006/relationships/hyperlink" Target="http://www.311.gob.do" TargetMode="External"/><Relationship Id="rId11" Type="http://schemas.openxmlformats.org/officeDocument/2006/relationships/footer" Target="footer1.xml"/><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43.emf"/><Relationship Id="rId19" Type="http://schemas.openxmlformats.org/officeDocument/2006/relationships/chart" Target="charts/chart1.xml"/><Relationship Id="rId14" Type="http://schemas.openxmlformats.org/officeDocument/2006/relationships/image" Target="media/image5.emf"/><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image" Target="media/image13.emf"/><Relationship Id="rId35" Type="http://schemas.openxmlformats.org/officeDocument/2006/relationships/image" Target="media/image18.png"/><Relationship Id="rId43" Type="http://schemas.openxmlformats.org/officeDocument/2006/relationships/image" Target="media/image25.emf"/><Relationship Id="rId48" Type="http://schemas.openxmlformats.org/officeDocument/2006/relationships/image" Target="media/image30.emf"/><Relationship Id="rId56" Type="http://schemas.openxmlformats.org/officeDocument/2006/relationships/image" Target="media/image38.emf"/><Relationship Id="rId64" Type="http://schemas.openxmlformats.org/officeDocument/2006/relationships/image" Target="media/image46.emf"/><Relationship Id="rId69" Type="http://schemas.openxmlformats.org/officeDocument/2006/relationships/image" Target="media/image51.emf"/><Relationship Id="rId77"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chart" Target="charts/chart6.xm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chart" Target="charts/chart2.xml"/><Relationship Id="rId41" Type="http://schemas.openxmlformats.org/officeDocument/2006/relationships/image" Target="media/image23.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chart" Target="charts/chart5.xml"/><Relationship Id="rId28" Type="http://schemas.openxmlformats.org/officeDocument/2006/relationships/image" Target="media/image11.emf"/><Relationship Id="rId36" Type="http://schemas.openxmlformats.org/officeDocument/2006/relationships/image" Target="media/image19.png"/><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3.png"/><Relationship Id="rId31" Type="http://schemas.openxmlformats.org/officeDocument/2006/relationships/image" Target="media/image14.emf"/><Relationship Id="rId44" Type="http://schemas.openxmlformats.org/officeDocument/2006/relationships/image" Target="media/image26.png"/><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9.png"/><Relationship Id="rId40" Type="http://schemas.openxmlformats.org/officeDocument/2006/relationships/chart" Target="charts/chart8.xml"/><Relationship Id="rId45" Type="http://schemas.openxmlformats.org/officeDocument/2006/relationships/image" Target="media/image27.emf"/><Relationship Id="rId66" Type="http://schemas.openxmlformats.org/officeDocument/2006/relationships/image" Target="media/image48.emf"/></Relationships>
</file>

<file path=word/_rels/footer3.xml.rels><?xml version="1.0" encoding="UTF-8" standalone="yes"?>
<Relationships xmlns="http://schemas.openxmlformats.org/package/2006/relationships"><Relationship Id="rId1" Type="http://schemas.openxmlformats.org/officeDocument/2006/relationships/image" Target="media/image53.png"/></Relationships>
</file>

<file path=word/_rels/footer4.xml.rels><?xml version="1.0" encoding="UTF-8" standalone="yes"?>
<Relationships xmlns="http://schemas.openxmlformats.org/package/2006/relationships"><Relationship Id="rId1" Type="http://schemas.openxmlformats.org/officeDocument/2006/relationships/image" Target="media/image53.png"/></Relationships>
</file>

<file path=word/_rels/footer5.xml.rels><?xml version="1.0" encoding="UTF-8" standalone="yes"?>
<Relationships xmlns="http://schemas.openxmlformats.org/package/2006/relationships"><Relationship Id="rId1" Type="http://schemas.openxmlformats.org/officeDocument/2006/relationships/image" Target="media/image5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ni\Downloads\Memoria%20Institucional%20MOPC-2021-12_202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cuments\2024\Rendici&#243;n%20de%20Cuentas%202024\CUADROS%20RENDICION%20DE%20CUENTAS-2024%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ocuments\2024\Rendici&#243;n%20de%20Cuentas%202024\CUADROS%20RENDICION%20DE%20CUENTAS-2024%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ocuments\2024\Rendici&#243;n%20de%20Cuentas%202024\CUADROS%20RENDICION%20DE%20CUENTAS-2024%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Documents\2024\Rendici&#243;n%20de%20Cuentas%202024\CUADROS%20RENDICION%20DE%20CUENTAS-2024%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dmin\Documents\2024\Rendici&#243;n%20de%20Cuentas%202024\CUADROS%20RENDICION%20DE%20CUENTAS-2024%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dmin\Documents\2024\Rendici&#243;n%20de%20Cuentas%202024\CUADROS%20RENDICION%20DE%20CUENTAS-2024%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min\Documents\2024\Rendici&#243;n%20de%20Cuentas%202024\CUADROS%20RENDICION%20DE%20CUENTAS-2024%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dmin\Documents\2024\Rendici&#243;n%20de%20Cuentas%202024\CUADROS%20RENDICION%20DE%20CUENTAS-2024%20(2)Dic_2024.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r>
              <a:rPr lang="es-DO" sz="1300" b="1" i="0" baseline="0">
                <a:effectLst/>
              </a:rPr>
              <a:t>Calificaciones del Indicador SISMAP-MOPC, Enero - Diciembre 2024</a:t>
            </a:r>
            <a:endParaRPr lang="es-DO" sz="1300">
              <a:effectLst/>
            </a:endParaRPr>
          </a:p>
        </c:rich>
      </c:tx>
      <c:overlay val="0"/>
      <c:spPr>
        <a:noFill/>
        <a:ln>
          <a:noFill/>
        </a:ln>
        <a:effectLst/>
      </c:spPr>
      <c:txPr>
        <a:bodyPr rot="0" spcFirstLastPara="1" vertOverflow="ellipsis" vert="horz" wrap="square" anchor="ctr" anchorCtr="1"/>
        <a:lstStyle/>
        <a:p>
          <a:pPr>
            <a:defRPr sz="13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436EBE"/>
            </a:solidFill>
            <a:ln>
              <a:noFill/>
            </a:ln>
            <a:effectLst/>
            <a:sp3d/>
          </c:spPr>
          <c:invertIfNegative val="0"/>
          <c:dPt>
            <c:idx val="3"/>
            <c:invertIfNegative val="0"/>
            <c:bubble3D val="0"/>
            <c:spPr>
              <a:solidFill>
                <a:srgbClr val="47A8EA"/>
              </a:solidFill>
              <a:ln>
                <a:noFill/>
              </a:ln>
              <a:effectLst/>
              <a:sp3d/>
            </c:spPr>
            <c:extLst>
              <c:ext xmlns:c16="http://schemas.microsoft.com/office/drawing/2014/chart" uri="{C3380CC4-5D6E-409C-BE32-E72D297353CC}">
                <c16:uniqueId val="{00000001-C316-43FA-978A-D573FBBFAE63}"/>
              </c:ext>
            </c:extLst>
          </c:dPt>
          <c:dPt>
            <c:idx val="4"/>
            <c:invertIfNegative val="0"/>
            <c:bubble3D val="0"/>
            <c:spPr>
              <a:solidFill>
                <a:srgbClr val="47A8EA"/>
              </a:solidFill>
              <a:ln>
                <a:noFill/>
              </a:ln>
              <a:effectLst/>
              <a:sp3d/>
            </c:spPr>
            <c:extLst>
              <c:ext xmlns:c16="http://schemas.microsoft.com/office/drawing/2014/chart" uri="{C3380CC4-5D6E-409C-BE32-E72D297353CC}">
                <c16:uniqueId val="{00000003-C316-43FA-978A-D573FBBFAE63}"/>
              </c:ext>
            </c:extLst>
          </c:dPt>
          <c:dPt>
            <c:idx val="5"/>
            <c:invertIfNegative val="0"/>
            <c:bubble3D val="0"/>
            <c:spPr>
              <a:solidFill>
                <a:srgbClr val="7D8589"/>
              </a:solidFill>
              <a:ln>
                <a:noFill/>
              </a:ln>
              <a:effectLst/>
              <a:sp3d/>
            </c:spPr>
            <c:extLst>
              <c:ext xmlns:c16="http://schemas.microsoft.com/office/drawing/2014/chart" uri="{C3380CC4-5D6E-409C-BE32-E72D297353CC}">
                <c16:uniqueId val="{00000005-C316-43FA-978A-D573FBBFAE63}"/>
              </c:ext>
            </c:extLst>
          </c:dPt>
          <c:dPt>
            <c:idx val="6"/>
            <c:invertIfNegative val="0"/>
            <c:bubble3D val="0"/>
            <c:spPr>
              <a:solidFill>
                <a:srgbClr val="47A8EA"/>
              </a:solidFill>
              <a:ln>
                <a:noFill/>
              </a:ln>
              <a:effectLst/>
              <a:sp3d/>
            </c:spPr>
            <c:extLst>
              <c:ext xmlns:c16="http://schemas.microsoft.com/office/drawing/2014/chart" uri="{C3380CC4-5D6E-409C-BE32-E72D297353CC}">
                <c16:uniqueId val="{00000007-C316-43FA-978A-D573FBBFAE6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GESTIÓN'!$A$3:$A$14</c:f>
              <c:strCache>
                <c:ptCount val="12"/>
                <c:pt idx="0">
                  <c:v>Enero</c:v>
                </c:pt>
                <c:pt idx="1">
                  <c:v>Febrero</c:v>
                </c:pt>
                <c:pt idx="2">
                  <c:v>Marzo</c:v>
                </c:pt>
                <c:pt idx="3">
                  <c:v>Abril</c:v>
                </c:pt>
                <c:pt idx="4">
                  <c:v>Mayo</c:v>
                </c:pt>
                <c:pt idx="5">
                  <c:v>Junio</c:v>
                </c:pt>
                <c:pt idx="6">
                  <c:v>Julio</c:v>
                </c:pt>
                <c:pt idx="7">
                  <c:v>Agosto</c:v>
                </c:pt>
                <c:pt idx="8">
                  <c:v>Septiembre </c:v>
                </c:pt>
                <c:pt idx="9">
                  <c:v>Octubre</c:v>
                </c:pt>
                <c:pt idx="10">
                  <c:v>Noviembre</c:v>
                </c:pt>
                <c:pt idx="11">
                  <c:v>Diciembre</c:v>
                </c:pt>
              </c:strCache>
            </c:strRef>
          </c:cat>
          <c:val>
            <c:numRef>
              <c:f>'INDICADORES GESTIÓN'!$E$3:$E$14</c:f>
              <c:numCache>
                <c:formatCode>0%</c:formatCode>
                <c:ptCount val="12"/>
                <c:pt idx="0">
                  <c:v>0.8</c:v>
                </c:pt>
                <c:pt idx="1">
                  <c:v>0.79</c:v>
                </c:pt>
                <c:pt idx="2">
                  <c:v>0.8</c:v>
                </c:pt>
                <c:pt idx="3">
                  <c:v>0.79</c:v>
                </c:pt>
                <c:pt idx="4">
                  <c:v>0.8</c:v>
                </c:pt>
                <c:pt idx="5">
                  <c:v>0.68</c:v>
                </c:pt>
                <c:pt idx="6">
                  <c:v>0.81</c:v>
                </c:pt>
                <c:pt idx="7">
                  <c:v>0.79</c:v>
                </c:pt>
                <c:pt idx="8">
                  <c:v>0.83</c:v>
                </c:pt>
                <c:pt idx="9">
                  <c:v>0.82</c:v>
                </c:pt>
                <c:pt idx="10">
                  <c:v>0.82</c:v>
                </c:pt>
                <c:pt idx="11">
                  <c:v>0.82</c:v>
                </c:pt>
              </c:numCache>
            </c:numRef>
          </c:val>
          <c:extLst>
            <c:ext xmlns:c16="http://schemas.microsoft.com/office/drawing/2014/chart" uri="{C3380CC4-5D6E-409C-BE32-E72D297353CC}">
              <c16:uniqueId val="{00000008-C316-43FA-978A-D573FBBFAE63}"/>
            </c:ext>
          </c:extLst>
        </c:ser>
        <c:dLbls>
          <c:showLegendKey val="0"/>
          <c:showVal val="0"/>
          <c:showCatName val="0"/>
          <c:showSerName val="0"/>
          <c:showPercent val="0"/>
          <c:showBubbleSize val="0"/>
        </c:dLbls>
        <c:gapWidth val="150"/>
        <c:shape val="box"/>
        <c:axId val="1225731200"/>
        <c:axId val="1225732376"/>
        <c:axId val="0"/>
      </c:bar3DChart>
      <c:catAx>
        <c:axId val="1225731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2376"/>
        <c:crosses val="autoZero"/>
        <c:auto val="1"/>
        <c:lblAlgn val="ctr"/>
        <c:lblOffset val="100"/>
        <c:noMultiLvlLbl val="0"/>
      </c:catAx>
      <c:valAx>
        <c:axId val="1225732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12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r>
              <a:rPr lang="es-DO" sz="1300" b="1" i="0" baseline="0">
                <a:solidFill>
                  <a:srgbClr val="003876"/>
                </a:solidFill>
                <a:effectLst/>
              </a:rPr>
              <a:t>Calificaciones del Indicador ITICGE-MOPC, </a:t>
            </a:r>
            <a:br>
              <a:rPr lang="es-DO" sz="1300" b="1" i="0" baseline="0">
                <a:solidFill>
                  <a:srgbClr val="003876"/>
                </a:solidFill>
                <a:effectLst/>
              </a:rPr>
            </a:br>
            <a:r>
              <a:rPr lang="es-DO" sz="1300" b="1" i="0" baseline="0">
                <a:solidFill>
                  <a:srgbClr val="003876"/>
                </a:solidFill>
                <a:effectLst/>
              </a:rPr>
              <a:t>Enero - Septiembre 2024</a:t>
            </a:r>
            <a:endParaRPr lang="es-DO" sz="1300">
              <a:solidFill>
                <a:srgbClr val="003876"/>
              </a:solidFill>
              <a:effectLst/>
            </a:endParaRPr>
          </a:p>
        </c:rich>
      </c:tx>
      <c:overlay val="0"/>
      <c:spPr>
        <a:noFill/>
        <a:ln>
          <a:noFill/>
        </a:ln>
        <a:effectLst/>
      </c:spPr>
      <c:txPr>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accent1"/>
            </a:solidFill>
            <a:ln>
              <a:noFill/>
            </a:ln>
            <a:effectLst/>
          </c:spPr>
          <c:invertIfNegative val="0"/>
          <c:cat>
            <c:strRef>
              <c:f>'INDICADORES GESTIÓN'!$A$17:$A$19</c:f>
              <c:strCache>
                <c:ptCount val="3"/>
                <c:pt idx="0">
                  <c:v>Enero-Marzo</c:v>
                </c:pt>
                <c:pt idx="1">
                  <c:v>Abril Junio</c:v>
                </c:pt>
                <c:pt idx="2">
                  <c:v>Julio-Septiembre</c:v>
                </c:pt>
              </c:strCache>
            </c:strRef>
          </c:cat>
          <c:val>
            <c:numRef>
              <c:f>'INDICADORES GESTIÓN'!$B$17:$B$19</c:f>
              <c:numCache>
                <c:formatCode>General</c:formatCode>
                <c:ptCount val="3"/>
              </c:numCache>
            </c:numRef>
          </c:val>
          <c:extLst>
            <c:ext xmlns:c16="http://schemas.microsoft.com/office/drawing/2014/chart" uri="{C3380CC4-5D6E-409C-BE32-E72D297353CC}">
              <c16:uniqueId val="{00000000-A23A-4993-984F-B232D850F0B4}"/>
            </c:ext>
          </c:extLst>
        </c:ser>
        <c:ser>
          <c:idx val="1"/>
          <c:order val="1"/>
          <c:spPr>
            <a:solidFill>
              <a:srgbClr val="EE2A2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GESTIÓN'!$A$17:$A$19</c:f>
              <c:strCache>
                <c:ptCount val="3"/>
                <c:pt idx="0">
                  <c:v>Enero-Marzo</c:v>
                </c:pt>
                <c:pt idx="1">
                  <c:v>Abril Junio</c:v>
                </c:pt>
                <c:pt idx="2">
                  <c:v>Julio-Septiembre</c:v>
                </c:pt>
              </c:strCache>
            </c:strRef>
          </c:cat>
          <c:val>
            <c:numRef>
              <c:f>'INDICADORES GESTIÓN'!$C$17:$C$19</c:f>
              <c:numCache>
                <c:formatCode>0%</c:formatCode>
                <c:ptCount val="3"/>
                <c:pt idx="0">
                  <c:v>0.57999999999999996</c:v>
                </c:pt>
                <c:pt idx="1">
                  <c:v>0.6</c:v>
                </c:pt>
                <c:pt idx="2">
                  <c:v>0.6</c:v>
                </c:pt>
              </c:numCache>
            </c:numRef>
          </c:val>
          <c:extLst>
            <c:ext xmlns:c16="http://schemas.microsoft.com/office/drawing/2014/chart" uri="{C3380CC4-5D6E-409C-BE32-E72D297353CC}">
              <c16:uniqueId val="{00000001-A23A-4993-984F-B232D850F0B4}"/>
            </c:ext>
          </c:extLst>
        </c:ser>
        <c:dLbls>
          <c:showLegendKey val="0"/>
          <c:showVal val="0"/>
          <c:showCatName val="0"/>
          <c:showSerName val="0"/>
          <c:showPercent val="0"/>
          <c:showBubbleSize val="0"/>
        </c:dLbls>
        <c:gapWidth val="120"/>
        <c:overlap val="60"/>
        <c:axId val="1225725320"/>
        <c:axId val="1225730024"/>
      </c:barChart>
      <c:catAx>
        <c:axId val="1225725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0024"/>
        <c:crosses val="autoZero"/>
        <c:auto val="1"/>
        <c:lblAlgn val="ctr"/>
        <c:lblOffset val="100"/>
        <c:noMultiLvlLbl val="0"/>
      </c:catAx>
      <c:valAx>
        <c:axId val="1225730024"/>
        <c:scaling>
          <c:orientation val="minMax"/>
          <c:max val="0.6100000000000001"/>
          <c:min val="0.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253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r>
              <a:rPr lang="es-DO" sz="1200" b="1" i="0" baseline="0">
                <a:solidFill>
                  <a:srgbClr val="003876"/>
                </a:solidFill>
                <a:effectLst/>
              </a:rPr>
              <a:t>Calificaciones del Indicador NOBACI-MOPC, </a:t>
            </a:r>
            <a:br>
              <a:rPr lang="es-DO" sz="1200" b="1" i="0" baseline="0">
                <a:solidFill>
                  <a:srgbClr val="003876"/>
                </a:solidFill>
                <a:effectLst/>
              </a:rPr>
            </a:br>
            <a:r>
              <a:rPr lang="es-DO" sz="1200" b="1" i="0" baseline="0">
                <a:solidFill>
                  <a:srgbClr val="003876"/>
                </a:solidFill>
                <a:effectLst/>
              </a:rPr>
              <a:t>cuatrimestres: Enero-Abril, Mayo-Agosto - Noviembre 2024</a:t>
            </a:r>
            <a:endParaRPr lang="es-DO" sz="1200">
              <a:solidFill>
                <a:srgbClr val="003876"/>
              </a:solidFill>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rgbClr val="EE2A24"/>
            </a:solidFill>
            <a:ln>
              <a:noFill/>
            </a:ln>
            <a:effectLst/>
          </c:spPr>
          <c:invertIfNegative val="0"/>
          <c:dPt>
            <c:idx val="0"/>
            <c:invertIfNegative val="0"/>
            <c:bubble3D val="0"/>
            <c:spPr>
              <a:solidFill>
                <a:srgbClr val="767171"/>
              </a:solidFill>
              <a:ln>
                <a:noFill/>
              </a:ln>
              <a:effectLst/>
            </c:spPr>
            <c:extLst>
              <c:ext xmlns:c16="http://schemas.microsoft.com/office/drawing/2014/chart" uri="{C3380CC4-5D6E-409C-BE32-E72D297353CC}">
                <c16:uniqueId val="{00000001-6864-46C2-9386-30816F329B0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GESTIÓN'!$A$22:$A$24</c:f>
              <c:strCache>
                <c:ptCount val="3"/>
                <c:pt idx="0">
                  <c:v>Enero-Abril</c:v>
                </c:pt>
                <c:pt idx="1">
                  <c:v>Mayo-Agosto</c:v>
                </c:pt>
                <c:pt idx="2">
                  <c:v>Septiembre-Diciembre</c:v>
                </c:pt>
              </c:strCache>
            </c:strRef>
          </c:cat>
          <c:val>
            <c:numRef>
              <c:f>'INDICADORES GESTIÓN'!$E$22:$E$24</c:f>
              <c:numCache>
                <c:formatCode>0%</c:formatCode>
                <c:ptCount val="3"/>
                <c:pt idx="0">
                  <c:v>0.79</c:v>
                </c:pt>
                <c:pt idx="1">
                  <c:v>0.39</c:v>
                </c:pt>
                <c:pt idx="2">
                  <c:v>0.52</c:v>
                </c:pt>
              </c:numCache>
            </c:numRef>
          </c:val>
          <c:extLst>
            <c:ext xmlns:c16="http://schemas.microsoft.com/office/drawing/2014/chart" uri="{C3380CC4-5D6E-409C-BE32-E72D297353CC}">
              <c16:uniqueId val="{00000002-6864-46C2-9386-30816F329B05}"/>
            </c:ext>
          </c:extLst>
        </c:ser>
        <c:dLbls>
          <c:showLegendKey val="0"/>
          <c:showVal val="0"/>
          <c:showCatName val="0"/>
          <c:showSerName val="0"/>
          <c:showPercent val="0"/>
          <c:showBubbleSize val="0"/>
        </c:dLbls>
        <c:gapWidth val="219"/>
        <c:overlap val="-27"/>
        <c:axId val="1225736296"/>
        <c:axId val="1225732768"/>
      </c:barChart>
      <c:catAx>
        <c:axId val="1225736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2768"/>
        <c:crosses val="autoZero"/>
        <c:auto val="1"/>
        <c:lblAlgn val="ctr"/>
        <c:lblOffset val="100"/>
        <c:noMultiLvlLbl val="0"/>
      </c:catAx>
      <c:valAx>
        <c:axId val="1225732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6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r>
              <a:rPr lang="es-DO" sz="1300" b="1" i="0" baseline="0">
                <a:solidFill>
                  <a:srgbClr val="003876"/>
                </a:solidFill>
                <a:effectLst/>
                <a:latin typeface="Times New Roman" panose="02020603050405020304" pitchFamily="18" charset="0"/>
                <a:cs typeface="Times New Roman" panose="02020603050405020304" pitchFamily="18" charset="0"/>
              </a:rPr>
              <a:t>Calificaciones del Indicador Ley 200-04-MOPC, </a:t>
            </a:r>
            <a:br>
              <a:rPr lang="es-DO" sz="1300" b="1" i="0" baseline="0">
                <a:solidFill>
                  <a:srgbClr val="003876"/>
                </a:solidFill>
                <a:effectLst/>
                <a:latin typeface="Times New Roman" panose="02020603050405020304" pitchFamily="18" charset="0"/>
                <a:cs typeface="Times New Roman" panose="02020603050405020304" pitchFamily="18" charset="0"/>
              </a:rPr>
            </a:br>
            <a:r>
              <a:rPr lang="es-DO" sz="1300" b="1" i="0" baseline="0">
                <a:solidFill>
                  <a:srgbClr val="003876"/>
                </a:solidFill>
                <a:effectLst/>
                <a:latin typeface="Times New Roman" panose="02020603050405020304" pitchFamily="18" charset="0"/>
                <a:cs typeface="Times New Roman" panose="02020603050405020304" pitchFamily="18" charset="0"/>
              </a:rPr>
              <a:t>Enero - Octubre 2024</a:t>
            </a:r>
            <a:endParaRPr lang="es-DO" sz="1300">
              <a:solidFill>
                <a:srgbClr val="003876"/>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GESTIÓN'!$A$3:$A$12</c:f>
              <c:strCache>
                <c:ptCount val="10"/>
                <c:pt idx="0">
                  <c:v>Enero</c:v>
                </c:pt>
                <c:pt idx="1">
                  <c:v>Febrero</c:v>
                </c:pt>
                <c:pt idx="2">
                  <c:v>Marzo</c:v>
                </c:pt>
                <c:pt idx="3">
                  <c:v>Abril</c:v>
                </c:pt>
                <c:pt idx="4">
                  <c:v>Mayo</c:v>
                </c:pt>
                <c:pt idx="5">
                  <c:v>Junio</c:v>
                </c:pt>
                <c:pt idx="6">
                  <c:v>Julio</c:v>
                </c:pt>
                <c:pt idx="7">
                  <c:v>Agosto</c:v>
                </c:pt>
                <c:pt idx="8">
                  <c:v>Septiembre </c:v>
                </c:pt>
                <c:pt idx="9">
                  <c:v>Octubre</c:v>
                </c:pt>
              </c:strCache>
            </c:strRef>
          </c:cat>
          <c:val>
            <c:numRef>
              <c:f>'INDICADORES GESTIÓN'!$G$3:$G$12</c:f>
              <c:numCache>
                <c:formatCode>0%</c:formatCode>
                <c:ptCount val="10"/>
                <c:pt idx="0">
                  <c:v>0.93</c:v>
                </c:pt>
                <c:pt idx="1">
                  <c:v>0.99</c:v>
                </c:pt>
                <c:pt idx="2">
                  <c:v>0.98</c:v>
                </c:pt>
                <c:pt idx="3">
                  <c:v>0.99</c:v>
                </c:pt>
                <c:pt idx="4">
                  <c:v>0.99</c:v>
                </c:pt>
                <c:pt idx="5">
                  <c:v>0.98</c:v>
                </c:pt>
                <c:pt idx="6">
                  <c:v>1</c:v>
                </c:pt>
                <c:pt idx="7">
                  <c:v>1</c:v>
                </c:pt>
                <c:pt idx="8">
                  <c:v>1</c:v>
                </c:pt>
                <c:pt idx="9">
                  <c:v>1</c:v>
                </c:pt>
              </c:numCache>
            </c:numRef>
          </c:val>
          <c:extLst>
            <c:ext xmlns:c16="http://schemas.microsoft.com/office/drawing/2014/chart" uri="{C3380CC4-5D6E-409C-BE32-E72D297353CC}">
              <c16:uniqueId val="{00000000-27E9-4775-ABE5-2998ECC4F6A3}"/>
            </c:ext>
          </c:extLst>
        </c:ser>
        <c:dLbls>
          <c:showLegendKey val="0"/>
          <c:showVal val="0"/>
          <c:showCatName val="0"/>
          <c:showSerName val="0"/>
          <c:showPercent val="0"/>
          <c:showBubbleSize val="0"/>
        </c:dLbls>
        <c:gapWidth val="219"/>
        <c:overlap val="-27"/>
        <c:axId val="1225735512"/>
        <c:axId val="1225730416"/>
      </c:barChart>
      <c:catAx>
        <c:axId val="1225735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0416"/>
        <c:crosses val="autoZero"/>
        <c:auto val="1"/>
        <c:lblAlgn val="ctr"/>
        <c:lblOffset val="100"/>
        <c:noMultiLvlLbl val="0"/>
      </c:catAx>
      <c:valAx>
        <c:axId val="1225730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2257355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r>
              <a:rPr lang="es-DO" sz="1300" b="1" i="0" baseline="0">
                <a:solidFill>
                  <a:srgbClr val="003876"/>
                </a:solidFill>
                <a:effectLst/>
              </a:rPr>
              <a:t>Calificaciones del Indicador PRESUPUESTO-MOPC, </a:t>
            </a:r>
            <a:br>
              <a:rPr lang="es-DO" sz="1300" b="1" i="0" baseline="0">
                <a:solidFill>
                  <a:srgbClr val="003876"/>
                </a:solidFill>
                <a:effectLst/>
              </a:rPr>
            </a:br>
            <a:r>
              <a:rPr lang="es-DO" sz="1300" b="1" i="0" baseline="0">
                <a:solidFill>
                  <a:srgbClr val="003876"/>
                </a:solidFill>
                <a:effectLst/>
              </a:rPr>
              <a:t>trimestres: Enero-Marzo, Abril-Junio, Julio-Septiembre 2024</a:t>
            </a:r>
            <a:endParaRPr lang="es-DO" sz="1300">
              <a:solidFill>
                <a:srgbClr val="003876"/>
              </a:solidFill>
              <a:effectLst/>
            </a:endParaRPr>
          </a:p>
        </c:rich>
      </c:tx>
      <c:overlay val="0"/>
      <c:spPr>
        <a:noFill/>
        <a:ln>
          <a:noFill/>
        </a:ln>
        <a:effectLst/>
      </c:spPr>
      <c:txPr>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7.8478795114117844E-2"/>
          <c:y val="0.2565461066727035"/>
          <c:w val="0.89643049126970686"/>
          <c:h val="0.64563095438340001"/>
        </c:manualLayout>
      </c:layout>
      <c:barChart>
        <c:barDir val="col"/>
        <c:grouping val="clustered"/>
        <c:varyColors val="0"/>
        <c:ser>
          <c:idx val="0"/>
          <c:order val="0"/>
          <c:spPr>
            <a:solidFill>
              <a:schemeClr val="accent1"/>
            </a:solidFill>
            <a:ln>
              <a:noFill/>
            </a:ln>
            <a:effectLst/>
          </c:spPr>
          <c:invertIfNegative val="0"/>
          <c:cat>
            <c:strRef>
              <c:f>'INDICADORES GESTIÓN'!$A$17:$A$19</c:f>
              <c:strCache>
                <c:ptCount val="3"/>
                <c:pt idx="0">
                  <c:v>Enero-Marzo</c:v>
                </c:pt>
                <c:pt idx="1">
                  <c:v>Abril Junio</c:v>
                </c:pt>
                <c:pt idx="2">
                  <c:v>Julio-Septiembre</c:v>
                </c:pt>
              </c:strCache>
            </c:strRef>
          </c:cat>
          <c:val>
            <c:numRef>
              <c:f>'INDICADORES GESTIÓN'!$F$17:$F$19</c:f>
              <c:numCache>
                <c:formatCode>General</c:formatCode>
                <c:ptCount val="3"/>
              </c:numCache>
            </c:numRef>
          </c:val>
          <c:extLst>
            <c:ext xmlns:c16="http://schemas.microsoft.com/office/drawing/2014/chart" uri="{C3380CC4-5D6E-409C-BE32-E72D297353CC}">
              <c16:uniqueId val="{00000000-58BF-4796-9873-9B8E29CC7995}"/>
            </c:ext>
          </c:extLst>
        </c:ser>
        <c:ser>
          <c:idx val="1"/>
          <c:order val="1"/>
          <c:spPr>
            <a:solidFill>
              <a:srgbClr val="0038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GESTIÓN'!$A$17:$A$19</c:f>
              <c:strCache>
                <c:ptCount val="3"/>
                <c:pt idx="0">
                  <c:v>Enero-Marzo</c:v>
                </c:pt>
                <c:pt idx="1">
                  <c:v>Abril Junio</c:v>
                </c:pt>
                <c:pt idx="2">
                  <c:v>Julio-Septiembre</c:v>
                </c:pt>
              </c:strCache>
            </c:strRef>
          </c:cat>
          <c:val>
            <c:numRef>
              <c:f>'INDICADORES GESTIÓN'!$G$17:$G$19</c:f>
              <c:numCache>
                <c:formatCode>0%</c:formatCode>
                <c:ptCount val="3"/>
                <c:pt idx="0">
                  <c:v>0.86</c:v>
                </c:pt>
                <c:pt idx="1">
                  <c:v>0.92</c:v>
                </c:pt>
                <c:pt idx="2">
                  <c:v>0.8</c:v>
                </c:pt>
              </c:numCache>
            </c:numRef>
          </c:val>
          <c:extLst>
            <c:ext xmlns:c16="http://schemas.microsoft.com/office/drawing/2014/chart" uri="{C3380CC4-5D6E-409C-BE32-E72D297353CC}">
              <c16:uniqueId val="{00000001-58BF-4796-9873-9B8E29CC7995}"/>
            </c:ext>
          </c:extLst>
        </c:ser>
        <c:dLbls>
          <c:showLegendKey val="0"/>
          <c:showVal val="0"/>
          <c:showCatName val="0"/>
          <c:showSerName val="0"/>
          <c:showPercent val="0"/>
          <c:showBubbleSize val="0"/>
        </c:dLbls>
        <c:gapWidth val="200"/>
        <c:overlap val="40"/>
        <c:axId val="1225735120"/>
        <c:axId val="1225734336"/>
      </c:barChart>
      <c:catAx>
        <c:axId val="122573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4336"/>
        <c:crosses val="autoZero"/>
        <c:auto val="1"/>
        <c:lblAlgn val="ctr"/>
        <c:lblOffset val="100"/>
        <c:noMultiLvlLbl val="0"/>
      </c:catAx>
      <c:valAx>
        <c:axId val="1225734336"/>
        <c:scaling>
          <c:orientation val="minMax"/>
          <c:max val="0.92500000000000004"/>
          <c:min val="0.7500000000000001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5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r>
              <a:rPr lang="es-DO" sz="1300" b="1" i="0" baseline="0">
                <a:solidFill>
                  <a:srgbClr val="003876"/>
                </a:solidFill>
                <a:effectLst/>
              </a:rPr>
              <a:t>Calificaciones del Indicador SISACNOC-MOPC, </a:t>
            </a:r>
            <a:br>
              <a:rPr lang="es-DO" sz="1300" b="1" i="0" baseline="0">
                <a:solidFill>
                  <a:srgbClr val="003876"/>
                </a:solidFill>
                <a:effectLst/>
              </a:rPr>
            </a:br>
            <a:r>
              <a:rPr lang="es-DO" sz="1300" b="1" i="0" baseline="0">
                <a:solidFill>
                  <a:srgbClr val="003876"/>
                </a:solidFill>
                <a:effectLst/>
              </a:rPr>
              <a:t>Enero - Junio 2024</a:t>
            </a:r>
            <a:endParaRPr lang="es-DO" sz="1300">
              <a:solidFill>
                <a:srgbClr val="003876"/>
              </a:solidFill>
              <a:effectLst/>
            </a:endParaRPr>
          </a:p>
        </c:rich>
      </c:tx>
      <c:overlay val="0"/>
      <c:spPr>
        <a:noFill/>
        <a:ln>
          <a:noFill/>
        </a:ln>
        <a:effectLst/>
      </c:spPr>
      <c:txPr>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accent1"/>
            </a:solidFill>
            <a:ln>
              <a:noFill/>
            </a:ln>
            <a:effectLst/>
          </c:spPr>
          <c:invertIfNegative val="0"/>
          <c:cat>
            <c:strRef>
              <c:f>'INDICADORES GESTIÓN'!$A$26</c:f>
              <c:strCache>
                <c:ptCount val="1"/>
                <c:pt idx="0">
                  <c:v>Enero-Junio</c:v>
                </c:pt>
              </c:strCache>
            </c:strRef>
          </c:cat>
          <c:val>
            <c:numRef>
              <c:f>'INDICADORES GESTIÓN'!$B$17:$B$19</c:f>
              <c:numCache>
                <c:formatCode>General</c:formatCode>
                <c:ptCount val="3"/>
              </c:numCache>
            </c:numRef>
          </c:val>
          <c:extLst>
            <c:ext xmlns:c16="http://schemas.microsoft.com/office/drawing/2014/chart" uri="{C3380CC4-5D6E-409C-BE32-E72D297353CC}">
              <c16:uniqueId val="{00000000-F804-4765-9494-7B37C9C236CF}"/>
            </c:ext>
          </c:extLst>
        </c:ser>
        <c:ser>
          <c:idx val="1"/>
          <c:order val="1"/>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GESTIÓN'!$A$26</c:f>
              <c:strCache>
                <c:ptCount val="1"/>
                <c:pt idx="0">
                  <c:v>Enero-Junio</c:v>
                </c:pt>
              </c:strCache>
            </c:strRef>
          </c:cat>
          <c:val>
            <c:numRef>
              <c:f>'INDICADORES GESTIÓN'!$C$26</c:f>
              <c:numCache>
                <c:formatCode>0%</c:formatCode>
                <c:ptCount val="1"/>
                <c:pt idx="0">
                  <c:v>0.49</c:v>
                </c:pt>
              </c:numCache>
            </c:numRef>
          </c:val>
          <c:extLst>
            <c:ext xmlns:c16="http://schemas.microsoft.com/office/drawing/2014/chart" uri="{C3380CC4-5D6E-409C-BE32-E72D297353CC}">
              <c16:uniqueId val="{00000001-F804-4765-9494-7B37C9C236CF}"/>
            </c:ext>
          </c:extLst>
        </c:ser>
        <c:dLbls>
          <c:showLegendKey val="0"/>
          <c:showVal val="0"/>
          <c:showCatName val="0"/>
          <c:showSerName val="0"/>
          <c:showPercent val="0"/>
          <c:showBubbleSize val="0"/>
        </c:dLbls>
        <c:gapWidth val="12"/>
        <c:overlap val="95"/>
        <c:axId val="1225728848"/>
        <c:axId val="1225733944"/>
      </c:barChart>
      <c:catAx>
        <c:axId val="122572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3944"/>
        <c:crosses val="autoZero"/>
        <c:auto val="1"/>
        <c:lblAlgn val="ctr"/>
        <c:lblOffset val="100"/>
        <c:noMultiLvlLbl val="0"/>
      </c:catAx>
      <c:valAx>
        <c:axId val="1225733944"/>
        <c:scaling>
          <c:orientation val="minMax"/>
          <c:max val="0.5"/>
          <c:min val="0.4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288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r>
              <a:rPr lang="es-DO" sz="1440" b="1" i="0" u="none" strike="noStrike" baseline="0">
                <a:solidFill>
                  <a:srgbClr val="003876"/>
                </a:solidFill>
                <a:effectLst/>
              </a:rPr>
              <a:t>Índice de Evaluación Institucional 2023-2024</a:t>
            </a:r>
            <a:endParaRPr lang="es-DO">
              <a:solidFill>
                <a:srgbClr val="003876"/>
              </a:solidFill>
            </a:endParaRPr>
          </a:p>
        </c:rich>
      </c:tx>
      <c:overlay val="0"/>
      <c:spPr>
        <a:noFill/>
        <a:ln>
          <a:noFill/>
        </a:ln>
        <a:effectLst/>
      </c:spPr>
      <c:txPr>
        <a:bodyPr rot="0" spcFirstLastPara="1" vertOverflow="ellipsis" vert="horz" wrap="square" anchor="ctr" anchorCtr="1"/>
        <a:lstStyle/>
        <a:p>
          <a:pPr>
            <a:defRPr sz="144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1"/>
          <c:order val="1"/>
          <c:spPr>
            <a:solidFill>
              <a:srgbClr val="436EBE"/>
            </a:solidFill>
            <a:ln>
              <a:noFill/>
            </a:ln>
            <a:effectLst/>
          </c:spPr>
          <c:invertIfNegative val="0"/>
          <c:dPt>
            <c:idx val="0"/>
            <c:invertIfNegative val="0"/>
            <c:bubble3D val="0"/>
            <c:spPr>
              <a:solidFill>
                <a:srgbClr val="767171"/>
              </a:solidFill>
              <a:ln>
                <a:noFill/>
              </a:ln>
              <a:effectLst/>
            </c:spPr>
            <c:extLst>
              <c:ext xmlns:c16="http://schemas.microsoft.com/office/drawing/2014/chart" uri="{C3380CC4-5D6E-409C-BE32-E72D297353CC}">
                <c16:uniqueId val="{00000001-73A4-4735-8488-D0D619F4B7EC}"/>
              </c:ext>
            </c:extLst>
          </c:dPt>
          <c:dLbls>
            <c:spPr>
              <a:noFill/>
              <a:ln>
                <a:noFill/>
              </a:ln>
              <a:effectLst/>
            </c:spPr>
            <c:txPr>
              <a:bodyPr rot="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'INDICADORES GESTIÓN'!$A$29:$A$30</c:f>
              <c:numCache>
                <c:formatCode>General</c:formatCode>
                <c:ptCount val="2"/>
                <c:pt idx="0">
                  <c:v>2023</c:v>
                </c:pt>
                <c:pt idx="1">
                  <c:v>2024</c:v>
                </c:pt>
              </c:numCache>
            </c:numRef>
          </c:cat>
          <c:val>
            <c:numRef>
              <c:f>'INDICADORES GESTIÓN'!$C$29:$C$30</c:f>
              <c:numCache>
                <c:formatCode>General</c:formatCode>
                <c:ptCount val="2"/>
                <c:pt idx="0">
                  <c:v>68</c:v>
                </c:pt>
                <c:pt idx="1">
                  <c:v>76</c:v>
                </c:pt>
              </c:numCache>
            </c:numRef>
          </c:val>
          <c:extLst>
            <c:ext xmlns:c16="http://schemas.microsoft.com/office/drawing/2014/chart" uri="{C3380CC4-5D6E-409C-BE32-E72D297353CC}">
              <c16:uniqueId val="{00000002-73A4-4735-8488-D0D619F4B7EC}"/>
            </c:ext>
          </c:extLst>
        </c:ser>
        <c:dLbls>
          <c:showLegendKey val="0"/>
          <c:showVal val="0"/>
          <c:showCatName val="0"/>
          <c:showSerName val="0"/>
          <c:showPercent val="0"/>
          <c:showBubbleSize val="0"/>
        </c:dLbls>
        <c:gapWidth val="219"/>
        <c:overlap val="-27"/>
        <c:axId val="1225726496"/>
        <c:axId val="1225736688"/>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'INDICADORES GESTIÓN'!$A$29:$A$30</c15:sqref>
                        </c15:formulaRef>
                      </c:ext>
                    </c:extLst>
                    <c:numCache>
                      <c:formatCode>General</c:formatCode>
                      <c:ptCount val="2"/>
                      <c:pt idx="0">
                        <c:v>2023</c:v>
                      </c:pt>
                      <c:pt idx="1">
                        <c:v>2024</c:v>
                      </c:pt>
                    </c:numCache>
                  </c:numRef>
                </c:cat>
                <c:val>
                  <c:numRef>
                    <c:extLst>
                      <c:ext uri="{02D57815-91ED-43cb-92C2-25804820EDAC}">
                        <c15:formulaRef>
                          <c15:sqref>'INDICADORES GESTIÓN'!$B$29:$B$30</c15:sqref>
                        </c15:formulaRef>
                      </c:ext>
                    </c:extLst>
                    <c:numCache>
                      <c:formatCode>General</c:formatCode>
                      <c:ptCount val="2"/>
                    </c:numCache>
                  </c:numRef>
                </c:val>
                <c:extLst>
                  <c:ext xmlns:c16="http://schemas.microsoft.com/office/drawing/2014/chart" uri="{C3380CC4-5D6E-409C-BE32-E72D297353CC}">
                    <c16:uniqueId val="{00000003-73A4-4735-8488-D0D619F4B7EC}"/>
                  </c:ext>
                </c:extLst>
              </c15:ser>
            </c15:filteredBarSeries>
          </c:ext>
        </c:extLst>
      </c:barChart>
      <c:catAx>
        <c:axId val="1225726496"/>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36688"/>
        <c:crosses val="autoZero"/>
        <c:auto val="1"/>
        <c:lblAlgn val="ctr"/>
        <c:lblOffset val="100"/>
        <c:noMultiLvlLbl val="0"/>
      </c:catAx>
      <c:valAx>
        <c:axId val="1225736688"/>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572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Porcentaje DE SOLICITUDES POR MES</a:t>
            </a:r>
            <a:endParaRPr lang="es-DO" sz="1200"/>
          </a:p>
          <a:p>
            <a:pPr>
              <a:defRPr sz="1200"/>
            </a:pPr>
            <a:r>
              <a:rPr lang="en-US" sz="1200"/>
              <a:t>Enero - DICIembre 2024</a:t>
            </a:r>
            <a:endParaRPr lang="es-DO" sz="1200"/>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shade val="41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B19-4612-9BE5-6922547F16B2}"/>
              </c:ext>
            </c:extLst>
          </c:dPt>
          <c:dPt>
            <c:idx val="1"/>
            <c:bubble3D val="0"/>
            <c:spPr>
              <a:solidFill>
                <a:schemeClr val="accent5">
                  <a:shade val="5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B19-4612-9BE5-6922547F16B2}"/>
              </c:ext>
            </c:extLst>
          </c:dPt>
          <c:dPt>
            <c:idx val="2"/>
            <c:bubble3D val="0"/>
            <c:spPr>
              <a:solidFill>
                <a:schemeClr val="accent5">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B19-4612-9BE5-6922547F16B2}"/>
              </c:ext>
            </c:extLst>
          </c:dPt>
          <c:dPt>
            <c:idx val="3"/>
            <c:bubble3D val="0"/>
            <c:spPr>
              <a:solidFill>
                <a:schemeClr val="accent5">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4B19-4612-9BE5-6922547F16B2}"/>
              </c:ext>
            </c:extLst>
          </c:dPt>
          <c:dPt>
            <c:idx val="4"/>
            <c:bubble3D val="0"/>
            <c:spPr>
              <a:solidFill>
                <a:schemeClr val="accent5">
                  <a:shade val="8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4B19-4612-9BE5-6922547F16B2}"/>
              </c:ext>
            </c:extLst>
          </c:dPt>
          <c:dPt>
            <c:idx val="5"/>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4B19-4612-9BE5-6922547F16B2}"/>
              </c:ext>
            </c:extLst>
          </c:dPt>
          <c:dPt>
            <c:idx val="6"/>
            <c:bubble3D val="0"/>
            <c:spPr>
              <a:solidFill>
                <a:schemeClr val="accent5">
                  <a:tint val="89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4B19-4612-9BE5-6922547F16B2}"/>
              </c:ext>
            </c:extLst>
          </c:dPt>
          <c:dPt>
            <c:idx val="7"/>
            <c:bubble3D val="0"/>
            <c:spPr>
              <a:solidFill>
                <a:schemeClr val="accent5">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4B19-4612-9BE5-6922547F16B2}"/>
              </c:ext>
            </c:extLst>
          </c:dPt>
          <c:dPt>
            <c:idx val="8"/>
            <c:bubble3D val="0"/>
            <c:spPr>
              <a:solidFill>
                <a:schemeClr val="accent5">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4B19-4612-9BE5-6922547F16B2}"/>
              </c:ext>
            </c:extLst>
          </c:dPt>
          <c:dPt>
            <c:idx val="9"/>
            <c:bubble3D val="0"/>
            <c:spPr>
              <a:solidFill>
                <a:schemeClr val="accent5">
                  <a:tint val="5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4B19-4612-9BE5-6922547F16B2}"/>
              </c:ext>
            </c:extLst>
          </c:dPt>
          <c:dPt>
            <c:idx val="10"/>
            <c:bubble3D val="0"/>
            <c:spPr>
              <a:solidFill>
                <a:schemeClr val="accent5">
                  <a:tint val="42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4B19-4612-9BE5-6922547F16B2}"/>
              </c:ext>
            </c:extLst>
          </c:dPt>
          <c:dPt>
            <c:idx val="11"/>
            <c:bubble3D val="0"/>
            <c:spPr>
              <a:solidFill>
                <a:srgbClr val="DCE1F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7-4B19-4612-9BE5-6922547F16B2}"/>
              </c:ext>
            </c:extLst>
          </c:dPt>
          <c:dLbls>
            <c:dLbl>
              <c:idx val="0"/>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1-4B19-4612-9BE5-6922547F16B2}"/>
                </c:ext>
              </c:extLst>
            </c:dLbl>
            <c:dLbl>
              <c:idx val="1"/>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3-4B19-4612-9BE5-6922547F16B2}"/>
                </c:ext>
              </c:extLst>
            </c:dLbl>
            <c:dLbl>
              <c:idx val="2"/>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5-4B19-4612-9BE5-6922547F16B2}"/>
                </c:ext>
              </c:extLst>
            </c:dLbl>
            <c:dLbl>
              <c:idx val="3"/>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7-4B19-4612-9BE5-6922547F16B2}"/>
                </c:ext>
              </c:extLst>
            </c:dLbl>
            <c:dLbl>
              <c:idx val="4"/>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9-4B19-4612-9BE5-6922547F16B2}"/>
                </c:ext>
              </c:extLst>
            </c:dLbl>
            <c:dLbl>
              <c:idx val="5"/>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B-4B19-4612-9BE5-6922547F16B2}"/>
                </c:ext>
              </c:extLst>
            </c:dLbl>
            <c:dLbl>
              <c:idx val="6"/>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D-4B19-4612-9BE5-6922547F16B2}"/>
                </c:ext>
              </c:extLst>
            </c:dLbl>
            <c:dLbl>
              <c:idx val="7"/>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F-4B19-4612-9BE5-6922547F16B2}"/>
                </c:ext>
              </c:extLst>
            </c:dLbl>
            <c:dLbl>
              <c:idx val="8"/>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11-4B19-4612-9BE5-6922547F16B2}"/>
                </c:ext>
              </c:extLst>
            </c:dLbl>
            <c:dLbl>
              <c:idx val="9"/>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13-4B19-4612-9BE5-6922547F16B2}"/>
                </c:ext>
              </c:extLst>
            </c:dLbl>
            <c:dLbl>
              <c:idx val="10"/>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15-4B19-4612-9BE5-6922547F16B2}"/>
                </c:ext>
              </c:extLst>
            </c:dLbl>
            <c:dLbl>
              <c:idx val="11"/>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17-4B19-4612-9BE5-6922547F16B2}"/>
                </c:ext>
              </c:extLst>
            </c:dLbl>
            <c:spPr>
              <a:noFill/>
              <a:ln>
                <a:noFill/>
              </a:ln>
              <a:effectLst/>
            </c:spPr>
            <c:txPr>
              <a:bodyPr rot="0" spcFirstLastPara="1" vertOverflow="ellipsis" vert="horz" wrap="square" anchor="ctr" anchorCtr="1"/>
              <a:lstStyle/>
              <a:p>
                <a:pPr>
                  <a:defRPr sz="1100" b="1"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'SOLICITUDES X MES'!$D$43:$D$54</c:f>
              <c:strCache>
                <c:ptCount val="12"/>
                <c:pt idx="0">
                  <c:v>ENE</c:v>
                </c:pt>
                <c:pt idx="1">
                  <c:v>FEB</c:v>
                </c:pt>
                <c:pt idx="2">
                  <c:v>MAR</c:v>
                </c:pt>
                <c:pt idx="3">
                  <c:v>ABRIL</c:v>
                </c:pt>
                <c:pt idx="4">
                  <c:v>MAYO</c:v>
                </c:pt>
                <c:pt idx="5">
                  <c:v>JUNIO</c:v>
                </c:pt>
                <c:pt idx="6">
                  <c:v>JULIO</c:v>
                </c:pt>
                <c:pt idx="7">
                  <c:v>AGO</c:v>
                </c:pt>
                <c:pt idx="8">
                  <c:v>SEPT</c:v>
                </c:pt>
                <c:pt idx="9">
                  <c:v>OCT</c:v>
                </c:pt>
                <c:pt idx="10">
                  <c:v>NOV</c:v>
                </c:pt>
                <c:pt idx="11">
                  <c:v>DIC</c:v>
                </c:pt>
              </c:strCache>
            </c:strRef>
          </c:cat>
          <c:val>
            <c:numRef>
              <c:f>'SOLICITUDES X MES'!$F$43:$F$54</c:f>
              <c:numCache>
                <c:formatCode>0.00</c:formatCode>
                <c:ptCount val="12"/>
                <c:pt idx="0">
                  <c:v>6.430868167202572</c:v>
                </c:pt>
                <c:pt idx="1">
                  <c:v>4.340836012861736</c:v>
                </c:pt>
                <c:pt idx="2">
                  <c:v>7.5562700964630229</c:v>
                </c:pt>
                <c:pt idx="3">
                  <c:v>4.662379421221865</c:v>
                </c:pt>
                <c:pt idx="4">
                  <c:v>8.6816720257234721</c:v>
                </c:pt>
                <c:pt idx="5">
                  <c:v>7.5562700964630229</c:v>
                </c:pt>
                <c:pt idx="6">
                  <c:v>10.128617363344052</c:v>
                </c:pt>
                <c:pt idx="7">
                  <c:v>11.736334405144694</c:v>
                </c:pt>
                <c:pt idx="8">
                  <c:v>10.289389067524116</c:v>
                </c:pt>
                <c:pt idx="9">
                  <c:v>20.09646302250804</c:v>
                </c:pt>
                <c:pt idx="10">
                  <c:v>3.8585209003215435</c:v>
                </c:pt>
                <c:pt idx="11">
                  <c:v>4.662379421221865</c:v>
                </c:pt>
              </c:numCache>
            </c:numRef>
          </c:val>
          <c:extLst>
            <c:ext xmlns:c16="http://schemas.microsoft.com/office/drawing/2014/chart" uri="{C3380CC4-5D6E-409C-BE32-E72D297353CC}">
              <c16:uniqueId val="{00000018-4B19-4612-9BE5-6922547F16B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B1B59-6311-4898-BAAF-35CF83D5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Memoria Institucional MOPC-2021-12_2021 (1)</Template>
  <TotalTime>0</TotalTime>
  <Pages>193</Pages>
  <Words>31783</Words>
  <Characters>174807</Characters>
  <Application>Microsoft Office Word</Application>
  <DocSecurity>0</DocSecurity>
  <Lines>1456</Lines>
  <Paragraphs>412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INSTITUCIONAL</vt:lpstr>
      <vt:lpstr>MEMORIA INSTITUCIONAL</vt:lpstr>
    </vt:vector>
  </TitlesOfParts>
  <Company/>
  <LinksUpToDate>false</LinksUpToDate>
  <CharactersWithSpaces>206178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Trini Osoria</dc:creator>
  <cp:keywords/>
  <dc:description/>
  <cp:lastModifiedBy>Admin</cp:lastModifiedBy>
  <cp:revision>2</cp:revision>
  <cp:lastPrinted>2025-01-03T18:37:00Z</cp:lastPrinted>
  <dcterms:created xsi:type="dcterms:W3CDTF">2025-01-05T04:32:00Z</dcterms:created>
  <dcterms:modified xsi:type="dcterms:W3CDTF">2025-01-05T04:32:00Z</dcterms:modified>
</cp:coreProperties>
</file>